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C1E65" w14:textId="26B4108A" w:rsidR="007C5438" w:rsidRPr="007C5438" w:rsidRDefault="007C5438" w:rsidP="007C5438"/>
    <w:p w14:paraId="59F64D67" w14:textId="3713A378" w:rsidR="00783288" w:rsidRDefault="00E31420">
      <w:pPr>
        <w:pStyle w:val="Heading1"/>
        <w:kinsoku w:val="0"/>
        <w:overflowPunct w:val="0"/>
        <w:spacing w:before="74" w:line="207" w:lineRule="exact"/>
        <w:jc w:val="both"/>
        <w:rPr>
          <w:color w:val="231F20"/>
        </w:rPr>
      </w:pPr>
      <w:r>
        <w:rPr>
          <w:color w:val="231F20"/>
        </w:rPr>
        <w:t>TH</w:t>
      </w:r>
      <w:r>
        <w:rPr>
          <w:color w:val="252326"/>
        </w:rPr>
        <w:t xml:space="preserve">IS </w:t>
      </w:r>
      <w:r>
        <w:rPr>
          <w:color w:val="231F20"/>
        </w:rPr>
        <w:t>DOCUMEN</w:t>
      </w:r>
      <w:r>
        <w:rPr>
          <w:color w:val="252326"/>
        </w:rPr>
        <w:t xml:space="preserve">T </w:t>
      </w:r>
      <w:r>
        <w:rPr>
          <w:color w:val="231F20"/>
        </w:rPr>
        <w:t>IS IMPORTA</w:t>
      </w:r>
      <w:r>
        <w:rPr>
          <w:color w:val="252326"/>
        </w:rPr>
        <w:t>N</w:t>
      </w:r>
      <w:r>
        <w:rPr>
          <w:color w:val="231F20"/>
        </w:rPr>
        <w:t>T A</w:t>
      </w:r>
      <w:r>
        <w:rPr>
          <w:color w:val="252326"/>
        </w:rPr>
        <w:t>N</w:t>
      </w:r>
      <w:r>
        <w:rPr>
          <w:color w:val="231F20"/>
        </w:rPr>
        <w:t xml:space="preserve">D REQUIRES YOUR </w:t>
      </w:r>
      <w:r>
        <w:rPr>
          <w:color w:val="252326"/>
        </w:rPr>
        <w:t>I</w:t>
      </w:r>
      <w:r>
        <w:rPr>
          <w:color w:val="231F20"/>
        </w:rPr>
        <w:t>MMEDIATE A</w:t>
      </w:r>
      <w:r>
        <w:rPr>
          <w:color w:val="252326"/>
        </w:rPr>
        <w:t>T</w:t>
      </w:r>
      <w:r>
        <w:rPr>
          <w:color w:val="231F20"/>
        </w:rPr>
        <w:t>TENTIO</w:t>
      </w:r>
      <w:r>
        <w:rPr>
          <w:color w:val="252326"/>
        </w:rPr>
        <w:t>N</w:t>
      </w:r>
      <w:r>
        <w:rPr>
          <w:color w:val="4F4F50"/>
        </w:rPr>
        <w:t xml:space="preserve">. </w:t>
      </w:r>
      <w:r>
        <w:rPr>
          <w:color w:val="231F20"/>
        </w:rPr>
        <w:t>If yo</w:t>
      </w:r>
      <w:r>
        <w:rPr>
          <w:color w:val="252326"/>
        </w:rPr>
        <w:t xml:space="preserve">u </w:t>
      </w:r>
      <w:r>
        <w:rPr>
          <w:color w:val="231F20"/>
        </w:rPr>
        <w:t>a</w:t>
      </w:r>
      <w:r>
        <w:rPr>
          <w:color w:val="252326"/>
        </w:rPr>
        <w:t xml:space="preserve">re in </w:t>
      </w:r>
      <w:r>
        <w:rPr>
          <w:color w:val="231F20"/>
        </w:rPr>
        <w:t xml:space="preserve">any </w:t>
      </w:r>
      <w:r>
        <w:rPr>
          <w:color w:val="252326"/>
        </w:rPr>
        <w:t>d</w:t>
      </w:r>
      <w:r>
        <w:rPr>
          <w:color w:val="231F20"/>
        </w:rPr>
        <w:t>oubt</w:t>
      </w:r>
    </w:p>
    <w:p w14:paraId="59043C7C" w14:textId="77777777" w:rsidR="00783288" w:rsidRDefault="00E31420">
      <w:pPr>
        <w:pStyle w:val="BodyText"/>
        <w:kinsoku w:val="0"/>
        <w:overflowPunct w:val="0"/>
        <w:ind w:left="300" w:right="1188"/>
        <w:jc w:val="both"/>
        <w:rPr>
          <w:b/>
          <w:bCs/>
          <w:color w:val="252326"/>
        </w:rPr>
      </w:pPr>
      <w:r>
        <w:rPr>
          <w:b/>
          <w:bCs/>
          <w:color w:val="231F20"/>
        </w:rPr>
        <w:t xml:space="preserve">as </w:t>
      </w:r>
      <w:r>
        <w:rPr>
          <w:b/>
          <w:bCs/>
          <w:color w:val="252326"/>
        </w:rPr>
        <w:t>t</w:t>
      </w:r>
      <w:r>
        <w:rPr>
          <w:b/>
          <w:bCs/>
          <w:color w:val="231F20"/>
        </w:rPr>
        <w:t>o wh</w:t>
      </w:r>
      <w:r>
        <w:rPr>
          <w:b/>
          <w:bCs/>
          <w:color w:val="252326"/>
        </w:rPr>
        <w:t>at a</w:t>
      </w:r>
      <w:r>
        <w:rPr>
          <w:b/>
          <w:bCs/>
          <w:color w:val="231F20"/>
        </w:rPr>
        <w:t>ction you s</w:t>
      </w:r>
      <w:r>
        <w:rPr>
          <w:b/>
          <w:bCs/>
          <w:color w:val="252326"/>
        </w:rPr>
        <w:t>h</w:t>
      </w:r>
      <w:r>
        <w:rPr>
          <w:b/>
          <w:bCs/>
          <w:color w:val="231F20"/>
        </w:rPr>
        <w:t>ould take you are r</w:t>
      </w:r>
      <w:r>
        <w:rPr>
          <w:b/>
          <w:bCs/>
          <w:color w:val="252326"/>
        </w:rPr>
        <w:t>e</w:t>
      </w:r>
      <w:r>
        <w:rPr>
          <w:b/>
          <w:bCs/>
          <w:color w:val="231F20"/>
        </w:rPr>
        <w:t xml:space="preserve">commended </w:t>
      </w:r>
      <w:r>
        <w:rPr>
          <w:b/>
          <w:bCs/>
          <w:color w:val="252326"/>
        </w:rPr>
        <w:t>t</w:t>
      </w:r>
      <w:r>
        <w:rPr>
          <w:b/>
          <w:bCs/>
          <w:color w:val="231F20"/>
        </w:rPr>
        <w:t xml:space="preserve">o </w:t>
      </w:r>
      <w:r>
        <w:rPr>
          <w:b/>
          <w:bCs/>
          <w:color w:val="252326"/>
        </w:rPr>
        <w:t>se</w:t>
      </w:r>
      <w:r>
        <w:rPr>
          <w:b/>
          <w:bCs/>
          <w:color w:val="231F20"/>
        </w:rPr>
        <w:t>ek your own financial advic</w:t>
      </w:r>
      <w:r>
        <w:rPr>
          <w:b/>
          <w:bCs/>
          <w:color w:val="252326"/>
        </w:rPr>
        <w:t>e imme</w:t>
      </w:r>
      <w:r>
        <w:rPr>
          <w:b/>
          <w:bCs/>
          <w:color w:val="231F20"/>
        </w:rPr>
        <w:t>diat</w:t>
      </w:r>
      <w:r>
        <w:rPr>
          <w:b/>
          <w:bCs/>
          <w:color w:val="252326"/>
        </w:rPr>
        <w:t>el</w:t>
      </w:r>
      <w:r>
        <w:rPr>
          <w:b/>
          <w:bCs/>
          <w:color w:val="231F20"/>
        </w:rPr>
        <w:t>y f</w:t>
      </w:r>
      <w:r>
        <w:rPr>
          <w:b/>
          <w:bCs/>
          <w:color w:val="252326"/>
        </w:rPr>
        <w:t>r</w:t>
      </w:r>
      <w:r>
        <w:rPr>
          <w:b/>
          <w:bCs/>
          <w:color w:val="231F20"/>
        </w:rPr>
        <w:t xml:space="preserve">om an independent financial adviser </w:t>
      </w:r>
      <w:r>
        <w:rPr>
          <w:b/>
          <w:bCs/>
          <w:color w:val="252326"/>
        </w:rPr>
        <w:t>wh</w:t>
      </w:r>
      <w:r>
        <w:rPr>
          <w:b/>
          <w:bCs/>
          <w:color w:val="231F20"/>
        </w:rPr>
        <w:t>o spe</w:t>
      </w:r>
      <w:r>
        <w:rPr>
          <w:b/>
          <w:bCs/>
          <w:color w:val="252326"/>
        </w:rPr>
        <w:t>c</w:t>
      </w:r>
      <w:r>
        <w:rPr>
          <w:b/>
          <w:bCs/>
          <w:color w:val="231F20"/>
        </w:rPr>
        <w:t>ialises in advising on sha</w:t>
      </w:r>
      <w:r>
        <w:rPr>
          <w:b/>
          <w:bCs/>
          <w:color w:val="252326"/>
        </w:rPr>
        <w:t>r</w:t>
      </w:r>
      <w:r>
        <w:rPr>
          <w:b/>
          <w:bCs/>
          <w:color w:val="231F20"/>
        </w:rPr>
        <w:t>es or othe</w:t>
      </w:r>
      <w:r>
        <w:rPr>
          <w:b/>
          <w:bCs/>
          <w:color w:val="252326"/>
        </w:rPr>
        <w:t xml:space="preserve">r </w:t>
      </w:r>
      <w:r>
        <w:rPr>
          <w:b/>
          <w:bCs/>
          <w:color w:val="231F20"/>
        </w:rPr>
        <w:t>secur</w:t>
      </w:r>
      <w:r>
        <w:rPr>
          <w:b/>
          <w:bCs/>
          <w:color w:val="252326"/>
        </w:rPr>
        <w:t>it</w:t>
      </w:r>
      <w:r>
        <w:rPr>
          <w:b/>
          <w:bCs/>
          <w:color w:val="231F20"/>
        </w:rPr>
        <w:t>ies a</w:t>
      </w:r>
      <w:r>
        <w:rPr>
          <w:b/>
          <w:bCs/>
          <w:color w:val="252326"/>
        </w:rPr>
        <w:t>n</w:t>
      </w:r>
      <w:r>
        <w:rPr>
          <w:b/>
          <w:bCs/>
          <w:color w:val="231F20"/>
        </w:rPr>
        <w:t xml:space="preserve">d who </w:t>
      </w:r>
      <w:r>
        <w:rPr>
          <w:b/>
          <w:bCs/>
          <w:color w:val="252326"/>
        </w:rPr>
        <w:t>i</w:t>
      </w:r>
      <w:r>
        <w:rPr>
          <w:b/>
          <w:bCs/>
          <w:color w:val="231F20"/>
        </w:rPr>
        <w:t>s author</w:t>
      </w:r>
      <w:r>
        <w:rPr>
          <w:b/>
          <w:bCs/>
          <w:color w:val="252326"/>
        </w:rPr>
        <w:t>i</w:t>
      </w:r>
      <w:r>
        <w:rPr>
          <w:b/>
          <w:bCs/>
          <w:color w:val="231F20"/>
        </w:rPr>
        <w:t>sed under the F</w:t>
      </w:r>
      <w:r>
        <w:rPr>
          <w:b/>
          <w:bCs/>
          <w:color w:val="252326"/>
        </w:rPr>
        <w:t>i</w:t>
      </w:r>
      <w:r>
        <w:rPr>
          <w:b/>
          <w:bCs/>
          <w:color w:val="231F20"/>
        </w:rPr>
        <w:t>nancial Services and Mar</w:t>
      </w:r>
      <w:r>
        <w:rPr>
          <w:b/>
          <w:bCs/>
          <w:color w:val="252326"/>
        </w:rPr>
        <w:t>ke</w:t>
      </w:r>
      <w:r>
        <w:rPr>
          <w:b/>
          <w:bCs/>
          <w:color w:val="231F20"/>
        </w:rPr>
        <w:t>ts Act 2000</w:t>
      </w:r>
      <w:r>
        <w:rPr>
          <w:b/>
          <w:bCs/>
          <w:color w:val="252326"/>
        </w:rPr>
        <w:t>.</w:t>
      </w:r>
    </w:p>
    <w:p w14:paraId="1291599C" w14:textId="77777777" w:rsidR="00783288" w:rsidRDefault="00783288">
      <w:pPr>
        <w:pStyle w:val="BodyText"/>
        <w:kinsoku w:val="0"/>
        <w:overflowPunct w:val="0"/>
        <w:spacing w:before="4"/>
        <w:rPr>
          <w:b/>
          <w:bCs/>
        </w:rPr>
      </w:pPr>
    </w:p>
    <w:p w14:paraId="6D27731C" w14:textId="7B0A4C8C" w:rsidR="00783288" w:rsidRDefault="00E31420">
      <w:pPr>
        <w:pStyle w:val="BodyText"/>
        <w:kinsoku w:val="0"/>
        <w:overflowPunct w:val="0"/>
        <w:ind w:left="300" w:right="1189"/>
        <w:jc w:val="both"/>
        <w:rPr>
          <w:color w:val="252326"/>
        </w:rPr>
      </w:pPr>
      <w:r>
        <w:rPr>
          <w:color w:val="231F20"/>
        </w:rPr>
        <w:t>Thi</w:t>
      </w:r>
      <w:r>
        <w:rPr>
          <w:color w:val="252326"/>
        </w:rPr>
        <w:t xml:space="preserve">s </w:t>
      </w:r>
      <w:r>
        <w:rPr>
          <w:color w:val="231F20"/>
        </w:rPr>
        <w:t>D</w:t>
      </w:r>
      <w:r>
        <w:rPr>
          <w:color w:val="252326"/>
        </w:rPr>
        <w:t>oc</w:t>
      </w:r>
      <w:r>
        <w:rPr>
          <w:color w:val="231F20"/>
        </w:rPr>
        <w:t>um</w:t>
      </w:r>
      <w:r>
        <w:rPr>
          <w:color w:val="252326"/>
        </w:rPr>
        <w:t>e</w:t>
      </w:r>
      <w:r>
        <w:rPr>
          <w:color w:val="231F20"/>
        </w:rPr>
        <w:t>n</w:t>
      </w:r>
      <w:r>
        <w:rPr>
          <w:color w:val="252326"/>
        </w:rPr>
        <w:t xml:space="preserve">t </w:t>
      </w:r>
      <w:r>
        <w:rPr>
          <w:color w:val="231F20"/>
        </w:rPr>
        <w:t>compri</w:t>
      </w:r>
      <w:r>
        <w:rPr>
          <w:color w:val="252326"/>
        </w:rPr>
        <w:t>s</w:t>
      </w:r>
      <w:r>
        <w:rPr>
          <w:color w:val="231F20"/>
        </w:rPr>
        <w:t>e</w:t>
      </w:r>
      <w:r>
        <w:rPr>
          <w:color w:val="252326"/>
        </w:rPr>
        <w:t xml:space="preserve">s </w:t>
      </w:r>
      <w:r>
        <w:rPr>
          <w:color w:val="231F20"/>
        </w:rPr>
        <w:t>a Pr</w:t>
      </w:r>
      <w:r>
        <w:rPr>
          <w:color w:val="252326"/>
        </w:rPr>
        <w:t>os</w:t>
      </w:r>
      <w:r>
        <w:rPr>
          <w:color w:val="231F20"/>
        </w:rPr>
        <w:t>p</w:t>
      </w:r>
      <w:r>
        <w:rPr>
          <w:color w:val="252326"/>
        </w:rPr>
        <w:t>ec</w:t>
      </w:r>
      <w:r>
        <w:rPr>
          <w:color w:val="231F20"/>
        </w:rPr>
        <w:t>tu</w:t>
      </w:r>
      <w:r>
        <w:rPr>
          <w:color w:val="252326"/>
        </w:rPr>
        <w:t xml:space="preserve">s </w:t>
      </w:r>
      <w:r>
        <w:rPr>
          <w:color w:val="231F20"/>
        </w:rPr>
        <w:t>r</w:t>
      </w:r>
      <w:r>
        <w:rPr>
          <w:color w:val="252326"/>
        </w:rPr>
        <w:t>e</w:t>
      </w:r>
      <w:r>
        <w:rPr>
          <w:color w:val="231F20"/>
        </w:rPr>
        <w:t>l</w:t>
      </w:r>
      <w:r>
        <w:rPr>
          <w:color w:val="252326"/>
        </w:rPr>
        <w:t>a</w:t>
      </w:r>
      <w:r>
        <w:rPr>
          <w:color w:val="231F20"/>
        </w:rPr>
        <w:t>tin</w:t>
      </w:r>
      <w:r>
        <w:rPr>
          <w:color w:val="252326"/>
        </w:rPr>
        <w:t xml:space="preserve">g </w:t>
      </w:r>
      <w:r>
        <w:rPr>
          <w:color w:val="231F20"/>
        </w:rPr>
        <w:t>to Chesterfield Resources pl</w:t>
      </w:r>
      <w:r>
        <w:rPr>
          <w:color w:val="252326"/>
        </w:rPr>
        <w:t xml:space="preserve">c </w:t>
      </w:r>
      <w:r>
        <w:rPr>
          <w:color w:val="231F20"/>
        </w:rPr>
        <w:t>pr</w:t>
      </w:r>
      <w:r>
        <w:rPr>
          <w:color w:val="252326"/>
        </w:rPr>
        <w:t>e</w:t>
      </w:r>
      <w:r>
        <w:rPr>
          <w:color w:val="231F20"/>
        </w:rPr>
        <w:t>p</w:t>
      </w:r>
      <w:r>
        <w:rPr>
          <w:color w:val="252326"/>
        </w:rPr>
        <w:t>a</w:t>
      </w:r>
      <w:r>
        <w:rPr>
          <w:color w:val="231F20"/>
        </w:rPr>
        <w:t>r</w:t>
      </w:r>
      <w:r>
        <w:rPr>
          <w:color w:val="252326"/>
        </w:rPr>
        <w:t xml:space="preserve">ed </w:t>
      </w:r>
      <w:r>
        <w:rPr>
          <w:color w:val="231F20"/>
        </w:rPr>
        <w:t xml:space="preserve">in </w:t>
      </w:r>
      <w:r>
        <w:rPr>
          <w:color w:val="252326"/>
        </w:rPr>
        <w:t>a</w:t>
      </w:r>
      <w:r>
        <w:rPr>
          <w:color w:val="231F20"/>
        </w:rPr>
        <w:t>c</w:t>
      </w:r>
      <w:r>
        <w:rPr>
          <w:color w:val="252326"/>
        </w:rPr>
        <w:t>co</w:t>
      </w:r>
      <w:r>
        <w:rPr>
          <w:color w:val="231F20"/>
        </w:rPr>
        <w:t>rd</w:t>
      </w:r>
      <w:r>
        <w:rPr>
          <w:color w:val="252326"/>
        </w:rPr>
        <w:t>a</w:t>
      </w:r>
      <w:r>
        <w:rPr>
          <w:color w:val="231F20"/>
        </w:rPr>
        <w:t>n</w:t>
      </w:r>
      <w:r>
        <w:rPr>
          <w:color w:val="252326"/>
        </w:rPr>
        <w:t xml:space="preserve">ce </w:t>
      </w:r>
      <w:r>
        <w:rPr>
          <w:color w:val="231F20"/>
        </w:rPr>
        <w:t>with the Pr</w:t>
      </w:r>
      <w:r>
        <w:rPr>
          <w:color w:val="252326"/>
        </w:rPr>
        <w:t>os</w:t>
      </w:r>
      <w:r>
        <w:rPr>
          <w:color w:val="231F20"/>
        </w:rPr>
        <w:t>p</w:t>
      </w:r>
      <w:r>
        <w:rPr>
          <w:color w:val="252326"/>
        </w:rPr>
        <w:t>ec</w:t>
      </w:r>
      <w:r>
        <w:rPr>
          <w:color w:val="231F20"/>
        </w:rPr>
        <w:t>tu</w:t>
      </w:r>
      <w:r>
        <w:rPr>
          <w:color w:val="252326"/>
        </w:rPr>
        <w:t xml:space="preserve">s Regulation </w:t>
      </w:r>
      <w:r>
        <w:rPr>
          <w:color w:val="231F20"/>
        </w:rPr>
        <w:t>Rules.</w:t>
      </w:r>
      <w:r w:rsidR="00AC47FA">
        <w:rPr>
          <w:color w:val="231F20"/>
        </w:rPr>
        <w:t xml:space="preserve"> </w:t>
      </w:r>
      <w:r>
        <w:rPr>
          <w:color w:val="231F20"/>
        </w:rPr>
        <w:t>This Document h</w:t>
      </w:r>
      <w:r>
        <w:rPr>
          <w:color w:val="252326"/>
        </w:rPr>
        <w:t xml:space="preserve">as </w:t>
      </w:r>
      <w:r>
        <w:rPr>
          <w:color w:val="231F20"/>
        </w:rPr>
        <w:t>b</w:t>
      </w:r>
      <w:r>
        <w:rPr>
          <w:color w:val="252326"/>
        </w:rPr>
        <w:t>ee</w:t>
      </w:r>
      <w:r>
        <w:rPr>
          <w:color w:val="231F20"/>
        </w:rPr>
        <w:t xml:space="preserve">n </w:t>
      </w:r>
      <w:r>
        <w:rPr>
          <w:color w:val="252326"/>
        </w:rPr>
        <w:t>a</w:t>
      </w:r>
      <w:r>
        <w:rPr>
          <w:color w:val="231F20"/>
        </w:rPr>
        <w:t>ppr</w:t>
      </w:r>
      <w:r>
        <w:rPr>
          <w:color w:val="252326"/>
        </w:rPr>
        <w:t>ove</w:t>
      </w:r>
      <w:r>
        <w:rPr>
          <w:color w:val="231F20"/>
        </w:rPr>
        <w:t>d by th</w:t>
      </w:r>
      <w:r>
        <w:rPr>
          <w:color w:val="252326"/>
        </w:rPr>
        <w:t xml:space="preserve">e FCA as the competent authority under Regulation (EU) 2017/1129 </w:t>
      </w:r>
      <w:r>
        <w:rPr>
          <w:color w:val="231F20"/>
        </w:rPr>
        <w:t>and has b</w:t>
      </w:r>
      <w:r>
        <w:rPr>
          <w:color w:val="252326"/>
        </w:rPr>
        <w:t>ee</w:t>
      </w:r>
      <w:r>
        <w:rPr>
          <w:color w:val="231F20"/>
        </w:rPr>
        <w:t>n fil</w:t>
      </w:r>
      <w:r>
        <w:rPr>
          <w:color w:val="252326"/>
        </w:rPr>
        <w:t>e</w:t>
      </w:r>
      <w:r>
        <w:rPr>
          <w:color w:val="231F20"/>
        </w:rPr>
        <w:t xml:space="preserve">d </w:t>
      </w:r>
      <w:r>
        <w:rPr>
          <w:color w:val="252326"/>
        </w:rPr>
        <w:t>w</w:t>
      </w:r>
      <w:r>
        <w:rPr>
          <w:color w:val="231F20"/>
        </w:rPr>
        <w:t>i</w:t>
      </w:r>
      <w:r>
        <w:rPr>
          <w:color w:val="252326"/>
        </w:rPr>
        <w:t>t</w:t>
      </w:r>
      <w:r>
        <w:rPr>
          <w:color w:val="231F20"/>
        </w:rPr>
        <w:t xml:space="preserve">h </w:t>
      </w:r>
      <w:r>
        <w:rPr>
          <w:color w:val="252326"/>
        </w:rPr>
        <w:t>t</w:t>
      </w:r>
      <w:r>
        <w:rPr>
          <w:color w:val="231F20"/>
        </w:rPr>
        <w:t>h</w:t>
      </w:r>
      <w:r>
        <w:rPr>
          <w:color w:val="252326"/>
        </w:rPr>
        <w:t xml:space="preserve">e </w:t>
      </w:r>
      <w:r>
        <w:rPr>
          <w:color w:val="231F20"/>
        </w:rPr>
        <w:t>F</w:t>
      </w:r>
      <w:r>
        <w:rPr>
          <w:color w:val="252326"/>
        </w:rPr>
        <w:t xml:space="preserve">CA </w:t>
      </w:r>
      <w:r>
        <w:rPr>
          <w:color w:val="231F20"/>
        </w:rPr>
        <w:t xml:space="preserve">in </w:t>
      </w:r>
      <w:r>
        <w:rPr>
          <w:color w:val="252326"/>
        </w:rPr>
        <w:t>a</w:t>
      </w:r>
      <w:r>
        <w:rPr>
          <w:color w:val="231F20"/>
        </w:rPr>
        <w:t>cc</w:t>
      </w:r>
      <w:r>
        <w:rPr>
          <w:color w:val="252326"/>
        </w:rPr>
        <w:t>o</w:t>
      </w:r>
      <w:r>
        <w:rPr>
          <w:color w:val="231F20"/>
        </w:rPr>
        <w:t>rd</w:t>
      </w:r>
      <w:r>
        <w:rPr>
          <w:color w:val="252326"/>
        </w:rPr>
        <w:t>a</w:t>
      </w:r>
      <w:r>
        <w:rPr>
          <w:color w:val="231F20"/>
        </w:rPr>
        <w:t xml:space="preserve">nce </w:t>
      </w:r>
      <w:r>
        <w:rPr>
          <w:color w:val="252326"/>
        </w:rPr>
        <w:t>w</w:t>
      </w:r>
      <w:r>
        <w:rPr>
          <w:color w:val="231F20"/>
        </w:rPr>
        <w:t>it</w:t>
      </w:r>
      <w:r>
        <w:rPr>
          <w:color w:val="252326"/>
        </w:rPr>
        <w:t xml:space="preserve">h </w:t>
      </w:r>
      <w:r>
        <w:rPr>
          <w:color w:val="231F20"/>
        </w:rPr>
        <w:t>Rul</w:t>
      </w:r>
      <w:r>
        <w:rPr>
          <w:color w:val="252326"/>
        </w:rPr>
        <w:t>e 3</w:t>
      </w:r>
      <w:r>
        <w:rPr>
          <w:color w:val="231F20"/>
        </w:rPr>
        <w:t>.</w:t>
      </w:r>
      <w:r>
        <w:rPr>
          <w:color w:val="252326"/>
        </w:rPr>
        <w:t xml:space="preserve">2 </w:t>
      </w:r>
      <w:r>
        <w:rPr>
          <w:color w:val="231F20"/>
        </w:rPr>
        <w:t xml:space="preserve">of </w:t>
      </w:r>
      <w:r>
        <w:rPr>
          <w:color w:val="252326"/>
        </w:rPr>
        <w:t>t</w:t>
      </w:r>
      <w:r>
        <w:rPr>
          <w:color w:val="231F20"/>
        </w:rPr>
        <w:t>he Prospe</w:t>
      </w:r>
      <w:r>
        <w:rPr>
          <w:color w:val="252326"/>
        </w:rPr>
        <w:t>c</w:t>
      </w:r>
      <w:r>
        <w:rPr>
          <w:color w:val="231F20"/>
        </w:rPr>
        <w:t>tu</w:t>
      </w:r>
      <w:r>
        <w:rPr>
          <w:color w:val="252326"/>
        </w:rPr>
        <w:t xml:space="preserve">s Regulation </w:t>
      </w:r>
      <w:r>
        <w:rPr>
          <w:color w:val="231F20"/>
        </w:rPr>
        <w:t>Rul</w:t>
      </w:r>
      <w:r>
        <w:rPr>
          <w:color w:val="252326"/>
        </w:rPr>
        <w:t xml:space="preserve">es. The FCA only approves this prospectus as meeting the standards of completeness, comprehensibility and consistency imposed by the </w:t>
      </w:r>
      <w:r w:rsidR="000F0D89">
        <w:rPr>
          <w:color w:val="252326"/>
        </w:rPr>
        <w:t xml:space="preserve">UK </w:t>
      </w:r>
      <w:r>
        <w:rPr>
          <w:color w:val="252326"/>
        </w:rPr>
        <w:t>Prospectus Regulation and such approval should not be considered</w:t>
      </w:r>
      <w:r>
        <w:rPr>
          <w:color w:val="252326"/>
          <w:spacing w:val="-6"/>
        </w:rPr>
        <w:t xml:space="preserve"> </w:t>
      </w:r>
      <w:r>
        <w:rPr>
          <w:color w:val="252326"/>
        </w:rPr>
        <w:t>as</w:t>
      </w:r>
      <w:r>
        <w:rPr>
          <w:color w:val="252326"/>
          <w:spacing w:val="-6"/>
        </w:rPr>
        <w:t xml:space="preserve"> </w:t>
      </w:r>
      <w:r>
        <w:rPr>
          <w:color w:val="252326"/>
        </w:rPr>
        <w:t>an</w:t>
      </w:r>
      <w:r>
        <w:rPr>
          <w:color w:val="252326"/>
          <w:spacing w:val="-5"/>
        </w:rPr>
        <w:t xml:space="preserve"> </w:t>
      </w:r>
      <w:r>
        <w:rPr>
          <w:color w:val="252326"/>
        </w:rPr>
        <w:t>endorsement</w:t>
      </w:r>
      <w:r>
        <w:rPr>
          <w:color w:val="252326"/>
          <w:spacing w:val="-4"/>
        </w:rPr>
        <w:t xml:space="preserve"> </w:t>
      </w:r>
      <w:r>
        <w:rPr>
          <w:color w:val="252326"/>
        </w:rPr>
        <w:t>of</w:t>
      </w:r>
      <w:r>
        <w:rPr>
          <w:color w:val="252326"/>
          <w:spacing w:val="-5"/>
        </w:rPr>
        <w:t xml:space="preserve"> </w:t>
      </w:r>
      <w:r>
        <w:rPr>
          <w:color w:val="252326"/>
        </w:rPr>
        <w:t>the</w:t>
      </w:r>
      <w:r>
        <w:rPr>
          <w:color w:val="252326"/>
          <w:spacing w:val="-6"/>
        </w:rPr>
        <w:t xml:space="preserve"> </w:t>
      </w:r>
      <w:r>
        <w:rPr>
          <w:color w:val="252326"/>
        </w:rPr>
        <w:t>quality</w:t>
      </w:r>
      <w:r>
        <w:rPr>
          <w:color w:val="252326"/>
          <w:spacing w:val="-5"/>
        </w:rPr>
        <w:t xml:space="preserve"> </w:t>
      </w:r>
      <w:r>
        <w:rPr>
          <w:color w:val="252326"/>
        </w:rPr>
        <w:t>of</w:t>
      </w:r>
      <w:r>
        <w:rPr>
          <w:color w:val="252326"/>
          <w:spacing w:val="-6"/>
        </w:rPr>
        <w:t xml:space="preserve"> </w:t>
      </w:r>
      <w:r>
        <w:rPr>
          <w:color w:val="252326"/>
        </w:rPr>
        <w:t>the</w:t>
      </w:r>
      <w:r>
        <w:rPr>
          <w:color w:val="252326"/>
          <w:spacing w:val="-3"/>
        </w:rPr>
        <w:t xml:space="preserve"> </w:t>
      </w:r>
      <w:r>
        <w:rPr>
          <w:color w:val="252326"/>
        </w:rPr>
        <w:t>securities</w:t>
      </w:r>
      <w:r>
        <w:rPr>
          <w:color w:val="252326"/>
          <w:spacing w:val="-6"/>
        </w:rPr>
        <w:t xml:space="preserve"> </w:t>
      </w:r>
      <w:r>
        <w:rPr>
          <w:color w:val="252326"/>
        </w:rPr>
        <w:t>that</w:t>
      </w:r>
      <w:r>
        <w:rPr>
          <w:color w:val="252326"/>
          <w:spacing w:val="-6"/>
        </w:rPr>
        <w:t xml:space="preserve"> </w:t>
      </w:r>
      <w:r>
        <w:rPr>
          <w:color w:val="252326"/>
        </w:rPr>
        <w:t>are,</w:t>
      </w:r>
      <w:r>
        <w:rPr>
          <w:color w:val="252326"/>
          <w:spacing w:val="-5"/>
        </w:rPr>
        <w:t xml:space="preserve"> </w:t>
      </w:r>
      <w:r>
        <w:rPr>
          <w:color w:val="252326"/>
        </w:rPr>
        <w:t>or</w:t>
      </w:r>
      <w:r>
        <w:rPr>
          <w:color w:val="252326"/>
          <w:spacing w:val="-7"/>
        </w:rPr>
        <w:t xml:space="preserve"> </w:t>
      </w:r>
      <w:r>
        <w:rPr>
          <w:color w:val="252326"/>
        </w:rPr>
        <w:t>the</w:t>
      </w:r>
      <w:r>
        <w:rPr>
          <w:color w:val="252326"/>
          <w:spacing w:val="-5"/>
        </w:rPr>
        <w:t xml:space="preserve"> </w:t>
      </w:r>
      <w:r>
        <w:rPr>
          <w:color w:val="252326"/>
        </w:rPr>
        <w:t>Company</w:t>
      </w:r>
      <w:r>
        <w:rPr>
          <w:color w:val="252326"/>
          <w:spacing w:val="-6"/>
        </w:rPr>
        <w:t xml:space="preserve"> </w:t>
      </w:r>
      <w:r>
        <w:rPr>
          <w:color w:val="252326"/>
        </w:rPr>
        <w:t>which</w:t>
      </w:r>
      <w:r>
        <w:rPr>
          <w:color w:val="252326"/>
          <w:spacing w:val="-3"/>
        </w:rPr>
        <w:t xml:space="preserve"> </w:t>
      </w:r>
      <w:r>
        <w:rPr>
          <w:color w:val="252326"/>
        </w:rPr>
        <w:t>is</w:t>
      </w:r>
      <w:r>
        <w:rPr>
          <w:color w:val="252326"/>
          <w:spacing w:val="-6"/>
        </w:rPr>
        <w:t xml:space="preserve"> </w:t>
      </w:r>
      <w:r>
        <w:rPr>
          <w:color w:val="252326"/>
        </w:rPr>
        <w:t>the,</w:t>
      </w:r>
      <w:r>
        <w:rPr>
          <w:color w:val="252326"/>
          <w:spacing w:val="-5"/>
        </w:rPr>
        <w:t xml:space="preserve"> </w:t>
      </w:r>
      <w:r>
        <w:rPr>
          <w:color w:val="252326"/>
        </w:rPr>
        <w:t>subject</w:t>
      </w:r>
      <w:r>
        <w:rPr>
          <w:color w:val="252326"/>
          <w:spacing w:val="-6"/>
        </w:rPr>
        <w:t xml:space="preserve"> </w:t>
      </w:r>
      <w:r>
        <w:rPr>
          <w:color w:val="252326"/>
        </w:rPr>
        <w:t>of</w:t>
      </w:r>
      <w:r>
        <w:rPr>
          <w:color w:val="252326"/>
          <w:spacing w:val="-5"/>
        </w:rPr>
        <w:t xml:space="preserve"> </w:t>
      </w:r>
      <w:r>
        <w:rPr>
          <w:color w:val="252326"/>
        </w:rPr>
        <w:t xml:space="preserve">this prospectus. Investors should make their own assessment as to the suitability of investing in the securities. This Document has been drawn up as a simplified prospectus in accordance with Article 14 of the </w:t>
      </w:r>
      <w:r w:rsidR="0086789C">
        <w:rPr>
          <w:color w:val="252326"/>
        </w:rPr>
        <w:t>UK</w:t>
      </w:r>
      <w:r w:rsidR="000F0D89">
        <w:rPr>
          <w:color w:val="252326"/>
        </w:rPr>
        <w:t xml:space="preserve"> </w:t>
      </w:r>
      <w:r>
        <w:rPr>
          <w:color w:val="252326"/>
        </w:rPr>
        <w:t>Prospectus Regulation.</w:t>
      </w:r>
    </w:p>
    <w:p w14:paraId="1D77F747" w14:textId="77777777" w:rsidR="00783288" w:rsidRDefault="00783288">
      <w:pPr>
        <w:pStyle w:val="BodyText"/>
        <w:kinsoku w:val="0"/>
        <w:overflowPunct w:val="0"/>
        <w:spacing w:before="1"/>
      </w:pPr>
    </w:p>
    <w:p w14:paraId="1E562D3F" w14:textId="7414901B" w:rsidR="00783288" w:rsidRDefault="00E31420">
      <w:pPr>
        <w:pStyle w:val="BodyText"/>
        <w:kinsoku w:val="0"/>
        <w:overflowPunct w:val="0"/>
        <w:spacing w:before="1"/>
        <w:ind w:left="300" w:right="1191"/>
        <w:jc w:val="both"/>
        <w:rPr>
          <w:color w:val="252326"/>
        </w:rPr>
      </w:pPr>
      <w:r>
        <w:rPr>
          <w:color w:val="252326"/>
        </w:rPr>
        <w:t xml:space="preserve">This Document together with the documents incorporated into it by reference (as set out in Part IV) will be made available to the public in accordance with </w:t>
      </w:r>
      <w:r w:rsidR="0056373D">
        <w:rPr>
          <w:color w:val="252326"/>
        </w:rPr>
        <w:t>UK</w:t>
      </w:r>
      <w:r w:rsidR="000F0D89">
        <w:rPr>
          <w:color w:val="252326"/>
        </w:rPr>
        <w:t xml:space="preserve"> </w:t>
      </w:r>
      <w:r>
        <w:rPr>
          <w:color w:val="252326"/>
        </w:rPr>
        <w:t>Prospectus Regulation Rule 3.2 by the same being made available free of charge at https</w:t>
      </w:r>
      <w:hyperlink r:id="rId8" w:history="1">
        <w:r>
          <w:rPr>
            <w:color w:val="252326"/>
          </w:rPr>
          <w:t>://w</w:t>
        </w:r>
      </w:hyperlink>
      <w:r>
        <w:rPr>
          <w:color w:val="252326"/>
        </w:rPr>
        <w:t>ww</w:t>
      </w:r>
      <w:hyperlink r:id="rId9" w:history="1">
        <w:r>
          <w:rPr>
            <w:color w:val="252326"/>
          </w:rPr>
          <w:t>.c</w:t>
        </w:r>
      </w:hyperlink>
      <w:r>
        <w:rPr>
          <w:color w:val="252326"/>
        </w:rPr>
        <w:t>h</w:t>
      </w:r>
      <w:hyperlink r:id="rId10" w:history="1">
        <w:r>
          <w:rPr>
            <w:color w:val="252326"/>
          </w:rPr>
          <w:t xml:space="preserve">esterfieldresourcesplc.com/ </w:t>
        </w:r>
      </w:hyperlink>
      <w:r>
        <w:rPr>
          <w:color w:val="252326"/>
        </w:rPr>
        <w:t>and at the Company’s registered office at 7-9 Swallow Street, London, England, W1B 4DE.</w:t>
      </w:r>
    </w:p>
    <w:p w14:paraId="6B12842E" w14:textId="77777777" w:rsidR="00783288" w:rsidRDefault="00783288">
      <w:pPr>
        <w:pStyle w:val="BodyText"/>
        <w:kinsoku w:val="0"/>
        <w:overflowPunct w:val="0"/>
        <w:spacing w:before="10"/>
        <w:rPr>
          <w:sz w:val="17"/>
          <w:szCs w:val="17"/>
        </w:rPr>
      </w:pPr>
    </w:p>
    <w:p w14:paraId="4065BEB0" w14:textId="77777777" w:rsidR="00783288" w:rsidRDefault="00E31420">
      <w:pPr>
        <w:pStyle w:val="BodyText"/>
        <w:kinsoku w:val="0"/>
        <w:overflowPunct w:val="0"/>
        <w:ind w:left="300" w:right="1189"/>
        <w:jc w:val="both"/>
        <w:rPr>
          <w:color w:val="231F20"/>
        </w:rPr>
      </w:pPr>
      <w:r>
        <w:rPr>
          <w:color w:val="252326"/>
        </w:rPr>
        <w:t xml:space="preserve">To </w:t>
      </w:r>
      <w:r>
        <w:rPr>
          <w:color w:val="231F20"/>
        </w:rPr>
        <w:t>the b</w:t>
      </w:r>
      <w:r>
        <w:rPr>
          <w:color w:val="252326"/>
        </w:rPr>
        <w:t>es</w:t>
      </w:r>
      <w:r>
        <w:rPr>
          <w:color w:val="231F20"/>
        </w:rPr>
        <w:t xml:space="preserve">t </w:t>
      </w:r>
      <w:r>
        <w:rPr>
          <w:color w:val="252326"/>
        </w:rPr>
        <w:t>o</w:t>
      </w:r>
      <w:r>
        <w:rPr>
          <w:color w:val="231F20"/>
        </w:rPr>
        <w:t xml:space="preserve">f </w:t>
      </w:r>
      <w:r>
        <w:rPr>
          <w:color w:val="252326"/>
        </w:rPr>
        <w:t>t</w:t>
      </w:r>
      <w:r>
        <w:rPr>
          <w:color w:val="231F20"/>
        </w:rPr>
        <w:t>h</w:t>
      </w:r>
      <w:r>
        <w:rPr>
          <w:color w:val="252326"/>
        </w:rPr>
        <w:t xml:space="preserve">e </w:t>
      </w:r>
      <w:r>
        <w:rPr>
          <w:color w:val="231F20"/>
        </w:rPr>
        <w:t>kn</w:t>
      </w:r>
      <w:r>
        <w:rPr>
          <w:color w:val="252326"/>
        </w:rPr>
        <w:t>ow</w:t>
      </w:r>
      <w:r>
        <w:rPr>
          <w:color w:val="231F20"/>
        </w:rPr>
        <w:t>l</w:t>
      </w:r>
      <w:r>
        <w:rPr>
          <w:color w:val="252326"/>
        </w:rPr>
        <w:t xml:space="preserve">edge </w:t>
      </w:r>
      <w:r>
        <w:rPr>
          <w:color w:val="231F20"/>
        </w:rPr>
        <w:t xml:space="preserve">of the </w:t>
      </w:r>
      <w:r>
        <w:rPr>
          <w:color w:val="252326"/>
        </w:rPr>
        <w:t>C</w:t>
      </w:r>
      <w:r>
        <w:rPr>
          <w:color w:val="231F20"/>
        </w:rPr>
        <w:t>ompany and the Direct</w:t>
      </w:r>
      <w:r>
        <w:rPr>
          <w:color w:val="252326"/>
        </w:rPr>
        <w:t>o</w:t>
      </w:r>
      <w:r>
        <w:rPr>
          <w:color w:val="231F20"/>
        </w:rPr>
        <w:t>r</w:t>
      </w:r>
      <w:r>
        <w:rPr>
          <w:color w:val="252326"/>
        </w:rPr>
        <w:t xml:space="preserve">s, </w:t>
      </w:r>
      <w:r>
        <w:rPr>
          <w:color w:val="231F20"/>
        </w:rPr>
        <w:t>the information contained in this D</w:t>
      </w:r>
      <w:r>
        <w:rPr>
          <w:color w:val="252326"/>
        </w:rPr>
        <w:t>oc</w:t>
      </w:r>
      <w:r>
        <w:rPr>
          <w:color w:val="231F20"/>
        </w:rPr>
        <w:t>um</w:t>
      </w:r>
      <w:r>
        <w:rPr>
          <w:color w:val="252326"/>
        </w:rPr>
        <w:t>e</w:t>
      </w:r>
      <w:r>
        <w:rPr>
          <w:color w:val="231F20"/>
        </w:rPr>
        <w:t>nt i</w:t>
      </w:r>
      <w:r>
        <w:rPr>
          <w:color w:val="252326"/>
        </w:rPr>
        <w:t xml:space="preserve">s </w:t>
      </w:r>
      <w:r>
        <w:rPr>
          <w:color w:val="231F20"/>
        </w:rPr>
        <w:t xml:space="preserve">in </w:t>
      </w:r>
      <w:r>
        <w:rPr>
          <w:color w:val="252326"/>
        </w:rPr>
        <w:t>acc</w:t>
      </w:r>
      <w:r>
        <w:rPr>
          <w:color w:val="231F20"/>
        </w:rPr>
        <w:t>ord</w:t>
      </w:r>
      <w:r>
        <w:rPr>
          <w:color w:val="252326"/>
        </w:rPr>
        <w:t>a</w:t>
      </w:r>
      <w:r>
        <w:rPr>
          <w:color w:val="231F20"/>
        </w:rPr>
        <w:t>nc</w:t>
      </w:r>
      <w:r>
        <w:rPr>
          <w:color w:val="252326"/>
        </w:rPr>
        <w:t>e</w:t>
      </w:r>
      <w:r>
        <w:rPr>
          <w:color w:val="252326"/>
          <w:spacing w:val="-4"/>
        </w:rPr>
        <w:t xml:space="preserve"> </w:t>
      </w:r>
      <w:r>
        <w:rPr>
          <w:color w:val="252326"/>
        </w:rPr>
        <w:t>w</w:t>
      </w:r>
      <w:r>
        <w:rPr>
          <w:color w:val="231F20"/>
        </w:rPr>
        <w:t>ith</w:t>
      </w:r>
      <w:r>
        <w:rPr>
          <w:color w:val="231F20"/>
          <w:spacing w:val="-4"/>
        </w:rPr>
        <w:t xml:space="preserve"> </w:t>
      </w:r>
      <w:r>
        <w:rPr>
          <w:color w:val="231F20"/>
        </w:rPr>
        <w:t>the</w:t>
      </w:r>
      <w:r>
        <w:rPr>
          <w:color w:val="231F20"/>
          <w:spacing w:val="-4"/>
        </w:rPr>
        <w:t xml:space="preserve"> </w:t>
      </w:r>
      <w:r>
        <w:rPr>
          <w:color w:val="231F20"/>
        </w:rPr>
        <w:t>fact</w:t>
      </w:r>
      <w:r>
        <w:rPr>
          <w:color w:val="252326"/>
        </w:rPr>
        <w:t>s</w:t>
      </w:r>
      <w:r>
        <w:rPr>
          <w:color w:val="252326"/>
          <w:spacing w:val="-3"/>
        </w:rPr>
        <w:t xml:space="preserve"> </w:t>
      </w:r>
      <w:r>
        <w:rPr>
          <w:color w:val="231F20"/>
        </w:rPr>
        <w:t>and</w:t>
      </w:r>
      <w:r>
        <w:rPr>
          <w:color w:val="231F20"/>
          <w:spacing w:val="-6"/>
        </w:rPr>
        <w:t xml:space="preserve"> </w:t>
      </w:r>
      <w:r>
        <w:rPr>
          <w:color w:val="231F20"/>
        </w:rPr>
        <w:t>this</w:t>
      </w:r>
      <w:r>
        <w:rPr>
          <w:color w:val="231F20"/>
          <w:spacing w:val="-3"/>
        </w:rPr>
        <w:t xml:space="preserve"> </w:t>
      </w:r>
      <w:r>
        <w:rPr>
          <w:color w:val="231F20"/>
        </w:rPr>
        <w:t>Document</w:t>
      </w:r>
      <w:r>
        <w:rPr>
          <w:color w:val="231F20"/>
          <w:spacing w:val="-4"/>
        </w:rPr>
        <w:t xml:space="preserve"> </w:t>
      </w:r>
      <w:r>
        <w:rPr>
          <w:color w:val="231F20"/>
        </w:rPr>
        <w:t>do</w:t>
      </w:r>
      <w:r>
        <w:rPr>
          <w:color w:val="252326"/>
        </w:rPr>
        <w:t>es</w:t>
      </w:r>
      <w:r>
        <w:rPr>
          <w:color w:val="252326"/>
          <w:spacing w:val="-3"/>
        </w:rPr>
        <w:t xml:space="preserve"> </w:t>
      </w:r>
      <w:r>
        <w:rPr>
          <w:color w:val="252326"/>
        </w:rPr>
        <w:t>no</w:t>
      </w:r>
      <w:r>
        <w:rPr>
          <w:color w:val="231F20"/>
        </w:rPr>
        <w:t>t</w:t>
      </w:r>
      <w:r>
        <w:rPr>
          <w:color w:val="231F20"/>
          <w:spacing w:val="-4"/>
        </w:rPr>
        <w:t xml:space="preserve"> </w:t>
      </w:r>
      <w:r>
        <w:rPr>
          <w:color w:val="252326"/>
        </w:rPr>
        <w:t>o</w:t>
      </w:r>
      <w:r>
        <w:rPr>
          <w:color w:val="231F20"/>
        </w:rPr>
        <w:t>mi</w:t>
      </w:r>
      <w:r>
        <w:rPr>
          <w:color w:val="252326"/>
        </w:rPr>
        <w:t>t</w:t>
      </w:r>
      <w:r>
        <w:rPr>
          <w:color w:val="252326"/>
          <w:spacing w:val="-4"/>
        </w:rPr>
        <w:t xml:space="preserve"> </w:t>
      </w:r>
      <w:r>
        <w:rPr>
          <w:color w:val="231F20"/>
        </w:rPr>
        <w:t>anythin</w:t>
      </w:r>
      <w:r>
        <w:rPr>
          <w:color w:val="252326"/>
        </w:rPr>
        <w:t>g</w:t>
      </w:r>
      <w:r>
        <w:rPr>
          <w:color w:val="252326"/>
          <w:spacing w:val="-4"/>
        </w:rPr>
        <w:t xml:space="preserve"> </w:t>
      </w:r>
      <w:r>
        <w:rPr>
          <w:color w:val="231F20"/>
        </w:rPr>
        <w:t>l</w:t>
      </w:r>
      <w:r>
        <w:rPr>
          <w:color w:val="252326"/>
        </w:rPr>
        <w:t>i</w:t>
      </w:r>
      <w:r>
        <w:rPr>
          <w:color w:val="231F20"/>
        </w:rPr>
        <w:t>k</w:t>
      </w:r>
      <w:r>
        <w:rPr>
          <w:color w:val="252326"/>
        </w:rPr>
        <w:t>e</w:t>
      </w:r>
      <w:r>
        <w:rPr>
          <w:color w:val="231F20"/>
        </w:rPr>
        <w:t>ly</w:t>
      </w:r>
      <w:r>
        <w:rPr>
          <w:color w:val="231F20"/>
          <w:spacing w:val="-6"/>
        </w:rPr>
        <w:t xml:space="preserve"> </w:t>
      </w:r>
      <w:r>
        <w:rPr>
          <w:color w:val="231F20"/>
        </w:rPr>
        <w:t>to</w:t>
      </w:r>
      <w:r>
        <w:rPr>
          <w:color w:val="231F20"/>
          <w:spacing w:val="-4"/>
        </w:rPr>
        <w:t xml:space="preserve"> </w:t>
      </w:r>
      <w:r>
        <w:rPr>
          <w:color w:val="252326"/>
        </w:rPr>
        <w:t>a</w:t>
      </w:r>
      <w:r>
        <w:rPr>
          <w:color w:val="231F20"/>
        </w:rPr>
        <w:t>ff</w:t>
      </w:r>
      <w:r>
        <w:rPr>
          <w:color w:val="252326"/>
        </w:rPr>
        <w:t>ect</w:t>
      </w:r>
      <w:r>
        <w:rPr>
          <w:color w:val="252326"/>
          <w:spacing w:val="-4"/>
        </w:rPr>
        <w:t xml:space="preserve"> </w:t>
      </w:r>
      <w:r>
        <w:rPr>
          <w:color w:val="252326"/>
        </w:rPr>
        <w:t>t</w:t>
      </w:r>
      <w:r>
        <w:rPr>
          <w:color w:val="231F20"/>
        </w:rPr>
        <w:t>h</w:t>
      </w:r>
      <w:r>
        <w:rPr>
          <w:color w:val="252326"/>
        </w:rPr>
        <w:t>e</w:t>
      </w:r>
      <w:r>
        <w:rPr>
          <w:color w:val="252326"/>
          <w:spacing w:val="-4"/>
        </w:rPr>
        <w:t xml:space="preserve"> </w:t>
      </w:r>
      <w:r>
        <w:rPr>
          <w:color w:val="231F20"/>
        </w:rPr>
        <w:t>imp</w:t>
      </w:r>
      <w:r>
        <w:rPr>
          <w:color w:val="252326"/>
        </w:rPr>
        <w:t>o</w:t>
      </w:r>
      <w:r>
        <w:rPr>
          <w:color w:val="231F20"/>
        </w:rPr>
        <w:t>rt</w:t>
      </w:r>
      <w:r>
        <w:rPr>
          <w:color w:val="231F20"/>
          <w:spacing w:val="-4"/>
        </w:rPr>
        <w:t xml:space="preserve"> </w:t>
      </w:r>
      <w:r>
        <w:rPr>
          <w:color w:val="231F20"/>
        </w:rPr>
        <w:t>of</w:t>
      </w:r>
      <w:r>
        <w:rPr>
          <w:color w:val="231F20"/>
          <w:spacing w:val="-4"/>
        </w:rPr>
        <w:t xml:space="preserve"> </w:t>
      </w:r>
      <w:r>
        <w:rPr>
          <w:color w:val="231F20"/>
        </w:rPr>
        <w:t>such</w:t>
      </w:r>
      <w:r>
        <w:rPr>
          <w:color w:val="231F20"/>
          <w:spacing w:val="-4"/>
        </w:rPr>
        <w:t xml:space="preserve"> </w:t>
      </w:r>
      <w:r>
        <w:rPr>
          <w:color w:val="231F20"/>
        </w:rPr>
        <w:t>informati</w:t>
      </w:r>
      <w:r>
        <w:rPr>
          <w:color w:val="252326"/>
        </w:rPr>
        <w:t>o</w:t>
      </w:r>
      <w:r>
        <w:rPr>
          <w:color w:val="231F20"/>
        </w:rPr>
        <w:t>n.</w:t>
      </w:r>
    </w:p>
    <w:p w14:paraId="1A514805" w14:textId="77777777" w:rsidR="00783288" w:rsidRDefault="00783288">
      <w:pPr>
        <w:pStyle w:val="BodyText"/>
        <w:kinsoku w:val="0"/>
        <w:overflowPunct w:val="0"/>
        <w:spacing w:before="8"/>
        <w:rPr>
          <w:sz w:val="17"/>
          <w:szCs w:val="17"/>
        </w:rPr>
      </w:pPr>
    </w:p>
    <w:p w14:paraId="3B44B8BD" w14:textId="77777777" w:rsidR="00783288" w:rsidRDefault="00E31420">
      <w:pPr>
        <w:pStyle w:val="Heading1"/>
        <w:kinsoku w:val="0"/>
        <w:overflowPunct w:val="0"/>
        <w:ind w:right="1189"/>
        <w:jc w:val="both"/>
        <w:rPr>
          <w:color w:val="252326"/>
        </w:rPr>
      </w:pPr>
      <w:r>
        <w:rPr>
          <w:color w:val="231F20"/>
        </w:rPr>
        <w:t>THE WHOLE OF THE TEXT OF TH</w:t>
      </w:r>
      <w:r>
        <w:rPr>
          <w:color w:val="252326"/>
        </w:rPr>
        <w:t>I</w:t>
      </w:r>
      <w:r>
        <w:rPr>
          <w:color w:val="231F20"/>
        </w:rPr>
        <w:t>S DOCUMENT, INCLUDING ALL THE INFORMATION INCORPORATED BY REFERENCE SHOULD BE READ BY PROSPECTIVE INVESTORS. IN PARTICULAR YOUR ATTENTION IS SPECIFICALLY DRAWN TO THE DISCUSSION OF CERTAIN RISKS AND OTHER FACTORS THA</w:t>
      </w:r>
      <w:r>
        <w:rPr>
          <w:color w:val="252326"/>
        </w:rPr>
        <w:t xml:space="preserve">T </w:t>
      </w:r>
      <w:r>
        <w:rPr>
          <w:color w:val="231F20"/>
        </w:rPr>
        <w:t>SHOULD BE CONSIDERED IN CONNECTION WITH AN INVESTMENT IN THE ORDINARY SHARES OF THE COMPANY, AS SET OUT IN THE SECTION ENTITLED “RISK FAC</w:t>
      </w:r>
      <w:r>
        <w:rPr>
          <w:color w:val="252326"/>
        </w:rPr>
        <w:t>T</w:t>
      </w:r>
      <w:r>
        <w:rPr>
          <w:color w:val="231F20"/>
        </w:rPr>
        <w:t>ORS” ON PAGES 11 to 18 OF THIS DOCUMENT, WHICH YOU SHOULD READ IN FULL</w:t>
      </w:r>
      <w:r>
        <w:rPr>
          <w:color w:val="252326"/>
        </w:rPr>
        <w:t>.</w:t>
      </w:r>
    </w:p>
    <w:p w14:paraId="56700B18" w14:textId="77777777" w:rsidR="00783288" w:rsidRDefault="00783288">
      <w:pPr>
        <w:pStyle w:val="BodyText"/>
        <w:kinsoku w:val="0"/>
        <w:overflowPunct w:val="0"/>
        <w:rPr>
          <w:b/>
          <w:bCs/>
          <w:sz w:val="20"/>
          <w:szCs w:val="20"/>
        </w:rPr>
      </w:pPr>
    </w:p>
    <w:p w14:paraId="236668CB" w14:textId="77777777" w:rsidR="00783288" w:rsidRDefault="00E31420">
      <w:pPr>
        <w:pStyle w:val="BodyText"/>
        <w:kinsoku w:val="0"/>
        <w:overflowPunct w:val="0"/>
        <w:spacing w:before="1"/>
        <w:rPr>
          <w:b/>
          <w:bCs/>
          <w:sz w:val="13"/>
          <w:szCs w:val="13"/>
        </w:rPr>
      </w:pPr>
      <w:r>
        <w:rPr>
          <w:noProof/>
        </w:rPr>
        <mc:AlternateContent>
          <mc:Choice Requires="wps">
            <w:drawing>
              <wp:anchor distT="0" distB="0" distL="0" distR="0" simplePos="0" relativeHeight="251650048" behindDoc="0" locked="0" layoutInCell="0" allowOverlap="1" wp14:anchorId="6DFC925A" wp14:editId="4C339310">
                <wp:simplePos x="0" y="0"/>
                <wp:positionH relativeFrom="page">
                  <wp:posOffset>914400</wp:posOffset>
                </wp:positionH>
                <wp:positionV relativeFrom="paragraph">
                  <wp:posOffset>120650</wp:posOffset>
                </wp:positionV>
                <wp:extent cx="5727700" cy="1155700"/>
                <wp:effectExtent l="0" t="0" r="0" b="0"/>
                <wp:wrapTopAndBottom/>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F580" w14:textId="77777777" w:rsidR="00170424" w:rsidRDefault="00170424">
                            <w:pPr>
                              <w:widowControl/>
                              <w:autoSpaceDE/>
                              <w:autoSpaceDN/>
                              <w:adjustRightInd/>
                              <w:spacing w:line="1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AE9AC" wp14:editId="0AF3313F">
                                  <wp:extent cx="5727700" cy="114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149350"/>
                                          </a:xfrm>
                                          <a:prstGeom prst="rect">
                                            <a:avLst/>
                                          </a:prstGeom>
                                          <a:noFill/>
                                          <a:ln>
                                            <a:noFill/>
                                          </a:ln>
                                        </pic:spPr>
                                      </pic:pic>
                                    </a:graphicData>
                                  </a:graphic>
                                </wp:inline>
                              </w:drawing>
                            </w:r>
                          </w:p>
                          <w:p w14:paraId="7E1CD32A" w14:textId="77777777" w:rsidR="00170424" w:rsidRDefault="0017042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925A" id="Rectangle 2" o:spid="_x0000_s1026" style="position:absolute;margin-left:1in;margin-top:9.5pt;width:451pt;height:9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" o:allowincell="f" filled="f" stroked="f">
                <v:textbox inset="0,0,0,0">
                  <w:txbxContent>
                    <w:p w14:paraId="06FEF580" w14:textId="77777777" w:rsidR="00170424" w:rsidRDefault="00170424">
                      <w:pPr>
                        <w:widowControl/>
                        <w:autoSpaceDE/>
                        <w:autoSpaceDN/>
                        <w:adjustRightInd/>
                        <w:spacing w:line="1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AE9AC" wp14:editId="0AF3313F">
                            <wp:extent cx="5727700" cy="114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149350"/>
                                    </a:xfrm>
                                    <a:prstGeom prst="rect">
                                      <a:avLst/>
                                    </a:prstGeom>
                                    <a:noFill/>
                                    <a:ln>
                                      <a:noFill/>
                                    </a:ln>
                                  </pic:spPr>
                                </pic:pic>
                              </a:graphicData>
                            </a:graphic>
                          </wp:inline>
                        </w:drawing>
                      </w:r>
                    </w:p>
                    <w:p w14:paraId="7E1CD32A" w14:textId="77777777" w:rsidR="00170424" w:rsidRDefault="00170424">
                      <w:pPr>
                        <w:rPr>
                          <w:rFonts w:ascii="Times New Roman" w:hAnsi="Times New Roman" w:cs="Times New Roman"/>
                          <w:sz w:val="24"/>
                          <w:szCs w:val="24"/>
                        </w:rPr>
                      </w:pPr>
                    </w:p>
                  </w:txbxContent>
                </v:textbox>
                <w10:wrap type="topAndBottom" anchorx="page"/>
              </v:rect>
            </w:pict>
          </mc:Fallback>
        </mc:AlternateContent>
      </w:r>
    </w:p>
    <w:p w14:paraId="2ACEFBC1" w14:textId="77777777" w:rsidR="00783288" w:rsidRDefault="00783288">
      <w:pPr>
        <w:pStyle w:val="BodyText"/>
        <w:kinsoku w:val="0"/>
        <w:overflowPunct w:val="0"/>
        <w:rPr>
          <w:b/>
          <w:bCs/>
          <w:sz w:val="20"/>
          <w:szCs w:val="20"/>
        </w:rPr>
      </w:pPr>
    </w:p>
    <w:p w14:paraId="619CE3F1" w14:textId="77777777" w:rsidR="00783288" w:rsidRDefault="00E31420">
      <w:pPr>
        <w:pStyle w:val="BodyText"/>
        <w:kinsoku w:val="0"/>
        <w:overflowPunct w:val="0"/>
        <w:spacing w:before="148"/>
        <w:ind w:left="379" w:right="1273"/>
        <w:jc w:val="center"/>
        <w:rPr>
          <w:b/>
          <w:bCs/>
          <w:color w:val="252326"/>
        </w:rPr>
      </w:pPr>
      <w:r>
        <w:rPr>
          <w:b/>
          <w:bCs/>
          <w:color w:val="252326"/>
        </w:rPr>
        <w:t>CHESTERFIELD RESOURCES PLC</w:t>
      </w:r>
    </w:p>
    <w:p w14:paraId="5AE183AB" w14:textId="77777777" w:rsidR="00783288" w:rsidRDefault="00E31420">
      <w:pPr>
        <w:pStyle w:val="BodyText"/>
        <w:kinsoku w:val="0"/>
        <w:overflowPunct w:val="0"/>
        <w:spacing w:before="4"/>
        <w:ind w:left="379" w:right="1272"/>
        <w:jc w:val="center"/>
        <w:rPr>
          <w:color w:val="0D0E0E"/>
        </w:rPr>
      </w:pPr>
      <w:r>
        <w:rPr>
          <w:i/>
          <w:iCs/>
          <w:color w:val="0D0E0E"/>
        </w:rPr>
        <w:t>(Incorpora</w:t>
      </w:r>
      <w:r>
        <w:rPr>
          <w:i/>
          <w:iCs/>
          <w:color w:val="252326"/>
        </w:rPr>
        <w:t>te</w:t>
      </w:r>
      <w:r>
        <w:rPr>
          <w:i/>
          <w:iCs/>
          <w:color w:val="0D0E0E"/>
        </w:rPr>
        <w:t xml:space="preserve">d </w:t>
      </w:r>
      <w:r>
        <w:rPr>
          <w:i/>
          <w:iCs/>
          <w:color w:val="252326"/>
        </w:rPr>
        <w:t>and regis</w:t>
      </w:r>
      <w:r>
        <w:rPr>
          <w:i/>
          <w:iCs/>
          <w:color w:val="0D0E0E"/>
        </w:rPr>
        <w:t>t</w:t>
      </w:r>
      <w:r>
        <w:rPr>
          <w:i/>
          <w:iCs/>
          <w:color w:val="252326"/>
        </w:rPr>
        <w:t>er</w:t>
      </w:r>
      <w:r>
        <w:rPr>
          <w:i/>
          <w:iCs/>
          <w:color w:val="0D0E0E"/>
        </w:rPr>
        <w:t xml:space="preserve">ed </w:t>
      </w:r>
      <w:r>
        <w:rPr>
          <w:i/>
          <w:iCs/>
          <w:color w:val="252326"/>
        </w:rPr>
        <w:t>i</w:t>
      </w:r>
      <w:r>
        <w:rPr>
          <w:i/>
          <w:iCs/>
          <w:color w:val="0D0E0E"/>
        </w:rPr>
        <w:t xml:space="preserve">n </w:t>
      </w:r>
      <w:r>
        <w:rPr>
          <w:i/>
          <w:iCs/>
          <w:color w:val="252326"/>
        </w:rPr>
        <w:t>E</w:t>
      </w:r>
      <w:r>
        <w:rPr>
          <w:i/>
          <w:iCs/>
          <w:color w:val="0D0E0E"/>
        </w:rPr>
        <w:t>n</w:t>
      </w:r>
      <w:r>
        <w:rPr>
          <w:i/>
          <w:iCs/>
          <w:color w:val="252326"/>
        </w:rPr>
        <w:t>g</w:t>
      </w:r>
      <w:r>
        <w:rPr>
          <w:i/>
          <w:iCs/>
          <w:color w:val="0D0E0E"/>
        </w:rPr>
        <w:t>l</w:t>
      </w:r>
      <w:r>
        <w:rPr>
          <w:i/>
          <w:iCs/>
          <w:color w:val="252326"/>
        </w:rPr>
        <w:t>a</w:t>
      </w:r>
      <w:r>
        <w:rPr>
          <w:i/>
          <w:iCs/>
          <w:color w:val="0D0E0E"/>
        </w:rPr>
        <w:t>nd a</w:t>
      </w:r>
      <w:r>
        <w:rPr>
          <w:i/>
          <w:iCs/>
          <w:color w:val="252326"/>
        </w:rPr>
        <w:t>n</w:t>
      </w:r>
      <w:r>
        <w:rPr>
          <w:i/>
          <w:iCs/>
          <w:color w:val="0D0E0E"/>
        </w:rPr>
        <w:t xml:space="preserve">d </w:t>
      </w:r>
      <w:r>
        <w:rPr>
          <w:i/>
          <w:iCs/>
          <w:color w:val="252326"/>
        </w:rPr>
        <w:t>W</w:t>
      </w:r>
      <w:r>
        <w:rPr>
          <w:i/>
          <w:iCs/>
          <w:color w:val="0D0E0E"/>
        </w:rPr>
        <w:t>al</w:t>
      </w:r>
      <w:r>
        <w:rPr>
          <w:i/>
          <w:iCs/>
          <w:color w:val="252326"/>
        </w:rPr>
        <w:t>es w</w:t>
      </w:r>
      <w:r>
        <w:rPr>
          <w:i/>
          <w:iCs/>
          <w:color w:val="0D0E0E"/>
        </w:rPr>
        <w:t>i</w:t>
      </w:r>
      <w:r>
        <w:rPr>
          <w:i/>
          <w:iCs/>
          <w:color w:val="252326"/>
        </w:rPr>
        <w:t xml:space="preserve">th </w:t>
      </w:r>
      <w:r>
        <w:rPr>
          <w:i/>
          <w:iCs/>
          <w:color w:val="0D0E0E"/>
        </w:rPr>
        <w:t>num</w:t>
      </w:r>
      <w:r>
        <w:rPr>
          <w:i/>
          <w:iCs/>
          <w:color w:val="252326"/>
        </w:rPr>
        <w:t>ber 10545738</w:t>
      </w:r>
      <w:r>
        <w:rPr>
          <w:color w:val="0D0E0E"/>
        </w:rPr>
        <w:t>)</w:t>
      </w:r>
    </w:p>
    <w:p w14:paraId="18851F46" w14:textId="77777777" w:rsidR="00783288" w:rsidRDefault="00783288">
      <w:pPr>
        <w:pStyle w:val="BodyText"/>
        <w:kinsoku w:val="0"/>
        <w:overflowPunct w:val="0"/>
        <w:rPr>
          <w:sz w:val="20"/>
          <w:szCs w:val="20"/>
        </w:rPr>
      </w:pPr>
    </w:p>
    <w:p w14:paraId="460D8656" w14:textId="77777777" w:rsidR="00783288" w:rsidRDefault="00783288">
      <w:pPr>
        <w:pStyle w:val="BodyText"/>
        <w:kinsoku w:val="0"/>
        <w:overflowPunct w:val="0"/>
        <w:spacing w:before="7"/>
        <w:rPr>
          <w:sz w:val="15"/>
          <w:szCs w:val="15"/>
        </w:rPr>
      </w:pPr>
    </w:p>
    <w:p w14:paraId="0FE77D24" w14:textId="3BC9CBA1" w:rsidR="00783288" w:rsidRDefault="00E31420">
      <w:pPr>
        <w:pStyle w:val="Heading1"/>
        <w:kinsoku w:val="0"/>
        <w:overflowPunct w:val="0"/>
        <w:ind w:left="379" w:right="1273"/>
        <w:jc w:val="center"/>
        <w:rPr>
          <w:color w:val="0D0E0E"/>
        </w:rPr>
      </w:pPr>
      <w:r>
        <w:rPr>
          <w:color w:val="0D0E0E"/>
        </w:rPr>
        <w:t xml:space="preserve">Issue of </w:t>
      </w:r>
      <w:r w:rsidR="00222CF2">
        <w:t>8,000,000</w:t>
      </w:r>
      <w:r>
        <w:rPr>
          <w:color w:val="0D0E0E"/>
        </w:rPr>
        <w:t xml:space="preserve"> new Ordinary Shares </w:t>
      </w:r>
      <w:r w:rsidR="00B16DD5">
        <w:rPr>
          <w:color w:val="0D0E0E"/>
        </w:rPr>
        <w:t xml:space="preserve">pursuant to a Placing </w:t>
      </w:r>
      <w:r>
        <w:rPr>
          <w:color w:val="0D0E0E"/>
        </w:rPr>
        <w:t xml:space="preserve">at the </w:t>
      </w:r>
      <w:r w:rsidR="00000F67">
        <w:rPr>
          <w:color w:val="0D0E0E"/>
        </w:rPr>
        <w:t xml:space="preserve">Placing </w:t>
      </w:r>
      <w:r>
        <w:rPr>
          <w:color w:val="0D0E0E"/>
        </w:rPr>
        <w:t xml:space="preserve">Price </w:t>
      </w:r>
      <w:r w:rsidR="004C3A1F">
        <w:rPr>
          <w:color w:val="0D0E0E"/>
        </w:rPr>
        <w:t>and</w:t>
      </w:r>
      <w:r w:rsidR="00DA5BDD">
        <w:rPr>
          <w:color w:val="0D0E0E"/>
        </w:rPr>
        <w:t xml:space="preserve"> issue of </w:t>
      </w:r>
      <w:r w:rsidR="009C5A66" w:rsidRPr="009C5A66">
        <w:rPr>
          <w:color w:val="0D0E0E"/>
        </w:rPr>
        <w:t xml:space="preserve">10,089,199 </w:t>
      </w:r>
      <w:r w:rsidR="00DA5BDD">
        <w:rPr>
          <w:color w:val="0D0E0E"/>
        </w:rPr>
        <w:t>new Ordinary Shares</w:t>
      </w:r>
      <w:r w:rsidR="004C3A1F">
        <w:rPr>
          <w:color w:val="0D0E0E"/>
        </w:rPr>
        <w:t xml:space="preserve"> </w:t>
      </w:r>
      <w:r w:rsidR="00B16DD5">
        <w:rPr>
          <w:color w:val="0D0E0E"/>
        </w:rPr>
        <w:t xml:space="preserve">pursuant to </w:t>
      </w:r>
      <w:r w:rsidR="004C3A1F">
        <w:rPr>
          <w:color w:val="0D0E0E"/>
        </w:rPr>
        <w:t>the Labrador Acquisition</w:t>
      </w:r>
      <w:r w:rsidR="005B70E6">
        <w:rPr>
          <w:color w:val="0D0E0E"/>
        </w:rPr>
        <w:t xml:space="preserve"> </w:t>
      </w:r>
    </w:p>
    <w:p w14:paraId="3EB89722" w14:textId="77777777" w:rsidR="00783288" w:rsidRDefault="00783288">
      <w:pPr>
        <w:pStyle w:val="BodyText"/>
        <w:kinsoku w:val="0"/>
        <w:overflowPunct w:val="0"/>
        <w:rPr>
          <w:b/>
          <w:bCs/>
          <w:sz w:val="20"/>
          <w:szCs w:val="20"/>
        </w:rPr>
      </w:pPr>
    </w:p>
    <w:p w14:paraId="4A8AD103" w14:textId="77777777" w:rsidR="00783288" w:rsidRDefault="00783288">
      <w:pPr>
        <w:pStyle w:val="BodyText"/>
        <w:kinsoku w:val="0"/>
        <w:overflowPunct w:val="0"/>
        <w:spacing w:before="5"/>
        <w:rPr>
          <w:b/>
          <w:bCs/>
          <w:sz w:val="16"/>
          <w:szCs w:val="16"/>
        </w:rPr>
      </w:pPr>
    </w:p>
    <w:p w14:paraId="4A813BE0" w14:textId="18E07B85" w:rsidR="00783288" w:rsidRDefault="00E31420">
      <w:pPr>
        <w:pStyle w:val="BodyText"/>
        <w:kinsoku w:val="0"/>
        <w:overflowPunct w:val="0"/>
        <w:ind w:left="300" w:right="1190"/>
        <w:jc w:val="both"/>
        <w:rPr>
          <w:color w:val="252326"/>
        </w:rPr>
      </w:pPr>
      <w:r>
        <w:rPr>
          <w:color w:val="252326"/>
        </w:rPr>
        <w:t>The Existing Ordinary Shares are listed on the Official List (by way of a Standard Listing) maintained by the FCA and</w:t>
      </w:r>
      <w:r>
        <w:rPr>
          <w:color w:val="252326"/>
          <w:spacing w:val="-10"/>
        </w:rPr>
        <w:t xml:space="preserve"> </w:t>
      </w:r>
      <w:r>
        <w:rPr>
          <w:color w:val="252326"/>
        </w:rPr>
        <w:t>traded</w:t>
      </w:r>
      <w:r>
        <w:rPr>
          <w:color w:val="252326"/>
          <w:spacing w:val="-12"/>
        </w:rPr>
        <w:t xml:space="preserve"> </w:t>
      </w:r>
      <w:r>
        <w:rPr>
          <w:color w:val="252326"/>
        </w:rPr>
        <w:t>on</w:t>
      </w:r>
      <w:r>
        <w:rPr>
          <w:color w:val="252326"/>
          <w:spacing w:val="-10"/>
        </w:rPr>
        <w:t xml:space="preserve"> </w:t>
      </w:r>
      <w:r>
        <w:rPr>
          <w:color w:val="252326"/>
        </w:rPr>
        <w:t>the</w:t>
      </w:r>
      <w:r>
        <w:rPr>
          <w:color w:val="252326"/>
          <w:spacing w:val="-10"/>
        </w:rPr>
        <w:t xml:space="preserve"> </w:t>
      </w:r>
      <w:r>
        <w:rPr>
          <w:color w:val="252326"/>
        </w:rPr>
        <w:t>London</w:t>
      </w:r>
      <w:r>
        <w:rPr>
          <w:color w:val="252326"/>
          <w:spacing w:val="-9"/>
        </w:rPr>
        <w:t xml:space="preserve"> </w:t>
      </w:r>
      <w:r>
        <w:rPr>
          <w:color w:val="252326"/>
        </w:rPr>
        <w:t>Stock</w:t>
      </w:r>
      <w:r>
        <w:rPr>
          <w:color w:val="252326"/>
          <w:spacing w:val="-9"/>
        </w:rPr>
        <w:t xml:space="preserve"> </w:t>
      </w:r>
      <w:r>
        <w:rPr>
          <w:color w:val="252326"/>
        </w:rPr>
        <w:t>Exchange’s</w:t>
      </w:r>
      <w:r>
        <w:rPr>
          <w:color w:val="252326"/>
          <w:spacing w:val="-9"/>
        </w:rPr>
        <w:t xml:space="preserve"> </w:t>
      </w:r>
      <w:r>
        <w:rPr>
          <w:color w:val="252326"/>
        </w:rPr>
        <w:t>Main</w:t>
      </w:r>
      <w:r>
        <w:rPr>
          <w:color w:val="252326"/>
          <w:spacing w:val="-10"/>
        </w:rPr>
        <w:t xml:space="preserve"> </w:t>
      </w:r>
      <w:r>
        <w:rPr>
          <w:color w:val="252326"/>
        </w:rPr>
        <w:t>Market</w:t>
      </w:r>
      <w:r>
        <w:rPr>
          <w:color w:val="252326"/>
          <w:spacing w:val="-10"/>
        </w:rPr>
        <w:t xml:space="preserve"> </w:t>
      </w:r>
      <w:r>
        <w:rPr>
          <w:color w:val="252326"/>
        </w:rPr>
        <w:t>for</w:t>
      </w:r>
      <w:r>
        <w:rPr>
          <w:color w:val="252326"/>
          <w:spacing w:val="-9"/>
        </w:rPr>
        <w:t xml:space="preserve"> </w:t>
      </w:r>
      <w:r>
        <w:rPr>
          <w:color w:val="252326"/>
        </w:rPr>
        <w:t>listed</w:t>
      </w:r>
      <w:r>
        <w:rPr>
          <w:color w:val="252326"/>
          <w:spacing w:val="-10"/>
        </w:rPr>
        <w:t xml:space="preserve"> </w:t>
      </w:r>
      <w:r>
        <w:rPr>
          <w:color w:val="252326"/>
        </w:rPr>
        <w:t>securities.</w:t>
      </w:r>
      <w:r>
        <w:rPr>
          <w:color w:val="252326"/>
          <w:spacing w:val="-10"/>
        </w:rPr>
        <w:t xml:space="preserve"> </w:t>
      </w:r>
      <w:r>
        <w:rPr>
          <w:color w:val="231F20"/>
        </w:rPr>
        <w:t>Appli</w:t>
      </w:r>
      <w:r>
        <w:rPr>
          <w:color w:val="252326"/>
        </w:rPr>
        <w:t>ca</w:t>
      </w:r>
      <w:r>
        <w:rPr>
          <w:color w:val="231F20"/>
        </w:rPr>
        <w:t>ti</w:t>
      </w:r>
      <w:r>
        <w:rPr>
          <w:color w:val="252326"/>
        </w:rPr>
        <w:t>o</w:t>
      </w:r>
      <w:r>
        <w:rPr>
          <w:color w:val="231F20"/>
        </w:rPr>
        <w:t>ns</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made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 xml:space="preserve">FCA </w:t>
      </w:r>
      <w:r>
        <w:rPr>
          <w:color w:val="252326"/>
        </w:rPr>
        <w:t>an</w:t>
      </w:r>
      <w:r>
        <w:rPr>
          <w:color w:val="231F20"/>
        </w:rPr>
        <w:t xml:space="preserve">d </w:t>
      </w:r>
      <w:r>
        <w:rPr>
          <w:color w:val="252326"/>
        </w:rPr>
        <w:t>t</w:t>
      </w:r>
      <w:r>
        <w:rPr>
          <w:color w:val="231F20"/>
        </w:rPr>
        <w:t>h</w:t>
      </w:r>
      <w:r>
        <w:rPr>
          <w:color w:val="252326"/>
        </w:rPr>
        <w:t xml:space="preserve">e </w:t>
      </w:r>
      <w:r>
        <w:rPr>
          <w:color w:val="231F20"/>
        </w:rPr>
        <w:t>Lond</w:t>
      </w:r>
      <w:r>
        <w:rPr>
          <w:color w:val="252326"/>
        </w:rPr>
        <w:t>o</w:t>
      </w:r>
      <w:r>
        <w:rPr>
          <w:color w:val="231F20"/>
        </w:rPr>
        <w:t xml:space="preserve">n </w:t>
      </w:r>
      <w:r>
        <w:rPr>
          <w:color w:val="252326"/>
        </w:rPr>
        <w:t xml:space="preserve">Stock </w:t>
      </w:r>
      <w:r>
        <w:rPr>
          <w:color w:val="231F20"/>
        </w:rPr>
        <w:t>E</w:t>
      </w:r>
      <w:r>
        <w:rPr>
          <w:color w:val="252326"/>
        </w:rPr>
        <w:t>xc</w:t>
      </w:r>
      <w:r>
        <w:rPr>
          <w:color w:val="231F20"/>
        </w:rPr>
        <w:t>h</w:t>
      </w:r>
      <w:r>
        <w:rPr>
          <w:color w:val="252326"/>
        </w:rPr>
        <w:t>a</w:t>
      </w:r>
      <w:r>
        <w:rPr>
          <w:color w:val="231F20"/>
        </w:rPr>
        <w:t>n</w:t>
      </w:r>
      <w:r>
        <w:rPr>
          <w:color w:val="252326"/>
        </w:rPr>
        <w:t xml:space="preserve">ge </w:t>
      </w:r>
      <w:r>
        <w:rPr>
          <w:color w:val="231F20"/>
        </w:rPr>
        <w:t>fo</w:t>
      </w:r>
      <w:r>
        <w:rPr>
          <w:color w:val="252326"/>
        </w:rPr>
        <w:t xml:space="preserve">r the </w:t>
      </w:r>
      <w:r w:rsidR="00000F67">
        <w:rPr>
          <w:color w:val="252326"/>
        </w:rPr>
        <w:t xml:space="preserve">Placing </w:t>
      </w:r>
      <w:r>
        <w:rPr>
          <w:color w:val="252326"/>
        </w:rPr>
        <w:t>Shares</w:t>
      </w:r>
      <w:r w:rsidR="00423387">
        <w:rPr>
          <w:color w:val="252326"/>
        </w:rPr>
        <w:t xml:space="preserve"> and the Labrador Consideration Shares </w:t>
      </w:r>
      <w:r>
        <w:rPr>
          <w:color w:val="252326"/>
        </w:rPr>
        <w:t>to be ad</w:t>
      </w:r>
      <w:r>
        <w:rPr>
          <w:color w:val="231F20"/>
        </w:rPr>
        <w:t>mitted t</w:t>
      </w:r>
      <w:r>
        <w:rPr>
          <w:color w:val="252326"/>
        </w:rPr>
        <w:t xml:space="preserve">o </w:t>
      </w:r>
      <w:r>
        <w:rPr>
          <w:color w:val="231F20"/>
        </w:rPr>
        <w:t>th</w:t>
      </w:r>
      <w:r>
        <w:rPr>
          <w:color w:val="252326"/>
        </w:rPr>
        <w:t xml:space="preserve">e </w:t>
      </w:r>
      <w:r>
        <w:rPr>
          <w:color w:val="231F20"/>
        </w:rPr>
        <w:t>Off</w:t>
      </w:r>
      <w:r>
        <w:rPr>
          <w:color w:val="252326"/>
        </w:rPr>
        <w:t>i</w:t>
      </w:r>
      <w:r>
        <w:rPr>
          <w:color w:val="231F20"/>
        </w:rPr>
        <w:t>c</w:t>
      </w:r>
      <w:r>
        <w:rPr>
          <w:color w:val="252326"/>
        </w:rPr>
        <w:t>ia</w:t>
      </w:r>
      <w:r>
        <w:rPr>
          <w:color w:val="231F20"/>
        </w:rPr>
        <w:t>l Li</w:t>
      </w:r>
      <w:r>
        <w:rPr>
          <w:color w:val="252326"/>
        </w:rPr>
        <w:t>s</w:t>
      </w:r>
      <w:r>
        <w:rPr>
          <w:color w:val="231F20"/>
        </w:rPr>
        <w:t xml:space="preserve">t and to trading on the </w:t>
      </w:r>
      <w:r>
        <w:rPr>
          <w:color w:val="252326"/>
        </w:rPr>
        <w:t>Ma</w:t>
      </w:r>
      <w:r>
        <w:rPr>
          <w:color w:val="231F20"/>
        </w:rPr>
        <w:t xml:space="preserve">in </w:t>
      </w:r>
      <w:r>
        <w:rPr>
          <w:color w:val="252326"/>
        </w:rPr>
        <w:t xml:space="preserve">Market </w:t>
      </w:r>
      <w:r>
        <w:rPr>
          <w:color w:val="231F20"/>
        </w:rPr>
        <w:t>f</w:t>
      </w:r>
      <w:r>
        <w:rPr>
          <w:color w:val="252326"/>
        </w:rPr>
        <w:t>o</w:t>
      </w:r>
      <w:r>
        <w:rPr>
          <w:color w:val="231F20"/>
        </w:rPr>
        <w:t>r l</w:t>
      </w:r>
      <w:r>
        <w:rPr>
          <w:color w:val="252326"/>
        </w:rPr>
        <w:t>is</w:t>
      </w:r>
      <w:r>
        <w:rPr>
          <w:color w:val="231F20"/>
        </w:rPr>
        <w:t>te</w:t>
      </w:r>
      <w:r>
        <w:rPr>
          <w:color w:val="252326"/>
        </w:rPr>
        <w:t xml:space="preserve">d </w:t>
      </w:r>
      <w:r>
        <w:rPr>
          <w:color w:val="231F20"/>
        </w:rPr>
        <w:t>se</w:t>
      </w:r>
      <w:r>
        <w:rPr>
          <w:color w:val="252326"/>
        </w:rPr>
        <w:t>c</w:t>
      </w:r>
      <w:r>
        <w:rPr>
          <w:color w:val="231F20"/>
        </w:rPr>
        <w:t>u</w:t>
      </w:r>
      <w:r>
        <w:rPr>
          <w:color w:val="252326"/>
        </w:rPr>
        <w:t>r</w:t>
      </w:r>
      <w:r>
        <w:rPr>
          <w:color w:val="231F20"/>
        </w:rPr>
        <w:t>it</w:t>
      </w:r>
      <w:r>
        <w:rPr>
          <w:color w:val="252326"/>
        </w:rPr>
        <w:t>ies.</w:t>
      </w:r>
    </w:p>
    <w:p w14:paraId="5AE2EDC5" w14:textId="77777777" w:rsidR="00783288" w:rsidRDefault="00783288">
      <w:pPr>
        <w:pStyle w:val="BodyText"/>
        <w:kinsoku w:val="0"/>
        <w:overflowPunct w:val="0"/>
        <w:spacing w:before="2"/>
      </w:pPr>
    </w:p>
    <w:p w14:paraId="4EC87FE6" w14:textId="70CE42BD" w:rsidR="00783288" w:rsidRDefault="00E31420">
      <w:pPr>
        <w:pStyle w:val="BodyText"/>
        <w:kinsoku w:val="0"/>
        <w:overflowPunct w:val="0"/>
        <w:ind w:left="300" w:right="1188"/>
        <w:jc w:val="both"/>
        <w:rPr>
          <w:color w:val="252326"/>
        </w:rPr>
      </w:pPr>
      <w:r>
        <w:rPr>
          <w:color w:val="231F20"/>
        </w:rPr>
        <w:t>It i</w:t>
      </w:r>
      <w:r>
        <w:rPr>
          <w:color w:val="252326"/>
        </w:rPr>
        <w:t>s expec</w:t>
      </w:r>
      <w:r>
        <w:rPr>
          <w:color w:val="231F20"/>
        </w:rPr>
        <w:t>t</w:t>
      </w:r>
      <w:r>
        <w:rPr>
          <w:color w:val="252326"/>
        </w:rPr>
        <w:t xml:space="preserve">ed </w:t>
      </w:r>
      <w:r>
        <w:rPr>
          <w:color w:val="231F20"/>
        </w:rPr>
        <w:t>th</w:t>
      </w:r>
      <w:r>
        <w:rPr>
          <w:color w:val="252326"/>
        </w:rPr>
        <w:t>a</w:t>
      </w:r>
      <w:r>
        <w:rPr>
          <w:color w:val="231F20"/>
        </w:rPr>
        <w:t xml:space="preserve">t </w:t>
      </w:r>
      <w:r>
        <w:rPr>
          <w:color w:val="252326"/>
        </w:rPr>
        <w:t>A</w:t>
      </w:r>
      <w:r>
        <w:rPr>
          <w:color w:val="231F20"/>
        </w:rPr>
        <w:t>dmi</w:t>
      </w:r>
      <w:r>
        <w:rPr>
          <w:color w:val="252326"/>
        </w:rPr>
        <w:t>s</w:t>
      </w:r>
      <w:r>
        <w:rPr>
          <w:color w:val="231F20"/>
        </w:rPr>
        <w:t>si</w:t>
      </w:r>
      <w:r>
        <w:rPr>
          <w:color w:val="252326"/>
        </w:rPr>
        <w:t>o</w:t>
      </w:r>
      <w:r>
        <w:rPr>
          <w:color w:val="231F20"/>
        </w:rPr>
        <w:t xml:space="preserve">n </w:t>
      </w:r>
      <w:r>
        <w:rPr>
          <w:color w:val="252326"/>
        </w:rPr>
        <w:t>w</w:t>
      </w:r>
      <w:r>
        <w:rPr>
          <w:color w:val="231F20"/>
        </w:rPr>
        <w:t>i</w:t>
      </w:r>
      <w:r>
        <w:rPr>
          <w:color w:val="252326"/>
        </w:rPr>
        <w:t>l</w:t>
      </w:r>
      <w:r>
        <w:rPr>
          <w:color w:val="231F20"/>
        </w:rPr>
        <w:t xml:space="preserve">l </w:t>
      </w:r>
      <w:r>
        <w:rPr>
          <w:color w:val="252326"/>
        </w:rPr>
        <w:t>beco</w:t>
      </w:r>
      <w:r>
        <w:rPr>
          <w:color w:val="231F20"/>
        </w:rPr>
        <w:t>m</w:t>
      </w:r>
      <w:r>
        <w:rPr>
          <w:color w:val="252326"/>
        </w:rPr>
        <w:t>e e</w:t>
      </w:r>
      <w:r>
        <w:rPr>
          <w:color w:val="231F20"/>
        </w:rPr>
        <w:t>ff</w:t>
      </w:r>
      <w:r>
        <w:rPr>
          <w:color w:val="252326"/>
        </w:rPr>
        <w:t>ec</w:t>
      </w:r>
      <w:r>
        <w:rPr>
          <w:color w:val="231F20"/>
        </w:rPr>
        <w:t>ti</w:t>
      </w:r>
      <w:r>
        <w:rPr>
          <w:color w:val="252326"/>
        </w:rPr>
        <w:t>ve a</w:t>
      </w:r>
      <w:r>
        <w:rPr>
          <w:color w:val="231F20"/>
        </w:rPr>
        <w:t>nd that d</w:t>
      </w:r>
      <w:r>
        <w:rPr>
          <w:color w:val="252326"/>
        </w:rPr>
        <w:t>ea</w:t>
      </w:r>
      <w:r>
        <w:rPr>
          <w:color w:val="231F20"/>
        </w:rPr>
        <w:t>lin</w:t>
      </w:r>
      <w:r>
        <w:rPr>
          <w:color w:val="252326"/>
        </w:rPr>
        <w:t xml:space="preserve">gs for </w:t>
      </w:r>
      <w:r>
        <w:rPr>
          <w:color w:val="231F20"/>
        </w:rPr>
        <w:t>nor</w:t>
      </w:r>
      <w:r>
        <w:rPr>
          <w:color w:val="252326"/>
        </w:rPr>
        <w:t>ma</w:t>
      </w:r>
      <w:r>
        <w:rPr>
          <w:color w:val="231F20"/>
        </w:rPr>
        <w:t xml:space="preserve">l </w:t>
      </w:r>
      <w:r>
        <w:rPr>
          <w:color w:val="252326"/>
        </w:rPr>
        <w:t>set</w:t>
      </w:r>
      <w:r>
        <w:rPr>
          <w:color w:val="231F20"/>
        </w:rPr>
        <w:t>tl</w:t>
      </w:r>
      <w:r>
        <w:rPr>
          <w:color w:val="252326"/>
        </w:rPr>
        <w:t>e</w:t>
      </w:r>
      <w:r>
        <w:rPr>
          <w:color w:val="231F20"/>
        </w:rPr>
        <w:t>m</w:t>
      </w:r>
      <w:r>
        <w:rPr>
          <w:color w:val="252326"/>
        </w:rPr>
        <w:t>e</w:t>
      </w:r>
      <w:r>
        <w:rPr>
          <w:color w:val="231F20"/>
        </w:rPr>
        <w:t xml:space="preserve">nt </w:t>
      </w:r>
      <w:r>
        <w:rPr>
          <w:color w:val="252326"/>
        </w:rPr>
        <w:t>in t</w:t>
      </w:r>
      <w:r>
        <w:rPr>
          <w:color w:val="231F20"/>
        </w:rPr>
        <w:t>he Ordin</w:t>
      </w:r>
      <w:r>
        <w:rPr>
          <w:color w:val="252326"/>
        </w:rPr>
        <w:t>a</w:t>
      </w:r>
      <w:r>
        <w:rPr>
          <w:color w:val="231F20"/>
        </w:rPr>
        <w:t>r</w:t>
      </w:r>
      <w:r>
        <w:rPr>
          <w:color w:val="252326"/>
        </w:rPr>
        <w:t>y S</w:t>
      </w:r>
      <w:r>
        <w:rPr>
          <w:color w:val="231F20"/>
        </w:rPr>
        <w:t>h</w:t>
      </w:r>
      <w:r>
        <w:rPr>
          <w:color w:val="252326"/>
        </w:rPr>
        <w:t>a</w:t>
      </w:r>
      <w:r>
        <w:rPr>
          <w:color w:val="231F20"/>
        </w:rPr>
        <w:t>r</w:t>
      </w:r>
      <w:r>
        <w:rPr>
          <w:color w:val="252326"/>
        </w:rPr>
        <w:t>es w</w:t>
      </w:r>
      <w:r>
        <w:rPr>
          <w:color w:val="231F20"/>
        </w:rPr>
        <w:t xml:space="preserve">ill </w:t>
      </w:r>
      <w:r>
        <w:rPr>
          <w:color w:val="252326"/>
        </w:rPr>
        <w:t>co</w:t>
      </w:r>
      <w:r>
        <w:rPr>
          <w:color w:val="231F20"/>
        </w:rPr>
        <w:t>m</w:t>
      </w:r>
      <w:r>
        <w:rPr>
          <w:color w:val="252326"/>
        </w:rPr>
        <w:t>m</w:t>
      </w:r>
      <w:r>
        <w:rPr>
          <w:color w:val="231F20"/>
        </w:rPr>
        <w:t>en</w:t>
      </w:r>
      <w:r>
        <w:rPr>
          <w:color w:val="252326"/>
        </w:rPr>
        <w:t xml:space="preserve">ce at 8.00 a.m. (London time) on </w:t>
      </w:r>
      <w:r w:rsidR="00F26985">
        <w:t>12 July</w:t>
      </w:r>
      <w:r w:rsidR="005E0DC1">
        <w:t xml:space="preserve"> 2021</w:t>
      </w:r>
      <w:r>
        <w:rPr>
          <w:color w:val="252326"/>
        </w:rPr>
        <w:t>. No application is currently intended to be made for</w:t>
      </w:r>
      <w:r>
        <w:rPr>
          <w:color w:val="252326"/>
          <w:spacing w:val="-7"/>
        </w:rPr>
        <w:t xml:space="preserve"> </w:t>
      </w:r>
      <w:r>
        <w:rPr>
          <w:color w:val="252326"/>
        </w:rPr>
        <w:t>the</w:t>
      </w:r>
      <w:r>
        <w:rPr>
          <w:color w:val="252326"/>
          <w:spacing w:val="-7"/>
        </w:rPr>
        <w:t xml:space="preserve"> </w:t>
      </w:r>
      <w:r w:rsidR="00000F67">
        <w:rPr>
          <w:color w:val="252326"/>
        </w:rPr>
        <w:t>Placing</w:t>
      </w:r>
      <w:r w:rsidR="00000F67">
        <w:rPr>
          <w:color w:val="252326"/>
          <w:spacing w:val="-8"/>
        </w:rPr>
        <w:t xml:space="preserve"> </w:t>
      </w:r>
      <w:r>
        <w:rPr>
          <w:color w:val="252326"/>
        </w:rPr>
        <w:t>Shares</w:t>
      </w:r>
      <w:r w:rsidR="00423387">
        <w:rPr>
          <w:color w:val="252326"/>
        </w:rPr>
        <w:t xml:space="preserve"> and the Labrador Consideration Shares</w:t>
      </w:r>
      <w:r>
        <w:rPr>
          <w:color w:val="252326"/>
          <w:spacing w:val="-6"/>
        </w:rPr>
        <w:t xml:space="preserve"> </w:t>
      </w:r>
      <w:r>
        <w:rPr>
          <w:color w:val="252326"/>
        </w:rPr>
        <w:t>to</w:t>
      </w:r>
      <w:r>
        <w:rPr>
          <w:color w:val="252326"/>
          <w:spacing w:val="-7"/>
        </w:rPr>
        <w:t xml:space="preserve"> </w:t>
      </w:r>
      <w:r>
        <w:rPr>
          <w:color w:val="252326"/>
        </w:rPr>
        <w:t>be</w:t>
      </w:r>
      <w:r>
        <w:rPr>
          <w:color w:val="252326"/>
          <w:spacing w:val="-8"/>
        </w:rPr>
        <w:t xml:space="preserve"> </w:t>
      </w:r>
      <w:r>
        <w:rPr>
          <w:color w:val="252326"/>
        </w:rPr>
        <w:t>admitted</w:t>
      </w:r>
      <w:r>
        <w:rPr>
          <w:color w:val="252326"/>
          <w:spacing w:val="-9"/>
        </w:rPr>
        <w:t xml:space="preserve"> </w:t>
      </w:r>
      <w:r>
        <w:rPr>
          <w:color w:val="252326"/>
        </w:rPr>
        <w:t>to</w:t>
      </w:r>
      <w:r>
        <w:rPr>
          <w:color w:val="252326"/>
          <w:spacing w:val="-9"/>
        </w:rPr>
        <w:t xml:space="preserve"> </w:t>
      </w:r>
      <w:r>
        <w:rPr>
          <w:color w:val="252326"/>
        </w:rPr>
        <w:t>listing</w:t>
      </w:r>
      <w:r>
        <w:rPr>
          <w:color w:val="252326"/>
          <w:spacing w:val="-6"/>
        </w:rPr>
        <w:t xml:space="preserve"> </w:t>
      </w:r>
      <w:r>
        <w:rPr>
          <w:color w:val="252326"/>
        </w:rPr>
        <w:t>or</w:t>
      </w:r>
      <w:r>
        <w:rPr>
          <w:color w:val="252326"/>
          <w:spacing w:val="-9"/>
        </w:rPr>
        <w:t xml:space="preserve"> </w:t>
      </w:r>
      <w:r>
        <w:rPr>
          <w:color w:val="252326"/>
        </w:rPr>
        <w:t>dealing</w:t>
      </w:r>
      <w:r>
        <w:rPr>
          <w:color w:val="252326"/>
          <w:spacing w:val="-6"/>
        </w:rPr>
        <w:t xml:space="preserve"> </w:t>
      </w:r>
      <w:r>
        <w:rPr>
          <w:color w:val="252326"/>
        </w:rPr>
        <w:t>on</w:t>
      </w:r>
      <w:r>
        <w:rPr>
          <w:color w:val="252326"/>
          <w:spacing w:val="-6"/>
        </w:rPr>
        <w:t xml:space="preserve"> </w:t>
      </w:r>
      <w:r>
        <w:rPr>
          <w:color w:val="252326"/>
        </w:rPr>
        <w:t>any</w:t>
      </w:r>
      <w:r>
        <w:rPr>
          <w:color w:val="252326"/>
          <w:spacing w:val="-8"/>
        </w:rPr>
        <w:t xml:space="preserve"> </w:t>
      </w:r>
      <w:r>
        <w:rPr>
          <w:color w:val="252326"/>
        </w:rPr>
        <w:t>other</w:t>
      </w:r>
      <w:r>
        <w:rPr>
          <w:color w:val="252326"/>
          <w:spacing w:val="-9"/>
        </w:rPr>
        <w:t xml:space="preserve"> </w:t>
      </w:r>
      <w:r>
        <w:rPr>
          <w:color w:val="252326"/>
        </w:rPr>
        <w:t>exchange.</w:t>
      </w:r>
      <w:r>
        <w:rPr>
          <w:color w:val="252326"/>
          <w:spacing w:val="-6"/>
        </w:rPr>
        <w:t xml:space="preserve"> </w:t>
      </w:r>
      <w:r>
        <w:rPr>
          <w:color w:val="252326"/>
        </w:rPr>
        <w:t>The</w:t>
      </w:r>
      <w:r>
        <w:rPr>
          <w:color w:val="252326"/>
          <w:spacing w:val="-9"/>
        </w:rPr>
        <w:t xml:space="preserve"> </w:t>
      </w:r>
      <w:r>
        <w:rPr>
          <w:color w:val="252326"/>
        </w:rPr>
        <w:t>Company</w:t>
      </w:r>
      <w:r>
        <w:rPr>
          <w:color w:val="252326"/>
          <w:spacing w:val="-8"/>
        </w:rPr>
        <w:t xml:space="preserve"> </w:t>
      </w:r>
      <w:r>
        <w:rPr>
          <w:color w:val="252326"/>
        </w:rPr>
        <w:t>will</w:t>
      </w:r>
      <w:r>
        <w:rPr>
          <w:color w:val="252326"/>
          <w:spacing w:val="-9"/>
        </w:rPr>
        <w:t xml:space="preserve"> </w:t>
      </w:r>
      <w:r>
        <w:rPr>
          <w:color w:val="252326"/>
        </w:rPr>
        <w:t>comply</w:t>
      </w:r>
      <w:r>
        <w:rPr>
          <w:color w:val="252326"/>
          <w:spacing w:val="-8"/>
        </w:rPr>
        <w:t xml:space="preserve"> </w:t>
      </w:r>
      <w:r>
        <w:rPr>
          <w:color w:val="252326"/>
        </w:rPr>
        <w:t>with its</w:t>
      </w:r>
      <w:r>
        <w:rPr>
          <w:color w:val="252326"/>
          <w:spacing w:val="-5"/>
        </w:rPr>
        <w:t xml:space="preserve"> </w:t>
      </w:r>
      <w:r>
        <w:rPr>
          <w:color w:val="252326"/>
        </w:rPr>
        <w:t>obligation</w:t>
      </w:r>
      <w:r>
        <w:rPr>
          <w:color w:val="252326"/>
          <w:spacing w:val="-5"/>
        </w:rPr>
        <w:t xml:space="preserve"> </w:t>
      </w:r>
      <w:r>
        <w:rPr>
          <w:color w:val="252326"/>
        </w:rPr>
        <w:t>to</w:t>
      </w:r>
      <w:r>
        <w:rPr>
          <w:color w:val="252326"/>
          <w:spacing w:val="-7"/>
        </w:rPr>
        <w:t xml:space="preserve"> </w:t>
      </w:r>
      <w:r>
        <w:rPr>
          <w:color w:val="252326"/>
        </w:rPr>
        <w:t>publish</w:t>
      </w:r>
      <w:r>
        <w:rPr>
          <w:color w:val="252326"/>
          <w:spacing w:val="-5"/>
        </w:rPr>
        <w:t xml:space="preserve"> </w:t>
      </w:r>
      <w:r>
        <w:rPr>
          <w:color w:val="252326"/>
        </w:rPr>
        <w:t>a</w:t>
      </w:r>
      <w:r>
        <w:rPr>
          <w:color w:val="252326"/>
          <w:spacing w:val="-5"/>
        </w:rPr>
        <w:t xml:space="preserve"> </w:t>
      </w:r>
      <w:r>
        <w:rPr>
          <w:color w:val="252326"/>
        </w:rPr>
        <w:t>further</w:t>
      </w:r>
      <w:r>
        <w:rPr>
          <w:color w:val="252326"/>
          <w:spacing w:val="-5"/>
        </w:rPr>
        <w:t xml:space="preserve"> </w:t>
      </w:r>
      <w:r>
        <w:rPr>
          <w:color w:val="252326"/>
        </w:rPr>
        <w:t>supplementary</w:t>
      </w:r>
      <w:r>
        <w:rPr>
          <w:color w:val="252326"/>
          <w:spacing w:val="-7"/>
        </w:rPr>
        <w:t xml:space="preserve"> </w:t>
      </w:r>
      <w:r>
        <w:rPr>
          <w:color w:val="252326"/>
        </w:rPr>
        <w:t>prospectus</w:t>
      </w:r>
      <w:r>
        <w:rPr>
          <w:color w:val="252326"/>
          <w:spacing w:val="-7"/>
        </w:rPr>
        <w:t xml:space="preserve"> </w:t>
      </w:r>
      <w:r>
        <w:rPr>
          <w:color w:val="252326"/>
        </w:rPr>
        <w:t>containing</w:t>
      </w:r>
      <w:r>
        <w:rPr>
          <w:color w:val="252326"/>
          <w:spacing w:val="-5"/>
        </w:rPr>
        <w:t xml:space="preserve"> </w:t>
      </w:r>
      <w:r>
        <w:rPr>
          <w:color w:val="252326"/>
        </w:rPr>
        <w:t>further</w:t>
      </w:r>
      <w:r>
        <w:rPr>
          <w:color w:val="252326"/>
          <w:spacing w:val="-5"/>
        </w:rPr>
        <w:t xml:space="preserve"> </w:t>
      </w:r>
      <w:r>
        <w:rPr>
          <w:color w:val="252326"/>
        </w:rPr>
        <w:t>updated</w:t>
      </w:r>
      <w:r>
        <w:rPr>
          <w:color w:val="252326"/>
          <w:spacing w:val="-5"/>
        </w:rPr>
        <w:t xml:space="preserve"> </w:t>
      </w:r>
      <w:r>
        <w:rPr>
          <w:color w:val="252326"/>
        </w:rPr>
        <w:t>information</w:t>
      </w:r>
      <w:r>
        <w:rPr>
          <w:color w:val="252326"/>
          <w:spacing w:val="-5"/>
        </w:rPr>
        <w:t xml:space="preserve"> </w:t>
      </w:r>
      <w:r>
        <w:rPr>
          <w:color w:val="252326"/>
        </w:rPr>
        <w:t>required</w:t>
      </w:r>
      <w:r>
        <w:rPr>
          <w:color w:val="252326"/>
          <w:spacing w:val="-6"/>
        </w:rPr>
        <w:t xml:space="preserve"> </w:t>
      </w:r>
      <w:r>
        <w:rPr>
          <w:color w:val="252326"/>
        </w:rPr>
        <w:t>by</w:t>
      </w:r>
      <w:r>
        <w:rPr>
          <w:color w:val="252326"/>
          <w:spacing w:val="-7"/>
        </w:rPr>
        <w:t xml:space="preserve"> </w:t>
      </w:r>
      <w:r>
        <w:rPr>
          <w:color w:val="252326"/>
        </w:rPr>
        <w:t xml:space="preserve">law or any regulatory </w:t>
      </w:r>
      <w:r w:rsidR="00372FBF">
        <w:rPr>
          <w:color w:val="252326"/>
        </w:rPr>
        <w:t>authority but</w:t>
      </w:r>
      <w:r>
        <w:rPr>
          <w:color w:val="252326"/>
        </w:rPr>
        <w:t xml:space="preserve"> assumes no further obligation to publish additional</w:t>
      </w:r>
      <w:r>
        <w:rPr>
          <w:color w:val="252326"/>
          <w:spacing w:val="-18"/>
        </w:rPr>
        <w:t xml:space="preserve"> </w:t>
      </w:r>
      <w:r>
        <w:rPr>
          <w:color w:val="252326"/>
        </w:rPr>
        <w:t>information.</w:t>
      </w:r>
    </w:p>
    <w:p w14:paraId="7CDF7284" w14:textId="77777777" w:rsidR="00783288" w:rsidRDefault="00783288">
      <w:pPr>
        <w:pStyle w:val="BodyText"/>
        <w:kinsoku w:val="0"/>
        <w:overflowPunct w:val="0"/>
        <w:spacing w:before="5"/>
        <w:rPr>
          <w:sz w:val="17"/>
          <w:szCs w:val="17"/>
        </w:rPr>
      </w:pPr>
    </w:p>
    <w:p w14:paraId="624A89C4" w14:textId="2ECF908E" w:rsidR="00783288" w:rsidRPr="005545A6" w:rsidRDefault="00E31420" w:rsidP="005545A6">
      <w:pPr>
        <w:pStyle w:val="BodyText"/>
        <w:kinsoku w:val="0"/>
        <w:overflowPunct w:val="0"/>
        <w:ind w:left="300" w:right="1188"/>
        <w:jc w:val="both"/>
        <w:rPr>
          <w:color w:val="0D0E0E"/>
        </w:rPr>
      </w:pPr>
      <w:r>
        <w:rPr>
          <w:b/>
          <w:bCs/>
          <w:color w:val="0D0E0E"/>
        </w:rPr>
        <w:t>This Document does not constitute an offer to sell or invitation to subscribe for, or solicitation of an offer or</w:t>
      </w:r>
      <w:r>
        <w:rPr>
          <w:b/>
          <w:bCs/>
          <w:color w:val="0D0E0E"/>
          <w:spacing w:val="-4"/>
        </w:rPr>
        <w:t xml:space="preserve"> </w:t>
      </w:r>
      <w:r>
        <w:rPr>
          <w:b/>
          <w:bCs/>
          <w:color w:val="0D0E0E"/>
        </w:rPr>
        <w:t>invitation</w:t>
      </w:r>
      <w:r>
        <w:rPr>
          <w:b/>
          <w:bCs/>
          <w:color w:val="0D0E0E"/>
          <w:spacing w:val="-3"/>
        </w:rPr>
        <w:t xml:space="preserve"> </w:t>
      </w:r>
      <w:r>
        <w:rPr>
          <w:b/>
          <w:bCs/>
          <w:color w:val="0D0E0E"/>
        </w:rPr>
        <w:t>to</w:t>
      </w:r>
      <w:r>
        <w:rPr>
          <w:b/>
          <w:bCs/>
          <w:color w:val="0D0E0E"/>
          <w:spacing w:val="-3"/>
        </w:rPr>
        <w:t xml:space="preserve"> </w:t>
      </w:r>
      <w:r>
        <w:rPr>
          <w:b/>
          <w:bCs/>
          <w:color w:val="0D0E0E"/>
        </w:rPr>
        <w:t>buy</w:t>
      </w:r>
      <w:r>
        <w:rPr>
          <w:b/>
          <w:bCs/>
          <w:color w:val="0D0E0E"/>
          <w:spacing w:val="-9"/>
        </w:rPr>
        <w:t xml:space="preserve"> </w:t>
      </w:r>
      <w:r>
        <w:rPr>
          <w:b/>
          <w:bCs/>
          <w:color w:val="0D0E0E"/>
        </w:rPr>
        <w:t>or</w:t>
      </w:r>
      <w:r>
        <w:rPr>
          <w:b/>
          <w:bCs/>
          <w:color w:val="0D0E0E"/>
          <w:spacing w:val="-2"/>
        </w:rPr>
        <w:t xml:space="preserve"> </w:t>
      </w:r>
      <w:r>
        <w:rPr>
          <w:b/>
          <w:bCs/>
          <w:color w:val="0D0E0E"/>
        </w:rPr>
        <w:t>subscribe</w:t>
      </w:r>
      <w:r>
        <w:rPr>
          <w:b/>
          <w:bCs/>
          <w:color w:val="0D0E0E"/>
          <w:spacing w:val="-3"/>
        </w:rPr>
        <w:t xml:space="preserve"> </w:t>
      </w:r>
      <w:r>
        <w:rPr>
          <w:b/>
          <w:bCs/>
          <w:color w:val="0D0E0E"/>
        </w:rPr>
        <w:t>for,</w:t>
      </w:r>
      <w:r>
        <w:rPr>
          <w:b/>
          <w:bCs/>
          <w:color w:val="0D0E0E"/>
          <w:spacing w:val="-2"/>
        </w:rPr>
        <w:t xml:space="preserve"> </w:t>
      </w:r>
      <w:r>
        <w:rPr>
          <w:b/>
          <w:bCs/>
          <w:color w:val="0D0E0E"/>
        </w:rPr>
        <w:t>Ordinary</w:t>
      </w:r>
      <w:r>
        <w:rPr>
          <w:b/>
          <w:bCs/>
          <w:color w:val="0D0E0E"/>
          <w:spacing w:val="-8"/>
        </w:rPr>
        <w:t xml:space="preserve"> </w:t>
      </w:r>
      <w:r>
        <w:rPr>
          <w:b/>
          <w:bCs/>
          <w:color w:val="0D0E0E"/>
        </w:rPr>
        <w:t>Shares</w:t>
      </w:r>
      <w:r>
        <w:rPr>
          <w:b/>
          <w:bCs/>
          <w:color w:val="0D0E0E"/>
          <w:spacing w:val="-3"/>
        </w:rPr>
        <w:t xml:space="preserve"> </w:t>
      </w:r>
      <w:r>
        <w:rPr>
          <w:b/>
          <w:bCs/>
          <w:color w:val="0D0E0E"/>
        </w:rPr>
        <w:t>in</w:t>
      </w:r>
      <w:r>
        <w:rPr>
          <w:b/>
          <w:bCs/>
          <w:color w:val="0D0E0E"/>
          <w:spacing w:val="-3"/>
        </w:rPr>
        <w:t xml:space="preserve"> </w:t>
      </w:r>
      <w:r>
        <w:rPr>
          <w:b/>
          <w:bCs/>
          <w:color w:val="0D0E0E"/>
        </w:rPr>
        <w:t>any</w:t>
      </w:r>
      <w:r>
        <w:rPr>
          <w:b/>
          <w:bCs/>
          <w:color w:val="0D0E0E"/>
          <w:spacing w:val="-9"/>
        </w:rPr>
        <w:t xml:space="preserve"> </w:t>
      </w:r>
      <w:r>
        <w:rPr>
          <w:b/>
          <w:bCs/>
          <w:color w:val="0D0E0E"/>
        </w:rPr>
        <w:t>jurisdiction</w:t>
      </w:r>
      <w:r>
        <w:rPr>
          <w:b/>
          <w:bCs/>
          <w:color w:val="0D0E0E"/>
          <w:spacing w:val="-5"/>
        </w:rPr>
        <w:t xml:space="preserve"> </w:t>
      </w:r>
      <w:r>
        <w:rPr>
          <w:b/>
          <w:bCs/>
          <w:color w:val="0D0E0E"/>
        </w:rPr>
        <w:t>where</w:t>
      </w:r>
      <w:r>
        <w:rPr>
          <w:b/>
          <w:bCs/>
          <w:color w:val="0D0E0E"/>
          <w:spacing w:val="-3"/>
        </w:rPr>
        <w:t xml:space="preserve"> </w:t>
      </w:r>
      <w:r>
        <w:rPr>
          <w:b/>
          <w:bCs/>
          <w:color w:val="0D0E0E"/>
        </w:rPr>
        <w:t>such</w:t>
      </w:r>
      <w:r>
        <w:rPr>
          <w:b/>
          <w:bCs/>
          <w:color w:val="0D0E0E"/>
          <w:spacing w:val="-4"/>
        </w:rPr>
        <w:t xml:space="preserve"> </w:t>
      </w:r>
      <w:r>
        <w:rPr>
          <w:b/>
          <w:bCs/>
          <w:color w:val="0D0E0E"/>
        </w:rPr>
        <w:t>offer</w:t>
      </w:r>
      <w:r>
        <w:rPr>
          <w:b/>
          <w:bCs/>
          <w:color w:val="0D0E0E"/>
          <w:spacing w:val="-4"/>
        </w:rPr>
        <w:t xml:space="preserve"> </w:t>
      </w:r>
      <w:r>
        <w:rPr>
          <w:b/>
          <w:bCs/>
          <w:color w:val="0D0E0E"/>
        </w:rPr>
        <w:t>or</w:t>
      </w:r>
      <w:r>
        <w:rPr>
          <w:b/>
          <w:bCs/>
          <w:color w:val="0D0E0E"/>
          <w:spacing w:val="-4"/>
        </w:rPr>
        <w:t xml:space="preserve"> </w:t>
      </w:r>
      <w:r>
        <w:rPr>
          <w:b/>
          <w:bCs/>
          <w:color w:val="0D0E0E"/>
        </w:rPr>
        <w:t>solicitation</w:t>
      </w:r>
      <w:r>
        <w:rPr>
          <w:b/>
          <w:bCs/>
          <w:color w:val="0D0E0E"/>
          <w:spacing w:val="-2"/>
        </w:rPr>
        <w:t xml:space="preserve"> </w:t>
      </w:r>
      <w:r>
        <w:rPr>
          <w:b/>
          <w:bCs/>
          <w:color w:val="0D0E0E"/>
        </w:rPr>
        <w:t xml:space="preserve">is unlawful or would impose any unfulfilled registration, publication or approval requirements on the Company. </w:t>
      </w:r>
      <w:r>
        <w:rPr>
          <w:color w:val="0D0E0E"/>
        </w:rPr>
        <w:t>Th</w:t>
      </w:r>
      <w:r>
        <w:rPr>
          <w:color w:val="252326"/>
        </w:rPr>
        <w:t xml:space="preserve">e </w:t>
      </w:r>
      <w:r>
        <w:rPr>
          <w:color w:val="0D0E0E"/>
        </w:rPr>
        <w:t>Ordin</w:t>
      </w:r>
      <w:r>
        <w:rPr>
          <w:color w:val="252326"/>
        </w:rPr>
        <w:t>a</w:t>
      </w:r>
      <w:r>
        <w:rPr>
          <w:color w:val="0D0E0E"/>
        </w:rPr>
        <w:t xml:space="preserve">ry </w:t>
      </w:r>
      <w:r>
        <w:rPr>
          <w:color w:val="252326"/>
        </w:rPr>
        <w:t>S</w:t>
      </w:r>
      <w:r>
        <w:rPr>
          <w:color w:val="0D0E0E"/>
        </w:rPr>
        <w:t>h</w:t>
      </w:r>
      <w:r>
        <w:rPr>
          <w:color w:val="252326"/>
        </w:rPr>
        <w:t>a</w:t>
      </w:r>
      <w:r>
        <w:rPr>
          <w:color w:val="0D0E0E"/>
        </w:rPr>
        <w:t>r</w:t>
      </w:r>
      <w:r>
        <w:rPr>
          <w:color w:val="252326"/>
        </w:rPr>
        <w:t xml:space="preserve">es </w:t>
      </w:r>
      <w:r>
        <w:rPr>
          <w:color w:val="0D0E0E"/>
        </w:rPr>
        <w:t>h</w:t>
      </w:r>
      <w:r>
        <w:rPr>
          <w:color w:val="252326"/>
        </w:rPr>
        <w:t xml:space="preserve">ave </w:t>
      </w:r>
      <w:r>
        <w:rPr>
          <w:color w:val="0D0E0E"/>
        </w:rPr>
        <w:t>n</w:t>
      </w:r>
      <w:r>
        <w:rPr>
          <w:color w:val="252326"/>
        </w:rPr>
        <w:t>o</w:t>
      </w:r>
      <w:r>
        <w:rPr>
          <w:color w:val="0D0E0E"/>
        </w:rPr>
        <w:t xml:space="preserve">t </w:t>
      </w:r>
      <w:r>
        <w:rPr>
          <w:color w:val="252326"/>
        </w:rPr>
        <w:t>bee</w:t>
      </w:r>
      <w:r>
        <w:rPr>
          <w:color w:val="0D0E0E"/>
        </w:rPr>
        <w:t>n</w:t>
      </w:r>
      <w:r>
        <w:rPr>
          <w:color w:val="252326"/>
        </w:rPr>
        <w:t xml:space="preserve">, </w:t>
      </w:r>
      <w:r>
        <w:rPr>
          <w:color w:val="0D0E0E"/>
        </w:rPr>
        <w:t>n</w:t>
      </w:r>
      <w:r>
        <w:rPr>
          <w:color w:val="252326"/>
        </w:rPr>
        <w:t>or w</w:t>
      </w:r>
      <w:r>
        <w:rPr>
          <w:color w:val="0D0E0E"/>
        </w:rPr>
        <w:t>ill th</w:t>
      </w:r>
      <w:r>
        <w:rPr>
          <w:color w:val="252326"/>
        </w:rPr>
        <w:t>e</w:t>
      </w:r>
      <w:r>
        <w:rPr>
          <w:color w:val="0D0E0E"/>
        </w:rPr>
        <w:t>y be</w:t>
      </w:r>
      <w:r>
        <w:rPr>
          <w:color w:val="252326"/>
        </w:rPr>
        <w:t xml:space="preserve">, </w:t>
      </w:r>
      <w:r>
        <w:rPr>
          <w:color w:val="0D0E0E"/>
        </w:rPr>
        <w:t>r</w:t>
      </w:r>
      <w:r>
        <w:rPr>
          <w:color w:val="252326"/>
        </w:rPr>
        <w:t>eg</w:t>
      </w:r>
      <w:r>
        <w:rPr>
          <w:color w:val="0D0E0E"/>
        </w:rPr>
        <w:t>i</w:t>
      </w:r>
      <w:r>
        <w:rPr>
          <w:color w:val="252326"/>
        </w:rPr>
        <w:t>s</w:t>
      </w:r>
      <w:r>
        <w:rPr>
          <w:color w:val="0D0E0E"/>
        </w:rPr>
        <w:t>t</w:t>
      </w:r>
      <w:r>
        <w:rPr>
          <w:color w:val="252326"/>
        </w:rPr>
        <w:t>e</w:t>
      </w:r>
      <w:r>
        <w:rPr>
          <w:color w:val="0D0E0E"/>
        </w:rPr>
        <w:t>r</w:t>
      </w:r>
      <w:r>
        <w:rPr>
          <w:color w:val="252326"/>
        </w:rPr>
        <w:t>e</w:t>
      </w:r>
      <w:r>
        <w:rPr>
          <w:color w:val="0D0E0E"/>
        </w:rPr>
        <w:t>d und</w:t>
      </w:r>
      <w:r>
        <w:rPr>
          <w:color w:val="252326"/>
        </w:rPr>
        <w:t>e</w:t>
      </w:r>
      <w:r>
        <w:rPr>
          <w:color w:val="0D0E0E"/>
        </w:rPr>
        <w:t>r the U</w:t>
      </w:r>
      <w:r>
        <w:rPr>
          <w:color w:val="252326"/>
        </w:rPr>
        <w:t>S Sec</w:t>
      </w:r>
      <w:r>
        <w:rPr>
          <w:color w:val="0D0E0E"/>
        </w:rPr>
        <w:t>u</w:t>
      </w:r>
      <w:r>
        <w:rPr>
          <w:color w:val="252326"/>
        </w:rPr>
        <w:t>r</w:t>
      </w:r>
      <w:r>
        <w:rPr>
          <w:color w:val="0D0E0E"/>
        </w:rPr>
        <w:t xml:space="preserve">ities Act or under </w:t>
      </w:r>
      <w:r>
        <w:rPr>
          <w:color w:val="0D0E0E"/>
        </w:rPr>
        <w:lastRenderedPageBreak/>
        <w:t>th</w:t>
      </w:r>
      <w:r>
        <w:rPr>
          <w:color w:val="252326"/>
        </w:rPr>
        <w:t>e s</w:t>
      </w:r>
      <w:r>
        <w:rPr>
          <w:color w:val="0D0E0E"/>
        </w:rPr>
        <w:t>e</w:t>
      </w:r>
      <w:r>
        <w:rPr>
          <w:color w:val="252326"/>
        </w:rPr>
        <w:t>c</w:t>
      </w:r>
      <w:r>
        <w:rPr>
          <w:color w:val="0D0E0E"/>
        </w:rPr>
        <w:t>u</w:t>
      </w:r>
      <w:r>
        <w:rPr>
          <w:color w:val="252326"/>
        </w:rPr>
        <w:t>r</w:t>
      </w:r>
      <w:r>
        <w:rPr>
          <w:color w:val="0D0E0E"/>
        </w:rPr>
        <w:t>ities la</w:t>
      </w:r>
      <w:r>
        <w:rPr>
          <w:color w:val="252326"/>
        </w:rPr>
        <w:t>w</w:t>
      </w:r>
      <w:r>
        <w:rPr>
          <w:color w:val="0D0E0E"/>
        </w:rPr>
        <w:t xml:space="preserve">s or with </w:t>
      </w:r>
      <w:r>
        <w:rPr>
          <w:color w:val="252326"/>
        </w:rPr>
        <w:t>a</w:t>
      </w:r>
      <w:r>
        <w:rPr>
          <w:color w:val="0D0E0E"/>
        </w:rPr>
        <w:t>n</w:t>
      </w:r>
      <w:r>
        <w:rPr>
          <w:color w:val="252326"/>
        </w:rPr>
        <w:t>y sec</w:t>
      </w:r>
      <w:r>
        <w:rPr>
          <w:color w:val="0D0E0E"/>
        </w:rPr>
        <w:t>uri</w:t>
      </w:r>
      <w:r>
        <w:rPr>
          <w:color w:val="252326"/>
        </w:rPr>
        <w:t>t</w:t>
      </w:r>
      <w:r>
        <w:rPr>
          <w:color w:val="0D0E0E"/>
        </w:rPr>
        <w:t>i</w:t>
      </w:r>
      <w:r>
        <w:rPr>
          <w:color w:val="252326"/>
        </w:rPr>
        <w:t xml:space="preserve">es </w:t>
      </w:r>
      <w:r>
        <w:rPr>
          <w:color w:val="0D0E0E"/>
        </w:rPr>
        <w:t>r</w:t>
      </w:r>
      <w:r>
        <w:rPr>
          <w:color w:val="252326"/>
        </w:rPr>
        <w:t>eg</w:t>
      </w:r>
      <w:r>
        <w:rPr>
          <w:color w:val="0D0E0E"/>
        </w:rPr>
        <w:t>ulat</w:t>
      </w:r>
      <w:r>
        <w:rPr>
          <w:color w:val="252326"/>
        </w:rPr>
        <w:t>o</w:t>
      </w:r>
      <w:r>
        <w:rPr>
          <w:color w:val="0D0E0E"/>
        </w:rPr>
        <w:t xml:space="preserve">ry </w:t>
      </w:r>
      <w:r>
        <w:rPr>
          <w:color w:val="252326"/>
        </w:rPr>
        <w:t>a</w:t>
      </w:r>
      <w:r>
        <w:rPr>
          <w:color w:val="0D0E0E"/>
        </w:rPr>
        <w:t>u</w:t>
      </w:r>
      <w:r>
        <w:rPr>
          <w:color w:val="252326"/>
        </w:rPr>
        <w:t>t</w:t>
      </w:r>
      <w:r>
        <w:rPr>
          <w:color w:val="0D0E0E"/>
        </w:rPr>
        <w:t xml:space="preserve">hority </w:t>
      </w:r>
      <w:r>
        <w:rPr>
          <w:color w:val="252326"/>
        </w:rPr>
        <w:t>o</w:t>
      </w:r>
      <w:r>
        <w:rPr>
          <w:color w:val="0D0E0E"/>
        </w:rPr>
        <w:t xml:space="preserve">f </w:t>
      </w:r>
      <w:r>
        <w:rPr>
          <w:color w:val="252326"/>
        </w:rPr>
        <w:t>a</w:t>
      </w:r>
      <w:r>
        <w:rPr>
          <w:color w:val="0D0E0E"/>
        </w:rPr>
        <w:t xml:space="preserve">ny </w:t>
      </w:r>
      <w:r>
        <w:rPr>
          <w:color w:val="252326"/>
        </w:rPr>
        <w:t>sta</w:t>
      </w:r>
      <w:r>
        <w:rPr>
          <w:color w:val="0D0E0E"/>
        </w:rPr>
        <w:t>t</w:t>
      </w:r>
      <w:r>
        <w:rPr>
          <w:color w:val="252326"/>
        </w:rPr>
        <w:t xml:space="preserve">e </w:t>
      </w:r>
      <w:r>
        <w:rPr>
          <w:color w:val="0D0E0E"/>
        </w:rPr>
        <w:t xml:space="preserve">or </w:t>
      </w:r>
      <w:r>
        <w:rPr>
          <w:color w:val="252326"/>
        </w:rPr>
        <w:t>o</w:t>
      </w:r>
      <w:r>
        <w:rPr>
          <w:color w:val="0D0E0E"/>
        </w:rPr>
        <w:t>th</w:t>
      </w:r>
      <w:r>
        <w:rPr>
          <w:color w:val="252326"/>
        </w:rPr>
        <w:t>e</w:t>
      </w:r>
      <w:r>
        <w:rPr>
          <w:color w:val="0D0E0E"/>
        </w:rPr>
        <w:t>r juri</w:t>
      </w:r>
      <w:r>
        <w:rPr>
          <w:color w:val="252326"/>
        </w:rPr>
        <w:t>s</w:t>
      </w:r>
      <w:r>
        <w:rPr>
          <w:color w:val="0D0E0E"/>
        </w:rPr>
        <w:t>di</w:t>
      </w:r>
      <w:r>
        <w:rPr>
          <w:color w:val="252326"/>
        </w:rPr>
        <w:t>c</w:t>
      </w:r>
      <w:r>
        <w:rPr>
          <w:color w:val="0D0E0E"/>
        </w:rPr>
        <w:t>tion of the United St</w:t>
      </w:r>
      <w:r>
        <w:rPr>
          <w:color w:val="252326"/>
        </w:rPr>
        <w:t>a</w:t>
      </w:r>
      <w:r>
        <w:rPr>
          <w:color w:val="0D0E0E"/>
        </w:rPr>
        <w:t>te</w:t>
      </w:r>
      <w:r>
        <w:rPr>
          <w:color w:val="252326"/>
        </w:rPr>
        <w:t>s o</w:t>
      </w:r>
      <w:r>
        <w:rPr>
          <w:color w:val="0D0E0E"/>
        </w:rPr>
        <w:t>r</w:t>
      </w:r>
      <w:r>
        <w:rPr>
          <w:color w:val="0D0E0E"/>
          <w:spacing w:val="23"/>
        </w:rPr>
        <w:t xml:space="preserve"> </w:t>
      </w:r>
      <w:r>
        <w:rPr>
          <w:color w:val="252326"/>
        </w:rPr>
        <w:t>o</w:t>
      </w:r>
      <w:r>
        <w:rPr>
          <w:color w:val="0D0E0E"/>
        </w:rPr>
        <w:t>f</w:t>
      </w:r>
      <w:r>
        <w:rPr>
          <w:color w:val="0D0E0E"/>
          <w:spacing w:val="25"/>
        </w:rPr>
        <w:t xml:space="preserve"> </w:t>
      </w:r>
      <w:r>
        <w:rPr>
          <w:color w:val="0D0E0E"/>
        </w:rPr>
        <w:t>any</w:t>
      </w:r>
      <w:r>
        <w:rPr>
          <w:color w:val="0D0E0E"/>
          <w:spacing w:val="23"/>
        </w:rPr>
        <w:t xml:space="preserve"> </w:t>
      </w:r>
      <w:r>
        <w:rPr>
          <w:color w:val="0D0E0E"/>
        </w:rPr>
        <w:t>provin</w:t>
      </w:r>
      <w:r>
        <w:rPr>
          <w:color w:val="252326"/>
        </w:rPr>
        <w:t>ce</w:t>
      </w:r>
      <w:r>
        <w:rPr>
          <w:color w:val="252326"/>
          <w:spacing w:val="25"/>
        </w:rPr>
        <w:t xml:space="preserve"> </w:t>
      </w:r>
      <w:r>
        <w:rPr>
          <w:color w:val="252326"/>
        </w:rPr>
        <w:t>o</w:t>
      </w:r>
      <w:r>
        <w:rPr>
          <w:color w:val="0D0E0E"/>
        </w:rPr>
        <w:t>r</w:t>
      </w:r>
      <w:r>
        <w:rPr>
          <w:color w:val="0D0E0E"/>
          <w:spacing w:val="23"/>
        </w:rPr>
        <w:t xml:space="preserve"> </w:t>
      </w:r>
      <w:r>
        <w:rPr>
          <w:color w:val="0D0E0E"/>
        </w:rPr>
        <w:t>t</w:t>
      </w:r>
      <w:r>
        <w:rPr>
          <w:color w:val="252326"/>
        </w:rPr>
        <w:t>e</w:t>
      </w:r>
      <w:r>
        <w:rPr>
          <w:color w:val="0D0E0E"/>
        </w:rPr>
        <w:t>rrit</w:t>
      </w:r>
      <w:r>
        <w:rPr>
          <w:color w:val="252326"/>
        </w:rPr>
        <w:t>ory</w:t>
      </w:r>
      <w:r>
        <w:rPr>
          <w:color w:val="252326"/>
          <w:spacing w:val="21"/>
        </w:rPr>
        <w:t xml:space="preserve"> </w:t>
      </w:r>
      <w:r>
        <w:rPr>
          <w:color w:val="252326"/>
        </w:rPr>
        <w:t>o</w:t>
      </w:r>
      <w:r>
        <w:rPr>
          <w:color w:val="0D0E0E"/>
        </w:rPr>
        <w:t>f</w:t>
      </w:r>
      <w:r>
        <w:rPr>
          <w:color w:val="0D0E0E"/>
          <w:spacing w:val="25"/>
        </w:rPr>
        <w:t xml:space="preserve"> </w:t>
      </w:r>
      <w:r>
        <w:rPr>
          <w:color w:val="252326"/>
        </w:rPr>
        <w:t>Ca</w:t>
      </w:r>
      <w:r>
        <w:rPr>
          <w:color w:val="0D0E0E"/>
        </w:rPr>
        <w:t>n</w:t>
      </w:r>
      <w:r>
        <w:rPr>
          <w:color w:val="252326"/>
        </w:rPr>
        <w:t>a</w:t>
      </w:r>
      <w:r>
        <w:rPr>
          <w:color w:val="0D0E0E"/>
        </w:rPr>
        <w:t>d</w:t>
      </w:r>
      <w:r>
        <w:rPr>
          <w:color w:val="252326"/>
        </w:rPr>
        <w:t>a,</w:t>
      </w:r>
      <w:r>
        <w:rPr>
          <w:color w:val="252326"/>
          <w:spacing w:val="22"/>
        </w:rPr>
        <w:t xml:space="preserve"> </w:t>
      </w:r>
      <w:r>
        <w:rPr>
          <w:color w:val="0D0E0E"/>
        </w:rPr>
        <w:t>Au</w:t>
      </w:r>
      <w:r>
        <w:rPr>
          <w:color w:val="252326"/>
        </w:rPr>
        <w:t>s</w:t>
      </w:r>
      <w:r>
        <w:rPr>
          <w:color w:val="0D0E0E"/>
        </w:rPr>
        <w:t>tralia</w:t>
      </w:r>
      <w:r>
        <w:rPr>
          <w:color w:val="252326"/>
        </w:rPr>
        <w:t>,</w:t>
      </w:r>
      <w:r>
        <w:rPr>
          <w:color w:val="252326"/>
          <w:spacing w:val="25"/>
        </w:rPr>
        <w:t xml:space="preserve"> </w:t>
      </w:r>
      <w:r>
        <w:rPr>
          <w:color w:val="0D0E0E"/>
        </w:rPr>
        <w:t>th</w:t>
      </w:r>
      <w:r>
        <w:rPr>
          <w:color w:val="252326"/>
        </w:rPr>
        <w:t>e</w:t>
      </w:r>
      <w:r>
        <w:rPr>
          <w:color w:val="252326"/>
          <w:spacing w:val="24"/>
        </w:rPr>
        <w:t xml:space="preserve"> </w:t>
      </w:r>
      <w:r>
        <w:rPr>
          <w:color w:val="0D0E0E"/>
        </w:rPr>
        <w:t>R</w:t>
      </w:r>
      <w:r>
        <w:rPr>
          <w:color w:val="252326"/>
        </w:rPr>
        <w:t>e</w:t>
      </w:r>
      <w:r>
        <w:rPr>
          <w:color w:val="0D0E0E"/>
        </w:rPr>
        <w:t>publi</w:t>
      </w:r>
      <w:r>
        <w:rPr>
          <w:color w:val="252326"/>
        </w:rPr>
        <w:t>c</w:t>
      </w:r>
      <w:r>
        <w:rPr>
          <w:color w:val="252326"/>
          <w:spacing w:val="23"/>
        </w:rPr>
        <w:t xml:space="preserve"> </w:t>
      </w:r>
      <w:r>
        <w:rPr>
          <w:color w:val="0D0E0E"/>
        </w:rPr>
        <w:t>of</w:t>
      </w:r>
      <w:r>
        <w:rPr>
          <w:color w:val="0D0E0E"/>
          <w:spacing w:val="25"/>
        </w:rPr>
        <w:t xml:space="preserve"> </w:t>
      </w:r>
      <w:r>
        <w:rPr>
          <w:color w:val="252326"/>
        </w:rPr>
        <w:t>S</w:t>
      </w:r>
      <w:r>
        <w:rPr>
          <w:color w:val="0D0E0E"/>
        </w:rPr>
        <w:t>outh</w:t>
      </w:r>
      <w:r>
        <w:rPr>
          <w:color w:val="0D0E0E"/>
          <w:spacing w:val="25"/>
        </w:rPr>
        <w:t xml:space="preserve"> </w:t>
      </w:r>
      <w:r>
        <w:rPr>
          <w:color w:val="252326"/>
        </w:rPr>
        <w:t>A</w:t>
      </w:r>
      <w:r>
        <w:rPr>
          <w:color w:val="0D0E0E"/>
        </w:rPr>
        <w:t>fri</w:t>
      </w:r>
      <w:r>
        <w:rPr>
          <w:color w:val="252326"/>
        </w:rPr>
        <w:t>ca</w:t>
      </w:r>
      <w:r>
        <w:rPr>
          <w:color w:val="252326"/>
          <w:spacing w:val="23"/>
        </w:rPr>
        <w:t xml:space="preserve"> </w:t>
      </w:r>
      <w:r>
        <w:rPr>
          <w:color w:val="0D0E0E"/>
        </w:rPr>
        <w:t>or</w:t>
      </w:r>
      <w:r>
        <w:rPr>
          <w:color w:val="0D0E0E"/>
          <w:spacing w:val="21"/>
        </w:rPr>
        <w:t xml:space="preserve"> </w:t>
      </w:r>
      <w:r>
        <w:rPr>
          <w:color w:val="0D0E0E"/>
        </w:rPr>
        <w:t>Japan.</w:t>
      </w:r>
      <w:r>
        <w:rPr>
          <w:color w:val="0D0E0E"/>
          <w:spacing w:val="25"/>
        </w:rPr>
        <w:t xml:space="preserve"> </w:t>
      </w:r>
      <w:r>
        <w:rPr>
          <w:color w:val="0D0E0E"/>
        </w:rPr>
        <w:t>Subject</w:t>
      </w:r>
      <w:r>
        <w:rPr>
          <w:color w:val="0D0E0E"/>
          <w:spacing w:val="25"/>
        </w:rPr>
        <w:t xml:space="preserve"> </w:t>
      </w:r>
      <w:r>
        <w:rPr>
          <w:color w:val="0D0E0E"/>
        </w:rPr>
        <w:t>t</w:t>
      </w:r>
      <w:r>
        <w:rPr>
          <w:color w:val="252326"/>
        </w:rPr>
        <w:t>o</w:t>
      </w:r>
      <w:r>
        <w:rPr>
          <w:color w:val="252326"/>
          <w:spacing w:val="23"/>
        </w:rPr>
        <w:t xml:space="preserve"> </w:t>
      </w:r>
      <w:r>
        <w:rPr>
          <w:color w:val="0D0E0E"/>
        </w:rPr>
        <w:t>cert</w:t>
      </w:r>
      <w:r>
        <w:rPr>
          <w:color w:val="252326"/>
        </w:rPr>
        <w:t>a</w:t>
      </w:r>
      <w:r>
        <w:rPr>
          <w:color w:val="0D0E0E"/>
        </w:rPr>
        <w:t>in</w:t>
      </w:r>
      <w:r w:rsidR="00B7193E">
        <w:rPr>
          <w:color w:val="0D0E0E"/>
        </w:rPr>
        <w:t xml:space="preserve"> </w:t>
      </w:r>
      <w:r>
        <w:rPr>
          <w:color w:val="0D0E0E"/>
        </w:rPr>
        <w:t>e</w:t>
      </w:r>
      <w:r>
        <w:rPr>
          <w:color w:val="252326"/>
        </w:rPr>
        <w:t>x</w:t>
      </w:r>
      <w:r>
        <w:rPr>
          <w:color w:val="0D0E0E"/>
        </w:rPr>
        <w:t>ception</w:t>
      </w:r>
      <w:r>
        <w:rPr>
          <w:color w:val="252326"/>
        </w:rPr>
        <w:t xml:space="preserve">s, </w:t>
      </w:r>
      <w:r>
        <w:rPr>
          <w:color w:val="0D0E0E"/>
        </w:rPr>
        <w:t>th</w:t>
      </w:r>
      <w:r>
        <w:rPr>
          <w:color w:val="252326"/>
        </w:rPr>
        <w:t xml:space="preserve">e </w:t>
      </w:r>
      <w:r>
        <w:rPr>
          <w:color w:val="0D0E0E"/>
        </w:rPr>
        <w:t>Ordin</w:t>
      </w:r>
      <w:r>
        <w:rPr>
          <w:color w:val="252326"/>
        </w:rPr>
        <w:t>a</w:t>
      </w:r>
      <w:r>
        <w:rPr>
          <w:color w:val="0D0E0E"/>
        </w:rPr>
        <w:t xml:space="preserve">ry </w:t>
      </w:r>
      <w:r>
        <w:rPr>
          <w:color w:val="252326"/>
        </w:rPr>
        <w:t>S</w:t>
      </w:r>
      <w:r>
        <w:rPr>
          <w:color w:val="0D0E0E"/>
        </w:rPr>
        <w:t>h</w:t>
      </w:r>
      <w:r>
        <w:rPr>
          <w:color w:val="252326"/>
        </w:rPr>
        <w:t>a</w:t>
      </w:r>
      <w:r>
        <w:rPr>
          <w:color w:val="0D0E0E"/>
        </w:rPr>
        <w:t>r</w:t>
      </w:r>
      <w:r>
        <w:rPr>
          <w:color w:val="252326"/>
        </w:rPr>
        <w:t xml:space="preserve">es </w:t>
      </w:r>
      <w:r>
        <w:rPr>
          <w:color w:val="0D0E0E"/>
        </w:rPr>
        <w:t>m</w:t>
      </w:r>
      <w:r>
        <w:rPr>
          <w:color w:val="252326"/>
        </w:rPr>
        <w:t xml:space="preserve">ay </w:t>
      </w:r>
      <w:r>
        <w:rPr>
          <w:color w:val="0D0E0E"/>
        </w:rPr>
        <w:t>n</w:t>
      </w:r>
      <w:r>
        <w:rPr>
          <w:color w:val="252326"/>
        </w:rPr>
        <w:t>o</w:t>
      </w:r>
      <w:r>
        <w:rPr>
          <w:color w:val="0D0E0E"/>
        </w:rPr>
        <w:t>t</w:t>
      </w:r>
      <w:r>
        <w:rPr>
          <w:color w:val="252326"/>
        </w:rPr>
        <w:t>, d</w:t>
      </w:r>
      <w:r>
        <w:rPr>
          <w:color w:val="0D0E0E"/>
        </w:rPr>
        <w:t>irectly or indir</w:t>
      </w:r>
      <w:r>
        <w:rPr>
          <w:color w:val="252326"/>
        </w:rPr>
        <w:t>ect</w:t>
      </w:r>
      <w:r>
        <w:rPr>
          <w:color w:val="0D0E0E"/>
        </w:rPr>
        <w:t>l</w:t>
      </w:r>
      <w:r>
        <w:rPr>
          <w:color w:val="252326"/>
        </w:rPr>
        <w:t xml:space="preserve">y, </w:t>
      </w:r>
      <w:r>
        <w:rPr>
          <w:color w:val="0D0E0E"/>
        </w:rPr>
        <w:t>b</w:t>
      </w:r>
      <w:r>
        <w:rPr>
          <w:color w:val="252326"/>
        </w:rPr>
        <w:t xml:space="preserve">e </w:t>
      </w:r>
      <w:r>
        <w:rPr>
          <w:color w:val="0D0E0E"/>
        </w:rPr>
        <w:t xml:space="preserve">offered, </w:t>
      </w:r>
      <w:r>
        <w:rPr>
          <w:color w:val="252326"/>
        </w:rPr>
        <w:t>so</w:t>
      </w:r>
      <w:r>
        <w:rPr>
          <w:color w:val="0D0E0E"/>
        </w:rPr>
        <w:t>ld</w:t>
      </w:r>
      <w:r>
        <w:rPr>
          <w:color w:val="252326"/>
        </w:rPr>
        <w:t>, ta</w:t>
      </w:r>
      <w:r>
        <w:rPr>
          <w:color w:val="0D0E0E"/>
        </w:rPr>
        <w:t>k</w:t>
      </w:r>
      <w:r>
        <w:rPr>
          <w:color w:val="252326"/>
        </w:rPr>
        <w:t>e</w:t>
      </w:r>
      <w:r>
        <w:rPr>
          <w:color w:val="0D0E0E"/>
        </w:rPr>
        <w:t xml:space="preserve">n up </w:t>
      </w:r>
      <w:r>
        <w:rPr>
          <w:color w:val="252326"/>
        </w:rPr>
        <w:t>o</w:t>
      </w:r>
      <w:r>
        <w:rPr>
          <w:color w:val="0D0E0E"/>
        </w:rPr>
        <w:t>r delivered in, int</w:t>
      </w:r>
      <w:r>
        <w:rPr>
          <w:color w:val="252326"/>
        </w:rPr>
        <w:t>o o</w:t>
      </w:r>
      <w:r>
        <w:rPr>
          <w:color w:val="0D0E0E"/>
        </w:rPr>
        <w:t xml:space="preserve">r </w:t>
      </w:r>
      <w:r>
        <w:rPr>
          <w:color w:val="252326"/>
        </w:rPr>
        <w:t>f</w:t>
      </w:r>
      <w:r>
        <w:rPr>
          <w:color w:val="0D0E0E"/>
        </w:rPr>
        <w:t>r</w:t>
      </w:r>
      <w:r>
        <w:rPr>
          <w:color w:val="252326"/>
        </w:rPr>
        <w:t>om</w:t>
      </w:r>
      <w:r>
        <w:rPr>
          <w:color w:val="252326"/>
          <w:spacing w:val="-4"/>
        </w:rPr>
        <w:t xml:space="preserve"> </w:t>
      </w:r>
      <w:r>
        <w:rPr>
          <w:color w:val="0D0E0E"/>
        </w:rPr>
        <w:t>the</w:t>
      </w:r>
      <w:r>
        <w:rPr>
          <w:color w:val="0D0E0E"/>
          <w:spacing w:val="-4"/>
        </w:rPr>
        <w:t xml:space="preserve"> </w:t>
      </w:r>
      <w:r>
        <w:rPr>
          <w:color w:val="0D0E0E"/>
        </w:rPr>
        <w:t>Uni</w:t>
      </w:r>
      <w:r>
        <w:rPr>
          <w:color w:val="252326"/>
        </w:rPr>
        <w:t>t</w:t>
      </w:r>
      <w:r>
        <w:rPr>
          <w:color w:val="0D0E0E"/>
        </w:rPr>
        <w:t>ed</w:t>
      </w:r>
      <w:r>
        <w:rPr>
          <w:color w:val="0D0E0E"/>
          <w:spacing w:val="-4"/>
        </w:rPr>
        <w:t xml:space="preserve"> </w:t>
      </w:r>
      <w:r>
        <w:rPr>
          <w:color w:val="252326"/>
        </w:rPr>
        <w:t>S</w:t>
      </w:r>
      <w:r>
        <w:rPr>
          <w:color w:val="0D0E0E"/>
        </w:rPr>
        <w:t>t</w:t>
      </w:r>
      <w:r>
        <w:rPr>
          <w:color w:val="252326"/>
        </w:rPr>
        <w:t>a</w:t>
      </w:r>
      <w:r>
        <w:rPr>
          <w:color w:val="0D0E0E"/>
        </w:rPr>
        <w:t>t</w:t>
      </w:r>
      <w:r>
        <w:rPr>
          <w:color w:val="252326"/>
        </w:rPr>
        <w:t>es,</w:t>
      </w:r>
      <w:r>
        <w:rPr>
          <w:color w:val="252326"/>
          <w:spacing w:val="-4"/>
        </w:rPr>
        <w:t xml:space="preserve"> </w:t>
      </w:r>
      <w:r>
        <w:rPr>
          <w:color w:val="0D0E0E"/>
        </w:rPr>
        <w:t>C</w:t>
      </w:r>
      <w:r>
        <w:rPr>
          <w:color w:val="252326"/>
        </w:rPr>
        <w:t>a</w:t>
      </w:r>
      <w:r>
        <w:rPr>
          <w:color w:val="0D0E0E"/>
        </w:rPr>
        <w:t>n</w:t>
      </w:r>
      <w:r>
        <w:rPr>
          <w:color w:val="252326"/>
        </w:rPr>
        <w:t>a</w:t>
      </w:r>
      <w:r>
        <w:rPr>
          <w:color w:val="0D0E0E"/>
        </w:rPr>
        <w:t>d</w:t>
      </w:r>
      <w:r>
        <w:rPr>
          <w:color w:val="252326"/>
        </w:rPr>
        <w:t>a,</w:t>
      </w:r>
      <w:r>
        <w:rPr>
          <w:color w:val="252326"/>
          <w:spacing w:val="-5"/>
        </w:rPr>
        <w:t xml:space="preserve"> </w:t>
      </w:r>
      <w:r>
        <w:rPr>
          <w:color w:val="0D0E0E"/>
        </w:rPr>
        <w:t>Au</w:t>
      </w:r>
      <w:r>
        <w:rPr>
          <w:color w:val="252326"/>
        </w:rPr>
        <w:t>s</w:t>
      </w:r>
      <w:r>
        <w:rPr>
          <w:color w:val="0D0E0E"/>
        </w:rPr>
        <w:t>t</w:t>
      </w:r>
      <w:r>
        <w:rPr>
          <w:color w:val="252326"/>
        </w:rPr>
        <w:t>ra</w:t>
      </w:r>
      <w:r>
        <w:rPr>
          <w:color w:val="0D0E0E"/>
        </w:rPr>
        <w:t>li</w:t>
      </w:r>
      <w:r>
        <w:rPr>
          <w:color w:val="252326"/>
        </w:rPr>
        <w:t>a,</w:t>
      </w:r>
      <w:r>
        <w:rPr>
          <w:color w:val="252326"/>
          <w:spacing w:val="-4"/>
        </w:rPr>
        <w:t xml:space="preserve"> </w:t>
      </w:r>
      <w:r>
        <w:rPr>
          <w:color w:val="0D0E0E"/>
        </w:rPr>
        <w:t>the</w:t>
      </w:r>
      <w:r>
        <w:rPr>
          <w:color w:val="0D0E0E"/>
          <w:spacing w:val="-4"/>
        </w:rPr>
        <w:t xml:space="preserve"> </w:t>
      </w:r>
      <w:r>
        <w:rPr>
          <w:color w:val="0D0E0E"/>
        </w:rPr>
        <w:t>Republi</w:t>
      </w:r>
      <w:r>
        <w:rPr>
          <w:color w:val="252326"/>
        </w:rPr>
        <w:t>c</w:t>
      </w:r>
      <w:r>
        <w:rPr>
          <w:color w:val="252326"/>
          <w:spacing w:val="-3"/>
        </w:rPr>
        <w:t xml:space="preserve"> </w:t>
      </w:r>
      <w:r>
        <w:rPr>
          <w:color w:val="252326"/>
        </w:rPr>
        <w:t>o</w:t>
      </w:r>
      <w:r>
        <w:rPr>
          <w:color w:val="0D0E0E"/>
        </w:rPr>
        <w:t>f</w:t>
      </w:r>
      <w:r>
        <w:rPr>
          <w:color w:val="0D0E0E"/>
          <w:spacing w:val="-4"/>
        </w:rPr>
        <w:t xml:space="preserve"> </w:t>
      </w:r>
      <w:r>
        <w:rPr>
          <w:color w:val="252326"/>
        </w:rPr>
        <w:t>So</w:t>
      </w:r>
      <w:r>
        <w:rPr>
          <w:color w:val="0D0E0E"/>
        </w:rPr>
        <w:t>uth</w:t>
      </w:r>
      <w:r>
        <w:rPr>
          <w:color w:val="0D0E0E"/>
          <w:spacing w:val="-5"/>
        </w:rPr>
        <w:t xml:space="preserve"> </w:t>
      </w:r>
      <w:r>
        <w:rPr>
          <w:color w:val="0D0E0E"/>
        </w:rPr>
        <w:t>Afr</w:t>
      </w:r>
      <w:r>
        <w:rPr>
          <w:color w:val="252326"/>
        </w:rPr>
        <w:t>ica</w:t>
      </w:r>
      <w:r>
        <w:rPr>
          <w:color w:val="252326"/>
          <w:spacing w:val="-4"/>
        </w:rPr>
        <w:t xml:space="preserve"> </w:t>
      </w:r>
      <w:r>
        <w:rPr>
          <w:color w:val="252326"/>
        </w:rPr>
        <w:t>o</w:t>
      </w:r>
      <w:r>
        <w:rPr>
          <w:color w:val="0D0E0E"/>
        </w:rPr>
        <w:t>r</w:t>
      </w:r>
      <w:r>
        <w:rPr>
          <w:color w:val="0D0E0E"/>
          <w:spacing w:val="-4"/>
        </w:rPr>
        <w:t xml:space="preserve"> </w:t>
      </w:r>
      <w:r>
        <w:rPr>
          <w:color w:val="0D0E0E"/>
        </w:rPr>
        <w:t>J</w:t>
      </w:r>
      <w:r>
        <w:rPr>
          <w:color w:val="252326"/>
        </w:rPr>
        <w:t>a</w:t>
      </w:r>
      <w:r>
        <w:rPr>
          <w:color w:val="0D0E0E"/>
        </w:rPr>
        <w:t>p</w:t>
      </w:r>
      <w:r>
        <w:rPr>
          <w:color w:val="252326"/>
        </w:rPr>
        <w:t>a</w:t>
      </w:r>
      <w:r>
        <w:rPr>
          <w:color w:val="0D0E0E"/>
        </w:rPr>
        <w:t>n</w:t>
      </w:r>
      <w:r>
        <w:rPr>
          <w:color w:val="0D0E0E"/>
          <w:spacing w:val="-4"/>
        </w:rPr>
        <w:t xml:space="preserve"> </w:t>
      </w:r>
      <w:r>
        <w:rPr>
          <w:color w:val="252326"/>
        </w:rPr>
        <w:t>o</w:t>
      </w:r>
      <w:r>
        <w:rPr>
          <w:color w:val="0D0E0E"/>
        </w:rPr>
        <w:t>r</w:t>
      </w:r>
      <w:r>
        <w:rPr>
          <w:color w:val="0D0E0E"/>
          <w:spacing w:val="-5"/>
        </w:rPr>
        <w:t xml:space="preserve"> </w:t>
      </w:r>
      <w:r>
        <w:rPr>
          <w:color w:val="0D0E0E"/>
        </w:rPr>
        <w:t>to</w:t>
      </w:r>
      <w:r>
        <w:rPr>
          <w:color w:val="0D0E0E"/>
          <w:spacing w:val="-4"/>
        </w:rPr>
        <w:t xml:space="preserve"> </w:t>
      </w:r>
      <w:r>
        <w:rPr>
          <w:color w:val="0D0E0E"/>
        </w:rPr>
        <w:t>or</w:t>
      </w:r>
      <w:r>
        <w:rPr>
          <w:color w:val="0D0E0E"/>
          <w:spacing w:val="-4"/>
        </w:rPr>
        <w:t xml:space="preserve"> </w:t>
      </w:r>
      <w:r>
        <w:rPr>
          <w:color w:val="0D0E0E"/>
        </w:rPr>
        <w:t>for</w:t>
      </w:r>
      <w:r>
        <w:rPr>
          <w:color w:val="0D0E0E"/>
          <w:spacing w:val="-4"/>
        </w:rPr>
        <w:t xml:space="preserve"> </w:t>
      </w:r>
      <w:r>
        <w:rPr>
          <w:color w:val="0D0E0E"/>
        </w:rPr>
        <w:t>the</w:t>
      </w:r>
      <w:r>
        <w:rPr>
          <w:color w:val="0D0E0E"/>
          <w:spacing w:val="-4"/>
        </w:rPr>
        <w:t xml:space="preserve"> </w:t>
      </w:r>
      <w:r>
        <w:rPr>
          <w:color w:val="252326"/>
        </w:rPr>
        <w:t>a</w:t>
      </w:r>
      <w:r>
        <w:rPr>
          <w:color w:val="0D0E0E"/>
        </w:rPr>
        <w:t>c</w:t>
      </w:r>
      <w:r>
        <w:rPr>
          <w:color w:val="252326"/>
        </w:rPr>
        <w:t>co</w:t>
      </w:r>
      <w:r>
        <w:rPr>
          <w:color w:val="0D0E0E"/>
        </w:rPr>
        <w:t>unt</w:t>
      </w:r>
      <w:r>
        <w:rPr>
          <w:color w:val="0D0E0E"/>
          <w:spacing w:val="-5"/>
        </w:rPr>
        <w:t xml:space="preserve"> </w:t>
      </w:r>
      <w:r>
        <w:rPr>
          <w:color w:val="252326"/>
        </w:rPr>
        <w:t>o</w:t>
      </w:r>
      <w:r>
        <w:rPr>
          <w:color w:val="0D0E0E"/>
        </w:rPr>
        <w:t>r</w:t>
      </w:r>
      <w:r>
        <w:rPr>
          <w:color w:val="0D0E0E"/>
          <w:spacing w:val="-4"/>
        </w:rPr>
        <w:t xml:space="preserve"> </w:t>
      </w:r>
      <w:r>
        <w:rPr>
          <w:color w:val="0D0E0E"/>
        </w:rPr>
        <w:t>b</w:t>
      </w:r>
      <w:r>
        <w:rPr>
          <w:color w:val="252326"/>
        </w:rPr>
        <w:t>e</w:t>
      </w:r>
      <w:r>
        <w:rPr>
          <w:color w:val="0D0E0E"/>
        </w:rPr>
        <w:t>nef</w:t>
      </w:r>
      <w:r>
        <w:rPr>
          <w:color w:val="252326"/>
        </w:rPr>
        <w:t>i</w:t>
      </w:r>
      <w:r>
        <w:rPr>
          <w:color w:val="0D0E0E"/>
        </w:rPr>
        <w:t xml:space="preserve">t </w:t>
      </w:r>
      <w:r>
        <w:rPr>
          <w:color w:val="252326"/>
        </w:rPr>
        <w:t>o</w:t>
      </w:r>
      <w:r>
        <w:rPr>
          <w:color w:val="0D0E0E"/>
        </w:rPr>
        <w:t>f an</w:t>
      </w:r>
      <w:r>
        <w:rPr>
          <w:color w:val="252326"/>
        </w:rPr>
        <w:t>y nat</w:t>
      </w:r>
      <w:r>
        <w:rPr>
          <w:color w:val="0D0E0E"/>
        </w:rPr>
        <w:t>i</w:t>
      </w:r>
      <w:r>
        <w:rPr>
          <w:color w:val="252326"/>
        </w:rPr>
        <w:t>o</w:t>
      </w:r>
      <w:r>
        <w:rPr>
          <w:color w:val="0D0E0E"/>
        </w:rPr>
        <w:t>n</w:t>
      </w:r>
      <w:r>
        <w:rPr>
          <w:color w:val="252326"/>
        </w:rPr>
        <w:t>a</w:t>
      </w:r>
      <w:r>
        <w:rPr>
          <w:color w:val="0D0E0E"/>
        </w:rPr>
        <w:t>l</w:t>
      </w:r>
      <w:r>
        <w:rPr>
          <w:color w:val="231F20"/>
        </w:rPr>
        <w:t xml:space="preserve">, </w:t>
      </w:r>
      <w:r>
        <w:rPr>
          <w:color w:val="0D0E0E"/>
        </w:rPr>
        <w:t>r</w:t>
      </w:r>
      <w:r>
        <w:rPr>
          <w:color w:val="252326"/>
        </w:rPr>
        <w:t>es</w:t>
      </w:r>
      <w:r>
        <w:rPr>
          <w:color w:val="0D0E0E"/>
        </w:rPr>
        <w:t>id</w:t>
      </w:r>
      <w:r>
        <w:rPr>
          <w:color w:val="252326"/>
        </w:rPr>
        <w:t>e</w:t>
      </w:r>
      <w:r>
        <w:rPr>
          <w:color w:val="0D0E0E"/>
        </w:rPr>
        <w:t xml:space="preserve">nt </w:t>
      </w:r>
      <w:r>
        <w:rPr>
          <w:color w:val="252326"/>
        </w:rPr>
        <w:t>o</w:t>
      </w:r>
      <w:r>
        <w:rPr>
          <w:color w:val="0D0E0E"/>
        </w:rPr>
        <w:t xml:space="preserve">r </w:t>
      </w:r>
      <w:r>
        <w:rPr>
          <w:color w:val="252326"/>
        </w:rPr>
        <w:t>c</w:t>
      </w:r>
      <w:r>
        <w:rPr>
          <w:color w:val="0D0E0E"/>
        </w:rPr>
        <w:t>iti</w:t>
      </w:r>
      <w:r>
        <w:rPr>
          <w:color w:val="252326"/>
        </w:rPr>
        <w:t>ze</w:t>
      </w:r>
      <w:r>
        <w:rPr>
          <w:color w:val="0D0E0E"/>
        </w:rPr>
        <w:t xml:space="preserve">n </w:t>
      </w:r>
      <w:r>
        <w:rPr>
          <w:color w:val="252326"/>
        </w:rPr>
        <w:t>o</w:t>
      </w:r>
      <w:r>
        <w:rPr>
          <w:color w:val="0D0E0E"/>
        </w:rPr>
        <w:t>f the United St</w:t>
      </w:r>
      <w:r>
        <w:rPr>
          <w:color w:val="252326"/>
        </w:rPr>
        <w:t>a</w:t>
      </w:r>
      <w:r>
        <w:rPr>
          <w:color w:val="0D0E0E"/>
        </w:rPr>
        <w:t>t</w:t>
      </w:r>
      <w:r>
        <w:rPr>
          <w:color w:val="252326"/>
        </w:rPr>
        <w:t>es, o</w:t>
      </w:r>
      <w:r>
        <w:rPr>
          <w:color w:val="0D0E0E"/>
        </w:rPr>
        <w:t xml:space="preserve">r </w:t>
      </w:r>
      <w:r>
        <w:rPr>
          <w:color w:val="252326"/>
        </w:rPr>
        <w:t>a</w:t>
      </w:r>
      <w:r>
        <w:rPr>
          <w:color w:val="0D0E0E"/>
        </w:rPr>
        <w:t>n</w:t>
      </w:r>
      <w:r>
        <w:rPr>
          <w:color w:val="252326"/>
        </w:rPr>
        <w:t xml:space="preserve">y </w:t>
      </w:r>
      <w:r>
        <w:rPr>
          <w:color w:val="0D0E0E"/>
        </w:rPr>
        <w:t>p</w:t>
      </w:r>
      <w:r>
        <w:rPr>
          <w:color w:val="252326"/>
        </w:rPr>
        <w:t>e</w:t>
      </w:r>
      <w:r>
        <w:rPr>
          <w:color w:val="0D0E0E"/>
        </w:rPr>
        <w:t>r</w:t>
      </w:r>
      <w:r>
        <w:rPr>
          <w:color w:val="252326"/>
        </w:rPr>
        <w:t>so</w:t>
      </w:r>
      <w:r>
        <w:rPr>
          <w:color w:val="0D0E0E"/>
        </w:rPr>
        <w:t>n r</w:t>
      </w:r>
      <w:r>
        <w:rPr>
          <w:color w:val="252326"/>
        </w:rPr>
        <w:t>es</w:t>
      </w:r>
      <w:r>
        <w:rPr>
          <w:color w:val="0D0E0E"/>
        </w:rPr>
        <w:t>i</w:t>
      </w:r>
      <w:r>
        <w:rPr>
          <w:color w:val="252326"/>
        </w:rPr>
        <w:t>de</w:t>
      </w:r>
      <w:r>
        <w:rPr>
          <w:color w:val="0D0E0E"/>
        </w:rPr>
        <w:t>nt in C</w:t>
      </w:r>
      <w:r>
        <w:rPr>
          <w:color w:val="252326"/>
        </w:rPr>
        <w:t>ana</w:t>
      </w:r>
      <w:r>
        <w:rPr>
          <w:color w:val="0D0E0E"/>
        </w:rPr>
        <w:t>d</w:t>
      </w:r>
      <w:r>
        <w:rPr>
          <w:color w:val="252326"/>
        </w:rPr>
        <w:t>a, A</w:t>
      </w:r>
      <w:r>
        <w:rPr>
          <w:color w:val="0D0E0E"/>
        </w:rPr>
        <w:t>u</w:t>
      </w:r>
      <w:r>
        <w:rPr>
          <w:color w:val="252326"/>
        </w:rPr>
        <w:t>stra</w:t>
      </w:r>
      <w:r>
        <w:rPr>
          <w:color w:val="0D0E0E"/>
        </w:rPr>
        <w:t>li</w:t>
      </w:r>
      <w:r>
        <w:rPr>
          <w:color w:val="252326"/>
        </w:rPr>
        <w:t>a, t</w:t>
      </w:r>
      <w:r>
        <w:rPr>
          <w:color w:val="0D0E0E"/>
        </w:rPr>
        <w:t>h</w:t>
      </w:r>
      <w:r>
        <w:rPr>
          <w:color w:val="252326"/>
        </w:rPr>
        <w:t>e R</w:t>
      </w:r>
      <w:r>
        <w:rPr>
          <w:color w:val="0D0E0E"/>
        </w:rPr>
        <w:t>ep</w:t>
      </w:r>
      <w:r>
        <w:rPr>
          <w:color w:val="252326"/>
        </w:rPr>
        <w:t>u</w:t>
      </w:r>
      <w:r>
        <w:rPr>
          <w:color w:val="0D0E0E"/>
        </w:rPr>
        <w:t>b</w:t>
      </w:r>
      <w:r>
        <w:rPr>
          <w:color w:val="252326"/>
        </w:rPr>
        <w:t>l</w:t>
      </w:r>
      <w:r>
        <w:rPr>
          <w:color w:val="0D0E0E"/>
        </w:rPr>
        <w:t xml:space="preserve">ic </w:t>
      </w:r>
      <w:r>
        <w:rPr>
          <w:color w:val="252326"/>
        </w:rPr>
        <w:t>o</w:t>
      </w:r>
      <w:r>
        <w:rPr>
          <w:color w:val="0D0E0E"/>
        </w:rPr>
        <w:t xml:space="preserve">f </w:t>
      </w:r>
      <w:r>
        <w:rPr>
          <w:color w:val="252326"/>
        </w:rPr>
        <w:t>So</w:t>
      </w:r>
      <w:r>
        <w:rPr>
          <w:color w:val="0D0E0E"/>
        </w:rPr>
        <w:t>u</w:t>
      </w:r>
      <w:r>
        <w:rPr>
          <w:color w:val="252326"/>
        </w:rPr>
        <w:t>t</w:t>
      </w:r>
      <w:r>
        <w:rPr>
          <w:color w:val="0D0E0E"/>
        </w:rPr>
        <w:t xml:space="preserve">h </w:t>
      </w:r>
      <w:r>
        <w:rPr>
          <w:color w:val="252326"/>
        </w:rPr>
        <w:t>A</w:t>
      </w:r>
      <w:r>
        <w:rPr>
          <w:color w:val="0D0E0E"/>
        </w:rPr>
        <w:t>f</w:t>
      </w:r>
      <w:r>
        <w:rPr>
          <w:color w:val="252326"/>
        </w:rPr>
        <w:t>r</w:t>
      </w:r>
      <w:r>
        <w:rPr>
          <w:color w:val="0D0E0E"/>
        </w:rPr>
        <w:t>i</w:t>
      </w:r>
      <w:r>
        <w:rPr>
          <w:color w:val="252326"/>
        </w:rPr>
        <w:t xml:space="preserve">ca or </w:t>
      </w:r>
      <w:r>
        <w:rPr>
          <w:color w:val="0D0E0E"/>
        </w:rPr>
        <w:t>J</w:t>
      </w:r>
      <w:r>
        <w:rPr>
          <w:color w:val="252326"/>
        </w:rPr>
        <w:t>a</w:t>
      </w:r>
      <w:r>
        <w:rPr>
          <w:color w:val="0D0E0E"/>
        </w:rPr>
        <w:t>p</w:t>
      </w:r>
      <w:r>
        <w:rPr>
          <w:color w:val="252326"/>
        </w:rPr>
        <w:t>a</w:t>
      </w:r>
      <w:r>
        <w:rPr>
          <w:color w:val="0D0E0E"/>
        </w:rPr>
        <w:t>n</w:t>
      </w:r>
      <w:r>
        <w:rPr>
          <w:color w:val="252326"/>
        </w:rPr>
        <w:t xml:space="preserve">. </w:t>
      </w:r>
      <w:r>
        <w:rPr>
          <w:color w:val="0D0E0E"/>
        </w:rPr>
        <w:t xml:space="preserve">The </w:t>
      </w:r>
      <w:r>
        <w:rPr>
          <w:color w:val="252326"/>
        </w:rPr>
        <w:t>d</w:t>
      </w:r>
      <w:r>
        <w:rPr>
          <w:color w:val="0D0E0E"/>
        </w:rPr>
        <w:t>i</w:t>
      </w:r>
      <w:r>
        <w:rPr>
          <w:color w:val="252326"/>
        </w:rPr>
        <w:t>s</w:t>
      </w:r>
      <w:r>
        <w:rPr>
          <w:color w:val="0D0E0E"/>
        </w:rPr>
        <w:t>tributi</w:t>
      </w:r>
      <w:r>
        <w:rPr>
          <w:color w:val="252326"/>
        </w:rPr>
        <w:t>on o</w:t>
      </w:r>
      <w:r>
        <w:rPr>
          <w:color w:val="0D0E0E"/>
        </w:rPr>
        <w:t>f thi</w:t>
      </w:r>
      <w:r>
        <w:rPr>
          <w:color w:val="252326"/>
        </w:rPr>
        <w:t xml:space="preserve">s </w:t>
      </w:r>
      <w:r>
        <w:rPr>
          <w:color w:val="0D0E0E"/>
        </w:rPr>
        <w:t>Do</w:t>
      </w:r>
      <w:r>
        <w:rPr>
          <w:color w:val="252326"/>
        </w:rPr>
        <w:t>c</w:t>
      </w:r>
      <w:r>
        <w:rPr>
          <w:color w:val="0D0E0E"/>
        </w:rPr>
        <w:t>u</w:t>
      </w:r>
      <w:r>
        <w:rPr>
          <w:color w:val="252326"/>
        </w:rPr>
        <w:t>me</w:t>
      </w:r>
      <w:r>
        <w:rPr>
          <w:color w:val="0D0E0E"/>
        </w:rPr>
        <w:t xml:space="preserve">nt in </w:t>
      </w:r>
      <w:r>
        <w:rPr>
          <w:color w:val="252326"/>
        </w:rPr>
        <w:t>o</w:t>
      </w:r>
      <w:r>
        <w:rPr>
          <w:color w:val="0D0E0E"/>
        </w:rPr>
        <w:t xml:space="preserve">ther </w:t>
      </w:r>
      <w:r>
        <w:rPr>
          <w:color w:val="252326"/>
        </w:rPr>
        <w:t>j</w:t>
      </w:r>
      <w:r>
        <w:rPr>
          <w:color w:val="0D0E0E"/>
        </w:rPr>
        <w:t>uri</w:t>
      </w:r>
      <w:r>
        <w:rPr>
          <w:color w:val="252326"/>
        </w:rPr>
        <w:t>s</w:t>
      </w:r>
      <w:r>
        <w:rPr>
          <w:color w:val="0D0E0E"/>
        </w:rPr>
        <w:t>diction</w:t>
      </w:r>
      <w:r>
        <w:rPr>
          <w:color w:val="252326"/>
        </w:rPr>
        <w:t xml:space="preserve">s may </w:t>
      </w:r>
      <w:r>
        <w:rPr>
          <w:color w:val="0D0E0E"/>
        </w:rPr>
        <w:t>b</w:t>
      </w:r>
      <w:r>
        <w:rPr>
          <w:color w:val="252326"/>
        </w:rPr>
        <w:t>e res</w:t>
      </w:r>
      <w:r>
        <w:rPr>
          <w:color w:val="0D0E0E"/>
        </w:rPr>
        <w:t>tri</w:t>
      </w:r>
      <w:r>
        <w:rPr>
          <w:color w:val="252326"/>
        </w:rPr>
        <w:t>c</w:t>
      </w:r>
      <w:r>
        <w:rPr>
          <w:color w:val="0D0E0E"/>
        </w:rPr>
        <w:t>t</w:t>
      </w:r>
      <w:r>
        <w:rPr>
          <w:color w:val="252326"/>
        </w:rPr>
        <w:t>e</w:t>
      </w:r>
      <w:r>
        <w:rPr>
          <w:color w:val="0D0E0E"/>
        </w:rPr>
        <w:t>d b</w:t>
      </w:r>
      <w:r>
        <w:rPr>
          <w:color w:val="252326"/>
        </w:rPr>
        <w:t xml:space="preserve">y law </w:t>
      </w:r>
      <w:r>
        <w:rPr>
          <w:color w:val="0D0E0E"/>
        </w:rPr>
        <w:t>and</w:t>
      </w:r>
      <w:r>
        <w:rPr>
          <w:color w:val="4F4F50"/>
        </w:rPr>
        <w:t xml:space="preserve">, </w:t>
      </w:r>
      <w:r>
        <w:rPr>
          <w:color w:val="0D0E0E"/>
        </w:rPr>
        <w:t>th</w:t>
      </w:r>
      <w:r>
        <w:rPr>
          <w:color w:val="252326"/>
        </w:rPr>
        <w:t>er</w:t>
      </w:r>
      <w:r>
        <w:rPr>
          <w:color w:val="0D0E0E"/>
        </w:rPr>
        <w:t>ef</w:t>
      </w:r>
      <w:r>
        <w:rPr>
          <w:color w:val="252326"/>
        </w:rPr>
        <w:t>o</w:t>
      </w:r>
      <w:r>
        <w:rPr>
          <w:color w:val="0D0E0E"/>
        </w:rPr>
        <w:t>r</w:t>
      </w:r>
      <w:r>
        <w:rPr>
          <w:color w:val="252326"/>
        </w:rPr>
        <w:t xml:space="preserve">e, </w:t>
      </w:r>
      <w:r>
        <w:rPr>
          <w:color w:val="0D0E0E"/>
        </w:rPr>
        <w:t>p</w:t>
      </w:r>
      <w:r>
        <w:rPr>
          <w:color w:val="252326"/>
        </w:rPr>
        <w:t>e</w:t>
      </w:r>
      <w:r>
        <w:rPr>
          <w:color w:val="0D0E0E"/>
        </w:rPr>
        <w:t>r</w:t>
      </w:r>
      <w:r>
        <w:rPr>
          <w:color w:val="252326"/>
        </w:rPr>
        <w:t>so</w:t>
      </w:r>
      <w:r>
        <w:rPr>
          <w:color w:val="0D0E0E"/>
        </w:rPr>
        <w:t>n</w:t>
      </w:r>
      <w:r>
        <w:rPr>
          <w:color w:val="252326"/>
        </w:rPr>
        <w:t>s i</w:t>
      </w:r>
      <w:r>
        <w:rPr>
          <w:color w:val="0D0E0E"/>
        </w:rPr>
        <w:t>nt</w:t>
      </w:r>
      <w:r>
        <w:rPr>
          <w:color w:val="252326"/>
        </w:rPr>
        <w:t>o w</w:t>
      </w:r>
      <w:r>
        <w:rPr>
          <w:color w:val="0D0E0E"/>
        </w:rPr>
        <w:t>h</w:t>
      </w:r>
      <w:r>
        <w:rPr>
          <w:color w:val="252326"/>
        </w:rPr>
        <w:t>os</w:t>
      </w:r>
      <w:r>
        <w:rPr>
          <w:color w:val="0D0E0E"/>
        </w:rPr>
        <w:t>e p</w:t>
      </w:r>
      <w:r>
        <w:rPr>
          <w:color w:val="252326"/>
        </w:rPr>
        <w:t>ossess</w:t>
      </w:r>
      <w:r>
        <w:rPr>
          <w:color w:val="0D0E0E"/>
        </w:rPr>
        <w:t>io</w:t>
      </w:r>
      <w:r>
        <w:rPr>
          <w:color w:val="252326"/>
        </w:rPr>
        <w:t xml:space="preserve">n </w:t>
      </w:r>
      <w:r>
        <w:rPr>
          <w:color w:val="0D0E0E"/>
        </w:rPr>
        <w:t>thi</w:t>
      </w:r>
      <w:r>
        <w:rPr>
          <w:color w:val="252326"/>
        </w:rPr>
        <w:t xml:space="preserve">s </w:t>
      </w:r>
      <w:r>
        <w:rPr>
          <w:color w:val="0D0E0E"/>
        </w:rPr>
        <w:t>Do</w:t>
      </w:r>
      <w:r>
        <w:rPr>
          <w:color w:val="252326"/>
        </w:rPr>
        <w:t>c</w:t>
      </w:r>
      <w:r>
        <w:rPr>
          <w:color w:val="0D0E0E"/>
        </w:rPr>
        <w:t>um</w:t>
      </w:r>
      <w:r>
        <w:rPr>
          <w:color w:val="252326"/>
        </w:rPr>
        <w:t>e</w:t>
      </w:r>
      <w:r>
        <w:rPr>
          <w:color w:val="0D0E0E"/>
        </w:rPr>
        <w:t xml:space="preserve">nt </w:t>
      </w:r>
      <w:r>
        <w:rPr>
          <w:color w:val="252326"/>
        </w:rPr>
        <w:t>comes s</w:t>
      </w:r>
      <w:r>
        <w:rPr>
          <w:color w:val="0D0E0E"/>
        </w:rPr>
        <w:t>h</w:t>
      </w:r>
      <w:r>
        <w:rPr>
          <w:color w:val="252326"/>
        </w:rPr>
        <w:t>o</w:t>
      </w:r>
      <w:r>
        <w:rPr>
          <w:color w:val="0D0E0E"/>
        </w:rPr>
        <w:t xml:space="preserve">uld inform </w:t>
      </w:r>
      <w:r>
        <w:rPr>
          <w:color w:val="252326"/>
        </w:rPr>
        <w:t>t</w:t>
      </w:r>
      <w:r>
        <w:rPr>
          <w:color w:val="0D0E0E"/>
        </w:rPr>
        <w:t>h</w:t>
      </w:r>
      <w:r>
        <w:rPr>
          <w:color w:val="252326"/>
        </w:rPr>
        <w:t>emse</w:t>
      </w:r>
      <w:r>
        <w:rPr>
          <w:color w:val="0D0E0E"/>
        </w:rPr>
        <w:t>l</w:t>
      </w:r>
      <w:r>
        <w:rPr>
          <w:color w:val="252326"/>
        </w:rPr>
        <w:t>ves of a</w:t>
      </w:r>
      <w:r>
        <w:rPr>
          <w:color w:val="0D0E0E"/>
        </w:rPr>
        <w:t>n</w:t>
      </w:r>
      <w:r>
        <w:rPr>
          <w:color w:val="252326"/>
        </w:rPr>
        <w:t>d o</w:t>
      </w:r>
      <w:r>
        <w:rPr>
          <w:color w:val="0D0E0E"/>
        </w:rPr>
        <w:t>b</w:t>
      </w:r>
      <w:r>
        <w:rPr>
          <w:color w:val="252326"/>
        </w:rPr>
        <w:t>se</w:t>
      </w:r>
      <w:r>
        <w:rPr>
          <w:color w:val="0D0E0E"/>
        </w:rPr>
        <w:t>r</w:t>
      </w:r>
      <w:r>
        <w:rPr>
          <w:color w:val="252326"/>
        </w:rPr>
        <w:t xml:space="preserve">ve </w:t>
      </w:r>
      <w:r>
        <w:rPr>
          <w:color w:val="0D0E0E"/>
        </w:rPr>
        <w:t>an</w:t>
      </w:r>
      <w:r>
        <w:rPr>
          <w:color w:val="252326"/>
        </w:rPr>
        <w:t xml:space="preserve">y </w:t>
      </w:r>
      <w:r>
        <w:rPr>
          <w:color w:val="0D0E0E"/>
        </w:rPr>
        <w:t>restr</w:t>
      </w:r>
      <w:r>
        <w:rPr>
          <w:color w:val="252326"/>
        </w:rPr>
        <w:t>i</w:t>
      </w:r>
      <w:r>
        <w:rPr>
          <w:color w:val="0D0E0E"/>
        </w:rPr>
        <w:t>ction</w:t>
      </w:r>
      <w:r>
        <w:rPr>
          <w:color w:val="252326"/>
        </w:rPr>
        <w:t xml:space="preserve">s. </w:t>
      </w:r>
      <w:r>
        <w:rPr>
          <w:color w:val="0D0E0E"/>
        </w:rPr>
        <w:t>Th</w:t>
      </w:r>
      <w:r>
        <w:rPr>
          <w:color w:val="252326"/>
        </w:rPr>
        <w:t xml:space="preserve">e </w:t>
      </w:r>
      <w:r>
        <w:rPr>
          <w:color w:val="0D0E0E"/>
        </w:rPr>
        <w:t>Or</w:t>
      </w:r>
      <w:r>
        <w:rPr>
          <w:color w:val="252326"/>
        </w:rPr>
        <w:t>d</w:t>
      </w:r>
      <w:r>
        <w:rPr>
          <w:color w:val="0D0E0E"/>
        </w:rPr>
        <w:t>inar</w:t>
      </w:r>
      <w:r>
        <w:rPr>
          <w:color w:val="252326"/>
        </w:rPr>
        <w:t xml:space="preserve">y </w:t>
      </w:r>
      <w:r>
        <w:rPr>
          <w:color w:val="0D0E0E"/>
        </w:rPr>
        <w:t>Sh</w:t>
      </w:r>
      <w:r>
        <w:rPr>
          <w:color w:val="252326"/>
        </w:rPr>
        <w:t>ares may no</w:t>
      </w:r>
      <w:r>
        <w:rPr>
          <w:color w:val="0D0E0E"/>
        </w:rPr>
        <w:t xml:space="preserve">t </w:t>
      </w:r>
      <w:r>
        <w:rPr>
          <w:color w:val="252326"/>
        </w:rPr>
        <w:t>be take</w:t>
      </w:r>
      <w:r>
        <w:rPr>
          <w:color w:val="0D0E0E"/>
        </w:rPr>
        <w:t>n up</w:t>
      </w:r>
      <w:r>
        <w:rPr>
          <w:color w:val="252326"/>
        </w:rPr>
        <w:t>, offe</w:t>
      </w:r>
      <w:r>
        <w:rPr>
          <w:color w:val="0D0E0E"/>
        </w:rPr>
        <w:t>r</w:t>
      </w:r>
      <w:r>
        <w:rPr>
          <w:color w:val="252326"/>
        </w:rPr>
        <w:t>e</w:t>
      </w:r>
      <w:r>
        <w:rPr>
          <w:color w:val="0D0E0E"/>
        </w:rPr>
        <w:t>d</w:t>
      </w:r>
      <w:r>
        <w:rPr>
          <w:color w:val="252326"/>
        </w:rPr>
        <w:t xml:space="preserve">, </w:t>
      </w:r>
      <w:r>
        <w:rPr>
          <w:color w:val="0D0E0E"/>
        </w:rPr>
        <w:t>s</w:t>
      </w:r>
      <w:r>
        <w:rPr>
          <w:color w:val="252326"/>
        </w:rPr>
        <w:t>o</w:t>
      </w:r>
      <w:r>
        <w:rPr>
          <w:color w:val="0D0E0E"/>
        </w:rPr>
        <w:t>ld</w:t>
      </w:r>
      <w:r>
        <w:rPr>
          <w:color w:val="252326"/>
        </w:rPr>
        <w:t xml:space="preserve">, </w:t>
      </w:r>
      <w:r>
        <w:rPr>
          <w:color w:val="0D0E0E"/>
        </w:rPr>
        <w:t>re</w:t>
      </w:r>
      <w:r>
        <w:rPr>
          <w:color w:val="252326"/>
        </w:rPr>
        <w:t>so</w:t>
      </w:r>
      <w:r>
        <w:rPr>
          <w:color w:val="0D0E0E"/>
        </w:rPr>
        <w:t>ld</w:t>
      </w:r>
      <w:r>
        <w:rPr>
          <w:color w:val="252326"/>
        </w:rPr>
        <w:t xml:space="preserve">, </w:t>
      </w:r>
      <w:r>
        <w:rPr>
          <w:color w:val="0D0E0E"/>
        </w:rPr>
        <w:t>tran</w:t>
      </w:r>
      <w:r>
        <w:rPr>
          <w:color w:val="252326"/>
        </w:rPr>
        <w:t>s</w:t>
      </w:r>
      <w:r>
        <w:rPr>
          <w:color w:val="0D0E0E"/>
        </w:rPr>
        <w:t>f</w:t>
      </w:r>
      <w:r>
        <w:rPr>
          <w:color w:val="252326"/>
        </w:rPr>
        <w:t>e</w:t>
      </w:r>
      <w:r>
        <w:rPr>
          <w:color w:val="0D0E0E"/>
        </w:rPr>
        <w:t>r</w:t>
      </w:r>
      <w:r>
        <w:rPr>
          <w:color w:val="252326"/>
        </w:rPr>
        <w:t>red o</w:t>
      </w:r>
      <w:r>
        <w:rPr>
          <w:color w:val="0D0E0E"/>
        </w:rPr>
        <w:t>r di</w:t>
      </w:r>
      <w:r>
        <w:rPr>
          <w:color w:val="252326"/>
        </w:rPr>
        <w:t>stri</w:t>
      </w:r>
      <w:r>
        <w:rPr>
          <w:color w:val="0D0E0E"/>
        </w:rPr>
        <w:t>but</w:t>
      </w:r>
      <w:r>
        <w:rPr>
          <w:color w:val="252326"/>
        </w:rPr>
        <w:t>e</w:t>
      </w:r>
      <w:r>
        <w:rPr>
          <w:color w:val="0D0E0E"/>
        </w:rPr>
        <w:t>d</w:t>
      </w:r>
      <w:r>
        <w:rPr>
          <w:color w:val="252326"/>
        </w:rPr>
        <w:t xml:space="preserve">, </w:t>
      </w:r>
      <w:r>
        <w:rPr>
          <w:color w:val="0D0E0E"/>
        </w:rPr>
        <w:t>dir</w:t>
      </w:r>
      <w:r>
        <w:rPr>
          <w:color w:val="252326"/>
        </w:rPr>
        <w:t>ec</w:t>
      </w:r>
      <w:r>
        <w:rPr>
          <w:color w:val="0D0E0E"/>
        </w:rPr>
        <w:t>tl</w:t>
      </w:r>
      <w:r>
        <w:rPr>
          <w:color w:val="252326"/>
        </w:rPr>
        <w:t>y or i</w:t>
      </w:r>
      <w:r>
        <w:rPr>
          <w:color w:val="0D0E0E"/>
        </w:rPr>
        <w:t>n</w:t>
      </w:r>
      <w:r>
        <w:rPr>
          <w:color w:val="252326"/>
        </w:rPr>
        <w:t>d</w:t>
      </w:r>
      <w:r>
        <w:rPr>
          <w:color w:val="0D0E0E"/>
        </w:rPr>
        <w:t>ir</w:t>
      </w:r>
      <w:r>
        <w:rPr>
          <w:color w:val="252326"/>
        </w:rPr>
        <w:t>ect</w:t>
      </w:r>
      <w:r>
        <w:rPr>
          <w:color w:val="0D0E0E"/>
        </w:rPr>
        <w:t>l</w:t>
      </w:r>
      <w:r>
        <w:rPr>
          <w:color w:val="252326"/>
        </w:rPr>
        <w:t>y, wi</w:t>
      </w:r>
      <w:r>
        <w:rPr>
          <w:color w:val="0D0E0E"/>
        </w:rPr>
        <w:t>thin</w:t>
      </w:r>
      <w:r>
        <w:rPr>
          <w:color w:val="252326"/>
        </w:rPr>
        <w:t xml:space="preserve">, </w:t>
      </w:r>
      <w:r>
        <w:rPr>
          <w:color w:val="0D0E0E"/>
        </w:rPr>
        <w:t>int</w:t>
      </w:r>
      <w:r>
        <w:rPr>
          <w:color w:val="252326"/>
        </w:rPr>
        <w:t>o o</w:t>
      </w:r>
      <w:r>
        <w:rPr>
          <w:color w:val="0D0E0E"/>
        </w:rPr>
        <w:t>r i</w:t>
      </w:r>
      <w:r>
        <w:rPr>
          <w:color w:val="252326"/>
        </w:rPr>
        <w:t xml:space="preserve">n </w:t>
      </w:r>
      <w:r>
        <w:rPr>
          <w:color w:val="0D0E0E"/>
        </w:rPr>
        <w:t>th</w:t>
      </w:r>
      <w:r>
        <w:rPr>
          <w:color w:val="252326"/>
        </w:rPr>
        <w:t>e U</w:t>
      </w:r>
      <w:r>
        <w:rPr>
          <w:color w:val="0D0E0E"/>
        </w:rPr>
        <w:t>ni</w:t>
      </w:r>
      <w:r>
        <w:rPr>
          <w:color w:val="252326"/>
        </w:rPr>
        <w:t>te</w:t>
      </w:r>
      <w:r>
        <w:rPr>
          <w:color w:val="0D0E0E"/>
        </w:rPr>
        <w:t xml:space="preserve">d </w:t>
      </w:r>
      <w:r>
        <w:rPr>
          <w:color w:val="252326"/>
        </w:rPr>
        <w:t>Stat</w:t>
      </w:r>
      <w:r>
        <w:rPr>
          <w:color w:val="0D0E0E"/>
        </w:rPr>
        <w:t>e</w:t>
      </w:r>
      <w:r>
        <w:rPr>
          <w:color w:val="252326"/>
        </w:rPr>
        <w:t>s exce</w:t>
      </w:r>
      <w:r>
        <w:rPr>
          <w:color w:val="0D0E0E"/>
        </w:rPr>
        <w:t>pt pursu</w:t>
      </w:r>
      <w:r>
        <w:rPr>
          <w:color w:val="252326"/>
        </w:rPr>
        <w:t>a</w:t>
      </w:r>
      <w:r>
        <w:rPr>
          <w:color w:val="0D0E0E"/>
        </w:rPr>
        <w:t>nt t</w:t>
      </w:r>
      <w:r>
        <w:rPr>
          <w:color w:val="252326"/>
        </w:rPr>
        <w:t xml:space="preserve">o </w:t>
      </w:r>
      <w:r>
        <w:rPr>
          <w:color w:val="0D0E0E"/>
        </w:rPr>
        <w:t xml:space="preserve">an </w:t>
      </w:r>
      <w:r>
        <w:rPr>
          <w:color w:val="252326"/>
        </w:rPr>
        <w:t>exem</w:t>
      </w:r>
      <w:r>
        <w:rPr>
          <w:color w:val="0D0E0E"/>
        </w:rPr>
        <w:t>p</w:t>
      </w:r>
      <w:r>
        <w:rPr>
          <w:color w:val="252326"/>
        </w:rPr>
        <w:t>t</w:t>
      </w:r>
      <w:r>
        <w:rPr>
          <w:color w:val="0D0E0E"/>
        </w:rPr>
        <w:t>i</w:t>
      </w:r>
      <w:r>
        <w:rPr>
          <w:color w:val="252326"/>
        </w:rPr>
        <w:t>o</w:t>
      </w:r>
      <w:r>
        <w:rPr>
          <w:color w:val="0D0E0E"/>
        </w:rPr>
        <w:t xml:space="preserve">n </w:t>
      </w:r>
      <w:r>
        <w:rPr>
          <w:color w:val="252326"/>
        </w:rPr>
        <w:t>f</w:t>
      </w:r>
      <w:r>
        <w:rPr>
          <w:color w:val="0D0E0E"/>
        </w:rPr>
        <w:t>r</w:t>
      </w:r>
      <w:r>
        <w:rPr>
          <w:color w:val="252326"/>
        </w:rPr>
        <w:t xml:space="preserve">om, or </w:t>
      </w:r>
      <w:r>
        <w:rPr>
          <w:color w:val="0D0E0E"/>
        </w:rPr>
        <w:t xml:space="preserve">in </w:t>
      </w:r>
      <w:r>
        <w:rPr>
          <w:color w:val="252326"/>
        </w:rPr>
        <w:t>a t</w:t>
      </w:r>
      <w:r>
        <w:rPr>
          <w:color w:val="0D0E0E"/>
        </w:rPr>
        <w:t>r</w:t>
      </w:r>
      <w:r>
        <w:rPr>
          <w:color w:val="252326"/>
        </w:rPr>
        <w:t>a</w:t>
      </w:r>
      <w:r>
        <w:rPr>
          <w:color w:val="0D0E0E"/>
        </w:rPr>
        <w:t>n</w:t>
      </w:r>
      <w:r>
        <w:rPr>
          <w:color w:val="252326"/>
        </w:rPr>
        <w:t>sac</w:t>
      </w:r>
      <w:r>
        <w:rPr>
          <w:color w:val="0D0E0E"/>
        </w:rPr>
        <w:t>t</w:t>
      </w:r>
      <w:r>
        <w:rPr>
          <w:color w:val="252326"/>
        </w:rPr>
        <w:t xml:space="preserve">ion </w:t>
      </w:r>
      <w:r>
        <w:rPr>
          <w:color w:val="0D0E0E"/>
        </w:rPr>
        <w:t>that i</w:t>
      </w:r>
      <w:r>
        <w:rPr>
          <w:color w:val="252326"/>
        </w:rPr>
        <w:t xml:space="preserve">s </w:t>
      </w:r>
      <w:r>
        <w:rPr>
          <w:color w:val="0D0E0E"/>
        </w:rPr>
        <w:t>n</w:t>
      </w:r>
      <w:r>
        <w:rPr>
          <w:color w:val="252326"/>
        </w:rPr>
        <w:t>o</w:t>
      </w:r>
      <w:r>
        <w:rPr>
          <w:color w:val="0D0E0E"/>
        </w:rPr>
        <w:t xml:space="preserve">t </w:t>
      </w:r>
      <w:r>
        <w:rPr>
          <w:color w:val="252326"/>
        </w:rPr>
        <w:t>s</w:t>
      </w:r>
      <w:r>
        <w:rPr>
          <w:color w:val="0D0E0E"/>
        </w:rPr>
        <w:t>ub</w:t>
      </w:r>
      <w:r>
        <w:rPr>
          <w:color w:val="252326"/>
        </w:rPr>
        <w:t>jec</w:t>
      </w:r>
      <w:r>
        <w:rPr>
          <w:color w:val="0D0E0E"/>
        </w:rPr>
        <w:t>t</w:t>
      </w:r>
      <w:r>
        <w:rPr>
          <w:color w:val="0D0E0E"/>
          <w:spacing w:val="-7"/>
        </w:rPr>
        <w:t xml:space="preserve"> </w:t>
      </w:r>
      <w:r>
        <w:rPr>
          <w:color w:val="252326"/>
        </w:rPr>
        <w:t>to,</w:t>
      </w:r>
      <w:r>
        <w:rPr>
          <w:color w:val="252326"/>
          <w:spacing w:val="-7"/>
        </w:rPr>
        <w:t xml:space="preserve"> </w:t>
      </w:r>
      <w:r>
        <w:rPr>
          <w:color w:val="0D0E0E"/>
        </w:rPr>
        <w:t>the</w:t>
      </w:r>
      <w:r>
        <w:rPr>
          <w:color w:val="0D0E0E"/>
          <w:spacing w:val="-5"/>
        </w:rPr>
        <w:t xml:space="preserve"> </w:t>
      </w:r>
      <w:r>
        <w:rPr>
          <w:color w:val="0D0E0E"/>
        </w:rPr>
        <w:t>regi</w:t>
      </w:r>
      <w:r>
        <w:rPr>
          <w:color w:val="252326"/>
        </w:rPr>
        <w:t>s</w:t>
      </w:r>
      <w:r>
        <w:rPr>
          <w:color w:val="0D0E0E"/>
        </w:rPr>
        <w:t>tration</w:t>
      </w:r>
      <w:r>
        <w:rPr>
          <w:color w:val="0D0E0E"/>
          <w:spacing w:val="-4"/>
        </w:rPr>
        <w:t xml:space="preserve"> </w:t>
      </w:r>
      <w:r>
        <w:rPr>
          <w:color w:val="0D0E0E"/>
        </w:rPr>
        <w:t>r</w:t>
      </w:r>
      <w:r>
        <w:rPr>
          <w:color w:val="252326"/>
        </w:rPr>
        <w:t>eq</w:t>
      </w:r>
      <w:r>
        <w:rPr>
          <w:color w:val="0D0E0E"/>
        </w:rPr>
        <w:t>uir</w:t>
      </w:r>
      <w:r>
        <w:rPr>
          <w:color w:val="252326"/>
        </w:rPr>
        <w:t>e</w:t>
      </w:r>
      <w:r>
        <w:rPr>
          <w:color w:val="0D0E0E"/>
        </w:rPr>
        <w:t>m</w:t>
      </w:r>
      <w:r>
        <w:rPr>
          <w:color w:val="252326"/>
        </w:rPr>
        <w:t>e</w:t>
      </w:r>
      <w:r>
        <w:rPr>
          <w:color w:val="0D0E0E"/>
        </w:rPr>
        <w:t>nt</w:t>
      </w:r>
      <w:r>
        <w:rPr>
          <w:color w:val="252326"/>
        </w:rPr>
        <w:t>s</w:t>
      </w:r>
      <w:r>
        <w:rPr>
          <w:color w:val="252326"/>
          <w:spacing w:val="-4"/>
        </w:rPr>
        <w:t xml:space="preserve"> </w:t>
      </w:r>
      <w:r>
        <w:rPr>
          <w:color w:val="252326"/>
        </w:rPr>
        <w:t>o</w:t>
      </w:r>
      <w:r>
        <w:rPr>
          <w:color w:val="0D0E0E"/>
        </w:rPr>
        <w:t>f</w:t>
      </w:r>
      <w:r>
        <w:rPr>
          <w:color w:val="0D0E0E"/>
          <w:spacing w:val="-5"/>
        </w:rPr>
        <w:t xml:space="preserve"> </w:t>
      </w:r>
      <w:r>
        <w:rPr>
          <w:color w:val="0D0E0E"/>
        </w:rPr>
        <w:t>the</w:t>
      </w:r>
      <w:r>
        <w:rPr>
          <w:color w:val="0D0E0E"/>
          <w:spacing w:val="-4"/>
        </w:rPr>
        <w:t xml:space="preserve"> </w:t>
      </w:r>
      <w:r>
        <w:rPr>
          <w:color w:val="0D0E0E"/>
        </w:rPr>
        <w:t>US</w:t>
      </w:r>
      <w:r>
        <w:rPr>
          <w:color w:val="0D0E0E"/>
          <w:spacing w:val="-5"/>
        </w:rPr>
        <w:t xml:space="preserve"> </w:t>
      </w:r>
      <w:r>
        <w:rPr>
          <w:color w:val="0D0E0E"/>
        </w:rPr>
        <w:t>Securities</w:t>
      </w:r>
      <w:r>
        <w:rPr>
          <w:color w:val="0D0E0E"/>
          <w:spacing w:val="-6"/>
        </w:rPr>
        <w:t xml:space="preserve"> </w:t>
      </w:r>
      <w:r>
        <w:rPr>
          <w:color w:val="0D0E0E"/>
        </w:rPr>
        <w:t>A</w:t>
      </w:r>
      <w:r>
        <w:rPr>
          <w:color w:val="252326"/>
        </w:rPr>
        <w:t>c</w:t>
      </w:r>
      <w:r>
        <w:rPr>
          <w:color w:val="0D0E0E"/>
        </w:rPr>
        <w:t>t</w:t>
      </w:r>
      <w:r>
        <w:rPr>
          <w:color w:val="231F20"/>
        </w:rPr>
        <w:t>.</w:t>
      </w:r>
      <w:r>
        <w:rPr>
          <w:color w:val="231F20"/>
          <w:spacing w:val="-7"/>
        </w:rPr>
        <w:t xml:space="preserve"> </w:t>
      </w:r>
      <w:r>
        <w:rPr>
          <w:color w:val="0D0E0E"/>
        </w:rPr>
        <w:t>Th</w:t>
      </w:r>
      <w:r>
        <w:rPr>
          <w:color w:val="252326"/>
        </w:rPr>
        <w:t>e</w:t>
      </w:r>
      <w:r>
        <w:rPr>
          <w:color w:val="0D0E0E"/>
        </w:rPr>
        <w:t>r</w:t>
      </w:r>
      <w:r>
        <w:rPr>
          <w:color w:val="252326"/>
        </w:rPr>
        <w:t>e</w:t>
      </w:r>
      <w:r>
        <w:rPr>
          <w:color w:val="252326"/>
          <w:spacing w:val="-4"/>
        </w:rPr>
        <w:t xml:space="preserve"> </w:t>
      </w:r>
      <w:r>
        <w:rPr>
          <w:color w:val="252326"/>
        </w:rPr>
        <w:t>wi</w:t>
      </w:r>
      <w:r>
        <w:rPr>
          <w:color w:val="0D0E0E"/>
        </w:rPr>
        <w:t>ll</w:t>
      </w:r>
      <w:r>
        <w:rPr>
          <w:color w:val="0D0E0E"/>
          <w:spacing w:val="-7"/>
        </w:rPr>
        <w:t xml:space="preserve"> </w:t>
      </w:r>
      <w:r>
        <w:rPr>
          <w:color w:val="252326"/>
        </w:rPr>
        <w:t>be</w:t>
      </w:r>
      <w:r>
        <w:rPr>
          <w:color w:val="252326"/>
          <w:spacing w:val="-6"/>
        </w:rPr>
        <w:t xml:space="preserve"> </w:t>
      </w:r>
      <w:r>
        <w:rPr>
          <w:color w:val="0D0E0E"/>
        </w:rPr>
        <w:t>n</w:t>
      </w:r>
      <w:r>
        <w:rPr>
          <w:color w:val="252326"/>
        </w:rPr>
        <w:t>o</w:t>
      </w:r>
      <w:r>
        <w:rPr>
          <w:color w:val="252326"/>
          <w:spacing w:val="-7"/>
        </w:rPr>
        <w:t xml:space="preserve"> </w:t>
      </w:r>
      <w:r>
        <w:rPr>
          <w:color w:val="0D0E0E"/>
        </w:rPr>
        <w:t>public</w:t>
      </w:r>
      <w:r>
        <w:rPr>
          <w:color w:val="0D0E0E"/>
          <w:spacing w:val="-5"/>
        </w:rPr>
        <w:t xml:space="preserve"> </w:t>
      </w:r>
      <w:r>
        <w:rPr>
          <w:color w:val="252326"/>
        </w:rPr>
        <w:t>of</w:t>
      </w:r>
      <w:r>
        <w:rPr>
          <w:color w:val="0D0E0E"/>
        </w:rPr>
        <w:t>fer</w:t>
      </w:r>
      <w:r>
        <w:rPr>
          <w:color w:val="0D0E0E"/>
          <w:spacing w:val="-5"/>
        </w:rPr>
        <w:t xml:space="preserve"> </w:t>
      </w:r>
      <w:r>
        <w:rPr>
          <w:color w:val="252326"/>
        </w:rPr>
        <w:t>i</w:t>
      </w:r>
      <w:r>
        <w:rPr>
          <w:color w:val="0D0E0E"/>
        </w:rPr>
        <w:t>n</w:t>
      </w:r>
      <w:r>
        <w:rPr>
          <w:color w:val="0D0E0E"/>
          <w:spacing w:val="-6"/>
        </w:rPr>
        <w:t xml:space="preserve"> </w:t>
      </w:r>
      <w:r>
        <w:rPr>
          <w:color w:val="0D0E0E"/>
        </w:rPr>
        <w:t>th</w:t>
      </w:r>
      <w:r>
        <w:rPr>
          <w:color w:val="252326"/>
        </w:rPr>
        <w:t>e</w:t>
      </w:r>
      <w:r>
        <w:rPr>
          <w:color w:val="252326"/>
          <w:spacing w:val="-5"/>
        </w:rPr>
        <w:t xml:space="preserve"> </w:t>
      </w:r>
      <w:r>
        <w:rPr>
          <w:color w:val="0D0E0E"/>
        </w:rPr>
        <w:t>United</w:t>
      </w:r>
      <w:r>
        <w:rPr>
          <w:color w:val="0D0E0E"/>
          <w:spacing w:val="-6"/>
        </w:rPr>
        <w:t xml:space="preserve"> </w:t>
      </w:r>
      <w:r>
        <w:rPr>
          <w:color w:val="0D0E0E"/>
        </w:rPr>
        <w:t>S</w:t>
      </w:r>
      <w:r>
        <w:rPr>
          <w:color w:val="252326"/>
        </w:rPr>
        <w:t>t</w:t>
      </w:r>
      <w:r>
        <w:rPr>
          <w:color w:val="0D0E0E"/>
        </w:rPr>
        <w:t>at</w:t>
      </w:r>
      <w:r>
        <w:rPr>
          <w:color w:val="252326"/>
        </w:rPr>
        <w:t xml:space="preserve">es. </w:t>
      </w:r>
      <w:r>
        <w:rPr>
          <w:color w:val="0D0E0E"/>
        </w:rPr>
        <w:t>Th</w:t>
      </w:r>
      <w:r>
        <w:rPr>
          <w:color w:val="252326"/>
        </w:rPr>
        <w:t>e Com</w:t>
      </w:r>
      <w:r>
        <w:rPr>
          <w:color w:val="0D0E0E"/>
        </w:rPr>
        <w:t>pan</w:t>
      </w:r>
      <w:r>
        <w:rPr>
          <w:color w:val="252326"/>
        </w:rPr>
        <w:t xml:space="preserve">y </w:t>
      </w:r>
      <w:r>
        <w:rPr>
          <w:color w:val="0D0E0E"/>
        </w:rPr>
        <w:t>ha</w:t>
      </w:r>
      <w:r>
        <w:rPr>
          <w:color w:val="252326"/>
        </w:rPr>
        <w:t xml:space="preserve">s </w:t>
      </w:r>
      <w:r>
        <w:rPr>
          <w:color w:val="0D0E0E"/>
        </w:rPr>
        <w:t>n</w:t>
      </w:r>
      <w:r>
        <w:rPr>
          <w:color w:val="252326"/>
        </w:rPr>
        <w:t>o</w:t>
      </w:r>
      <w:r>
        <w:rPr>
          <w:color w:val="0D0E0E"/>
        </w:rPr>
        <w:t>t b</w:t>
      </w:r>
      <w:r>
        <w:rPr>
          <w:color w:val="252326"/>
        </w:rPr>
        <w:t>ee</w:t>
      </w:r>
      <w:r>
        <w:rPr>
          <w:color w:val="0D0E0E"/>
        </w:rPr>
        <w:t xml:space="preserve">n </w:t>
      </w:r>
      <w:r>
        <w:rPr>
          <w:color w:val="252326"/>
        </w:rPr>
        <w:t>a</w:t>
      </w:r>
      <w:r>
        <w:rPr>
          <w:color w:val="0D0E0E"/>
        </w:rPr>
        <w:t xml:space="preserve">nd </w:t>
      </w:r>
      <w:r>
        <w:rPr>
          <w:color w:val="252326"/>
        </w:rPr>
        <w:t>w</w:t>
      </w:r>
      <w:r>
        <w:rPr>
          <w:color w:val="0D0E0E"/>
        </w:rPr>
        <w:t>ill not be re</w:t>
      </w:r>
      <w:r>
        <w:rPr>
          <w:color w:val="252326"/>
        </w:rPr>
        <w:t>g</w:t>
      </w:r>
      <w:r>
        <w:rPr>
          <w:color w:val="0D0E0E"/>
        </w:rPr>
        <w:t>i</w:t>
      </w:r>
      <w:r>
        <w:rPr>
          <w:color w:val="252326"/>
        </w:rPr>
        <w:t>s</w:t>
      </w:r>
      <w:r>
        <w:rPr>
          <w:color w:val="0D0E0E"/>
        </w:rPr>
        <w:t>tered und</w:t>
      </w:r>
      <w:r>
        <w:rPr>
          <w:color w:val="252326"/>
        </w:rPr>
        <w:t>e</w:t>
      </w:r>
      <w:r>
        <w:rPr>
          <w:color w:val="0D0E0E"/>
        </w:rPr>
        <w:t>r th</w:t>
      </w:r>
      <w:r>
        <w:rPr>
          <w:color w:val="252326"/>
        </w:rPr>
        <w:t xml:space="preserve">e </w:t>
      </w:r>
      <w:r>
        <w:rPr>
          <w:color w:val="0D0E0E"/>
        </w:rPr>
        <w:t>US In</w:t>
      </w:r>
      <w:r>
        <w:rPr>
          <w:color w:val="252326"/>
        </w:rPr>
        <w:t>ve</w:t>
      </w:r>
      <w:r>
        <w:rPr>
          <w:color w:val="0D0E0E"/>
        </w:rPr>
        <w:t>s</w:t>
      </w:r>
      <w:r>
        <w:rPr>
          <w:color w:val="252326"/>
        </w:rPr>
        <w:t>tme</w:t>
      </w:r>
      <w:r>
        <w:rPr>
          <w:color w:val="0D0E0E"/>
        </w:rPr>
        <w:t>nt C</w:t>
      </w:r>
      <w:r>
        <w:rPr>
          <w:color w:val="252326"/>
        </w:rPr>
        <w:t>om</w:t>
      </w:r>
      <w:r>
        <w:rPr>
          <w:color w:val="0D0E0E"/>
        </w:rPr>
        <w:t>p</w:t>
      </w:r>
      <w:r>
        <w:rPr>
          <w:color w:val="252326"/>
        </w:rPr>
        <w:t>a</w:t>
      </w:r>
      <w:r>
        <w:rPr>
          <w:color w:val="0D0E0E"/>
        </w:rPr>
        <w:t>ny Act pu</w:t>
      </w:r>
      <w:r>
        <w:rPr>
          <w:color w:val="252326"/>
        </w:rPr>
        <w:t>r</w:t>
      </w:r>
      <w:r>
        <w:rPr>
          <w:color w:val="0D0E0E"/>
        </w:rPr>
        <w:t>suant t</w:t>
      </w:r>
      <w:r>
        <w:rPr>
          <w:color w:val="252326"/>
        </w:rPr>
        <w:t xml:space="preserve">o </w:t>
      </w:r>
      <w:r>
        <w:rPr>
          <w:color w:val="0D0E0E"/>
        </w:rPr>
        <w:t>th</w:t>
      </w:r>
      <w:r>
        <w:rPr>
          <w:color w:val="252326"/>
        </w:rPr>
        <w:t>e ex</w:t>
      </w:r>
      <w:r>
        <w:rPr>
          <w:color w:val="0D0E0E"/>
        </w:rPr>
        <w:t>emption</w:t>
      </w:r>
      <w:r>
        <w:rPr>
          <w:color w:val="0D0E0E"/>
          <w:spacing w:val="-5"/>
        </w:rPr>
        <w:t xml:space="preserve"> </w:t>
      </w:r>
      <w:r>
        <w:rPr>
          <w:color w:val="0D0E0E"/>
        </w:rPr>
        <w:t>provid</w:t>
      </w:r>
      <w:r>
        <w:rPr>
          <w:color w:val="252326"/>
        </w:rPr>
        <w:t>e</w:t>
      </w:r>
      <w:r>
        <w:rPr>
          <w:color w:val="0D0E0E"/>
        </w:rPr>
        <w:t>d</w:t>
      </w:r>
      <w:r>
        <w:rPr>
          <w:color w:val="0D0E0E"/>
          <w:spacing w:val="-4"/>
        </w:rPr>
        <w:t xml:space="preserve"> </w:t>
      </w:r>
      <w:r>
        <w:rPr>
          <w:color w:val="0D0E0E"/>
        </w:rPr>
        <w:t>b</w:t>
      </w:r>
      <w:r>
        <w:rPr>
          <w:color w:val="252326"/>
        </w:rPr>
        <w:t>y</w:t>
      </w:r>
      <w:r>
        <w:rPr>
          <w:color w:val="252326"/>
          <w:spacing w:val="-6"/>
        </w:rPr>
        <w:t xml:space="preserve"> </w:t>
      </w:r>
      <w:r>
        <w:rPr>
          <w:color w:val="0D0E0E"/>
        </w:rPr>
        <w:t>S</w:t>
      </w:r>
      <w:r>
        <w:rPr>
          <w:color w:val="252326"/>
        </w:rPr>
        <w:t>ec</w:t>
      </w:r>
      <w:r>
        <w:rPr>
          <w:color w:val="0D0E0E"/>
        </w:rPr>
        <w:t>tion</w:t>
      </w:r>
      <w:r>
        <w:rPr>
          <w:color w:val="0D0E0E"/>
          <w:spacing w:val="-4"/>
        </w:rPr>
        <w:t xml:space="preserve"> </w:t>
      </w:r>
      <w:r>
        <w:rPr>
          <w:color w:val="0D0E0E"/>
        </w:rPr>
        <w:t>3(</w:t>
      </w:r>
      <w:r>
        <w:rPr>
          <w:color w:val="252326"/>
        </w:rPr>
        <w:t>c</w:t>
      </w:r>
      <w:r>
        <w:rPr>
          <w:color w:val="0D0E0E"/>
        </w:rPr>
        <w:t>)(7)</w:t>
      </w:r>
      <w:r>
        <w:rPr>
          <w:color w:val="0D0E0E"/>
          <w:spacing w:val="-4"/>
        </w:rPr>
        <w:t xml:space="preserve"> </w:t>
      </w:r>
      <w:r>
        <w:rPr>
          <w:color w:val="0D0E0E"/>
        </w:rPr>
        <w:t>th</w:t>
      </w:r>
      <w:r>
        <w:rPr>
          <w:color w:val="252326"/>
        </w:rPr>
        <w:t>e</w:t>
      </w:r>
      <w:r>
        <w:rPr>
          <w:color w:val="0D0E0E"/>
        </w:rPr>
        <w:t>reof</w:t>
      </w:r>
      <w:r>
        <w:rPr>
          <w:color w:val="0D0E0E"/>
          <w:spacing w:val="-4"/>
        </w:rPr>
        <w:t xml:space="preserve"> </w:t>
      </w:r>
      <w:r>
        <w:rPr>
          <w:color w:val="0D0E0E"/>
        </w:rPr>
        <w:t>and</w:t>
      </w:r>
      <w:r>
        <w:rPr>
          <w:color w:val="0D0E0E"/>
          <w:spacing w:val="-4"/>
        </w:rPr>
        <w:t xml:space="preserve"> </w:t>
      </w:r>
      <w:r>
        <w:rPr>
          <w:color w:val="0D0E0E"/>
        </w:rPr>
        <w:t>Shareh</w:t>
      </w:r>
      <w:r>
        <w:rPr>
          <w:color w:val="252326"/>
        </w:rPr>
        <w:t>o</w:t>
      </w:r>
      <w:r>
        <w:rPr>
          <w:color w:val="0D0E0E"/>
        </w:rPr>
        <w:t>ld</w:t>
      </w:r>
      <w:r>
        <w:rPr>
          <w:color w:val="252326"/>
        </w:rPr>
        <w:t>e</w:t>
      </w:r>
      <w:r>
        <w:rPr>
          <w:color w:val="0D0E0E"/>
        </w:rPr>
        <w:t>r</w:t>
      </w:r>
      <w:r>
        <w:rPr>
          <w:color w:val="252326"/>
        </w:rPr>
        <w:t>s</w:t>
      </w:r>
      <w:r>
        <w:rPr>
          <w:color w:val="252326"/>
          <w:spacing w:val="-3"/>
        </w:rPr>
        <w:t xml:space="preserve"> </w:t>
      </w:r>
      <w:r>
        <w:rPr>
          <w:color w:val="0D0E0E"/>
        </w:rPr>
        <w:t>will</w:t>
      </w:r>
      <w:r>
        <w:rPr>
          <w:color w:val="0D0E0E"/>
          <w:spacing w:val="-4"/>
        </w:rPr>
        <w:t xml:space="preserve"> </w:t>
      </w:r>
      <w:r>
        <w:rPr>
          <w:color w:val="0D0E0E"/>
        </w:rPr>
        <w:t>not</w:t>
      </w:r>
      <w:r>
        <w:rPr>
          <w:color w:val="0D0E0E"/>
          <w:spacing w:val="-4"/>
        </w:rPr>
        <w:t xml:space="preserve"> </w:t>
      </w:r>
      <w:r>
        <w:rPr>
          <w:color w:val="0D0E0E"/>
        </w:rPr>
        <w:t>be</w:t>
      </w:r>
      <w:r>
        <w:rPr>
          <w:color w:val="0D0E0E"/>
          <w:spacing w:val="-3"/>
        </w:rPr>
        <w:t xml:space="preserve"> </w:t>
      </w:r>
      <w:r>
        <w:rPr>
          <w:color w:val="252326"/>
        </w:rPr>
        <w:t>e</w:t>
      </w:r>
      <w:r>
        <w:rPr>
          <w:color w:val="0D0E0E"/>
        </w:rPr>
        <w:t>ntitl</w:t>
      </w:r>
      <w:r>
        <w:rPr>
          <w:color w:val="252326"/>
        </w:rPr>
        <w:t>e</w:t>
      </w:r>
      <w:r>
        <w:rPr>
          <w:color w:val="0D0E0E"/>
        </w:rPr>
        <w:t>d</w:t>
      </w:r>
      <w:r>
        <w:rPr>
          <w:color w:val="0D0E0E"/>
          <w:spacing w:val="-4"/>
        </w:rPr>
        <w:t xml:space="preserve"> </w:t>
      </w:r>
      <w:r>
        <w:rPr>
          <w:color w:val="0D0E0E"/>
        </w:rPr>
        <w:t>t</w:t>
      </w:r>
      <w:r>
        <w:rPr>
          <w:color w:val="252326"/>
        </w:rPr>
        <w:t>o</w:t>
      </w:r>
      <w:r>
        <w:rPr>
          <w:color w:val="252326"/>
          <w:spacing w:val="-5"/>
        </w:rPr>
        <w:t xml:space="preserve"> </w:t>
      </w:r>
      <w:r>
        <w:rPr>
          <w:color w:val="0D0E0E"/>
        </w:rPr>
        <w:t>th</w:t>
      </w:r>
      <w:r>
        <w:rPr>
          <w:color w:val="252326"/>
        </w:rPr>
        <w:t>e</w:t>
      </w:r>
      <w:r>
        <w:rPr>
          <w:color w:val="252326"/>
          <w:spacing w:val="-6"/>
        </w:rPr>
        <w:t xml:space="preserve"> </w:t>
      </w:r>
      <w:r>
        <w:rPr>
          <w:color w:val="0D0E0E"/>
        </w:rPr>
        <w:t>benefits</w:t>
      </w:r>
      <w:r>
        <w:rPr>
          <w:color w:val="0D0E0E"/>
          <w:spacing w:val="-3"/>
        </w:rPr>
        <w:t xml:space="preserve"> </w:t>
      </w:r>
      <w:r>
        <w:rPr>
          <w:color w:val="0D0E0E"/>
        </w:rPr>
        <w:t>of</w:t>
      </w:r>
      <w:r>
        <w:rPr>
          <w:color w:val="0D0E0E"/>
          <w:spacing w:val="-4"/>
        </w:rPr>
        <w:t xml:space="preserve"> </w:t>
      </w:r>
      <w:r>
        <w:rPr>
          <w:color w:val="0D0E0E"/>
        </w:rPr>
        <w:t>th</w:t>
      </w:r>
      <w:r>
        <w:rPr>
          <w:color w:val="252326"/>
        </w:rPr>
        <w:t>a</w:t>
      </w:r>
      <w:r>
        <w:rPr>
          <w:color w:val="0D0E0E"/>
        </w:rPr>
        <w:t>t</w:t>
      </w:r>
      <w:r>
        <w:rPr>
          <w:color w:val="0D0E0E"/>
          <w:spacing w:val="-4"/>
        </w:rPr>
        <w:t xml:space="preserve"> </w:t>
      </w:r>
      <w:r>
        <w:rPr>
          <w:color w:val="252326"/>
        </w:rPr>
        <w:t>Ac</w:t>
      </w:r>
      <w:r>
        <w:rPr>
          <w:color w:val="0D0E0E"/>
        </w:rPr>
        <w:t>t</w:t>
      </w:r>
      <w:r>
        <w:rPr>
          <w:color w:val="231F20"/>
        </w:rPr>
        <w:t>.</w:t>
      </w:r>
      <w:r>
        <w:rPr>
          <w:color w:val="231F20"/>
          <w:spacing w:val="-4"/>
        </w:rPr>
        <w:t xml:space="preserve"> </w:t>
      </w:r>
      <w:r>
        <w:rPr>
          <w:color w:val="0D0E0E"/>
        </w:rPr>
        <w:t>Th</w:t>
      </w:r>
      <w:r>
        <w:rPr>
          <w:color w:val="252326"/>
        </w:rPr>
        <w:t xml:space="preserve">e </w:t>
      </w:r>
      <w:r>
        <w:rPr>
          <w:color w:val="0D0E0E"/>
        </w:rPr>
        <w:t>Ordinary Share</w:t>
      </w:r>
      <w:r>
        <w:rPr>
          <w:color w:val="252326"/>
        </w:rPr>
        <w:t>s a</w:t>
      </w:r>
      <w:r>
        <w:rPr>
          <w:color w:val="0D0E0E"/>
        </w:rPr>
        <w:t>r</w:t>
      </w:r>
      <w:r>
        <w:rPr>
          <w:color w:val="252326"/>
        </w:rPr>
        <w:t xml:space="preserve">e </w:t>
      </w:r>
      <w:r>
        <w:rPr>
          <w:color w:val="0D0E0E"/>
        </w:rPr>
        <w:t>b</w:t>
      </w:r>
      <w:r>
        <w:rPr>
          <w:color w:val="252326"/>
        </w:rPr>
        <w:t>e</w:t>
      </w:r>
      <w:r>
        <w:rPr>
          <w:color w:val="0D0E0E"/>
        </w:rPr>
        <w:t>in</w:t>
      </w:r>
      <w:r>
        <w:rPr>
          <w:color w:val="252326"/>
        </w:rPr>
        <w:t xml:space="preserve">g </w:t>
      </w:r>
      <w:r>
        <w:rPr>
          <w:color w:val="0D0E0E"/>
        </w:rPr>
        <w:t>off</w:t>
      </w:r>
      <w:r>
        <w:rPr>
          <w:color w:val="252326"/>
        </w:rPr>
        <w:t>e</w:t>
      </w:r>
      <w:r>
        <w:rPr>
          <w:color w:val="0D0E0E"/>
        </w:rPr>
        <w:t>r</w:t>
      </w:r>
      <w:r>
        <w:rPr>
          <w:color w:val="252326"/>
        </w:rPr>
        <w:t>e</w:t>
      </w:r>
      <w:r>
        <w:rPr>
          <w:color w:val="0D0E0E"/>
        </w:rPr>
        <w:t>d out</w:t>
      </w:r>
      <w:r>
        <w:rPr>
          <w:color w:val="252326"/>
        </w:rPr>
        <w:t>s</w:t>
      </w:r>
      <w:r>
        <w:rPr>
          <w:color w:val="0D0E0E"/>
        </w:rPr>
        <w:t xml:space="preserve">ide the United </w:t>
      </w:r>
      <w:r>
        <w:rPr>
          <w:color w:val="252326"/>
        </w:rPr>
        <w:t>S</w:t>
      </w:r>
      <w:r>
        <w:rPr>
          <w:color w:val="0D0E0E"/>
        </w:rPr>
        <w:t>tat</w:t>
      </w:r>
      <w:r>
        <w:rPr>
          <w:color w:val="252326"/>
        </w:rPr>
        <w:t xml:space="preserve">es </w:t>
      </w:r>
      <w:r>
        <w:rPr>
          <w:color w:val="0D0E0E"/>
        </w:rPr>
        <w:t>in off</w:t>
      </w:r>
      <w:r>
        <w:rPr>
          <w:color w:val="252326"/>
        </w:rPr>
        <w:t>s</w:t>
      </w:r>
      <w:r>
        <w:rPr>
          <w:color w:val="0D0E0E"/>
        </w:rPr>
        <w:t>h</w:t>
      </w:r>
      <w:r>
        <w:rPr>
          <w:color w:val="252326"/>
        </w:rPr>
        <w:t>o</w:t>
      </w:r>
      <w:r>
        <w:rPr>
          <w:color w:val="0D0E0E"/>
        </w:rPr>
        <w:t>r</w:t>
      </w:r>
      <w:r>
        <w:rPr>
          <w:color w:val="252326"/>
        </w:rPr>
        <w:t xml:space="preserve">e </w:t>
      </w:r>
      <w:r>
        <w:rPr>
          <w:color w:val="0D0E0E"/>
        </w:rPr>
        <w:t>tran</w:t>
      </w:r>
      <w:r>
        <w:rPr>
          <w:color w:val="252326"/>
        </w:rPr>
        <w:t>sac</w:t>
      </w:r>
      <w:r>
        <w:rPr>
          <w:color w:val="0D0E0E"/>
        </w:rPr>
        <w:t>tion</w:t>
      </w:r>
      <w:r>
        <w:rPr>
          <w:color w:val="252326"/>
        </w:rPr>
        <w:t xml:space="preserve">s </w:t>
      </w:r>
      <w:r>
        <w:rPr>
          <w:color w:val="0D0E0E"/>
        </w:rPr>
        <w:t>within the meanin</w:t>
      </w:r>
      <w:r>
        <w:rPr>
          <w:color w:val="252326"/>
        </w:rPr>
        <w:t>g o</w:t>
      </w:r>
      <w:r>
        <w:rPr>
          <w:color w:val="0D0E0E"/>
        </w:rPr>
        <w:t xml:space="preserve">f </w:t>
      </w:r>
      <w:r>
        <w:rPr>
          <w:color w:val="252326"/>
        </w:rPr>
        <w:t>a</w:t>
      </w:r>
      <w:r>
        <w:rPr>
          <w:color w:val="0D0E0E"/>
        </w:rPr>
        <w:t>nd in accordan</w:t>
      </w:r>
      <w:r>
        <w:rPr>
          <w:color w:val="252326"/>
        </w:rPr>
        <w:t>c</w:t>
      </w:r>
      <w:r>
        <w:rPr>
          <w:color w:val="0D0E0E"/>
        </w:rPr>
        <w:t xml:space="preserve">e </w:t>
      </w:r>
      <w:r>
        <w:rPr>
          <w:color w:val="252326"/>
        </w:rPr>
        <w:t>w</w:t>
      </w:r>
      <w:r>
        <w:rPr>
          <w:color w:val="0D0E0E"/>
        </w:rPr>
        <w:t>ith th</w:t>
      </w:r>
      <w:r>
        <w:rPr>
          <w:color w:val="252326"/>
        </w:rPr>
        <w:t>e sa</w:t>
      </w:r>
      <w:r>
        <w:rPr>
          <w:color w:val="0D0E0E"/>
        </w:rPr>
        <w:t>f</w:t>
      </w:r>
      <w:r>
        <w:rPr>
          <w:color w:val="252326"/>
        </w:rPr>
        <w:t xml:space="preserve">e </w:t>
      </w:r>
      <w:r>
        <w:rPr>
          <w:color w:val="0D0E0E"/>
        </w:rPr>
        <w:t>h</w:t>
      </w:r>
      <w:r>
        <w:rPr>
          <w:color w:val="252326"/>
        </w:rPr>
        <w:t>a</w:t>
      </w:r>
      <w:r>
        <w:rPr>
          <w:color w:val="0D0E0E"/>
        </w:rPr>
        <w:t>rb</w:t>
      </w:r>
      <w:r>
        <w:rPr>
          <w:color w:val="252326"/>
        </w:rPr>
        <w:t>o</w:t>
      </w:r>
      <w:r>
        <w:rPr>
          <w:color w:val="0D0E0E"/>
        </w:rPr>
        <w:t>ur from the r</w:t>
      </w:r>
      <w:r>
        <w:rPr>
          <w:color w:val="252326"/>
        </w:rPr>
        <w:t>e</w:t>
      </w:r>
      <w:r>
        <w:rPr>
          <w:color w:val="0D0E0E"/>
        </w:rPr>
        <w:t>gi</w:t>
      </w:r>
      <w:r>
        <w:rPr>
          <w:color w:val="252326"/>
        </w:rPr>
        <w:t>s</w:t>
      </w:r>
      <w:r>
        <w:rPr>
          <w:color w:val="0D0E0E"/>
        </w:rPr>
        <w:t>tration requir</w:t>
      </w:r>
      <w:r>
        <w:rPr>
          <w:color w:val="252326"/>
        </w:rPr>
        <w:t>eme</w:t>
      </w:r>
      <w:r>
        <w:rPr>
          <w:color w:val="0D0E0E"/>
        </w:rPr>
        <w:t>nt</w:t>
      </w:r>
      <w:r>
        <w:rPr>
          <w:color w:val="252326"/>
        </w:rPr>
        <w:t xml:space="preserve">s </w:t>
      </w:r>
      <w:r>
        <w:rPr>
          <w:color w:val="0D0E0E"/>
        </w:rPr>
        <w:t>pro</w:t>
      </w:r>
      <w:r>
        <w:rPr>
          <w:color w:val="252326"/>
        </w:rPr>
        <w:t>v</w:t>
      </w:r>
      <w:r>
        <w:rPr>
          <w:color w:val="0D0E0E"/>
        </w:rPr>
        <w:t>ided b</w:t>
      </w:r>
      <w:r>
        <w:rPr>
          <w:color w:val="252326"/>
        </w:rPr>
        <w:t xml:space="preserve">y </w:t>
      </w:r>
      <w:r>
        <w:rPr>
          <w:color w:val="0D0E0E"/>
        </w:rPr>
        <w:t>Regul</w:t>
      </w:r>
      <w:r>
        <w:rPr>
          <w:color w:val="252326"/>
        </w:rPr>
        <w:t>a</w:t>
      </w:r>
      <w:r>
        <w:rPr>
          <w:color w:val="0D0E0E"/>
        </w:rPr>
        <w:t>tion S unde</w:t>
      </w:r>
      <w:r>
        <w:rPr>
          <w:color w:val="252326"/>
        </w:rPr>
        <w:t xml:space="preserve">r </w:t>
      </w:r>
      <w:r>
        <w:rPr>
          <w:color w:val="0D0E0E"/>
        </w:rPr>
        <w:t>th</w:t>
      </w:r>
      <w:r>
        <w:rPr>
          <w:color w:val="252326"/>
        </w:rPr>
        <w:t xml:space="preserve">e </w:t>
      </w:r>
      <w:r>
        <w:rPr>
          <w:color w:val="0D0E0E"/>
        </w:rPr>
        <w:t>US Securitie</w:t>
      </w:r>
      <w:r>
        <w:rPr>
          <w:color w:val="252326"/>
        </w:rPr>
        <w:t xml:space="preserve">s </w:t>
      </w:r>
      <w:r>
        <w:rPr>
          <w:color w:val="0D0E0E"/>
        </w:rPr>
        <w:t>A</w:t>
      </w:r>
      <w:r>
        <w:rPr>
          <w:color w:val="252326"/>
        </w:rPr>
        <w:t xml:space="preserve">ct. </w:t>
      </w:r>
      <w:r>
        <w:rPr>
          <w:color w:val="0D0E0E"/>
        </w:rPr>
        <w:t>Th</w:t>
      </w:r>
      <w:r>
        <w:rPr>
          <w:color w:val="252326"/>
        </w:rPr>
        <w:t xml:space="preserve">e </w:t>
      </w:r>
      <w:r>
        <w:rPr>
          <w:color w:val="0D0E0E"/>
        </w:rPr>
        <w:t>Or</w:t>
      </w:r>
      <w:r>
        <w:rPr>
          <w:color w:val="252326"/>
        </w:rPr>
        <w:t>d</w:t>
      </w:r>
      <w:r>
        <w:rPr>
          <w:color w:val="0D0E0E"/>
        </w:rPr>
        <w:t>in</w:t>
      </w:r>
      <w:r>
        <w:rPr>
          <w:color w:val="252326"/>
        </w:rPr>
        <w:t>ar</w:t>
      </w:r>
      <w:r>
        <w:rPr>
          <w:color w:val="0D0E0E"/>
        </w:rPr>
        <w:t xml:space="preserve">y </w:t>
      </w:r>
      <w:r>
        <w:rPr>
          <w:color w:val="252326"/>
        </w:rPr>
        <w:t>S</w:t>
      </w:r>
      <w:r>
        <w:rPr>
          <w:color w:val="0D0E0E"/>
        </w:rPr>
        <w:t>h</w:t>
      </w:r>
      <w:r>
        <w:rPr>
          <w:color w:val="252326"/>
        </w:rPr>
        <w:t>a</w:t>
      </w:r>
      <w:r>
        <w:rPr>
          <w:color w:val="0D0E0E"/>
        </w:rPr>
        <w:t>r</w:t>
      </w:r>
      <w:r>
        <w:rPr>
          <w:color w:val="252326"/>
        </w:rPr>
        <w:t xml:space="preserve">es </w:t>
      </w:r>
      <w:r>
        <w:rPr>
          <w:color w:val="0D0E0E"/>
        </w:rPr>
        <w:t>h</w:t>
      </w:r>
      <w:r>
        <w:rPr>
          <w:color w:val="252326"/>
        </w:rPr>
        <w:t xml:space="preserve">ave </w:t>
      </w:r>
      <w:r>
        <w:rPr>
          <w:color w:val="0D0E0E"/>
        </w:rPr>
        <w:t>n</w:t>
      </w:r>
      <w:r>
        <w:rPr>
          <w:color w:val="252326"/>
        </w:rPr>
        <w:t>o</w:t>
      </w:r>
      <w:r>
        <w:rPr>
          <w:color w:val="0D0E0E"/>
        </w:rPr>
        <w:t>t been appr</w:t>
      </w:r>
      <w:r>
        <w:rPr>
          <w:color w:val="252326"/>
        </w:rPr>
        <w:t>ov</w:t>
      </w:r>
      <w:r>
        <w:rPr>
          <w:color w:val="0D0E0E"/>
        </w:rPr>
        <w:t xml:space="preserve">ed </w:t>
      </w:r>
      <w:r>
        <w:rPr>
          <w:color w:val="252326"/>
        </w:rPr>
        <w:t>o</w:t>
      </w:r>
      <w:r>
        <w:rPr>
          <w:color w:val="0D0E0E"/>
        </w:rPr>
        <w:t>r di</w:t>
      </w:r>
      <w:r>
        <w:rPr>
          <w:color w:val="252326"/>
        </w:rPr>
        <w:t>sa</w:t>
      </w:r>
      <w:r>
        <w:rPr>
          <w:color w:val="0D0E0E"/>
        </w:rPr>
        <w:t>ppr</w:t>
      </w:r>
      <w:r>
        <w:rPr>
          <w:color w:val="252326"/>
        </w:rPr>
        <w:t>ove</w:t>
      </w:r>
      <w:r>
        <w:rPr>
          <w:color w:val="0D0E0E"/>
        </w:rPr>
        <w:t>d b</w:t>
      </w:r>
      <w:r>
        <w:rPr>
          <w:color w:val="252326"/>
        </w:rPr>
        <w:t xml:space="preserve">y </w:t>
      </w:r>
      <w:r>
        <w:rPr>
          <w:color w:val="0D0E0E"/>
        </w:rPr>
        <w:t>the SEC</w:t>
      </w:r>
      <w:r>
        <w:rPr>
          <w:color w:val="252326"/>
        </w:rPr>
        <w:t>, a</w:t>
      </w:r>
      <w:r>
        <w:rPr>
          <w:color w:val="0D0E0E"/>
        </w:rPr>
        <w:t>n</w:t>
      </w:r>
      <w:r>
        <w:rPr>
          <w:color w:val="252326"/>
        </w:rPr>
        <w:t>y s</w:t>
      </w:r>
      <w:r>
        <w:rPr>
          <w:color w:val="0D0E0E"/>
        </w:rPr>
        <w:t>t</w:t>
      </w:r>
      <w:r>
        <w:rPr>
          <w:color w:val="252326"/>
        </w:rPr>
        <w:t>a</w:t>
      </w:r>
      <w:r>
        <w:rPr>
          <w:color w:val="0D0E0E"/>
        </w:rPr>
        <w:t>t</w:t>
      </w:r>
      <w:r>
        <w:rPr>
          <w:color w:val="252326"/>
        </w:rPr>
        <w:t>e s</w:t>
      </w:r>
      <w:r>
        <w:rPr>
          <w:color w:val="0D0E0E"/>
        </w:rPr>
        <w:t>ecuriti</w:t>
      </w:r>
      <w:r>
        <w:rPr>
          <w:color w:val="252326"/>
        </w:rPr>
        <w:t>es c</w:t>
      </w:r>
      <w:r>
        <w:rPr>
          <w:color w:val="0D0E0E"/>
        </w:rPr>
        <w:t>o</w:t>
      </w:r>
      <w:r>
        <w:rPr>
          <w:color w:val="252326"/>
        </w:rPr>
        <w:t>m</w:t>
      </w:r>
      <w:r>
        <w:rPr>
          <w:color w:val="0D0E0E"/>
        </w:rPr>
        <w:t>mi</w:t>
      </w:r>
      <w:r>
        <w:rPr>
          <w:color w:val="252326"/>
        </w:rPr>
        <w:t>s</w:t>
      </w:r>
      <w:r>
        <w:rPr>
          <w:color w:val="0D0E0E"/>
        </w:rPr>
        <w:t>sion</w:t>
      </w:r>
      <w:r>
        <w:rPr>
          <w:color w:val="0D0E0E"/>
          <w:spacing w:val="-13"/>
        </w:rPr>
        <w:t xml:space="preserve"> </w:t>
      </w:r>
      <w:r>
        <w:rPr>
          <w:color w:val="0D0E0E"/>
        </w:rPr>
        <w:t>in</w:t>
      </w:r>
      <w:r>
        <w:rPr>
          <w:color w:val="0D0E0E"/>
          <w:spacing w:val="-13"/>
        </w:rPr>
        <w:t xml:space="preserve"> </w:t>
      </w:r>
      <w:r>
        <w:rPr>
          <w:color w:val="0D0E0E"/>
        </w:rPr>
        <w:t>th</w:t>
      </w:r>
      <w:r>
        <w:rPr>
          <w:color w:val="252326"/>
        </w:rPr>
        <w:t>e</w:t>
      </w:r>
      <w:r>
        <w:rPr>
          <w:color w:val="252326"/>
          <w:spacing w:val="-13"/>
        </w:rPr>
        <w:t xml:space="preserve"> </w:t>
      </w:r>
      <w:r>
        <w:rPr>
          <w:color w:val="0D0E0E"/>
        </w:rPr>
        <w:t>Un</w:t>
      </w:r>
      <w:r>
        <w:rPr>
          <w:color w:val="252326"/>
        </w:rPr>
        <w:t>it</w:t>
      </w:r>
      <w:r>
        <w:rPr>
          <w:color w:val="0D0E0E"/>
        </w:rPr>
        <w:t>ed</w:t>
      </w:r>
      <w:r>
        <w:rPr>
          <w:color w:val="0D0E0E"/>
          <w:spacing w:val="-12"/>
        </w:rPr>
        <w:t xml:space="preserve"> </w:t>
      </w:r>
      <w:r>
        <w:rPr>
          <w:color w:val="252326"/>
        </w:rPr>
        <w:t>St</w:t>
      </w:r>
      <w:r>
        <w:rPr>
          <w:color w:val="0D0E0E"/>
        </w:rPr>
        <w:t>at</w:t>
      </w:r>
      <w:r>
        <w:rPr>
          <w:color w:val="252326"/>
        </w:rPr>
        <w:t>es</w:t>
      </w:r>
      <w:r>
        <w:rPr>
          <w:color w:val="252326"/>
          <w:spacing w:val="-13"/>
        </w:rPr>
        <w:t xml:space="preserve"> </w:t>
      </w:r>
      <w:r>
        <w:rPr>
          <w:color w:val="252326"/>
        </w:rPr>
        <w:t>or</w:t>
      </w:r>
      <w:r>
        <w:rPr>
          <w:color w:val="252326"/>
          <w:spacing w:val="-14"/>
        </w:rPr>
        <w:t xml:space="preserve"> </w:t>
      </w:r>
      <w:r>
        <w:rPr>
          <w:color w:val="252326"/>
        </w:rPr>
        <w:t>a</w:t>
      </w:r>
      <w:r>
        <w:rPr>
          <w:color w:val="0D0E0E"/>
        </w:rPr>
        <w:t>n</w:t>
      </w:r>
      <w:r>
        <w:rPr>
          <w:color w:val="252326"/>
        </w:rPr>
        <w:t>y</w:t>
      </w:r>
      <w:r>
        <w:rPr>
          <w:color w:val="252326"/>
          <w:spacing w:val="-14"/>
        </w:rPr>
        <w:t xml:space="preserve"> </w:t>
      </w:r>
      <w:r>
        <w:rPr>
          <w:color w:val="0D0E0E"/>
        </w:rPr>
        <w:t>o</w:t>
      </w:r>
      <w:r>
        <w:rPr>
          <w:color w:val="252326"/>
        </w:rPr>
        <w:t>t</w:t>
      </w:r>
      <w:r>
        <w:rPr>
          <w:color w:val="0D0E0E"/>
        </w:rPr>
        <w:t>her</w:t>
      </w:r>
      <w:r>
        <w:rPr>
          <w:color w:val="0D0E0E"/>
          <w:spacing w:val="-14"/>
        </w:rPr>
        <w:t xml:space="preserve"> </w:t>
      </w:r>
      <w:r>
        <w:rPr>
          <w:color w:val="252326"/>
        </w:rPr>
        <w:t>r</w:t>
      </w:r>
      <w:r>
        <w:rPr>
          <w:color w:val="0D0E0E"/>
        </w:rPr>
        <w:t>e</w:t>
      </w:r>
      <w:r>
        <w:rPr>
          <w:color w:val="252326"/>
        </w:rPr>
        <w:t>g</w:t>
      </w:r>
      <w:r>
        <w:rPr>
          <w:color w:val="0D0E0E"/>
        </w:rPr>
        <w:t>ul</w:t>
      </w:r>
      <w:r>
        <w:rPr>
          <w:color w:val="252326"/>
        </w:rPr>
        <w:t>a</w:t>
      </w:r>
      <w:r>
        <w:rPr>
          <w:color w:val="0D0E0E"/>
        </w:rPr>
        <w:t>tor</w:t>
      </w:r>
      <w:r>
        <w:rPr>
          <w:color w:val="252326"/>
        </w:rPr>
        <w:t>y</w:t>
      </w:r>
      <w:r>
        <w:rPr>
          <w:color w:val="252326"/>
          <w:spacing w:val="-14"/>
        </w:rPr>
        <w:t xml:space="preserve"> </w:t>
      </w:r>
      <w:r>
        <w:rPr>
          <w:color w:val="252326"/>
        </w:rPr>
        <w:t>a</w:t>
      </w:r>
      <w:r>
        <w:rPr>
          <w:color w:val="0D0E0E"/>
        </w:rPr>
        <w:t>uth</w:t>
      </w:r>
      <w:r>
        <w:rPr>
          <w:color w:val="252326"/>
        </w:rPr>
        <w:t>o</w:t>
      </w:r>
      <w:r>
        <w:rPr>
          <w:color w:val="0D0E0E"/>
        </w:rPr>
        <w:t>rit</w:t>
      </w:r>
      <w:r>
        <w:rPr>
          <w:color w:val="252326"/>
        </w:rPr>
        <w:t>y</w:t>
      </w:r>
      <w:r>
        <w:rPr>
          <w:color w:val="252326"/>
          <w:spacing w:val="-15"/>
        </w:rPr>
        <w:t xml:space="preserve"> </w:t>
      </w:r>
      <w:r>
        <w:rPr>
          <w:color w:val="0D0E0E"/>
        </w:rPr>
        <w:t>in</w:t>
      </w:r>
      <w:r>
        <w:rPr>
          <w:color w:val="0D0E0E"/>
          <w:spacing w:val="-13"/>
        </w:rPr>
        <w:t xml:space="preserve"> </w:t>
      </w:r>
      <w:r>
        <w:rPr>
          <w:color w:val="0D0E0E"/>
        </w:rPr>
        <w:t>th</w:t>
      </w:r>
      <w:r>
        <w:rPr>
          <w:color w:val="252326"/>
        </w:rPr>
        <w:t>e</w:t>
      </w:r>
      <w:r>
        <w:rPr>
          <w:color w:val="252326"/>
          <w:spacing w:val="-12"/>
        </w:rPr>
        <w:t xml:space="preserve"> </w:t>
      </w:r>
      <w:r>
        <w:rPr>
          <w:color w:val="0D0E0E"/>
        </w:rPr>
        <w:t>Un</w:t>
      </w:r>
      <w:r>
        <w:rPr>
          <w:color w:val="252326"/>
        </w:rPr>
        <w:t>ite</w:t>
      </w:r>
      <w:r>
        <w:rPr>
          <w:color w:val="0D0E0E"/>
        </w:rPr>
        <w:t>d</w:t>
      </w:r>
      <w:r>
        <w:rPr>
          <w:color w:val="0D0E0E"/>
          <w:spacing w:val="-13"/>
        </w:rPr>
        <w:t xml:space="preserve"> </w:t>
      </w:r>
      <w:r>
        <w:rPr>
          <w:color w:val="252326"/>
        </w:rPr>
        <w:t>S</w:t>
      </w:r>
      <w:r>
        <w:rPr>
          <w:color w:val="0D0E0E"/>
        </w:rPr>
        <w:t>t</w:t>
      </w:r>
      <w:r>
        <w:rPr>
          <w:color w:val="252326"/>
        </w:rPr>
        <w:t>a</w:t>
      </w:r>
      <w:r>
        <w:rPr>
          <w:color w:val="0D0E0E"/>
        </w:rPr>
        <w:t>te</w:t>
      </w:r>
      <w:r>
        <w:rPr>
          <w:color w:val="252326"/>
        </w:rPr>
        <w:t>s,</w:t>
      </w:r>
      <w:r>
        <w:rPr>
          <w:color w:val="252326"/>
          <w:spacing w:val="-14"/>
        </w:rPr>
        <w:t xml:space="preserve"> </w:t>
      </w:r>
      <w:r>
        <w:rPr>
          <w:color w:val="0D0E0E"/>
        </w:rPr>
        <w:t>nor</w:t>
      </w:r>
      <w:r>
        <w:rPr>
          <w:color w:val="0D0E0E"/>
          <w:spacing w:val="-13"/>
        </w:rPr>
        <w:t xml:space="preserve"> </w:t>
      </w:r>
      <w:r>
        <w:rPr>
          <w:color w:val="0D0E0E"/>
        </w:rPr>
        <w:t>ha</w:t>
      </w:r>
      <w:r>
        <w:rPr>
          <w:color w:val="252326"/>
        </w:rPr>
        <w:t>v</w:t>
      </w:r>
      <w:r>
        <w:rPr>
          <w:color w:val="0D0E0E"/>
        </w:rPr>
        <w:t>e</w:t>
      </w:r>
      <w:r>
        <w:rPr>
          <w:color w:val="0D0E0E"/>
          <w:spacing w:val="-13"/>
        </w:rPr>
        <w:t xml:space="preserve"> </w:t>
      </w:r>
      <w:r>
        <w:rPr>
          <w:color w:val="0D0E0E"/>
        </w:rPr>
        <w:t>an</w:t>
      </w:r>
      <w:r>
        <w:rPr>
          <w:color w:val="252326"/>
        </w:rPr>
        <w:t>y</w:t>
      </w:r>
      <w:r>
        <w:rPr>
          <w:color w:val="252326"/>
          <w:spacing w:val="-15"/>
        </w:rPr>
        <w:t xml:space="preserve"> </w:t>
      </w:r>
      <w:r>
        <w:rPr>
          <w:color w:val="252326"/>
        </w:rPr>
        <w:t>o</w:t>
      </w:r>
      <w:r>
        <w:rPr>
          <w:color w:val="0D0E0E"/>
        </w:rPr>
        <w:t>f</w:t>
      </w:r>
      <w:r>
        <w:rPr>
          <w:color w:val="0D0E0E"/>
          <w:spacing w:val="-13"/>
        </w:rPr>
        <w:t xml:space="preserve"> </w:t>
      </w:r>
      <w:r>
        <w:rPr>
          <w:color w:val="0D0E0E"/>
        </w:rPr>
        <w:t>t</w:t>
      </w:r>
      <w:r>
        <w:rPr>
          <w:color w:val="252326"/>
        </w:rPr>
        <w:t>he</w:t>
      </w:r>
      <w:r>
        <w:rPr>
          <w:color w:val="252326"/>
          <w:spacing w:val="-13"/>
        </w:rPr>
        <w:t xml:space="preserve"> </w:t>
      </w:r>
      <w:r>
        <w:rPr>
          <w:color w:val="252326"/>
        </w:rPr>
        <w:t>f</w:t>
      </w:r>
      <w:r>
        <w:rPr>
          <w:color w:val="0D0E0E"/>
        </w:rPr>
        <w:t>or</w:t>
      </w:r>
      <w:r>
        <w:rPr>
          <w:color w:val="252326"/>
        </w:rPr>
        <w:t>egoi</w:t>
      </w:r>
      <w:r>
        <w:rPr>
          <w:color w:val="0D0E0E"/>
        </w:rPr>
        <w:t>n</w:t>
      </w:r>
      <w:r>
        <w:rPr>
          <w:color w:val="252326"/>
        </w:rPr>
        <w:t xml:space="preserve">g </w:t>
      </w:r>
      <w:r>
        <w:rPr>
          <w:color w:val="0D0E0E"/>
        </w:rPr>
        <w:t>c</w:t>
      </w:r>
      <w:r>
        <w:rPr>
          <w:color w:val="252326"/>
        </w:rPr>
        <w:t>ommiss</w:t>
      </w:r>
      <w:r>
        <w:rPr>
          <w:color w:val="0D0E0E"/>
        </w:rPr>
        <w:t>i</w:t>
      </w:r>
      <w:r>
        <w:rPr>
          <w:color w:val="252326"/>
        </w:rPr>
        <w:t>o</w:t>
      </w:r>
      <w:r>
        <w:rPr>
          <w:color w:val="0D0E0E"/>
        </w:rPr>
        <w:t>n</w:t>
      </w:r>
      <w:r>
        <w:rPr>
          <w:color w:val="252326"/>
        </w:rPr>
        <w:t>s</w:t>
      </w:r>
      <w:r>
        <w:rPr>
          <w:color w:val="252326"/>
          <w:spacing w:val="-2"/>
        </w:rPr>
        <w:t xml:space="preserve"> </w:t>
      </w:r>
      <w:r>
        <w:rPr>
          <w:color w:val="252326"/>
        </w:rPr>
        <w:t>o</w:t>
      </w:r>
      <w:r>
        <w:rPr>
          <w:color w:val="0D0E0E"/>
        </w:rPr>
        <w:t>r</w:t>
      </w:r>
      <w:r>
        <w:rPr>
          <w:color w:val="0D0E0E"/>
          <w:spacing w:val="-4"/>
        </w:rPr>
        <w:t xml:space="preserve"> </w:t>
      </w:r>
      <w:r>
        <w:rPr>
          <w:color w:val="252326"/>
        </w:rPr>
        <w:t>a</w:t>
      </w:r>
      <w:r>
        <w:rPr>
          <w:color w:val="0D0E0E"/>
        </w:rPr>
        <w:t>uth</w:t>
      </w:r>
      <w:r>
        <w:rPr>
          <w:color w:val="252326"/>
        </w:rPr>
        <w:t>o</w:t>
      </w:r>
      <w:r>
        <w:rPr>
          <w:color w:val="0D0E0E"/>
        </w:rPr>
        <w:t>r</w:t>
      </w:r>
      <w:r>
        <w:rPr>
          <w:color w:val="252326"/>
        </w:rPr>
        <w:t>i</w:t>
      </w:r>
      <w:r>
        <w:rPr>
          <w:color w:val="0D0E0E"/>
        </w:rPr>
        <w:t>t</w:t>
      </w:r>
      <w:r>
        <w:rPr>
          <w:color w:val="252326"/>
        </w:rPr>
        <w:t>ies</w:t>
      </w:r>
      <w:r>
        <w:rPr>
          <w:color w:val="252326"/>
          <w:spacing w:val="-3"/>
        </w:rPr>
        <w:t xml:space="preserve"> </w:t>
      </w:r>
      <w:r>
        <w:rPr>
          <w:color w:val="252326"/>
        </w:rPr>
        <w:t>pass</w:t>
      </w:r>
      <w:r>
        <w:rPr>
          <w:color w:val="0D0E0E"/>
        </w:rPr>
        <w:t>e</w:t>
      </w:r>
      <w:r>
        <w:rPr>
          <w:color w:val="252326"/>
        </w:rPr>
        <w:t>d</w:t>
      </w:r>
      <w:r>
        <w:rPr>
          <w:color w:val="252326"/>
          <w:spacing w:val="-4"/>
        </w:rPr>
        <w:t xml:space="preserve"> </w:t>
      </w:r>
      <w:r>
        <w:rPr>
          <w:color w:val="252326"/>
        </w:rPr>
        <w:t>co</w:t>
      </w:r>
      <w:r>
        <w:rPr>
          <w:color w:val="0D0E0E"/>
        </w:rPr>
        <w:t>mment</w:t>
      </w:r>
      <w:r>
        <w:rPr>
          <w:color w:val="0D0E0E"/>
          <w:spacing w:val="-5"/>
        </w:rPr>
        <w:t xml:space="preserve"> </w:t>
      </w:r>
      <w:r>
        <w:rPr>
          <w:color w:val="0D0E0E"/>
        </w:rPr>
        <w:t>up</w:t>
      </w:r>
      <w:r>
        <w:rPr>
          <w:color w:val="252326"/>
        </w:rPr>
        <w:t>o</w:t>
      </w:r>
      <w:r>
        <w:rPr>
          <w:color w:val="0D0E0E"/>
        </w:rPr>
        <w:t>n</w:t>
      </w:r>
      <w:r>
        <w:rPr>
          <w:color w:val="0D0E0E"/>
          <w:spacing w:val="-4"/>
        </w:rPr>
        <w:t xml:space="preserve"> </w:t>
      </w:r>
      <w:r>
        <w:rPr>
          <w:color w:val="252326"/>
        </w:rPr>
        <w:t>o</w:t>
      </w:r>
      <w:r>
        <w:rPr>
          <w:color w:val="0D0E0E"/>
        </w:rPr>
        <w:t>r</w:t>
      </w:r>
      <w:r>
        <w:rPr>
          <w:color w:val="0D0E0E"/>
          <w:spacing w:val="-4"/>
        </w:rPr>
        <w:t xml:space="preserve"> </w:t>
      </w:r>
      <w:r>
        <w:rPr>
          <w:color w:val="252326"/>
        </w:rPr>
        <w:t>e</w:t>
      </w:r>
      <w:r>
        <w:rPr>
          <w:color w:val="0D0E0E"/>
        </w:rPr>
        <w:t>nd</w:t>
      </w:r>
      <w:r>
        <w:rPr>
          <w:color w:val="252326"/>
        </w:rPr>
        <w:t>o</w:t>
      </w:r>
      <w:r>
        <w:rPr>
          <w:color w:val="0D0E0E"/>
        </w:rPr>
        <w:t>rs</w:t>
      </w:r>
      <w:r>
        <w:rPr>
          <w:color w:val="252326"/>
        </w:rPr>
        <w:t>ed</w:t>
      </w:r>
      <w:r>
        <w:rPr>
          <w:color w:val="252326"/>
          <w:spacing w:val="-1"/>
        </w:rPr>
        <w:t xml:space="preserve"> </w:t>
      </w:r>
      <w:r>
        <w:rPr>
          <w:color w:val="0D0E0E"/>
        </w:rPr>
        <w:t>th</w:t>
      </w:r>
      <w:r>
        <w:rPr>
          <w:color w:val="252326"/>
        </w:rPr>
        <w:t>e</w:t>
      </w:r>
      <w:r>
        <w:rPr>
          <w:color w:val="252326"/>
          <w:spacing w:val="-5"/>
        </w:rPr>
        <w:t xml:space="preserve"> </w:t>
      </w:r>
      <w:r>
        <w:rPr>
          <w:color w:val="252326"/>
        </w:rPr>
        <w:t>me</w:t>
      </w:r>
      <w:r>
        <w:rPr>
          <w:color w:val="0D0E0E"/>
        </w:rPr>
        <w:t>r</w:t>
      </w:r>
      <w:r>
        <w:rPr>
          <w:color w:val="252326"/>
        </w:rPr>
        <w:t>i</w:t>
      </w:r>
      <w:r>
        <w:rPr>
          <w:color w:val="0D0E0E"/>
        </w:rPr>
        <w:t>t</w:t>
      </w:r>
      <w:r>
        <w:rPr>
          <w:color w:val="0D0E0E"/>
          <w:spacing w:val="-4"/>
        </w:rPr>
        <w:t xml:space="preserve"> </w:t>
      </w:r>
      <w:r>
        <w:rPr>
          <w:color w:val="252326"/>
        </w:rPr>
        <w:t>o</w:t>
      </w:r>
      <w:r>
        <w:rPr>
          <w:color w:val="0D0E0E"/>
        </w:rPr>
        <w:t>f</w:t>
      </w:r>
      <w:r>
        <w:rPr>
          <w:color w:val="0D0E0E"/>
          <w:spacing w:val="-2"/>
        </w:rPr>
        <w:t xml:space="preserve"> </w:t>
      </w:r>
      <w:r>
        <w:rPr>
          <w:color w:val="252326"/>
        </w:rPr>
        <w:t>the</w:t>
      </w:r>
      <w:r>
        <w:rPr>
          <w:color w:val="252326"/>
          <w:spacing w:val="-4"/>
        </w:rPr>
        <w:t xml:space="preserve"> </w:t>
      </w:r>
      <w:r>
        <w:rPr>
          <w:color w:val="252326"/>
        </w:rPr>
        <w:t>o</w:t>
      </w:r>
      <w:r>
        <w:rPr>
          <w:color w:val="0D0E0E"/>
        </w:rPr>
        <w:t>ff</w:t>
      </w:r>
      <w:r>
        <w:rPr>
          <w:color w:val="252326"/>
        </w:rPr>
        <w:t>e</w:t>
      </w:r>
      <w:r>
        <w:rPr>
          <w:color w:val="0D0E0E"/>
        </w:rPr>
        <w:t>r</w:t>
      </w:r>
      <w:r>
        <w:rPr>
          <w:color w:val="0D0E0E"/>
          <w:spacing w:val="-3"/>
        </w:rPr>
        <w:t xml:space="preserve"> </w:t>
      </w:r>
      <w:r>
        <w:rPr>
          <w:color w:val="0D0E0E"/>
        </w:rPr>
        <w:t>of</w:t>
      </w:r>
      <w:r>
        <w:rPr>
          <w:color w:val="0D0E0E"/>
          <w:spacing w:val="-2"/>
        </w:rPr>
        <w:t xml:space="preserve"> </w:t>
      </w:r>
      <w:r>
        <w:rPr>
          <w:color w:val="0D0E0E"/>
        </w:rPr>
        <w:t>the</w:t>
      </w:r>
      <w:r>
        <w:rPr>
          <w:color w:val="0D0E0E"/>
          <w:spacing w:val="-4"/>
        </w:rPr>
        <w:t xml:space="preserve"> </w:t>
      </w:r>
      <w:r>
        <w:rPr>
          <w:color w:val="252326"/>
        </w:rPr>
        <w:t>O</w:t>
      </w:r>
      <w:r>
        <w:rPr>
          <w:color w:val="0D0E0E"/>
        </w:rPr>
        <w:t>r</w:t>
      </w:r>
      <w:r>
        <w:rPr>
          <w:color w:val="252326"/>
        </w:rPr>
        <w:t>d</w:t>
      </w:r>
      <w:r>
        <w:rPr>
          <w:color w:val="0D0E0E"/>
        </w:rPr>
        <w:t>in</w:t>
      </w:r>
      <w:r>
        <w:rPr>
          <w:color w:val="252326"/>
        </w:rPr>
        <w:t>a</w:t>
      </w:r>
      <w:r>
        <w:rPr>
          <w:color w:val="0D0E0E"/>
        </w:rPr>
        <w:t>r</w:t>
      </w:r>
      <w:r>
        <w:rPr>
          <w:color w:val="252326"/>
        </w:rPr>
        <w:t>y</w:t>
      </w:r>
      <w:r>
        <w:rPr>
          <w:color w:val="252326"/>
          <w:spacing w:val="-3"/>
        </w:rPr>
        <w:t xml:space="preserve"> </w:t>
      </w:r>
      <w:r>
        <w:rPr>
          <w:color w:val="252326"/>
        </w:rPr>
        <w:t>S</w:t>
      </w:r>
      <w:r>
        <w:rPr>
          <w:color w:val="0D0E0E"/>
        </w:rPr>
        <w:t>h</w:t>
      </w:r>
      <w:r>
        <w:rPr>
          <w:color w:val="252326"/>
        </w:rPr>
        <w:t>a</w:t>
      </w:r>
      <w:r>
        <w:rPr>
          <w:color w:val="0D0E0E"/>
        </w:rPr>
        <w:t>re</w:t>
      </w:r>
      <w:r>
        <w:rPr>
          <w:color w:val="252326"/>
        </w:rPr>
        <w:t>s</w:t>
      </w:r>
      <w:r>
        <w:rPr>
          <w:color w:val="252326"/>
          <w:spacing w:val="-4"/>
        </w:rPr>
        <w:t xml:space="preserve"> </w:t>
      </w:r>
      <w:r>
        <w:rPr>
          <w:color w:val="0D0E0E"/>
        </w:rPr>
        <w:t>or</w:t>
      </w:r>
      <w:r>
        <w:rPr>
          <w:color w:val="0D0E0E"/>
          <w:spacing w:val="-4"/>
        </w:rPr>
        <w:t xml:space="preserve"> </w:t>
      </w:r>
      <w:r>
        <w:rPr>
          <w:color w:val="0D0E0E"/>
        </w:rPr>
        <w:t>th</w:t>
      </w:r>
      <w:r>
        <w:rPr>
          <w:color w:val="252326"/>
        </w:rPr>
        <w:t>e acc</w:t>
      </w:r>
      <w:r>
        <w:rPr>
          <w:color w:val="0D0E0E"/>
        </w:rPr>
        <w:t>ura</w:t>
      </w:r>
      <w:r>
        <w:rPr>
          <w:color w:val="252326"/>
        </w:rPr>
        <w:t>cy o</w:t>
      </w:r>
      <w:r>
        <w:rPr>
          <w:color w:val="0D0E0E"/>
        </w:rPr>
        <w:t xml:space="preserve">r the </w:t>
      </w:r>
      <w:r>
        <w:rPr>
          <w:color w:val="252326"/>
        </w:rPr>
        <w:t>a</w:t>
      </w:r>
      <w:r>
        <w:rPr>
          <w:color w:val="0D0E0E"/>
        </w:rPr>
        <w:t>d</w:t>
      </w:r>
      <w:r>
        <w:rPr>
          <w:color w:val="252326"/>
        </w:rPr>
        <w:t>e</w:t>
      </w:r>
      <w:r>
        <w:rPr>
          <w:color w:val="0D0E0E"/>
        </w:rPr>
        <w:t>qu</w:t>
      </w:r>
      <w:r>
        <w:rPr>
          <w:color w:val="252326"/>
        </w:rPr>
        <w:t>a</w:t>
      </w:r>
      <w:r>
        <w:rPr>
          <w:color w:val="0D0E0E"/>
        </w:rPr>
        <w:t>c</w:t>
      </w:r>
      <w:r>
        <w:rPr>
          <w:color w:val="252326"/>
        </w:rPr>
        <w:t>y of t</w:t>
      </w:r>
      <w:r>
        <w:rPr>
          <w:color w:val="0D0E0E"/>
        </w:rPr>
        <w:t>h</w:t>
      </w:r>
      <w:r>
        <w:rPr>
          <w:color w:val="252326"/>
        </w:rPr>
        <w:t xml:space="preserve">is </w:t>
      </w:r>
      <w:r>
        <w:rPr>
          <w:color w:val="0D0E0E"/>
        </w:rPr>
        <w:t>Doc</w:t>
      </w:r>
      <w:r>
        <w:rPr>
          <w:color w:val="252326"/>
        </w:rPr>
        <w:t>u</w:t>
      </w:r>
      <w:r>
        <w:rPr>
          <w:color w:val="0D0E0E"/>
        </w:rPr>
        <w:t>m</w:t>
      </w:r>
      <w:r>
        <w:rPr>
          <w:color w:val="252326"/>
        </w:rPr>
        <w:t>e</w:t>
      </w:r>
      <w:r>
        <w:rPr>
          <w:color w:val="0D0E0E"/>
        </w:rPr>
        <w:t xml:space="preserve">nt. </w:t>
      </w:r>
      <w:r>
        <w:rPr>
          <w:color w:val="252326"/>
        </w:rPr>
        <w:t xml:space="preserve">Any </w:t>
      </w:r>
      <w:r>
        <w:rPr>
          <w:color w:val="0D0E0E"/>
        </w:rPr>
        <w:t>r</w:t>
      </w:r>
      <w:r>
        <w:rPr>
          <w:color w:val="252326"/>
        </w:rPr>
        <w:t>ep</w:t>
      </w:r>
      <w:r>
        <w:rPr>
          <w:color w:val="0D0E0E"/>
        </w:rPr>
        <w:t>r</w:t>
      </w:r>
      <w:r>
        <w:rPr>
          <w:color w:val="252326"/>
        </w:rPr>
        <w:t>ese</w:t>
      </w:r>
      <w:r>
        <w:rPr>
          <w:color w:val="0D0E0E"/>
        </w:rPr>
        <w:t>nt</w:t>
      </w:r>
      <w:r>
        <w:rPr>
          <w:color w:val="252326"/>
        </w:rPr>
        <w:t>atio</w:t>
      </w:r>
      <w:r>
        <w:rPr>
          <w:color w:val="0D0E0E"/>
        </w:rPr>
        <w:t xml:space="preserve">n </w:t>
      </w:r>
      <w:r>
        <w:rPr>
          <w:color w:val="252326"/>
        </w:rPr>
        <w:t xml:space="preserve">to </w:t>
      </w:r>
      <w:r>
        <w:rPr>
          <w:color w:val="0D0E0E"/>
        </w:rPr>
        <w:t>th</w:t>
      </w:r>
      <w:r>
        <w:rPr>
          <w:color w:val="252326"/>
        </w:rPr>
        <w:t xml:space="preserve">e </w:t>
      </w:r>
      <w:r>
        <w:rPr>
          <w:color w:val="0D0E0E"/>
        </w:rPr>
        <w:t>c</w:t>
      </w:r>
      <w:r>
        <w:rPr>
          <w:color w:val="252326"/>
        </w:rPr>
        <w:t>o</w:t>
      </w:r>
      <w:r>
        <w:rPr>
          <w:color w:val="0D0E0E"/>
        </w:rPr>
        <w:t>ntr</w:t>
      </w:r>
      <w:r>
        <w:rPr>
          <w:color w:val="252326"/>
        </w:rPr>
        <w:t xml:space="preserve">ary </w:t>
      </w:r>
      <w:r>
        <w:rPr>
          <w:color w:val="0D0E0E"/>
        </w:rPr>
        <w:t>i</w:t>
      </w:r>
      <w:r>
        <w:rPr>
          <w:color w:val="252326"/>
        </w:rPr>
        <w:t xml:space="preserve">s a </w:t>
      </w:r>
      <w:r>
        <w:rPr>
          <w:color w:val="0D0E0E"/>
        </w:rPr>
        <w:t>cri</w:t>
      </w:r>
      <w:r>
        <w:rPr>
          <w:color w:val="252326"/>
        </w:rPr>
        <w:t>m</w:t>
      </w:r>
      <w:r>
        <w:rPr>
          <w:color w:val="0D0E0E"/>
        </w:rPr>
        <w:t>in</w:t>
      </w:r>
      <w:r>
        <w:rPr>
          <w:color w:val="252326"/>
        </w:rPr>
        <w:t>a</w:t>
      </w:r>
      <w:r>
        <w:rPr>
          <w:color w:val="0D0E0E"/>
        </w:rPr>
        <w:t>l off</w:t>
      </w:r>
      <w:r>
        <w:rPr>
          <w:color w:val="252326"/>
        </w:rPr>
        <w:t>e</w:t>
      </w:r>
      <w:r>
        <w:rPr>
          <w:color w:val="0D0E0E"/>
        </w:rPr>
        <w:t>n</w:t>
      </w:r>
      <w:r>
        <w:rPr>
          <w:color w:val="252326"/>
        </w:rPr>
        <w:t>ce i</w:t>
      </w:r>
      <w:r>
        <w:rPr>
          <w:color w:val="0D0E0E"/>
        </w:rPr>
        <w:t xml:space="preserve">n the </w:t>
      </w:r>
      <w:r>
        <w:rPr>
          <w:color w:val="231F20"/>
        </w:rPr>
        <w:t>United States.</w:t>
      </w:r>
      <w:r>
        <w:rPr>
          <w:color w:val="231F20"/>
          <w:spacing w:val="-15"/>
        </w:rPr>
        <w:t xml:space="preserve"> </w:t>
      </w:r>
      <w:r>
        <w:rPr>
          <w:color w:val="231F20"/>
        </w:rPr>
        <w:t>The</w:t>
      </w:r>
      <w:r>
        <w:rPr>
          <w:color w:val="231F20"/>
          <w:spacing w:val="-13"/>
        </w:rPr>
        <w:t xml:space="preserve"> </w:t>
      </w:r>
      <w:r>
        <w:rPr>
          <w:color w:val="231F20"/>
        </w:rPr>
        <w:t>distribution</w:t>
      </w:r>
      <w:r>
        <w:rPr>
          <w:color w:val="231F20"/>
          <w:spacing w:val="-16"/>
        </w:rPr>
        <w:t xml:space="preserve"> </w:t>
      </w:r>
      <w:r>
        <w:rPr>
          <w:color w:val="231F20"/>
        </w:rPr>
        <w:t>of</w:t>
      </w:r>
      <w:r>
        <w:rPr>
          <w:color w:val="231F20"/>
          <w:spacing w:val="-14"/>
        </w:rPr>
        <w:t xml:space="preserve"> </w:t>
      </w:r>
      <w:r>
        <w:rPr>
          <w:color w:val="231F20"/>
        </w:rPr>
        <w:t>this</w:t>
      </w:r>
      <w:r>
        <w:rPr>
          <w:color w:val="231F20"/>
          <w:spacing w:val="-15"/>
        </w:rPr>
        <w:t xml:space="preserve"> </w:t>
      </w:r>
      <w:r>
        <w:rPr>
          <w:color w:val="231F20"/>
        </w:rPr>
        <w:t>Document</w:t>
      </w:r>
      <w:r>
        <w:rPr>
          <w:color w:val="231F20"/>
          <w:spacing w:val="-14"/>
        </w:rPr>
        <w:t xml:space="preserve"> </w:t>
      </w:r>
      <w:r>
        <w:rPr>
          <w:color w:val="231F20"/>
        </w:rPr>
        <w:t>in</w:t>
      </w:r>
      <w:r>
        <w:rPr>
          <w:color w:val="231F20"/>
          <w:spacing w:val="-13"/>
        </w:rPr>
        <w:t xml:space="preserve"> </w:t>
      </w:r>
      <w:r>
        <w:rPr>
          <w:color w:val="231F20"/>
        </w:rPr>
        <w:t>or</w:t>
      </w:r>
      <w:r>
        <w:rPr>
          <w:color w:val="231F20"/>
          <w:spacing w:val="-14"/>
        </w:rPr>
        <w:t xml:space="preserve"> </w:t>
      </w:r>
      <w:r>
        <w:rPr>
          <w:color w:val="231F20"/>
        </w:rPr>
        <w:t>into</w:t>
      </w:r>
      <w:r>
        <w:rPr>
          <w:color w:val="231F20"/>
          <w:spacing w:val="-13"/>
        </w:rPr>
        <w:t xml:space="preserve"> </w:t>
      </w:r>
      <w:r>
        <w:rPr>
          <w:color w:val="231F20"/>
        </w:rPr>
        <w:t>other</w:t>
      </w:r>
      <w:r>
        <w:rPr>
          <w:color w:val="231F20"/>
          <w:spacing w:val="-14"/>
        </w:rPr>
        <w:t xml:space="preserve"> </w:t>
      </w:r>
      <w:r>
        <w:rPr>
          <w:color w:val="231F20"/>
        </w:rPr>
        <w:t>jurisdictions</w:t>
      </w:r>
      <w:r>
        <w:rPr>
          <w:color w:val="231F20"/>
          <w:spacing w:val="-15"/>
        </w:rPr>
        <w:t xml:space="preserve"> </w:t>
      </w:r>
      <w:r>
        <w:rPr>
          <w:color w:val="231F20"/>
        </w:rPr>
        <w:t>may</w:t>
      </w:r>
      <w:r>
        <w:rPr>
          <w:color w:val="231F20"/>
          <w:spacing w:val="-15"/>
        </w:rPr>
        <w:t xml:space="preserve"> </w:t>
      </w:r>
      <w:r>
        <w:rPr>
          <w:color w:val="231F20"/>
        </w:rPr>
        <w:t>be</w:t>
      </w:r>
      <w:r>
        <w:rPr>
          <w:color w:val="231F20"/>
          <w:spacing w:val="-13"/>
        </w:rPr>
        <w:t xml:space="preserve"> </w:t>
      </w:r>
      <w:r>
        <w:rPr>
          <w:color w:val="231F20"/>
        </w:rPr>
        <w:t>restricted</w:t>
      </w:r>
      <w:r>
        <w:rPr>
          <w:color w:val="231F20"/>
          <w:spacing w:val="-13"/>
        </w:rPr>
        <w:t xml:space="preserve"> </w:t>
      </w:r>
      <w:r>
        <w:rPr>
          <w:color w:val="231F20"/>
        </w:rPr>
        <w:t>by</w:t>
      </w:r>
      <w:r>
        <w:rPr>
          <w:color w:val="231F20"/>
          <w:spacing w:val="-15"/>
        </w:rPr>
        <w:t xml:space="preserve"> </w:t>
      </w:r>
      <w:r>
        <w:rPr>
          <w:color w:val="231F20"/>
        </w:rPr>
        <w:t>law</w:t>
      </w:r>
      <w:r>
        <w:rPr>
          <w:color w:val="231F20"/>
          <w:spacing w:val="-17"/>
        </w:rPr>
        <w:t xml:space="preserve"> </w:t>
      </w:r>
      <w:r>
        <w:rPr>
          <w:color w:val="231F20"/>
        </w:rPr>
        <w:t>and</w:t>
      </w:r>
      <w:r>
        <w:rPr>
          <w:color w:val="231F20"/>
          <w:spacing w:val="-13"/>
        </w:rPr>
        <w:t xml:space="preserve"> </w:t>
      </w:r>
      <w:r>
        <w:rPr>
          <w:color w:val="231F20"/>
        </w:rPr>
        <w:t>therefore</w:t>
      </w:r>
      <w:r>
        <w:rPr>
          <w:color w:val="231F20"/>
          <w:spacing w:val="-13"/>
        </w:rPr>
        <w:t xml:space="preserve"> </w:t>
      </w:r>
      <w:r>
        <w:rPr>
          <w:color w:val="231F20"/>
        </w:rPr>
        <w:t>persons into whose possession this Document comes should inform themselves about and observe any such restrictions. Any</w:t>
      </w:r>
      <w:r>
        <w:rPr>
          <w:color w:val="231F20"/>
          <w:spacing w:val="-11"/>
        </w:rPr>
        <w:t xml:space="preserve"> </w:t>
      </w:r>
      <w:r>
        <w:rPr>
          <w:color w:val="231F20"/>
        </w:rPr>
        <w:t>failure</w:t>
      </w:r>
      <w:r>
        <w:rPr>
          <w:color w:val="231F20"/>
          <w:spacing w:val="-10"/>
        </w:rPr>
        <w:t xml:space="preserve"> </w:t>
      </w:r>
      <w:r>
        <w:rPr>
          <w:color w:val="231F20"/>
        </w:rPr>
        <w:t>to</w:t>
      </w:r>
      <w:r>
        <w:rPr>
          <w:color w:val="231F20"/>
          <w:spacing w:val="-10"/>
        </w:rPr>
        <w:t xml:space="preserve"> </w:t>
      </w:r>
      <w:r>
        <w:rPr>
          <w:color w:val="231F20"/>
        </w:rPr>
        <w:t>comply</w:t>
      </w:r>
      <w:r>
        <w:rPr>
          <w:color w:val="231F20"/>
          <w:spacing w:val="-11"/>
        </w:rPr>
        <w:t xml:space="preserve"> </w:t>
      </w:r>
      <w:r>
        <w:rPr>
          <w:color w:val="231F20"/>
        </w:rPr>
        <w:t>with</w:t>
      </w:r>
      <w:r>
        <w:rPr>
          <w:color w:val="231F20"/>
          <w:spacing w:val="-9"/>
        </w:rPr>
        <w:t xml:space="preserve"> </w:t>
      </w:r>
      <w:r>
        <w:rPr>
          <w:color w:val="231F20"/>
        </w:rPr>
        <w:t>these</w:t>
      </w:r>
      <w:r>
        <w:rPr>
          <w:color w:val="231F20"/>
          <w:spacing w:val="-10"/>
        </w:rPr>
        <w:t xml:space="preserve"> </w:t>
      </w:r>
      <w:r>
        <w:rPr>
          <w:color w:val="231F20"/>
        </w:rPr>
        <w:t>restrictions</w:t>
      </w:r>
      <w:r>
        <w:rPr>
          <w:color w:val="231F20"/>
          <w:spacing w:val="-11"/>
        </w:rPr>
        <w:t xml:space="preserve"> </w:t>
      </w:r>
      <w:r>
        <w:rPr>
          <w:color w:val="231F20"/>
        </w:rPr>
        <w:t>may</w:t>
      </w:r>
      <w:r>
        <w:rPr>
          <w:color w:val="231F20"/>
          <w:spacing w:val="-11"/>
        </w:rPr>
        <w:t xml:space="preserve"> </w:t>
      </w:r>
      <w:r>
        <w:rPr>
          <w:color w:val="231F20"/>
        </w:rPr>
        <w:t>constitute</w:t>
      </w:r>
      <w:r>
        <w:rPr>
          <w:color w:val="231F20"/>
          <w:spacing w:val="-11"/>
        </w:rPr>
        <w:t xml:space="preserve"> </w:t>
      </w:r>
      <w:r>
        <w:rPr>
          <w:color w:val="231F20"/>
        </w:rPr>
        <w:t>a</w:t>
      </w:r>
      <w:r>
        <w:rPr>
          <w:color w:val="231F20"/>
          <w:spacing w:val="-11"/>
        </w:rPr>
        <w:t xml:space="preserve"> </w:t>
      </w:r>
      <w:r>
        <w:rPr>
          <w:color w:val="231F20"/>
        </w:rPr>
        <w:t>violation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securities</w:t>
      </w:r>
      <w:r>
        <w:rPr>
          <w:color w:val="231F20"/>
          <w:spacing w:val="-10"/>
        </w:rPr>
        <w:t xml:space="preserve"> </w:t>
      </w:r>
      <w:r>
        <w:rPr>
          <w:color w:val="231F20"/>
        </w:rPr>
        <w:t>laws</w:t>
      </w:r>
      <w:r>
        <w:rPr>
          <w:color w:val="231F20"/>
          <w:spacing w:val="-11"/>
        </w:rPr>
        <w:t xml:space="preserve"> </w:t>
      </w:r>
      <w:r>
        <w:rPr>
          <w:color w:val="231F20"/>
        </w:rPr>
        <w:t>of</w:t>
      </w:r>
      <w:r>
        <w:rPr>
          <w:color w:val="231F20"/>
          <w:spacing w:val="-10"/>
        </w:rPr>
        <w:t xml:space="preserve"> </w:t>
      </w:r>
      <w:r>
        <w:rPr>
          <w:color w:val="231F20"/>
        </w:rPr>
        <w:t>any</w:t>
      </w:r>
      <w:r>
        <w:rPr>
          <w:color w:val="231F20"/>
          <w:spacing w:val="-13"/>
        </w:rPr>
        <w:t xml:space="preserve"> </w:t>
      </w:r>
      <w:r>
        <w:rPr>
          <w:color w:val="231F20"/>
        </w:rPr>
        <w:t>such</w:t>
      </w:r>
      <w:r>
        <w:rPr>
          <w:color w:val="231F20"/>
          <w:spacing w:val="-10"/>
        </w:rPr>
        <w:t xml:space="preserve"> </w:t>
      </w:r>
      <w:r>
        <w:rPr>
          <w:color w:val="231F20"/>
        </w:rPr>
        <w:t>jurisdiction.</w:t>
      </w:r>
    </w:p>
    <w:p w14:paraId="5058CAA5" w14:textId="30179DCD" w:rsidR="00C033A4" w:rsidRDefault="00C033A4">
      <w:pPr>
        <w:pStyle w:val="BodyText"/>
        <w:kinsoku w:val="0"/>
        <w:overflowPunct w:val="0"/>
        <w:ind w:left="300" w:right="1189"/>
        <w:jc w:val="both"/>
        <w:rPr>
          <w:color w:val="231F20"/>
        </w:rPr>
      </w:pPr>
    </w:p>
    <w:p w14:paraId="7962F660" w14:textId="646988F2" w:rsidR="00C033A4" w:rsidRDefault="00F632C4">
      <w:pPr>
        <w:pStyle w:val="BodyText"/>
        <w:kinsoku w:val="0"/>
        <w:overflowPunct w:val="0"/>
        <w:ind w:left="300" w:right="1189"/>
        <w:jc w:val="both"/>
        <w:rPr>
          <w:color w:val="231F20"/>
        </w:rPr>
      </w:pPr>
      <w:r>
        <w:rPr>
          <w:color w:val="231F20"/>
        </w:rPr>
        <w:t>Panm</w:t>
      </w:r>
      <w:r w:rsidR="000579B6">
        <w:rPr>
          <w:color w:val="231F20"/>
        </w:rPr>
        <w:t>u</w:t>
      </w:r>
      <w:r>
        <w:rPr>
          <w:color w:val="231F20"/>
        </w:rPr>
        <w:t xml:space="preserve">re Gordon, which is authorised and regulated in the United Kingdom by the FCA, is acting as broker exclusively for the Company and no-one else in connection with the proposed </w:t>
      </w:r>
      <w:r w:rsidR="00000F67">
        <w:rPr>
          <w:color w:val="231F20"/>
        </w:rPr>
        <w:t>Placing</w:t>
      </w:r>
      <w:r>
        <w:rPr>
          <w:color w:val="231F20"/>
        </w:rPr>
        <w:t xml:space="preserve"> and will not regard any other person as its client in relation to the proposed </w:t>
      </w:r>
      <w:r w:rsidR="00000F67">
        <w:rPr>
          <w:color w:val="231F20"/>
        </w:rPr>
        <w:t>Placing</w:t>
      </w:r>
      <w:r>
        <w:rPr>
          <w:color w:val="231F20"/>
        </w:rPr>
        <w:t xml:space="preserve"> and Admission (including any recipient of this Document)</w:t>
      </w:r>
      <w:r>
        <w:rPr>
          <w:color w:val="231F20"/>
          <w:spacing w:val="-5"/>
        </w:rPr>
        <w:t xml:space="preserve"> </w:t>
      </w:r>
      <w:r>
        <w:rPr>
          <w:color w:val="231F20"/>
        </w:rPr>
        <w:t>and</w:t>
      </w:r>
      <w:r>
        <w:rPr>
          <w:color w:val="231F20"/>
          <w:spacing w:val="-4"/>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be</w:t>
      </w:r>
      <w:r>
        <w:rPr>
          <w:color w:val="231F20"/>
          <w:spacing w:val="-5"/>
        </w:rPr>
        <w:t xml:space="preserve"> </w:t>
      </w:r>
      <w:r>
        <w:rPr>
          <w:color w:val="231F20"/>
        </w:rPr>
        <w:t>responsible</w:t>
      </w:r>
      <w:r>
        <w:rPr>
          <w:color w:val="231F20"/>
          <w:spacing w:val="-4"/>
        </w:rPr>
        <w:t xml:space="preserve"> </w:t>
      </w:r>
      <w:r>
        <w:rPr>
          <w:color w:val="231F20"/>
        </w:rPr>
        <w:t>to</w:t>
      </w:r>
      <w:r>
        <w:rPr>
          <w:color w:val="231F20"/>
          <w:spacing w:val="-4"/>
        </w:rPr>
        <w:t xml:space="preserve"> </w:t>
      </w:r>
      <w:r>
        <w:rPr>
          <w:color w:val="231F20"/>
        </w:rPr>
        <w:t>anyone</w:t>
      </w:r>
      <w:r>
        <w:rPr>
          <w:color w:val="231F20"/>
          <w:spacing w:val="-5"/>
        </w:rPr>
        <w:t xml:space="preserve"> </w:t>
      </w:r>
      <w:r>
        <w:rPr>
          <w:color w:val="231F20"/>
        </w:rPr>
        <w:t>other</w:t>
      </w:r>
      <w:r>
        <w:rPr>
          <w:color w:val="231F20"/>
          <w:spacing w:val="-4"/>
        </w:rPr>
        <w:t xml:space="preserve"> </w:t>
      </w:r>
      <w:r>
        <w:rPr>
          <w:color w:val="231F20"/>
        </w:rPr>
        <w:t>than</w:t>
      </w:r>
      <w:r>
        <w:rPr>
          <w:color w:val="231F20"/>
          <w:spacing w:val="-7"/>
        </w:rPr>
        <w:t xml:space="preserve"> </w:t>
      </w:r>
      <w:r>
        <w:rPr>
          <w:color w:val="231F20"/>
        </w:rPr>
        <w:t>the</w:t>
      </w:r>
      <w:r>
        <w:rPr>
          <w:color w:val="231F20"/>
          <w:spacing w:val="-2"/>
        </w:rPr>
        <w:t xml:space="preserve"> </w:t>
      </w:r>
      <w:r>
        <w:rPr>
          <w:color w:val="231F20"/>
        </w:rPr>
        <w:t>Company</w:t>
      </w:r>
      <w:r>
        <w:rPr>
          <w:color w:val="231F20"/>
          <w:spacing w:val="-6"/>
        </w:rPr>
        <w:t xml:space="preserve"> </w:t>
      </w:r>
      <w:r>
        <w:rPr>
          <w:color w:val="231F20"/>
        </w:rPr>
        <w:t>for</w:t>
      </w:r>
      <w:r>
        <w:rPr>
          <w:color w:val="231F20"/>
          <w:spacing w:val="-5"/>
        </w:rPr>
        <w:t xml:space="preserve"> </w:t>
      </w:r>
      <w:r>
        <w:rPr>
          <w:color w:val="231F20"/>
        </w:rPr>
        <w:t>providing</w:t>
      </w:r>
      <w:r>
        <w:rPr>
          <w:color w:val="231F20"/>
          <w:spacing w:val="-4"/>
        </w:rPr>
        <w:t xml:space="preserve"> </w:t>
      </w:r>
      <w:r>
        <w:rPr>
          <w:color w:val="231F20"/>
        </w:rPr>
        <w:t>the</w:t>
      </w:r>
      <w:r>
        <w:rPr>
          <w:color w:val="231F20"/>
          <w:spacing w:val="-7"/>
        </w:rPr>
        <w:t xml:space="preserve"> </w:t>
      </w:r>
      <w:r>
        <w:rPr>
          <w:color w:val="231F20"/>
        </w:rPr>
        <w:t>protections</w:t>
      </w:r>
      <w:r>
        <w:rPr>
          <w:color w:val="231F20"/>
          <w:spacing w:val="-3"/>
        </w:rPr>
        <w:t xml:space="preserve"> </w:t>
      </w:r>
      <w:r>
        <w:rPr>
          <w:color w:val="231F20"/>
        </w:rPr>
        <w:t>afforded</w:t>
      </w:r>
      <w:r>
        <w:rPr>
          <w:color w:val="231F20"/>
          <w:spacing w:val="-4"/>
        </w:rPr>
        <w:t xml:space="preserve"> </w:t>
      </w:r>
      <w:r>
        <w:rPr>
          <w:color w:val="231F20"/>
        </w:rPr>
        <w:t>to clients of Panm</w:t>
      </w:r>
      <w:r w:rsidR="000579B6">
        <w:rPr>
          <w:color w:val="231F20"/>
        </w:rPr>
        <w:t>u</w:t>
      </w:r>
      <w:r>
        <w:rPr>
          <w:color w:val="231F20"/>
        </w:rPr>
        <w:t xml:space="preserve">re Gordon, nor for providing advice in connection with the proposed </w:t>
      </w:r>
      <w:r w:rsidR="00000F67">
        <w:rPr>
          <w:color w:val="231F20"/>
        </w:rPr>
        <w:t>Placing</w:t>
      </w:r>
      <w:r>
        <w:rPr>
          <w:color w:val="231F20"/>
        </w:rPr>
        <w:t xml:space="preserve"> or any other matter or arrangement referred to in this</w:t>
      </w:r>
      <w:r>
        <w:rPr>
          <w:color w:val="231F20"/>
          <w:spacing w:val="-5"/>
        </w:rPr>
        <w:t xml:space="preserve"> </w:t>
      </w:r>
      <w:r>
        <w:rPr>
          <w:color w:val="231F20"/>
        </w:rPr>
        <w:t>Document.</w:t>
      </w:r>
    </w:p>
    <w:p w14:paraId="330A6B2B" w14:textId="275EAF36" w:rsidR="00F73DD8" w:rsidRDefault="00F73DD8">
      <w:pPr>
        <w:pStyle w:val="BodyText"/>
        <w:kinsoku w:val="0"/>
        <w:overflowPunct w:val="0"/>
        <w:ind w:left="300" w:right="1189"/>
        <w:jc w:val="both"/>
        <w:rPr>
          <w:color w:val="231F20"/>
        </w:rPr>
      </w:pPr>
    </w:p>
    <w:p w14:paraId="3159A076" w14:textId="0B35FC37" w:rsidR="00F73DD8" w:rsidRDefault="00F73DD8" w:rsidP="00F73DD8">
      <w:pPr>
        <w:pStyle w:val="BodyText"/>
        <w:kinsoku w:val="0"/>
        <w:overflowPunct w:val="0"/>
        <w:ind w:left="300" w:right="1189"/>
        <w:jc w:val="both"/>
        <w:rPr>
          <w:color w:val="050606"/>
        </w:rPr>
      </w:pPr>
      <w:r>
        <w:rPr>
          <w:color w:val="050606"/>
        </w:rPr>
        <w:t>Neither Panmure Gordon nor any person acting on their behalf makes any representations or warranties, express or implied, with respect to the completeness, accuracy or verification of this Document nor does any such person authorise the contents of this Document. No such person accepts any responsibility or liability whatsoever for the contents of this Document or for any other statement made or purported to be made by it or on its behalf in connection</w:t>
      </w:r>
      <w:r>
        <w:rPr>
          <w:color w:val="050606"/>
          <w:spacing w:val="-10"/>
        </w:rPr>
        <w:t xml:space="preserve"> </w:t>
      </w:r>
      <w:r>
        <w:rPr>
          <w:color w:val="050606"/>
        </w:rPr>
        <w:t>with</w:t>
      </w:r>
      <w:r>
        <w:rPr>
          <w:color w:val="050606"/>
          <w:spacing w:val="-9"/>
        </w:rPr>
        <w:t xml:space="preserve"> </w:t>
      </w:r>
      <w:r>
        <w:rPr>
          <w:color w:val="050606"/>
        </w:rPr>
        <w:t>the</w:t>
      </w:r>
      <w:r>
        <w:rPr>
          <w:color w:val="050606"/>
          <w:spacing w:val="-10"/>
        </w:rPr>
        <w:t xml:space="preserve"> </w:t>
      </w:r>
      <w:r>
        <w:rPr>
          <w:color w:val="050606"/>
        </w:rPr>
        <w:t>Company,</w:t>
      </w:r>
      <w:r>
        <w:rPr>
          <w:color w:val="050606"/>
          <w:spacing w:val="-11"/>
        </w:rPr>
        <w:t xml:space="preserve"> </w:t>
      </w:r>
      <w:r>
        <w:rPr>
          <w:color w:val="050606"/>
        </w:rPr>
        <w:t>the</w:t>
      </w:r>
      <w:r>
        <w:rPr>
          <w:color w:val="050606"/>
          <w:spacing w:val="-10"/>
        </w:rPr>
        <w:t xml:space="preserve"> </w:t>
      </w:r>
      <w:r>
        <w:rPr>
          <w:color w:val="050606"/>
        </w:rPr>
        <w:t>Ordinary</w:t>
      </w:r>
      <w:r>
        <w:rPr>
          <w:color w:val="050606"/>
          <w:spacing w:val="-10"/>
        </w:rPr>
        <w:t xml:space="preserve"> </w:t>
      </w:r>
      <w:r>
        <w:rPr>
          <w:color w:val="050606"/>
        </w:rPr>
        <w:t>Shares,</w:t>
      </w:r>
      <w:r>
        <w:rPr>
          <w:color w:val="050606"/>
          <w:spacing w:val="-9"/>
        </w:rPr>
        <w:t xml:space="preserve"> </w:t>
      </w:r>
      <w:r>
        <w:rPr>
          <w:color w:val="050606"/>
        </w:rPr>
        <w:t>the</w:t>
      </w:r>
      <w:r>
        <w:rPr>
          <w:color w:val="050606"/>
          <w:spacing w:val="-10"/>
        </w:rPr>
        <w:t xml:space="preserve"> </w:t>
      </w:r>
      <w:r>
        <w:rPr>
          <w:color w:val="050606"/>
        </w:rPr>
        <w:t>Placing</w:t>
      </w:r>
      <w:r>
        <w:rPr>
          <w:color w:val="050606"/>
          <w:spacing w:val="-7"/>
        </w:rPr>
        <w:t xml:space="preserve"> </w:t>
      </w:r>
      <w:r>
        <w:rPr>
          <w:color w:val="050606"/>
        </w:rPr>
        <w:t>or</w:t>
      </w:r>
      <w:r>
        <w:rPr>
          <w:color w:val="050606"/>
          <w:spacing w:val="-10"/>
        </w:rPr>
        <w:t xml:space="preserve"> </w:t>
      </w:r>
      <w:r>
        <w:rPr>
          <w:color w:val="050606"/>
        </w:rPr>
        <w:t>Admission.</w:t>
      </w:r>
      <w:r>
        <w:rPr>
          <w:color w:val="050606"/>
          <w:spacing w:val="-9"/>
        </w:rPr>
        <w:t xml:space="preserve"> </w:t>
      </w:r>
      <w:r>
        <w:rPr>
          <w:color w:val="050606"/>
        </w:rPr>
        <w:t>Panmure Gordon</w:t>
      </w:r>
      <w:r>
        <w:rPr>
          <w:color w:val="050606"/>
          <w:spacing w:val="-9"/>
        </w:rPr>
        <w:t xml:space="preserve"> </w:t>
      </w:r>
      <w:r>
        <w:rPr>
          <w:color w:val="050606"/>
        </w:rPr>
        <w:t>accordingly</w:t>
      </w:r>
      <w:r>
        <w:rPr>
          <w:color w:val="050606"/>
          <w:spacing w:val="-10"/>
        </w:rPr>
        <w:t xml:space="preserve"> </w:t>
      </w:r>
      <w:r>
        <w:rPr>
          <w:color w:val="050606"/>
        </w:rPr>
        <w:t>disclaims all and any liability whether arising in tort or contract or otherwise which it might otherwise have in respect of this Document</w:t>
      </w:r>
      <w:r>
        <w:rPr>
          <w:color w:val="050606"/>
          <w:spacing w:val="-11"/>
        </w:rPr>
        <w:t xml:space="preserve"> </w:t>
      </w:r>
      <w:r>
        <w:rPr>
          <w:color w:val="050606"/>
        </w:rPr>
        <w:t>or</w:t>
      </w:r>
      <w:r>
        <w:rPr>
          <w:color w:val="050606"/>
          <w:spacing w:val="-12"/>
        </w:rPr>
        <w:t xml:space="preserve"> </w:t>
      </w:r>
      <w:r>
        <w:rPr>
          <w:color w:val="050606"/>
        </w:rPr>
        <w:t>any</w:t>
      </w:r>
      <w:r>
        <w:rPr>
          <w:color w:val="050606"/>
          <w:spacing w:val="-13"/>
        </w:rPr>
        <w:t xml:space="preserve"> </w:t>
      </w:r>
      <w:r>
        <w:rPr>
          <w:color w:val="050606"/>
        </w:rPr>
        <w:t>such</w:t>
      </w:r>
      <w:r>
        <w:rPr>
          <w:color w:val="050606"/>
          <w:spacing w:val="-13"/>
        </w:rPr>
        <w:t xml:space="preserve"> </w:t>
      </w:r>
      <w:r>
        <w:rPr>
          <w:color w:val="050606"/>
        </w:rPr>
        <w:t>statement</w:t>
      </w:r>
      <w:r>
        <w:rPr>
          <w:color w:val="231F20"/>
        </w:rPr>
        <w:t>.</w:t>
      </w:r>
      <w:r>
        <w:rPr>
          <w:color w:val="231F20"/>
          <w:spacing w:val="-11"/>
        </w:rPr>
        <w:t xml:space="preserve"> </w:t>
      </w:r>
      <w:r>
        <w:rPr>
          <w:color w:val="050606"/>
        </w:rPr>
        <w:t>Panmure Gordon</w:t>
      </w:r>
      <w:r>
        <w:rPr>
          <w:color w:val="050606"/>
          <w:spacing w:val="-10"/>
        </w:rPr>
        <w:t xml:space="preserve"> </w:t>
      </w:r>
      <w:r>
        <w:rPr>
          <w:color w:val="050606"/>
        </w:rPr>
        <w:t>nor</w:t>
      </w:r>
      <w:r>
        <w:rPr>
          <w:color w:val="050606"/>
          <w:spacing w:val="-12"/>
        </w:rPr>
        <w:t xml:space="preserve"> </w:t>
      </w:r>
      <w:r>
        <w:rPr>
          <w:color w:val="050606"/>
        </w:rPr>
        <w:t>any</w:t>
      </w:r>
      <w:r>
        <w:rPr>
          <w:color w:val="050606"/>
          <w:spacing w:val="-13"/>
        </w:rPr>
        <w:t xml:space="preserve"> </w:t>
      </w:r>
      <w:r>
        <w:rPr>
          <w:color w:val="050606"/>
        </w:rPr>
        <w:t>person</w:t>
      </w:r>
      <w:r>
        <w:rPr>
          <w:color w:val="050606"/>
          <w:spacing w:val="-11"/>
        </w:rPr>
        <w:t xml:space="preserve"> </w:t>
      </w:r>
      <w:r>
        <w:rPr>
          <w:color w:val="050606"/>
        </w:rPr>
        <w:t>acting</w:t>
      </w:r>
      <w:r>
        <w:rPr>
          <w:color w:val="050606"/>
          <w:spacing w:val="-10"/>
        </w:rPr>
        <w:t xml:space="preserve"> </w:t>
      </w:r>
      <w:r>
        <w:rPr>
          <w:color w:val="050606"/>
        </w:rPr>
        <w:t>on</w:t>
      </w:r>
      <w:r>
        <w:rPr>
          <w:color w:val="050606"/>
          <w:spacing w:val="-11"/>
        </w:rPr>
        <w:t xml:space="preserve"> </w:t>
      </w:r>
      <w:r>
        <w:rPr>
          <w:color w:val="050606"/>
        </w:rPr>
        <w:t>their</w:t>
      </w:r>
      <w:r>
        <w:rPr>
          <w:color w:val="050606"/>
          <w:spacing w:val="-10"/>
        </w:rPr>
        <w:t xml:space="preserve"> </w:t>
      </w:r>
      <w:r>
        <w:rPr>
          <w:color w:val="050606"/>
        </w:rPr>
        <w:t>behalf</w:t>
      </w:r>
      <w:r>
        <w:rPr>
          <w:color w:val="050606"/>
          <w:spacing w:val="-11"/>
        </w:rPr>
        <w:t xml:space="preserve"> </w:t>
      </w:r>
      <w:r>
        <w:rPr>
          <w:color w:val="050606"/>
        </w:rPr>
        <w:t>accepts</w:t>
      </w:r>
      <w:r>
        <w:rPr>
          <w:color w:val="050606"/>
          <w:spacing w:val="-9"/>
        </w:rPr>
        <w:t xml:space="preserve"> </w:t>
      </w:r>
      <w:r>
        <w:rPr>
          <w:color w:val="050606"/>
        </w:rPr>
        <w:t>any</w:t>
      </w:r>
      <w:r>
        <w:rPr>
          <w:color w:val="050606"/>
          <w:spacing w:val="-13"/>
        </w:rPr>
        <w:t xml:space="preserve"> </w:t>
      </w:r>
      <w:r>
        <w:rPr>
          <w:color w:val="050606"/>
        </w:rPr>
        <w:t>responsibility or</w:t>
      </w:r>
      <w:r>
        <w:rPr>
          <w:color w:val="050606"/>
          <w:spacing w:val="-5"/>
        </w:rPr>
        <w:t xml:space="preserve"> </w:t>
      </w:r>
      <w:r>
        <w:rPr>
          <w:color w:val="050606"/>
        </w:rPr>
        <w:t>obligation</w:t>
      </w:r>
      <w:r>
        <w:rPr>
          <w:color w:val="050606"/>
          <w:spacing w:val="-6"/>
        </w:rPr>
        <w:t xml:space="preserve"> </w:t>
      </w:r>
      <w:r>
        <w:rPr>
          <w:color w:val="050606"/>
        </w:rPr>
        <w:t>to</w:t>
      </w:r>
      <w:r>
        <w:rPr>
          <w:color w:val="050606"/>
          <w:spacing w:val="-6"/>
        </w:rPr>
        <w:t xml:space="preserve"> </w:t>
      </w:r>
      <w:r>
        <w:rPr>
          <w:color w:val="050606"/>
        </w:rPr>
        <w:t>update,</w:t>
      </w:r>
      <w:r>
        <w:rPr>
          <w:color w:val="050606"/>
          <w:spacing w:val="-4"/>
        </w:rPr>
        <w:t xml:space="preserve"> </w:t>
      </w:r>
      <w:r>
        <w:rPr>
          <w:color w:val="050606"/>
        </w:rPr>
        <w:t>review</w:t>
      </w:r>
      <w:r>
        <w:rPr>
          <w:color w:val="050606"/>
          <w:spacing w:val="-8"/>
        </w:rPr>
        <w:t xml:space="preserve"> </w:t>
      </w:r>
      <w:r>
        <w:rPr>
          <w:color w:val="050606"/>
        </w:rPr>
        <w:t>or</w:t>
      </w:r>
      <w:r>
        <w:rPr>
          <w:color w:val="050606"/>
          <w:spacing w:val="-4"/>
        </w:rPr>
        <w:t xml:space="preserve"> </w:t>
      </w:r>
      <w:r>
        <w:rPr>
          <w:color w:val="050606"/>
        </w:rPr>
        <w:t>revise</w:t>
      </w:r>
      <w:r>
        <w:rPr>
          <w:color w:val="050606"/>
          <w:spacing w:val="-6"/>
        </w:rPr>
        <w:t xml:space="preserve"> </w:t>
      </w:r>
      <w:r>
        <w:rPr>
          <w:color w:val="050606"/>
        </w:rPr>
        <w:t>the</w:t>
      </w:r>
      <w:r>
        <w:rPr>
          <w:color w:val="050606"/>
          <w:spacing w:val="-6"/>
        </w:rPr>
        <w:t xml:space="preserve"> </w:t>
      </w:r>
      <w:r>
        <w:rPr>
          <w:color w:val="050606"/>
        </w:rPr>
        <w:t>information</w:t>
      </w:r>
      <w:r>
        <w:rPr>
          <w:color w:val="050606"/>
          <w:spacing w:val="-5"/>
        </w:rPr>
        <w:t xml:space="preserve"> </w:t>
      </w:r>
      <w:r>
        <w:rPr>
          <w:color w:val="050606"/>
        </w:rPr>
        <w:t>in</w:t>
      </w:r>
      <w:r>
        <w:rPr>
          <w:color w:val="050606"/>
          <w:spacing w:val="-4"/>
        </w:rPr>
        <w:t xml:space="preserve"> </w:t>
      </w:r>
      <w:r>
        <w:rPr>
          <w:color w:val="050606"/>
        </w:rPr>
        <w:t>this</w:t>
      </w:r>
      <w:r>
        <w:rPr>
          <w:color w:val="050606"/>
          <w:spacing w:val="-6"/>
        </w:rPr>
        <w:t xml:space="preserve"> </w:t>
      </w:r>
      <w:r>
        <w:rPr>
          <w:color w:val="050606"/>
        </w:rPr>
        <w:t>Document</w:t>
      </w:r>
      <w:r>
        <w:rPr>
          <w:color w:val="050606"/>
          <w:spacing w:val="-6"/>
        </w:rPr>
        <w:t xml:space="preserve"> </w:t>
      </w:r>
      <w:r>
        <w:rPr>
          <w:color w:val="050606"/>
        </w:rPr>
        <w:t>or</w:t>
      </w:r>
      <w:r>
        <w:rPr>
          <w:color w:val="050606"/>
          <w:spacing w:val="-4"/>
        </w:rPr>
        <w:t xml:space="preserve"> </w:t>
      </w:r>
      <w:r>
        <w:rPr>
          <w:color w:val="050606"/>
        </w:rPr>
        <w:t>to</w:t>
      </w:r>
      <w:r>
        <w:rPr>
          <w:color w:val="050606"/>
          <w:spacing w:val="-5"/>
        </w:rPr>
        <w:t xml:space="preserve"> </w:t>
      </w:r>
      <w:r>
        <w:rPr>
          <w:color w:val="050606"/>
        </w:rPr>
        <w:t>publish</w:t>
      </w:r>
      <w:r>
        <w:rPr>
          <w:color w:val="050606"/>
          <w:spacing w:val="-6"/>
        </w:rPr>
        <w:t xml:space="preserve"> </w:t>
      </w:r>
      <w:r>
        <w:rPr>
          <w:color w:val="050606"/>
        </w:rPr>
        <w:t>or</w:t>
      </w:r>
      <w:r>
        <w:rPr>
          <w:color w:val="050606"/>
          <w:spacing w:val="-4"/>
        </w:rPr>
        <w:t xml:space="preserve"> </w:t>
      </w:r>
      <w:r>
        <w:rPr>
          <w:color w:val="050606"/>
        </w:rPr>
        <w:t>distribute</w:t>
      </w:r>
      <w:r>
        <w:rPr>
          <w:color w:val="050606"/>
          <w:spacing w:val="-6"/>
        </w:rPr>
        <w:t xml:space="preserve"> </w:t>
      </w:r>
      <w:r>
        <w:rPr>
          <w:color w:val="050606"/>
        </w:rPr>
        <w:t>any</w:t>
      </w:r>
      <w:r>
        <w:rPr>
          <w:color w:val="050606"/>
          <w:spacing w:val="-7"/>
        </w:rPr>
        <w:t xml:space="preserve"> </w:t>
      </w:r>
      <w:r>
        <w:rPr>
          <w:color w:val="050606"/>
        </w:rPr>
        <w:t>information which</w:t>
      </w:r>
      <w:r>
        <w:rPr>
          <w:color w:val="050606"/>
          <w:spacing w:val="-4"/>
        </w:rPr>
        <w:t xml:space="preserve"> </w:t>
      </w:r>
      <w:r>
        <w:rPr>
          <w:color w:val="050606"/>
        </w:rPr>
        <w:t>comes</w:t>
      </w:r>
      <w:r>
        <w:rPr>
          <w:color w:val="050606"/>
          <w:spacing w:val="-6"/>
        </w:rPr>
        <w:t xml:space="preserve"> </w:t>
      </w:r>
      <w:r>
        <w:rPr>
          <w:color w:val="050606"/>
        </w:rPr>
        <w:t>to</w:t>
      </w:r>
      <w:r>
        <w:rPr>
          <w:color w:val="050606"/>
          <w:spacing w:val="-6"/>
        </w:rPr>
        <w:t xml:space="preserve"> </w:t>
      </w:r>
      <w:r>
        <w:rPr>
          <w:color w:val="050606"/>
        </w:rPr>
        <w:t>its</w:t>
      </w:r>
      <w:r>
        <w:rPr>
          <w:color w:val="050606"/>
          <w:spacing w:val="-6"/>
        </w:rPr>
        <w:t xml:space="preserve"> </w:t>
      </w:r>
      <w:r>
        <w:rPr>
          <w:color w:val="050606"/>
        </w:rPr>
        <w:t>or</w:t>
      </w:r>
      <w:r>
        <w:rPr>
          <w:color w:val="050606"/>
          <w:spacing w:val="-4"/>
        </w:rPr>
        <w:t xml:space="preserve"> </w:t>
      </w:r>
      <w:r>
        <w:rPr>
          <w:color w:val="050606"/>
        </w:rPr>
        <w:t>their</w:t>
      </w:r>
      <w:r>
        <w:rPr>
          <w:color w:val="050606"/>
          <w:spacing w:val="-3"/>
        </w:rPr>
        <w:t xml:space="preserve"> </w:t>
      </w:r>
      <w:r>
        <w:rPr>
          <w:color w:val="050606"/>
        </w:rPr>
        <w:t>attention</w:t>
      </w:r>
      <w:r>
        <w:rPr>
          <w:color w:val="050606"/>
          <w:spacing w:val="-6"/>
        </w:rPr>
        <w:t xml:space="preserve"> </w:t>
      </w:r>
      <w:r>
        <w:rPr>
          <w:color w:val="050606"/>
        </w:rPr>
        <w:t>after</w:t>
      </w:r>
      <w:r>
        <w:rPr>
          <w:color w:val="050606"/>
          <w:spacing w:val="-7"/>
        </w:rPr>
        <w:t xml:space="preserve"> </w:t>
      </w:r>
      <w:r>
        <w:rPr>
          <w:color w:val="050606"/>
        </w:rPr>
        <w:t>the</w:t>
      </w:r>
      <w:r>
        <w:rPr>
          <w:color w:val="050606"/>
          <w:spacing w:val="-6"/>
        </w:rPr>
        <w:t xml:space="preserve"> </w:t>
      </w:r>
      <w:r>
        <w:rPr>
          <w:color w:val="050606"/>
        </w:rPr>
        <w:t>date</w:t>
      </w:r>
      <w:r>
        <w:rPr>
          <w:color w:val="050606"/>
          <w:spacing w:val="-6"/>
        </w:rPr>
        <w:t xml:space="preserve"> </w:t>
      </w:r>
      <w:r>
        <w:rPr>
          <w:color w:val="050606"/>
        </w:rPr>
        <w:t>of</w:t>
      </w:r>
      <w:r>
        <w:rPr>
          <w:color w:val="050606"/>
          <w:spacing w:val="-3"/>
        </w:rPr>
        <w:t xml:space="preserve"> </w:t>
      </w:r>
      <w:r>
        <w:rPr>
          <w:color w:val="050606"/>
        </w:rPr>
        <w:t>this</w:t>
      </w:r>
      <w:r>
        <w:rPr>
          <w:color w:val="050606"/>
          <w:spacing w:val="-3"/>
        </w:rPr>
        <w:t xml:space="preserve"> </w:t>
      </w:r>
      <w:r>
        <w:rPr>
          <w:color w:val="050606"/>
        </w:rPr>
        <w:t>Document,</w:t>
      </w:r>
      <w:r>
        <w:rPr>
          <w:color w:val="050606"/>
          <w:spacing w:val="-4"/>
        </w:rPr>
        <w:t xml:space="preserve"> </w:t>
      </w:r>
      <w:r>
        <w:rPr>
          <w:color w:val="050606"/>
        </w:rPr>
        <w:t>and</w:t>
      </w:r>
      <w:r>
        <w:rPr>
          <w:color w:val="050606"/>
          <w:spacing w:val="-4"/>
        </w:rPr>
        <w:t xml:space="preserve"> </w:t>
      </w:r>
      <w:r>
        <w:rPr>
          <w:color w:val="050606"/>
        </w:rPr>
        <w:t>the</w:t>
      </w:r>
      <w:r>
        <w:rPr>
          <w:color w:val="050606"/>
          <w:spacing w:val="-4"/>
        </w:rPr>
        <w:t xml:space="preserve"> </w:t>
      </w:r>
      <w:r>
        <w:rPr>
          <w:color w:val="050606"/>
        </w:rPr>
        <w:t>distribution</w:t>
      </w:r>
      <w:r>
        <w:rPr>
          <w:color w:val="050606"/>
          <w:spacing w:val="-4"/>
        </w:rPr>
        <w:t xml:space="preserve"> </w:t>
      </w:r>
      <w:r>
        <w:rPr>
          <w:color w:val="050606"/>
        </w:rPr>
        <w:t>of</w:t>
      </w:r>
      <w:r>
        <w:rPr>
          <w:color w:val="050606"/>
          <w:spacing w:val="-4"/>
        </w:rPr>
        <w:t xml:space="preserve"> </w:t>
      </w:r>
      <w:r>
        <w:rPr>
          <w:color w:val="050606"/>
        </w:rPr>
        <w:t>this</w:t>
      </w:r>
      <w:r>
        <w:rPr>
          <w:color w:val="050606"/>
          <w:spacing w:val="-3"/>
        </w:rPr>
        <w:t xml:space="preserve"> </w:t>
      </w:r>
      <w:r>
        <w:rPr>
          <w:color w:val="050606"/>
        </w:rPr>
        <w:t>Document</w:t>
      </w:r>
      <w:r>
        <w:rPr>
          <w:color w:val="050606"/>
          <w:spacing w:val="-5"/>
        </w:rPr>
        <w:t xml:space="preserve"> </w:t>
      </w:r>
      <w:r>
        <w:rPr>
          <w:color w:val="050606"/>
        </w:rPr>
        <w:t>shall</w:t>
      </w:r>
      <w:r>
        <w:rPr>
          <w:color w:val="050606"/>
          <w:spacing w:val="-6"/>
        </w:rPr>
        <w:t xml:space="preserve"> </w:t>
      </w:r>
      <w:r>
        <w:rPr>
          <w:color w:val="050606"/>
        </w:rPr>
        <w:t>not constitute a representation by Panmure Gordon or any such person that this Document will be updated, reviewed or revised or that any such information will be published or distributed after the date hereof. However, nothing in this paragraph excludes or limits any responsibility which Panmure Gordon may have under FSMA or the regulatory regime established thereunder, or which, by law or regulation, cannot otherwise be limited or</w:t>
      </w:r>
      <w:r>
        <w:rPr>
          <w:color w:val="050606"/>
          <w:spacing w:val="-21"/>
        </w:rPr>
        <w:t xml:space="preserve"> </w:t>
      </w:r>
      <w:r>
        <w:rPr>
          <w:color w:val="050606"/>
        </w:rPr>
        <w:t>excluded.</w:t>
      </w:r>
    </w:p>
    <w:p w14:paraId="6492CA4B" w14:textId="77777777" w:rsidR="00F632C4" w:rsidRDefault="00F632C4" w:rsidP="00C17DDE">
      <w:pPr>
        <w:pStyle w:val="BodyText"/>
        <w:kinsoku w:val="0"/>
        <w:overflowPunct w:val="0"/>
        <w:ind w:right="1189"/>
        <w:jc w:val="both"/>
        <w:rPr>
          <w:color w:val="231F20"/>
        </w:rPr>
      </w:pPr>
    </w:p>
    <w:p w14:paraId="7995FDDC" w14:textId="77777777" w:rsidR="00783288" w:rsidRDefault="00783288">
      <w:pPr>
        <w:pStyle w:val="BodyText"/>
        <w:kinsoku w:val="0"/>
        <w:overflowPunct w:val="0"/>
        <w:spacing w:before="4"/>
        <w:rPr>
          <w:sz w:val="17"/>
          <w:szCs w:val="17"/>
        </w:rPr>
      </w:pPr>
    </w:p>
    <w:p w14:paraId="0A38D690" w14:textId="77777777" w:rsidR="00783288" w:rsidRDefault="00E31420">
      <w:pPr>
        <w:pStyle w:val="Heading1"/>
        <w:kinsoku w:val="0"/>
        <w:overflowPunct w:val="0"/>
        <w:ind w:right="1186"/>
        <w:jc w:val="both"/>
        <w:rPr>
          <w:color w:val="231F20"/>
        </w:rPr>
      </w:pPr>
      <w:r>
        <w:rPr>
          <w:color w:val="231F20"/>
        </w:rPr>
        <w:t>Certain</w:t>
      </w:r>
      <w:r>
        <w:rPr>
          <w:color w:val="231F20"/>
          <w:spacing w:val="-14"/>
        </w:rPr>
        <w:t xml:space="preserve"> </w:t>
      </w:r>
      <w:r>
        <w:rPr>
          <w:color w:val="231F20"/>
        </w:rPr>
        <w:t>information</w:t>
      </w:r>
      <w:r>
        <w:rPr>
          <w:color w:val="231F20"/>
          <w:spacing w:val="-13"/>
        </w:rPr>
        <w:t xml:space="preserve"> </w:t>
      </w:r>
      <w:r>
        <w:rPr>
          <w:color w:val="231F20"/>
        </w:rPr>
        <w:t>in</w:t>
      </w:r>
      <w:r>
        <w:rPr>
          <w:color w:val="231F20"/>
          <w:spacing w:val="-13"/>
        </w:rPr>
        <w:t xml:space="preserve"> </w:t>
      </w:r>
      <w:r>
        <w:rPr>
          <w:color w:val="231F20"/>
        </w:rPr>
        <w:t>relation</w:t>
      </w:r>
      <w:r>
        <w:rPr>
          <w:color w:val="231F20"/>
          <w:spacing w:val="-13"/>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Company</w:t>
      </w:r>
      <w:r>
        <w:rPr>
          <w:color w:val="231F20"/>
          <w:spacing w:val="-21"/>
        </w:rPr>
        <w:t xml:space="preserve"> </w:t>
      </w:r>
      <w:r>
        <w:rPr>
          <w:color w:val="231F20"/>
        </w:rPr>
        <w:t>is</w:t>
      </w:r>
      <w:r>
        <w:rPr>
          <w:color w:val="231F20"/>
          <w:spacing w:val="-13"/>
        </w:rPr>
        <w:t xml:space="preserve"> </w:t>
      </w:r>
      <w:r>
        <w:rPr>
          <w:color w:val="231F20"/>
        </w:rPr>
        <w:t>incorporated</w:t>
      </w:r>
      <w:r>
        <w:rPr>
          <w:color w:val="231F20"/>
          <w:spacing w:val="-14"/>
        </w:rPr>
        <w:t xml:space="preserve"> </w:t>
      </w:r>
      <w:r>
        <w:rPr>
          <w:color w:val="231F20"/>
        </w:rPr>
        <w:t>by</w:t>
      </w:r>
      <w:r>
        <w:rPr>
          <w:color w:val="231F20"/>
          <w:spacing w:val="-21"/>
        </w:rPr>
        <w:t xml:space="preserve"> </w:t>
      </w:r>
      <w:r>
        <w:rPr>
          <w:color w:val="231F20"/>
        </w:rPr>
        <w:t>reference</w:t>
      </w:r>
      <w:r>
        <w:rPr>
          <w:color w:val="231F20"/>
          <w:spacing w:val="-13"/>
        </w:rPr>
        <w:t xml:space="preserve"> </w:t>
      </w:r>
      <w:r>
        <w:rPr>
          <w:color w:val="231F20"/>
        </w:rPr>
        <w:t>into</w:t>
      </w:r>
      <w:r>
        <w:rPr>
          <w:color w:val="231F20"/>
          <w:spacing w:val="-13"/>
        </w:rPr>
        <w:t xml:space="preserve"> </w:t>
      </w:r>
      <w:r>
        <w:rPr>
          <w:color w:val="231F20"/>
        </w:rPr>
        <w:t>this</w:t>
      </w:r>
      <w:r>
        <w:rPr>
          <w:color w:val="231F20"/>
          <w:spacing w:val="-14"/>
        </w:rPr>
        <w:t xml:space="preserve"> </w:t>
      </w:r>
      <w:r>
        <w:rPr>
          <w:color w:val="231F20"/>
        </w:rPr>
        <w:t>Document.</w:t>
      </w:r>
      <w:r>
        <w:rPr>
          <w:color w:val="231F20"/>
          <w:spacing w:val="-14"/>
        </w:rPr>
        <w:t xml:space="preserve"> </w:t>
      </w:r>
      <w:r>
        <w:rPr>
          <w:color w:val="231F20"/>
        </w:rPr>
        <w:t>Capitalised terms</w:t>
      </w:r>
      <w:r>
        <w:rPr>
          <w:color w:val="231F20"/>
          <w:spacing w:val="-4"/>
        </w:rPr>
        <w:t xml:space="preserve"> </w:t>
      </w:r>
      <w:r>
        <w:rPr>
          <w:color w:val="231F20"/>
        </w:rPr>
        <w:t>used</w:t>
      </w:r>
      <w:r>
        <w:rPr>
          <w:color w:val="231F20"/>
          <w:spacing w:val="-4"/>
        </w:rPr>
        <w:t xml:space="preserve"> </w:t>
      </w:r>
      <w:r>
        <w:rPr>
          <w:color w:val="231F20"/>
        </w:rPr>
        <w:t>herein</w:t>
      </w:r>
      <w:r>
        <w:rPr>
          <w:color w:val="231F20"/>
          <w:spacing w:val="-4"/>
        </w:rPr>
        <w:t xml:space="preserve"> </w:t>
      </w:r>
      <w:r>
        <w:rPr>
          <w:color w:val="231F20"/>
        </w:rPr>
        <w:t>have</w:t>
      </w:r>
      <w:r>
        <w:rPr>
          <w:color w:val="231F20"/>
          <w:spacing w:val="-4"/>
        </w:rPr>
        <w:t xml:space="preserve"> </w:t>
      </w:r>
      <w:r>
        <w:rPr>
          <w:color w:val="231F20"/>
        </w:rPr>
        <w:t>the</w:t>
      </w:r>
      <w:r>
        <w:rPr>
          <w:color w:val="231F20"/>
          <w:spacing w:val="-6"/>
        </w:rPr>
        <w:t xml:space="preserve"> </w:t>
      </w:r>
      <w:r>
        <w:rPr>
          <w:color w:val="231F20"/>
        </w:rPr>
        <w:t>meanings</w:t>
      </w:r>
      <w:r>
        <w:rPr>
          <w:color w:val="231F20"/>
          <w:spacing w:val="-4"/>
        </w:rPr>
        <w:t xml:space="preserve"> </w:t>
      </w:r>
      <w:r>
        <w:rPr>
          <w:color w:val="231F20"/>
        </w:rPr>
        <w:t>ascribed</w:t>
      </w:r>
      <w:r>
        <w:rPr>
          <w:color w:val="231F20"/>
          <w:spacing w:val="-6"/>
        </w:rPr>
        <w:t xml:space="preserve"> </w:t>
      </w:r>
      <w:r>
        <w:rPr>
          <w:color w:val="231F20"/>
        </w:rPr>
        <w:t>to</w:t>
      </w:r>
      <w:r>
        <w:rPr>
          <w:color w:val="231F20"/>
          <w:spacing w:val="-4"/>
        </w:rPr>
        <w:t xml:space="preserve"> </w:t>
      </w:r>
      <w:r>
        <w:rPr>
          <w:color w:val="231F20"/>
        </w:rPr>
        <w:t>them</w:t>
      </w:r>
      <w:r>
        <w:rPr>
          <w:color w:val="231F20"/>
          <w:spacing w:val="-3"/>
        </w:rPr>
        <w:t xml:space="preserve"> </w:t>
      </w:r>
      <w:r>
        <w:rPr>
          <w:color w:val="231F20"/>
        </w:rPr>
        <w:t>in</w:t>
      </w:r>
      <w:r>
        <w:rPr>
          <w:color w:val="231F20"/>
          <w:spacing w:val="-4"/>
        </w:rPr>
        <w:t xml:space="preserve"> </w:t>
      </w:r>
      <w:r>
        <w:rPr>
          <w:color w:val="231F20"/>
        </w:rPr>
        <w:t>Part</w:t>
      </w:r>
      <w:r>
        <w:rPr>
          <w:color w:val="231F20"/>
          <w:spacing w:val="-4"/>
        </w:rPr>
        <w:t xml:space="preserve"> </w:t>
      </w:r>
      <w:r>
        <w:rPr>
          <w:color w:val="231F20"/>
        </w:rPr>
        <w:t>VIII</w:t>
      </w:r>
      <w:r>
        <w:rPr>
          <w:color w:val="231F20"/>
          <w:spacing w:val="-4"/>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Document</w:t>
      </w:r>
      <w:r>
        <w:rPr>
          <w:color w:val="231F20"/>
          <w:spacing w:val="-7"/>
        </w:rPr>
        <w:t xml:space="preserve"> </w:t>
      </w:r>
      <w:r>
        <w:rPr>
          <w:color w:val="231F20"/>
        </w:rPr>
        <w:t>entitled</w:t>
      </w:r>
      <w:r>
        <w:rPr>
          <w:color w:val="231F20"/>
          <w:spacing w:val="-5"/>
        </w:rPr>
        <w:t xml:space="preserve"> </w:t>
      </w:r>
      <w:r>
        <w:rPr>
          <w:color w:val="231F20"/>
        </w:rPr>
        <w:t>“Definitions”.</w:t>
      </w:r>
    </w:p>
    <w:p w14:paraId="6EA4003B" w14:textId="77777777" w:rsidR="009873C1" w:rsidRDefault="009873C1" w:rsidP="009873C1"/>
    <w:p w14:paraId="34CF5C28" w14:textId="77777777" w:rsidR="00783288" w:rsidRDefault="00783288">
      <w:pPr>
        <w:pStyle w:val="BodyText"/>
        <w:kinsoku w:val="0"/>
        <w:overflowPunct w:val="0"/>
        <w:rPr>
          <w:rFonts w:ascii="Times New Roman" w:hAnsi="Times New Roman" w:cs="Times New Roman"/>
          <w:sz w:val="4"/>
          <w:szCs w:val="4"/>
        </w:rPr>
      </w:pPr>
    </w:p>
    <w:tbl>
      <w:tblPr>
        <w:tblW w:w="0" w:type="auto"/>
        <w:tblInd w:w="358" w:type="dxa"/>
        <w:tblLayout w:type="fixed"/>
        <w:tblCellMar>
          <w:left w:w="0" w:type="dxa"/>
          <w:right w:w="0" w:type="dxa"/>
        </w:tblCellMar>
        <w:tblLook w:val="0000" w:firstRow="0" w:lastRow="0" w:firstColumn="0" w:lastColumn="0" w:noHBand="0" w:noVBand="0"/>
      </w:tblPr>
      <w:tblGrid>
        <w:gridCol w:w="7812"/>
        <w:gridCol w:w="1144"/>
      </w:tblGrid>
      <w:tr w:rsidR="00783288" w14:paraId="6A06B48F" w14:textId="77777777">
        <w:trPr>
          <w:trHeight w:val="310"/>
        </w:trPr>
        <w:tc>
          <w:tcPr>
            <w:tcW w:w="7812" w:type="dxa"/>
            <w:tcBorders>
              <w:top w:val="none" w:sz="6" w:space="0" w:color="auto"/>
              <w:left w:val="none" w:sz="6" w:space="0" w:color="auto"/>
              <w:bottom w:val="none" w:sz="6" w:space="0" w:color="auto"/>
              <w:right w:val="none" w:sz="6" w:space="0" w:color="auto"/>
            </w:tcBorders>
          </w:tcPr>
          <w:p w14:paraId="0231098F" w14:textId="0C632004" w:rsidR="00F73DD8" w:rsidRDefault="00F73DD8" w:rsidP="004A085E">
            <w:pPr>
              <w:pStyle w:val="TableParagraph"/>
              <w:kinsoku w:val="0"/>
              <w:overflowPunct w:val="0"/>
              <w:spacing w:line="201" w:lineRule="exact"/>
              <w:ind w:right="2844"/>
              <w:rPr>
                <w:b/>
                <w:bCs/>
                <w:color w:val="252326"/>
                <w:sz w:val="18"/>
                <w:szCs w:val="18"/>
              </w:rPr>
            </w:pPr>
          </w:p>
          <w:p w14:paraId="51D001C2" w14:textId="33E0542E" w:rsidR="00EB491A" w:rsidRDefault="00EB491A" w:rsidP="004A085E">
            <w:pPr>
              <w:pStyle w:val="TableParagraph"/>
              <w:kinsoku w:val="0"/>
              <w:overflowPunct w:val="0"/>
              <w:spacing w:line="201" w:lineRule="exact"/>
              <w:ind w:right="2844"/>
              <w:rPr>
                <w:b/>
                <w:bCs/>
                <w:color w:val="252326"/>
                <w:sz w:val="18"/>
                <w:szCs w:val="18"/>
              </w:rPr>
            </w:pPr>
          </w:p>
          <w:p w14:paraId="400A4758" w14:textId="655FE49E" w:rsidR="00EB491A" w:rsidRDefault="00EB491A" w:rsidP="004A085E">
            <w:pPr>
              <w:pStyle w:val="TableParagraph"/>
              <w:kinsoku w:val="0"/>
              <w:overflowPunct w:val="0"/>
              <w:spacing w:line="201" w:lineRule="exact"/>
              <w:ind w:right="2844"/>
              <w:rPr>
                <w:b/>
                <w:bCs/>
                <w:color w:val="252326"/>
                <w:sz w:val="18"/>
                <w:szCs w:val="18"/>
              </w:rPr>
            </w:pPr>
          </w:p>
          <w:p w14:paraId="2AD25F96" w14:textId="63A9BD54" w:rsidR="00EB491A" w:rsidRDefault="00EB491A" w:rsidP="004A085E">
            <w:pPr>
              <w:pStyle w:val="TableParagraph"/>
              <w:kinsoku w:val="0"/>
              <w:overflowPunct w:val="0"/>
              <w:spacing w:line="201" w:lineRule="exact"/>
              <w:ind w:right="2844"/>
              <w:rPr>
                <w:b/>
                <w:bCs/>
                <w:color w:val="252326"/>
                <w:sz w:val="18"/>
                <w:szCs w:val="18"/>
              </w:rPr>
            </w:pPr>
          </w:p>
          <w:p w14:paraId="01D1366E" w14:textId="5221D78D" w:rsidR="00EB491A" w:rsidRDefault="00EB491A" w:rsidP="004A085E">
            <w:pPr>
              <w:pStyle w:val="TableParagraph"/>
              <w:kinsoku w:val="0"/>
              <w:overflowPunct w:val="0"/>
              <w:spacing w:line="201" w:lineRule="exact"/>
              <w:ind w:right="2844"/>
              <w:rPr>
                <w:b/>
                <w:bCs/>
                <w:color w:val="252326"/>
                <w:sz w:val="18"/>
                <w:szCs w:val="18"/>
              </w:rPr>
            </w:pPr>
          </w:p>
          <w:p w14:paraId="775721E6" w14:textId="64BC780D" w:rsidR="00EB491A" w:rsidRDefault="00EB491A" w:rsidP="004A085E">
            <w:pPr>
              <w:pStyle w:val="TableParagraph"/>
              <w:kinsoku w:val="0"/>
              <w:overflowPunct w:val="0"/>
              <w:spacing w:line="201" w:lineRule="exact"/>
              <w:ind w:right="2844"/>
              <w:rPr>
                <w:b/>
                <w:bCs/>
                <w:color w:val="252326"/>
                <w:sz w:val="18"/>
                <w:szCs w:val="18"/>
              </w:rPr>
            </w:pPr>
          </w:p>
          <w:p w14:paraId="2D568289" w14:textId="6ADA8640" w:rsidR="00EB491A" w:rsidRDefault="00EB491A" w:rsidP="004A085E">
            <w:pPr>
              <w:pStyle w:val="TableParagraph"/>
              <w:kinsoku w:val="0"/>
              <w:overflowPunct w:val="0"/>
              <w:spacing w:line="201" w:lineRule="exact"/>
              <w:ind w:right="2844"/>
              <w:rPr>
                <w:b/>
                <w:bCs/>
                <w:color w:val="252326"/>
                <w:sz w:val="18"/>
                <w:szCs w:val="18"/>
              </w:rPr>
            </w:pPr>
          </w:p>
          <w:p w14:paraId="5C5D4633" w14:textId="015B0399" w:rsidR="00EB491A" w:rsidRDefault="00EB491A" w:rsidP="004A085E">
            <w:pPr>
              <w:pStyle w:val="TableParagraph"/>
              <w:kinsoku w:val="0"/>
              <w:overflowPunct w:val="0"/>
              <w:spacing w:line="201" w:lineRule="exact"/>
              <w:ind w:right="2844"/>
              <w:rPr>
                <w:b/>
                <w:bCs/>
                <w:color w:val="252326"/>
                <w:sz w:val="18"/>
                <w:szCs w:val="18"/>
              </w:rPr>
            </w:pPr>
          </w:p>
          <w:p w14:paraId="1BA5BBBB" w14:textId="401FC2C9" w:rsidR="00EB491A" w:rsidRDefault="00EB491A" w:rsidP="004A085E">
            <w:pPr>
              <w:pStyle w:val="TableParagraph"/>
              <w:kinsoku w:val="0"/>
              <w:overflowPunct w:val="0"/>
              <w:spacing w:line="201" w:lineRule="exact"/>
              <w:ind w:right="2844"/>
              <w:rPr>
                <w:b/>
                <w:bCs/>
                <w:color w:val="252326"/>
                <w:sz w:val="18"/>
                <w:szCs w:val="18"/>
              </w:rPr>
            </w:pPr>
          </w:p>
          <w:p w14:paraId="1D8073CC" w14:textId="63E721F0" w:rsidR="00EB491A" w:rsidRDefault="00EB491A" w:rsidP="004A085E">
            <w:pPr>
              <w:pStyle w:val="TableParagraph"/>
              <w:kinsoku w:val="0"/>
              <w:overflowPunct w:val="0"/>
              <w:spacing w:line="201" w:lineRule="exact"/>
              <w:ind w:right="2844"/>
              <w:rPr>
                <w:b/>
                <w:bCs/>
                <w:color w:val="252326"/>
                <w:sz w:val="18"/>
                <w:szCs w:val="18"/>
              </w:rPr>
            </w:pPr>
          </w:p>
          <w:p w14:paraId="350DE34F" w14:textId="31198267" w:rsidR="00EB491A" w:rsidRDefault="00EB491A" w:rsidP="004A085E">
            <w:pPr>
              <w:pStyle w:val="TableParagraph"/>
              <w:kinsoku w:val="0"/>
              <w:overflowPunct w:val="0"/>
              <w:spacing w:line="201" w:lineRule="exact"/>
              <w:ind w:right="2844"/>
              <w:rPr>
                <w:b/>
                <w:bCs/>
                <w:color w:val="252326"/>
                <w:sz w:val="18"/>
                <w:szCs w:val="18"/>
              </w:rPr>
            </w:pPr>
          </w:p>
          <w:p w14:paraId="3AAC7AA4" w14:textId="05E9BB86" w:rsidR="005545A6" w:rsidRDefault="005545A6" w:rsidP="004A085E">
            <w:pPr>
              <w:pStyle w:val="TableParagraph"/>
              <w:kinsoku w:val="0"/>
              <w:overflowPunct w:val="0"/>
              <w:spacing w:line="201" w:lineRule="exact"/>
              <w:ind w:right="2844"/>
              <w:rPr>
                <w:b/>
                <w:bCs/>
                <w:color w:val="252326"/>
                <w:sz w:val="18"/>
                <w:szCs w:val="18"/>
              </w:rPr>
            </w:pPr>
          </w:p>
          <w:p w14:paraId="72CBC444" w14:textId="0E355493" w:rsidR="005545A6" w:rsidRDefault="005545A6" w:rsidP="004A085E">
            <w:pPr>
              <w:pStyle w:val="TableParagraph"/>
              <w:kinsoku w:val="0"/>
              <w:overflowPunct w:val="0"/>
              <w:spacing w:line="201" w:lineRule="exact"/>
              <w:ind w:right="2844"/>
              <w:rPr>
                <w:b/>
                <w:bCs/>
                <w:color w:val="252326"/>
                <w:sz w:val="18"/>
                <w:szCs w:val="18"/>
              </w:rPr>
            </w:pPr>
          </w:p>
          <w:p w14:paraId="2EFA4639" w14:textId="5264C2BC" w:rsidR="005545A6" w:rsidRDefault="005545A6" w:rsidP="004A085E">
            <w:pPr>
              <w:pStyle w:val="TableParagraph"/>
              <w:kinsoku w:val="0"/>
              <w:overflowPunct w:val="0"/>
              <w:spacing w:line="201" w:lineRule="exact"/>
              <w:ind w:right="2844"/>
              <w:rPr>
                <w:b/>
                <w:bCs/>
                <w:color w:val="252326"/>
                <w:sz w:val="18"/>
                <w:szCs w:val="18"/>
              </w:rPr>
            </w:pPr>
          </w:p>
          <w:p w14:paraId="7E8F91D1" w14:textId="64D9F1DD" w:rsidR="005545A6" w:rsidRDefault="005545A6" w:rsidP="004A085E">
            <w:pPr>
              <w:pStyle w:val="TableParagraph"/>
              <w:kinsoku w:val="0"/>
              <w:overflowPunct w:val="0"/>
              <w:spacing w:line="201" w:lineRule="exact"/>
              <w:ind w:right="2844"/>
              <w:rPr>
                <w:b/>
                <w:bCs/>
                <w:color w:val="252326"/>
                <w:sz w:val="18"/>
                <w:szCs w:val="18"/>
              </w:rPr>
            </w:pPr>
          </w:p>
          <w:p w14:paraId="18209DB4" w14:textId="364EC3E1" w:rsidR="005545A6" w:rsidRDefault="005545A6" w:rsidP="004A085E">
            <w:pPr>
              <w:pStyle w:val="TableParagraph"/>
              <w:kinsoku w:val="0"/>
              <w:overflowPunct w:val="0"/>
              <w:spacing w:line="201" w:lineRule="exact"/>
              <w:ind w:right="2844"/>
              <w:rPr>
                <w:b/>
                <w:bCs/>
                <w:color w:val="252326"/>
                <w:sz w:val="18"/>
                <w:szCs w:val="18"/>
              </w:rPr>
            </w:pPr>
          </w:p>
          <w:p w14:paraId="06BD5F24" w14:textId="77777777" w:rsidR="005545A6" w:rsidRDefault="005545A6" w:rsidP="004A085E">
            <w:pPr>
              <w:pStyle w:val="TableParagraph"/>
              <w:kinsoku w:val="0"/>
              <w:overflowPunct w:val="0"/>
              <w:spacing w:line="201" w:lineRule="exact"/>
              <w:ind w:right="2844"/>
              <w:rPr>
                <w:b/>
                <w:bCs/>
                <w:color w:val="252326"/>
                <w:sz w:val="18"/>
                <w:szCs w:val="18"/>
              </w:rPr>
            </w:pPr>
          </w:p>
          <w:p w14:paraId="5F1CF451" w14:textId="74D5B365" w:rsidR="00EB491A" w:rsidRDefault="00EB491A" w:rsidP="004A085E">
            <w:pPr>
              <w:pStyle w:val="TableParagraph"/>
              <w:kinsoku w:val="0"/>
              <w:overflowPunct w:val="0"/>
              <w:spacing w:line="201" w:lineRule="exact"/>
              <w:ind w:right="2844"/>
              <w:rPr>
                <w:b/>
                <w:bCs/>
                <w:color w:val="252326"/>
                <w:sz w:val="18"/>
                <w:szCs w:val="18"/>
              </w:rPr>
            </w:pPr>
          </w:p>
          <w:p w14:paraId="45502014" w14:textId="77777777" w:rsidR="00EB491A" w:rsidRDefault="00EB491A" w:rsidP="004A085E">
            <w:pPr>
              <w:pStyle w:val="TableParagraph"/>
              <w:kinsoku w:val="0"/>
              <w:overflowPunct w:val="0"/>
              <w:spacing w:line="201" w:lineRule="exact"/>
              <w:ind w:right="2844"/>
              <w:rPr>
                <w:b/>
                <w:bCs/>
                <w:color w:val="252326"/>
                <w:sz w:val="18"/>
                <w:szCs w:val="18"/>
              </w:rPr>
            </w:pPr>
          </w:p>
          <w:p w14:paraId="29E77CC6" w14:textId="77777777" w:rsidR="00F73DD8" w:rsidRDefault="00F73DD8">
            <w:pPr>
              <w:pStyle w:val="TableParagraph"/>
              <w:kinsoku w:val="0"/>
              <w:overflowPunct w:val="0"/>
              <w:spacing w:line="201" w:lineRule="exact"/>
              <w:ind w:left="3938" w:right="2844"/>
              <w:jc w:val="center"/>
              <w:rPr>
                <w:b/>
                <w:bCs/>
                <w:color w:val="252326"/>
                <w:sz w:val="18"/>
                <w:szCs w:val="18"/>
              </w:rPr>
            </w:pPr>
          </w:p>
          <w:p w14:paraId="3248B14A" w14:textId="77777777" w:rsidR="00783288" w:rsidRDefault="00E31420">
            <w:pPr>
              <w:pStyle w:val="TableParagraph"/>
              <w:kinsoku w:val="0"/>
              <w:overflowPunct w:val="0"/>
              <w:spacing w:line="201" w:lineRule="exact"/>
              <w:ind w:left="3938" w:right="2844"/>
              <w:jc w:val="center"/>
              <w:rPr>
                <w:b/>
                <w:bCs/>
                <w:color w:val="252326"/>
                <w:sz w:val="18"/>
                <w:szCs w:val="18"/>
              </w:rPr>
            </w:pPr>
            <w:r>
              <w:rPr>
                <w:b/>
                <w:bCs/>
                <w:color w:val="252326"/>
                <w:sz w:val="18"/>
                <w:szCs w:val="18"/>
              </w:rPr>
              <w:lastRenderedPageBreak/>
              <w:t>CONTENTS</w:t>
            </w:r>
          </w:p>
          <w:p w14:paraId="120F486B" w14:textId="5274AE3F" w:rsidR="00AE5E39" w:rsidRDefault="00AE5E39">
            <w:pPr>
              <w:pStyle w:val="TableParagraph"/>
              <w:kinsoku w:val="0"/>
              <w:overflowPunct w:val="0"/>
              <w:spacing w:line="201" w:lineRule="exact"/>
              <w:ind w:left="3938" w:right="2844"/>
              <w:jc w:val="center"/>
              <w:rPr>
                <w:b/>
                <w:bCs/>
                <w:color w:val="252326"/>
                <w:sz w:val="18"/>
                <w:szCs w:val="18"/>
              </w:rPr>
            </w:pPr>
          </w:p>
        </w:tc>
        <w:tc>
          <w:tcPr>
            <w:tcW w:w="1144" w:type="dxa"/>
            <w:tcBorders>
              <w:top w:val="none" w:sz="6" w:space="0" w:color="auto"/>
              <w:left w:val="none" w:sz="6" w:space="0" w:color="auto"/>
              <w:bottom w:val="none" w:sz="6" w:space="0" w:color="auto"/>
              <w:right w:val="none" w:sz="6" w:space="0" w:color="auto"/>
            </w:tcBorders>
          </w:tcPr>
          <w:p w14:paraId="6F59FB33" w14:textId="77777777" w:rsidR="00783288" w:rsidRDefault="00783288">
            <w:pPr>
              <w:pStyle w:val="TableParagraph"/>
              <w:kinsoku w:val="0"/>
              <w:overflowPunct w:val="0"/>
              <w:rPr>
                <w:rFonts w:ascii="Times New Roman" w:hAnsi="Times New Roman" w:cs="Times New Roman"/>
                <w:sz w:val="16"/>
                <w:szCs w:val="16"/>
              </w:rPr>
            </w:pPr>
          </w:p>
        </w:tc>
      </w:tr>
      <w:tr w:rsidR="00783288" w14:paraId="79F200E3" w14:textId="77777777">
        <w:trPr>
          <w:trHeight w:val="845"/>
        </w:trPr>
        <w:tc>
          <w:tcPr>
            <w:tcW w:w="7812" w:type="dxa"/>
            <w:tcBorders>
              <w:top w:val="none" w:sz="6" w:space="0" w:color="auto"/>
              <w:left w:val="none" w:sz="6" w:space="0" w:color="auto"/>
              <w:bottom w:val="none" w:sz="6" w:space="0" w:color="auto"/>
              <w:right w:val="none" w:sz="6" w:space="0" w:color="auto"/>
            </w:tcBorders>
          </w:tcPr>
          <w:p w14:paraId="1E49B47B" w14:textId="77777777" w:rsidR="00783288" w:rsidRDefault="00783288">
            <w:pPr>
              <w:pStyle w:val="TableParagraph"/>
              <w:kinsoku w:val="0"/>
              <w:overflowPunct w:val="0"/>
              <w:rPr>
                <w:rFonts w:ascii="Times New Roman" w:hAnsi="Times New Roman" w:cs="Times New Roman"/>
                <w:sz w:val="20"/>
                <w:szCs w:val="20"/>
              </w:rPr>
            </w:pPr>
          </w:p>
          <w:p w14:paraId="0C9DA70E" w14:textId="77777777" w:rsidR="00783288" w:rsidRDefault="00783288">
            <w:pPr>
              <w:pStyle w:val="TableParagraph"/>
              <w:kinsoku w:val="0"/>
              <w:overflowPunct w:val="0"/>
              <w:spacing w:before="10"/>
              <w:rPr>
                <w:rFonts w:ascii="Times New Roman" w:hAnsi="Times New Roman" w:cs="Times New Roman"/>
              </w:rPr>
            </w:pPr>
          </w:p>
          <w:p w14:paraId="171E8BCC" w14:textId="77777777" w:rsidR="00783288" w:rsidRDefault="00E31420">
            <w:pPr>
              <w:pStyle w:val="TableParagraph"/>
              <w:kinsoku w:val="0"/>
              <w:overflowPunct w:val="0"/>
              <w:ind w:left="50"/>
              <w:rPr>
                <w:color w:val="050606"/>
                <w:sz w:val="18"/>
                <w:szCs w:val="18"/>
              </w:rPr>
            </w:pPr>
            <w:r>
              <w:rPr>
                <w:color w:val="050606"/>
                <w:sz w:val="18"/>
                <w:szCs w:val="18"/>
              </w:rPr>
              <w:t>SUMMARY</w:t>
            </w:r>
          </w:p>
        </w:tc>
        <w:tc>
          <w:tcPr>
            <w:tcW w:w="1144" w:type="dxa"/>
            <w:tcBorders>
              <w:top w:val="none" w:sz="6" w:space="0" w:color="auto"/>
              <w:left w:val="none" w:sz="6" w:space="0" w:color="auto"/>
              <w:bottom w:val="none" w:sz="6" w:space="0" w:color="auto"/>
              <w:right w:val="none" w:sz="6" w:space="0" w:color="auto"/>
            </w:tcBorders>
          </w:tcPr>
          <w:p w14:paraId="09E5BE12" w14:textId="77777777" w:rsidR="00783288" w:rsidRDefault="00E31420">
            <w:pPr>
              <w:pStyle w:val="TableParagraph"/>
              <w:kinsoku w:val="0"/>
              <w:overflowPunct w:val="0"/>
              <w:spacing w:before="103"/>
              <w:ind w:left="668"/>
              <w:rPr>
                <w:color w:val="050606"/>
                <w:sz w:val="18"/>
                <w:szCs w:val="18"/>
              </w:rPr>
            </w:pPr>
            <w:r>
              <w:rPr>
                <w:color w:val="050606"/>
                <w:sz w:val="18"/>
                <w:szCs w:val="18"/>
              </w:rPr>
              <w:t>Page</w:t>
            </w:r>
          </w:p>
          <w:p w14:paraId="4DB96B6A" w14:textId="77777777" w:rsidR="00783288" w:rsidRDefault="00783288">
            <w:pPr>
              <w:pStyle w:val="TableParagraph"/>
              <w:kinsoku w:val="0"/>
              <w:overflowPunct w:val="0"/>
              <w:spacing w:before="10"/>
              <w:rPr>
                <w:rFonts w:ascii="Times New Roman" w:hAnsi="Times New Roman" w:cs="Times New Roman"/>
                <w:sz w:val="17"/>
                <w:szCs w:val="17"/>
              </w:rPr>
            </w:pPr>
          </w:p>
          <w:p w14:paraId="5D5AA828" w14:textId="31649C5D" w:rsidR="00783288" w:rsidRDefault="00E31420">
            <w:pPr>
              <w:pStyle w:val="TableParagraph"/>
              <w:kinsoku w:val="0"/>
              <w:overflowPunct w:val="0"/>
              <w:spacing w:before="1"/>
              <w:ind w:left="589"/>
              <w:rPr>
                <w:color w:val="050606"/>
                <w:sz w:val="18"/>
                <w:szCs w:val="18"/>
              </w:rPr>
            </w:pPr>
            <w:r>
              <w:rPr>
                <w:color w:val="050606"/>
                <w:sz w:val="18"/>
                <w:szCs w:val="18"/>
              </w:rPr>
              <w:t>4 –</w:t>
            </w:r>
            <w:r>
              <w:rPr>
                <w:color w:val="050606"/>
                <w:spacing w:val="1"/>
                <w:sz w:val="18"/>
                <w:szCs w:val="18"/>
              </w:rPr>
              <w:t xml:space="preserve"> </w:t>
            </w:r>
            <w:r>
              <w:rPr>
                <w:color w:val="050606"/>
                <w:sz w:val="18"/>
                <w:szCs w:val="18"/>
              </w:rPr>
              <w:t>1</w:t>
            </w:r>
            <w:r w:rsidR="00F26985">
              <w:rPr>
                <w:color w:val="050606"/>
                <w:sz w:val="18"/>
                <w:szCs w:val="18"/>
              </w:rPr>
              <w:t>0</w:t>
            </w:r>
          </w:p>
        </w:tc>
      </w:tr>
      <w:tr w:rsidR="00783288" w14:paraId="28DDCD75" w14:textId="77777777">
        <w:trPr>
          <w:trHeight w:val="447"/>
        </w:trPr>
        <w:tc>
          <w:tcPr>
            <w:tcW w:w="7812" w:type="dxa"/>
            <w:tcBorders>
              <w:top w:val="none" w:sz="6" w:space="0" w:color="auto"/>
              <w:left w:val="none" w:sz="6" w:space="0" w:color="auto"/>
              <w:bottom w:val="none" w:sz="6" w:space="0" w:color="auto"/>
              <w:right w:val="none" w:sz="6" w:space="0" w:color="auto"/>
            </w:tcBorders>
          </w:tcPr>
          <w:p w14:paraId="5418F60E" w14:textId="77777777" w:rsidR="00783288" w:rsidRDefault="00E31420">
            <w:pPr>
              <w:pStyle w:val="TableParagraph"/>
              <w:kinsoku w:val="0"/>
              <w:overflowPunct w:val="0"/>
              <w:spacing w:before="116"/>
              <w:ind w:left="50"/>
              <w:rPr>
                <w:color w:val="050606"/>
                <w:sz w:val="18"/>
                <w:szCs w:val="18"/>
              </w:rPr>
            </w:pPr>
            <w:r>
              <w:rPr>
                <w:color w:val="050606"/>
                <w:sz w:val="18"/>
                <w:szCs w:val="18"/>
              </w:rPr>
              <w:t>RISK FACTORS</w:t>
            </w:r>
          </w:p>
        </w:tc>
        <w:tc>
          <w:tcPr>
            <w:tcW w:w="1144" w:type="dxa"/>
            <w:tcBorders>
              <w:top w:val="none" w:sz="6" w:space="0" w:color="auto"/>
              <w:left w:val="none" w:sz="6" w:space="0" w:color="auto"/>
              <w:bottom w:val="none" w:sz="6" w:space="0" w:color="auto"/>
              <w:right w:val="none" w:sz="6" w:space="0" w:color="auto"/>
            </w:tcBorders>
          </w:tcPr>
          <w:p w14:paraId="5CA45F03" w14:textId="60974BAC" w:rsidR="00783288" w:rsidRDefault="00E31420">
            <w:pPr>
              <w:pStyle w:val="TableParagraph"/>
              <w:kinsoku w:val="0"/>
              <w:overflowPunct w:val="0"/>
              <w:spacing w:before="116"/>
              <w:ind w:right="51"/>
              <w:jc w:val="right"/>
              <w:rPr>
                <w:color w:val="050606"/>
                <w:sz w:val="18"/>
                <w:szCs w:val="18"/>
              </w:rPr>
            </w:pPr>
            <w:r>
              <w:rPr>
                <w:color w:val="050606"/>
                <w:sz w:val="18"/>
                <w:szCs w:val="18"/>
              </w:rPr>
              <w:t>1</w:t>
            </w:r>
            <w:r w:rsidR="00F26985">
              <w:rPr>
                <w:color w:val="050606"/>
                <w:sz w:val="18"/>
                <w:szCs w:val="18"/>
              </w:rPr>
              <w:t>1</w:t>
            </w:r>
            <w:r>
              <w:rPr>
                <w:color w:val="050606"/>
                <w:sz w:val="18"/>
                <w:szCs w:val="18"/>
              </w:rPr>
              <w:t xml:space="preserve"> -</w:t>
            </w:r>
            <w:r w:rsidR="00F26985">
              <w:rPr>
                <w:color w:val="050606"/>
                <w:sz w:val="18"/>
                <w:szCs w:val="18"/>
              </w:rPr>
              <w:t xml:space="preserve"> 20</w:t>
            </w:r>
          </w:p>
        </w:tc>
      </w:tr>
      <w:tr w:rsidR="00783288" w14:paraId="0947E490" w14:textId="77777777">
        <w:trPr>
          <w:trHeight w:val="447"/>
        </w:trPr>
        <w:tc>
          <w:tcPr>
            <w:tcW w:w="7812" w:type="dxa"/>
            <w:tcBorders>
              <w:top w:val="none" w:sz="6" w:space="0" w:color="auto"/>
              <w:left w:val="none" w:sz="6" w:space="0" w:color="auto"/>
              <w:bottom w:val="none" w:sz="6" w:space="0" w:color="auto"/>
              <w:right w:val="none" w:sz="6" w:space="0" w:color="auto"/>
            </w:tcBorders>
          </w:tcPr>
          <w:p w14:paraId="601FD366" w14:textId="77777777" w:rsidR="00783288" w:rsidRDefault="00E31420">
            <w:pPr>
              <w:pStyle w:val="TableParagraph"/>
              <w:kinsoku w:val="0"/>
              <w:overflowPunct w:val="0"/>
              <w:spacing w:before="118"/>
              <w:ind w:left="50"/>
              <w:rPr>
                <w:color w:val="050606"/>
                <w:sz w:val="18"/>
                <w:szCs w:val="18"/>
              </w:rPr>
            </w:pPr>
            <w:r>
              <w:rPr>
                <w:color w:val="050606"/>
                <w:sz w:val="18"/>
                <w:szCs w:val="18"/>
              </w:rPr>
              <w:t>CONSEQUENCES OF A STANDARD LISTING</w:t>
            </w:r>
          </w:p>
        </w:tc>
        <w:tc>
          <w:tcPr>
            <w:tcW w:w="1144" w:type="dxa"/>
            <w:tcBorders>
              <w:top w:val="none" w:sz="6" w:space="0" w:color="auto"/>
              <w:left w:val="none" w:sz="6" w:space="0" w:color="auto"/>
              <w:bottom w:val="none" w:sz="6" w:space="0" w:color="auto"/>
              <w:right w:val="none" w:sz="6" w:space="0" w:color="auto"/>
            </w:tcBorders>
          </w:tcPr>
          <w:p w14:paraId="3FFDDE59" w14:textId="4B19E7AD" w:rsidR="00783288" w:rsidRDefault="005D03A5">
            <w:pPr>
              <w:pStyle w:val="TableParagraph"/>
              <w:kinsoku w:val="0"/>
              <w:overflowPunct w:val="0"/>
              <w:spacing w:before="118"/>
              <w:ind w:right="49"/>
              <w:jc w:val="right"/>
              <w:rPr>
                <w:color w:val="050606"/>
                <w:sz w:val="18"/>
                <w:szCs w:val="18"/>
              </w:rPr>
            </w:pPr>
            <w:r>
              <w:rPr>
                <w:color w:val="050606"/>
                <w:sz w:val="18"/>
                <w:szCs w:val="18"/>
              </w:rPr>
              <w:t>2</w:t>
            </w:r>
            <w:r w:rsidR="00982B0C">
              <w:rPr>
                <w:color w:val="050606"/>
                <w:sz w:val="18"/>
                <w:szCs w:val="18"/>
              </w:rPr>
              <w:t>1</w:t>
            </w:r>
            <w:r w:rsidR="00E31420">
              <w:rPr>
                <w:color w:val="050606"/>
                <w:sz w:val="18"/>
                <w:szCs w:val="18"/>
              </w:rPr>
              <w:t xml:space="preserve"> - 2</w:t>
            </w:r>
            <w:r w:rsidR="00982B0C">
              <w:rPr>
                <w:color w:val="050606"/>
                <w:sz w:val="18"/>
                <w:szCs w:val="18"/>
              </w:rPr>
              <w:t>2</w:t>
            </w:r>
          </w:p>
        </w:tc>
      </w:tr>
      <w:tr w:rsidR="00783288" w14:paraId="3366F164" w14:textId="77777777">
        <w:trPr>
          <w:trHeight w:val="446"/>
        </w:trPr>
        <w:tc>
          <w:tcPr>
            <w:tcW w:w="7812" w:type="dxa"/>
            <w:tcBorders>
              <w:top w:val="none" w:sz="6" w:space="0" w:color="auto"/>
              <w:left w:val="none" w:sz="6" w:space="0" w:color="auto"/>
              <w:bottom w:val="none" w:sz="6" w:space="0" w:color="auto"/>
              <w:right w:val="none" w:sz="6" w:space="0" w:color="auto"/>
            </w:tcBorders>
          </w:tcPr>
          <w:p w14:paraId="26180ED4" w14:textId="77777777" w:rsidR="00783288" w:rsidRDefault="00E31420">
            <w:pPr>
              <w:pStyle w:val="TableParagraph"/>
              <w:kinsoku w:val="0"/>
              <w:overflowPunct w:val="0"/>
              <w:spacing w:before="116"/>
              <w:ind w:left="50"/>
              <w:rPr>
                <w:color w:val="050606"/>
                <w:sz w:val="18"/>
                <w:szCs w:val="18"/>
              </w:rPr>
            </w:pPr>
            <w:r>
              <w:rPr>
                <w:color w:val="050606"/>
                <w:sz w:val="18"/>
                <w:szCs w:val="18"/>
              </w:rPr>
              <w:t>IMPORTANT INFORMATION</w:t>
            </w:r>
          </w:p>
        </w:tc>
        <w:tc>
          <w:tcPr>
            <w:tcW w:w="1144" w:type="dxa"/>
            <w:tcBorders>
              <w:top w:val="none" w:sz="6" w:space="0" w:color="auto"/>
              <w:left w:val="none" w:sz="6" w:space="0" w:color="auto"/>
              <w:bottom w:val="none" w:sz="6" w:space="0" w:color="auto"/>
              <w:right w:val="none" w:sz="6" w:space="0" w:color="auto"/>
            </w:tcBorders>
          </w:tcPr>
          <w:p w14:paraId="03FD9C6F" w14:textId="25598821" w:rsidR="00783288" w:rsidRDefault="00E31420">
            <w:pPr>
              <w:pStyle w:val="TableParagraph"/>
              <w:kinsoku w:val="0"/>
              <w:overflowPunct w:val="0"/>
              <w:spacing w:before="116"/>
              <w:ind w:right="49"/>
              <w:jc w:val="right"/>
              <w:rPr>
                <w:color w:val="050606"/>
                <w:sz w:val="18"/>
                <w:szCs w:val="18"/>
              </w:rPr>
            </w:pPr>
            <w:r>
              <w:rPr>
                <w:color w:val="050606"/>
                <w:sz w:val="18"/>
                <w:szCs w:val="18"/>
              </w:rPr>
              <w:t>2</w:t>
            </w:r>
            <w:r w:rsidR="00C04065">
              <w:rPr>
                <w:color w:val="050606"/>
                <w:sz w:val="18"/>
                <w:szCs w:val="18"/>
              </w:rPr>
              <w:t>3</w:t>
            </w:r>
            <w:r>
              <w:rPr>
                <w:color w:val="050606"/>
                <w:sz w:val="18"/>
                <w:szCs w:val="18"/>
              </w:rPr>
              <w:t xml:space="preserve"> - 2</w:t>
            </w:r>
            <w:r w:rsidR="00C04065">
              <w:rPr>
                <w:color w:val="050606"/>
                <w:sz w:val="18"/>
                <w:szCs w:val="18"/>
              </w:rPr>
              <w:t>7</w:t>
            </w:r>
          </w:p>
        </w:tc>
      </w:tr>
      <w:tr w:rsidR="00783288" w14:paraId="1646D033" w14:textId="77777777">
        <w:trPr>
          <w:trHeight w:val="446"/>
        </w:trPr>
        <w:tc>
          <w:tcPr>
            <w:tcW w:w="7812" w:type="dxa"/>
            <w:tcBorders>
              <w:top w:val="none" w:sz="6" w:space="0" w:color="auto"/>
              <w:left w:val="none" w:sz="6" w:space="0" w:color="auto"/>
              <w:bottom w:val="none" w:sz="6" w:space="0" w:color="auto"/>
              <w:right w:val="none" w:sz="6" w:space="0" w:color="auto"/>
            </w:tcBorders>
          </w:tcPr>
          <w:p w14:paraId="0F476378" w14:textId="77777777" w:rsidR="00783288" w:rsidRDefault="00E31420">
            <w:pPr>
              <w:pStyle w:val="TableParagraph"/>
              <w:kinsoku w:val="0"/>
              <w:overflowPunct w:val="0"/>
              <w:spacing w:before="116"/>
              <w:ind w:left="50"/>
              <w:rPr>
                <w:color w:val="050606"/>
                <w:sz w:val="18"/>
                <w:szCs w:val="18"/>
              </w:rPr>
            </w:pPr>
            <w:r>
              <w:rPr>
                <w:color w:val="050606"/>
                <w:sz w:val="18"/>
                <w:szCs w:val="18"/>
              </w:rPr>
              <w:t>EXPECTED TIMETABLE OF PRINCIPAL EVENTS</w:t>
            </w:r>
          </w:p>
        </w:tc>
        <w:tc>
          <w:tcPr>
            <w:tcW w:w="1144" w:type="dxa"/>
            <w:tcBorders>
              <w:top w:val="none" w:sz="6" w:space="0" w:color="auto"/>
              <w:left w:val="none" w:sz="6" w:space="0" w:color="auto"/>
              <w:bottom w:val="none" w:sz="6" w:space="0" w:color="auto"/>
              <w:right w:val="none" w:sz="6" w:space="0" w:color="auto"/>
            </w:tcBorders>
          </w:tcPr>
          <w:p w14:paraId="40BFB9C7" w14:textId="40D6965E" w:rsidR="00783288" w:rsidRDefault="00E31420">
            <w:pPr>
              <w:pStyle w:val="TableParagraph"/>
              <w:kinsoku w:val="0"/>
              <w:overflowPunct w:val="0"/>
              <w:spacing w:before="116"/>
              <w:ind w:right="48"/>
              <w:jc w:val="right"/>
              <w:rPr>
                <w:color w:val="050606"/>
                <w:w w:val="95"/>
                <w:sz w:val="18"/>
                <w:szCs w:val="18"/>
              </w:rPr>
            </w:pPr>
            <w:r>
              <w:rPr>
                <w:color w:val="050606"/>
                <w:w w:val="95"/>
                <w:sz w:val="18"/>
                <w:szCs w:val="18"/>
              </w:rPr>
              <w:t>2</w:t>
            </w:r>
            <w:r w:rsidR="0086012D">
              <w:rPr>
                <w:color w:val="050606"/>
                <w:w w:val="95"/>
                <w:sz w:val="18"/>
                <w:szCs w:val="18"/>
              </w:rPr>
              <w:t>8</w:t>
            </w:r>
          </w:p>
        </w:tc>
      </w:tr>
      <w:tr w:rsidR="00783288" w14:paraId="63196370" w14:textId="77777777">
        <w:trPr>
          <w:trHeight w:val="447"/>
        </w:trPr>
        <w:tc>
          <w:tcPr>
            <w:tcW w:w="7812" w:type="dxa"/>
            <w:tcBorders>
              <w:top w:val="none" w:sz="6" w:space="0" w:color="auto"/>
              <w:left w:val="none" w:sz="6" w:space="0" w:color="auto"/>
              <w:bottom w:val="none" w:sz="6" w:space="0" w:color="auto"/>
              <w:right w:val="none" w:sz="6" w:space="0" w:color="auto"/>
            </w:tcBorders>
          </w:tcPr>
          <w:p w14:paraId="35AE0441" w14:textId="6FB796C3" w:rsidR="00783288" w:rsidRDefault="00000F67">
            <w:pPr>
              <w:pStyle w:val="TableParagraph"/>
              <w:kinsoku w:val="0"/>
              <w:overflowPunct w:val="0"/>
              <w:spacing w:before="116"/>
              <w:ind w:left="50"/>
              <w:rPr>
                <w:color w:val="050606"/>
                <w:sz w:val="18"/>
                <w:szCs w:val="18"/>
              </w:rPr>
            </w:pPr>
            <w:r>
              <w:rPr>
                <w:color w:val="050606"/>
                <w:sz w:val="18"/>
                <w:szCs w:val="18"/>
              </w:rPr>
              <w:t xml:space="preserve">PLACING </w:t>
            </w:r>
            <w:r w:rsidR="00E31420">
              <w:rPr>
                <w:color w:val="050606"/>
                <w:sz w:val="18"/>
                <w:szCs w:val="18"/>
              </w:rPr>
              <w:t>STATISTICS</w:t>
            </w:r>
          </w:p>
        </w:tc>
        <w:tc>
          <w:tcPr>
            <w:tcW w:w="1144" w:type="dxa"/>
            <w:tcBorders>
              <w:top w:val="none" w:sz="6" w:space="0" w:color="auto"/>
              <w:left w:val="none" w:sz="6" w:space="0" w:color="auto"/>
              <w:bottom w:val="none" w:sz="6" w:space="0" w:color="auto"/>
              <w:right w:val="none" w:sz="6" w:space="0" w:color="auto"/>
            </w:tcBorders>
          </w:tcPr>
          <w:p w14:paraId="6FE5EF47" w14:textId="711F994B" w:rsidR="00783288" w:rsidRDefault="00E31420">
            <w:pPr>
              <w:pStyle w:val="TableParagraph"/>
              <w:kinsoku w:val="0"/>
              <w:overflowPunct w:val="0"/>
              <w:spacing w:before="116"/>
              <w:ind w:right="48"/>
              <w:jc w:val="right"/>
              <w:rPr>
                <w:color w:val="050606"/>
                <w:w w:val="95"/>
                <w:sz w:val="18"/>
                <w:szCs w:val="18"/>
              </w:rPr>
            </w:pPr>
            <w:r>
              <w:rPr>
                <w:color w:val="050606"/>
                <w:w w:val="95"/>
                <w:sz w:val="18"/>
                <w:szCs w:val="18"/>
              </w:rPr>
              <w:t>2</w:t>
            </w:r>
            <w:r w:rsidR="00C6230E">
              <w:rPr>
                <w:color w:val="050606"/>
                <w:w w:val="95"/>
                <w:sz w:val="18"/>
                <w:szCs w:val="18"/>
              </w:rPr>
              <w:t>7</w:t>
            </w:r>
          </w:p>
        </w:tc>
      </w:tr>
      <w:tr w:rsidR="00783288" w14:paraId="328FD571" w14:textId="77777777">
        <w:trPr>
          <w:trHeight w:val="447"/>
        </w:trPr>
        <w:tc>
          <w:tcPr>
            <w:tcW w:w="7812" w:type="dxa"/>
            <w:tcBorders>
              <w:top w:val="none" w:sz="6" w:space="0" w:color="auto"/>
              <w:left w:val="none" w:sz="6" w:space="0" w:color="auto"/>
              <w:bottom w:val="none" w:sz="6" w:space="0" w:color="auto"/>
              <w:right w:val="none" w:sz="6" w:space="0" w:color="auto"/>
            </w:tcBorders>
          </w:tcPr>
          <w:p w14:paraId="6008A836" w14:textId="77777777" w:rsidR="00783288" w:rsidRDefault="00E31420">
            <w:pPr>
              <w:pStyle w:val="TableParagraph"/>
              <w:kinsoku w:val="0"/>
              <w:overflowPunct w:val="0"/>
              <w:spacing w:before="118"/>
              <w:ind w:left="50"/>
              <w:rPr>
                <w:color w:val="050606"/>
                <w:sz w:val="18"/>
                <w:szCs w:val="18"/>
              </w:rPr>
            </w:pPr>
            <w:r>
              <w:rPr>
                <w:color w:val="050606"/>
                <w:sz w:val="18"/>
                <w:szCs w:val="18"/>
              </w:rPr>
              <w:t>DIRECTORS AND ADVISERS</w:t>
            </w:r>
          </w:p>
        </w:tc>
        <w:tc>
          <w:tcPr>
            <w:tcW w:w="1144" w:type="dxa"/>
            <w:tcBorders>
              <w:top w:val="none" w:sz="6" w:space="0" w:color="auto"/>
              <w:left w:val="none" w:sz="6" w:space="0" w:color="auto"/>
              <w:bottom w:val="none" w:sz="6" w:space="0" w:color="auto"/>
              <w:right w:val="none" w:sz="6" w:space="0" w:color="auto"/>
            </w:tcBorders>
          </w:tcPr>
          <w:p w14:paraId="472A085E" w14:textId="1399464C" w:rsidR="00783288" w:rsidRDefault="00C6230E">
            <w:pPr>
              <w:pStyle w:val="TableParagraph"/>
              <w:kinsoku w:val="0"/>
              <w:overflowPunct w:val="0"/>
              <w:spacing w:before="118"/>
              <w:ind w:right="48"/>
              <w:jc w:val="right"/>
              <w:rPr>
                <w:color w:val="050606"/>
                <w:w w:val="95"/>
                <w:sz w:val="18"/>
                <w:szCs w:val="18"/>
              </w:rPr>
            </w:pPr>
            <w:r>
              <w:rPr>
                <w:color w:val="050606"/>
                <w:w w:val="95"/>
                <w:sz w:val="18"/>
                <w:szCs w:val="18"/>
              </w:rPr>
              <w:t>2</w:t>
            </w:r>
            <w:r w:rsidR="00725666">
              <w:rPr>
                <w:color w:val="050606"/>
                <w:w w:val="95"/>
                <w:sz w:val="18"/>
                <w:szCs w:val="18"/>
              </w:rPr>
              <w:t>9</w:t>
            </w:r>
          </w:p>
        </w:tc>
      </w:tr>
      <w:tr w:rsidR="00783288" w14:paraId="251E74A6" w14:textId="77777777">
        <w:trPr>
          <w:trHeight w:val="446"/>
        </w:trPr>
        <w:tc>
          <w:tcPr>
            <w:tcW w:w="7812" w:type="dxa"/>
            <w:tcBorders>
              <w:top w:val="none" w:sz="6" w:space="0" w:color="auto"/>
              <w:left w:val="none" w:sz="6" w:space="0" w:color="auto"/>
              <w:bottom w:val="none" w:sz="6" w:space="0" w:color="auto"/>
              <w:right w:val="none" w:sz="6" w:space="0" w:color="auto"/>
            </w:tcBorders>
          </w:tcPr>
          <w:p w14:paraId="52FC1AFA" w14:textId="77777777"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I</w:t>
            </w:r>
            <w:r>
              <w:rPr>
                <w:color w:val="050606"/>
                <w:sz w:val="18"/>
                <w:szCs w:val="18"/>
              </w:rPr>
              <w:tab/>
              <w:t>THE COMPANY AND THE GROUP</w:t>
            </w:r>
          </w:p>
        </w:tc>
        <w:tc>
          <w:tcPr>
            <w:tcW w:w="1144" w:type="dxa"/>
            <w:tcBorders>
              <w:top w:val="none" w:sz="6" w:space="0" w:color="auto"/>
              <w:left w:val="none" w:sz="6" w:space="0" w:color="auto"/>
              <w:bottom w:val="none" w:sz="6" w:space="0" w:color="auto"/>
              <w:right w:val="none" w:sz="6" w:space="0" w:color="auto"/>
            </w:tcBorders>
          </w:tcPr>
          <w:p w14:paraId="2CA3DB3D" w14:textId="64610CF3" w:rsidR="00783288" w:rsidRDefault="001052A0">
            <w:pPr>
              <w:pStyle w:val="TableParagraph"/>
              <w:kinsoku w:val="0"/>
              <w:overflowPunct w:val="0"/>
              <w:spacing w:before="116"/>
              <w:ind w:right="49"/>
              <w:jc w:val="right"/>
              <w:rPr>
                <w:color w:val="050606"/>
                <w:sz w:val="18"/>
                <w:szCs w:val="18"/>
              </w:rPr>
            </w:pPr>
            <w:r>
              <w:rPr>
                <w:color w:val="050606"/>
                <w:sz w:val="18"/>
                <w:szCs w:val="18"/>
              </w:rPr>
              <w:t>30</w:t>
            </w:r>
            <w:r w:rsidR="00E31420">
              <w:rPr>
                <w:color w:val="050606"/>
                <w:sz w:val="18"/>
                <w:szCs w:val="18"/>
              </w:rPr>
              <w:t xml:space="preserve"> - </w:t>
            </w:r>
            <w:r>
              <w:rPr>
                <w:color w:val="050606"/>
                <w:sz w:val="18"/>
                <w:szCs w:val="18"/>
              </w:rPr>
              <w:t>41</w:t>
            </w:r>
          </w:p>
        </w:tc>
      </w:tr>
      <w:tr w:rsidR="00783288" w14:paraId="750C2AB3" w14:textId="77777777">
        <w:trPr>
          <w:trHeight w:val="446"/>
        </w:trPr>
        <w:tc>
          <w:tcPr>
            <w:tcW w:w="7812" w:type="dxa"/>
            <w:tcBorders>
              <w:top w:val="none" w:sz="6" w:space="0" w:color="auto"/>
              <w:left w:val="none" w:sz="6" w:space="0" w:color="auto"/>
              <w:bottom w:val="none" w:sz="6" w:space="0" w:color="auto"/>
              <w:right w:val="none" w:sz="6" w:space="0" w:color="auto"/>
            </w:tcBorders>
          </w:tcPr>
          <w:p w14:paraId="1C6DD4B5" w14:textId="77777777"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II</w:t>
            </w:r>
            <w:r>
              <w:rPr>
                <w:color w:val="050606"/>
                <w:sz w:val="18"/>
                <w:szCs w:val="18"/>
              </w:rPr>
              <w:tab/>
              <w:t>THE BOARD AND KEY PERSONNEL AND CORPORATE</w:t>
            </w:r>
            <w:r>
              <w:rPr>
                <w:color w:val="050606"/>
                <w:spacing w:val="-8"/>
                <w:sz w:val="18"/>
                <w:szCs w:val="18"/>
              </w:rPr>
              <w:t xml:space="preserve"> </w:t>
            </w:r>
            <w:r>
              <w:rPr>
                <w:color w:val="050606"/>
                <w:sz w:val="18"/>
                <w:szCs w:val="18"/>
              </w:rPr>
              <w:t>GOVERNANCE</w:t>
            </w:r>
          </w:p>
        </w:tc>
        <w:tc>
          <w:tcPr>
            <w:tcW w:w="1144" w:type="dxa"/>
            <w:tcBorders>
              <w:top w:val="none" w:sz="6" w:space="0" w:color="auto"/>
              <w:left w:val="none" w:sz="6" w:space="0" w:color="auto"/>
              <w:bottom w:val="none" w:sz="6" w:space="0" w:color="auto"/>
              <w:right w:val="none" w:sz="6" w:space="0" w:color="auto"/>
            </w:tcBorders>
          </w:tcPr>
          <w:p w14:paraId="3C85D369" w14:textId="2FAA1122" w:rsidR="00783288" w:rsidRDefault="00B76FDD">
            <w:pPr>
              <w:pStyle w:val="TableParagraph"/>
              <w:kinsoku w:val="0"/>
              <w:overflowPunct w:val="0"/>
              <w:spacing w:before="116"/>
              <w:ind w:right="49"/>
              <w:jc w:val="right"/>
              <w:rPr>
                <w:color w:val="050606"/>
                <w:sz w:val="18"/>
                <w:szCs w:val="18"/>
              </w:rPr>
            </w:pPr>
            <w:r>
              <w:rPr>
                <w:color w:val="050606"/>
                <w:sz w:val="18"/>
                <w:szCs w:val="18"/>
              </w:rPr>
              <w:t>42</w:t>
            </w:r>
            <w:r w:rsidR="00E31420">
              <w:rPr>
                <w:color w:val="050606"/>
                <w:sz w:val="18"/>
                <w:szCs w:val="18"/>
              </w:rPr>
              <w:t xml:space="preserve"> – </w:t>
            </w:r>
            <w:r w:rsidR="00751587">
              <w:rPr>
                <w:color w:val="050606"/>
                <w:sz w:val="18"/>
                <w:szCs w:val="18"/>
              </w:rPr>
              <w:t>4</w:t>
            </w:r>
            <w:r>
              <w:rPr>
                <w:color w:val="050606"/>
                <w:sz w:val="18"/>
                <w:szCs w:val="18"/>
              </w:rPr>
              <w:t>5</w:t>
            </w:r>
          </w:p>
        </w:tc>
      </w:tr>
      <w:tr w:rsidR="00783288" w14:paraId="1E0C9ADE" w14:textId="77777777">
        <w:trPr>
          <w:trHeight w:val="447"/>
        </w:trPr>
        <w:tc>
          <w:tcPr>
            <w:tcW w:w="7812" w:type="dxa"/>
            <w:tcBorders>
              <w:top w:val="none" w:sz="6" w:space="0" w:color="auto"/>
              <w:left w:val="none" w:sz="6" w:space="0" w:color="auto"/>
              <w:bottom w:val="none" w:sz="6" w:space="0" w:color="auto"/>
              <w:right w:val="none" w:sz="6" w:space="0" w:color="auto"/>
            </w:tcBorders>
          </w:tcPr>
          <w:p w14:paraId="6ECF00C6" w14:textId="3E907459"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III</w:t>
            </w:r>
            <w:r>
              <w:rPr>
                <w:color w:val="050606"/>
                <w:sz w:val="18"/>
                <w:szCs w:val="18"/>
              </w:rPr>
              <w:tab/>
              <w:t xml:space="preserve">THE PLACING </w:t>
            </w:r>
          </w:p>
        </w:tc>
        <w:tc>
          <w:tcPr>
            <w:tcW w:w="1144" w:type="dxa"/>
            <w:tcBorders>
              <w:top w:val="none" w:sz="6" w:space="0" w:color="auto"/>
              <w:left w:val="none" w:sz="6" w:space="0" w:color="auto"/>
              <w:bottom w:val="none" w:sz="6" w:space="0" w:color="auto"/>
              <w:right w:val="none" w:sz="6" w:space="0" w:color="auto"/>
            </w:tcBorders>
          </w:tcPr>
          <w:p w14:paraId="165D8D90" w14:textId="1B2625F9" w:rsidR="00783288" w:rsidRDefault="00E31420">
            <w:pPr>
              <w:pStyle w:val="TableParagraph"/>
              <w:kinsoku w:val="0"/>
              <w:overflowPunct w:val="0"/>
              <w:spacing w:before="116"/>
              <w:ind w:right="49"/>
              <w:jc w:val="right"/>
              <w:rPr>
                <w:color w:val="050606"/>
                <w:sz w:val="18"/>
                <w:szCs w:val="18"/>
              </w:rPr>
            </w:pPr>
            <w:r>
              <w:rPr>
                <w:color w:val="050606"/>
                <w:sz w:val="18"/>
                <w:szCs w:val="18"/>
              </w:rPr>
              <w:t>4</w:t>
            </w:r>
            <w:r w:rsidR="00B76FDD">
              <w:rPr>
                <w:color w:val="050606"/>
                <w:sz w:val="18"/>
                <w:szCs w:val="18"/>
              </w:rPr>
              <w:t>6</w:t>
            </w:r>
            <w:r>
              <w:rPr>
                <w:color w:val="050606"/>
                <w:sz w:val="18"/>
                <w:szCs w:val="18"/>
              </w:rPr>
              <w:t xml:space="preserve"> - 4</w:t>
            </w:r>
            <w:r w:rsidR="00B76FDD">
              <w:rPr>
                <w:color w:val="050606"/>
                <w:sz w:val="18"/>
                <w:szCs w:val="18"/>
              </w:rPr>
              <w:t>7</w:t>
            </w:r>
          </w:p>
        </w:tc>
      </w:tr>
      <w:tr w:rsidR="00783288" w14:paraId="4B44961C" w14:textId="77777777">
        <w:trPr>
          <w:trHeight w:val="447"/>
        </w:trPr>
        <w:tc>
          <w:tcPr>
            <w:tcW w:w="7812" w:type="dxa"/>
            <w:tcBorders>
              <w:top w:val="none" w:sz="6" w:space="0" w:color="auto"/>
              <w:left w:val="none" w:sz="6" w:space="0" w:color="auto"/>
              <w:bottom w:val="none" w:sz="6" w:space="0" w:color="auto"/>
              <w:right w:val="none" w:sz="6" w:space="0" w:color="auto"/>
            </w:tcBorders>
          </w:tcPr>
          <w:p w14:paraId="649DEA0C" w14:textId="77777777" w:rsidR="00783288" w:rsidRDefault="00E31420">
            <w:pPr>
              <w:pStyle w:val="TableParagraph"/>
              <w:tabs>
                <w:tab w:val="left" w:pos="1321"/>
              </w:tabs>
              <w:kinsoku w:val="0"/>
              <w:overflowPunct w:val="0"/>
              <w:spacing w:before="118"/>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IV</w:t>
            </w:r>
            <w:r>
              <w:rPr>
                <w:color w:val="050606"/>
                <w:sz w:val="18"/>
                <w:szCs w:val="18"/>
              </w:rPr>
              <w:tab/>
              <w:t>HISTORICAL FINANCIAL INFORMATION OF THE</w:t>
            </w:r>
            <w:r>
              <w:rPr>
                <w:color w:val="050606"/>
                <w:spacing w:val="2"/>
                <w:sz w:val="18"/>
                <w:szCs w:val="18"/>
              </w:rPr>
              <w:t xml:space="preserve"> </w:t>
            </w:r>
            <w:r>
              <w:rPr>
                <w:color w:val="050606"/>
                <w:sz w:val="18"/>
                <w:szCs w:val="18"/>
              </w:rPr>
              <w:t>COMPANY</w:t>
            </w:r>
          </w:p>
        </w:tc>
        <w:tc>
          <w:tcPr>
            <w:tcW w:w="1144" w:type="dxa"/>
            <w:tcBorders>
              <w:top w:val="none" w:sz="6" w:space="0" w:color="auto"/>
              <w:left w:val="none" w:sz="6" w:space="0" w:color="auto"/>
              <w:bottom w:val="none" w:sz="6" w:space="0" w:color="auto"/>
              <w:right w:val="none" w:sz="6" w:space="0" w:color="auto"/>
            </w:tcBorders>
          </w:tcPr>
          <w:p w14:paraId="1928BF6E" w14:textId="54FDE99F" w:rsidR="00783288" w:rsidRDefault="00E31420">
            <w:pPr>
              <w:pStyle w:val="TableParagraph"/>
              <w:kinsoku w:val="0"/>
              <w:overflowPunct w:val="0"/>
              <w:spacing w:before="118"/>
              <w:ind w:right="48"/>
              <w:jc w:val="right"/>
              <w:rPr>
                <w:color w:val="050606"/>
                <w:w w:val="95"/>
                <w:sz w:val="18"/>
                <w:szCs w:val="18"/>
              </w:rPr>
            </w:pPr>
            <w:r>
              <w:rPr>
                <w:color w:val="050606"/>
                <w:w w:val="95"/>
                <w:sz w:val="18"/>
                <w:szCs w:val="18"/>
              </w:rPr>
              <w:t>4</w:t>
            </w:r>
            <w:r w:rsidR="00C17EC6">
              <w:rPr>
                <w:color w:val="050606"/>
                <w:w w:val="95"/>
                <w:sz w:val="18"/>
                <w:szCs w:val="18"/>
              </w:rPr>
              <w:t>8</w:t>
            </w:r>
          </w:p>
        </w:tc>
      </w:tr>
      <w:tr w:rsidR="00783288" w14:paraId="74D6F1B8" w14:textId="77777777">
        <w:trPr>
          <w:trHeight w:val="446"/>
        </w:trPr>
        <w:tc>
          <w:tcPr>
            <w:tcW w:w="7812" w:type="dxa"/>
            <w:tcBorders>
              <w:top w:val="none" w:sz="6" w:space="0" w:color="auto"/>
              <w:left w:val="none" w:sz="6" w:space="0" w:color="auto"/>
              <w:bottom w:val="none" w:sz="6" w:space="0" w:color="auto"/>
              <w:right w:val="none" w:sz="6" w:space="0" w:color="auto"/>
            </w:tcBorders>
          </w:tcPr>
          <w:p w14:paraId="213F7E06" w14:textId="77777777"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V</w:t>
            </w:r>
            <w:r>
              <w:rPr>
                <w:color w:val="050606"/>
                <w:sz w:val="18"/>
                <w:szCs w:val="18"/>
              </w:rPr>
              <w:tab/>
              <w:t>CAPITLISATION AND INDEBTEDNESS</w:t>
            </w:r>
            <w:r>
              <w:rPr>
                <w:color w:val="050606"/>
                <w:spacing w:val="-1"/>
                <w:sz w:val="18"/>
                <w:szCs w:val="18"/>
              </w:rPr>
              <w:t xml:space="preserve"> </w:t>
            </w:r>
            <w:r>
              <w:rPr>
                <w:color w:val="050606"/>
                <w:sz w:val="18"/>
                <w:szCs w:val="18"/>
              </w:rPr>
              <w:t>STATEMENT</w:t>
            </w:r>
          </w:p>
        </w:tc>
        <w:tc>
          <w:tcPr>
            <w:tcW w:w="1144" w:type="dxa"/>
            <w:tcBorders>
              <w:top w:val="none" w:sz="6" w:space="0" w:color="auto"/>
              <w:left w:val="none" w:sz="6" w:space="0" w:color="auto"/>
              <w:bottom w:val="none" w:sz="6" w:space="0" w:color="auto"/>
              <w:right w:val="none" w:sz="6" w:space="0" w:color="auto"/>
            </w:tcBorders>
          </w:tcPr>
          <w:p w14:paraId="1BD27B75" w14:textId="59DEAAD5" w:rsidR="00783288" w:rsidRDefault="00E31420">
            <w:pPr>
              <w:pStyle w:val="TableParagraph"/>
              <w:kinsoku w:val="0"/>
              <w:overflowPunct w:val="0"/>
              <w:spacing w:before="116"/>
              <w:ind w:right="49"/>
              <w:jc w:val="right"/>
              <w:rPr>
                <w:color w:val="050606"/>
                <w:sz w:val="18"/>
                <w:szCs w:val="18"/>
              </w:rPr>
            </w:pPr>
            <w:r>
              <w:rPr>
                <w:color w:val="050606"/>
                <w:sz w:val="18"/>
                <w:szCs w:val="18"/>
              </w:rPr>
              <w:t>4</w:t>
            </w:r>
            <w:r w:rsidR="00C17EC6">
              <w:rPr>
                <w:color w:val="050606"/>
                <w:sz w:val="18"/>
                <w:szCs w:val="18"/>
              </w:rPr>
              <w:t>9</w:t>
            </w:r>
            <w:r>
              <w:rPr>
                <w:color w:val="050606"/>
                <w:sz w:val="18"/>
                <w:szCs w:val="18"/>
              </w:rPr>
              <w:t xml:space="preserve"> - </w:t>
            </w:r>
            <w:r w:rsidR="00C17EC6">
              <w:rPr>
                <w:color w:val="050606"/>
                <w:sz w:val="18"/>
                <w:szCs w:val="18"/>
              </w:rPr>
              <w:t>50</w:t>
            </w:r>
          </w:p>
        </w:tc>
      </w:tr>
      <w:tr w:rsidR="00783288" w14:paraId="1FA91CD4" w14:textId="77777777">
        <w:trPr>
          <w:trHeight w:val="446"/>
        </w:trPr>
        <w:tc>
          <w:tcPr>
            <w:tcW w:w="7812" w:type="dxa"/>
            <w:tcBorders>
              <w:top w:val="none" w:sz="6" w:space="0" w:color="auto"/>
              <w:left w:val="none" w:sz="6" w:space="0" w:color="auto"/>
              <w:bottom w:val="none" w:sz="6" w:space="0" w:color="auto"/>
              <w:right w:val="none" w:sz="6" w:space="0" w:color="auto"/>
            </w:tcBorders>
          </w:tcPr>
          <w:p w14:paraId="75042537" w14:textId="77777777"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VI</w:t>
            </w:r>
            <w:r>
              <w:rPr>
                <w:color w:val="050606"/>
                <w:sz w:val="18"/>
                <w:szCs w:val="18"/>
              </w:rPr>
              <w:tab/>
              <w:t>TAXATION</w:t>
            </w:r>
          </w:p>
        </w:tc>
        <w:tc>
          <w:tcPr>
            <w:tcW w:w="1144" w:type="dxa"/>
            <w:tcBorders>
              <w:top w:val="none" w:sz="6" w:space="0" w:color="auto"/>
              <w:left w:val="none" w:sz="6" w:space="0" w:color="auto"/>
              <w:bottom w:val="none" w:sz="6" w:space="0" w:color="auto"/>
              <w:right w:val="none" w:sz="6" w:space="0" w:color="auto"/>
            </w:tcBorders>
          </w:tcPr>
          <w:p w14:paraId="3B14951C" w14:textId="3D73FD3D" w:rsidR="00783288" w:rsidRDefault="00C17EC6">
            <w:pPr>
              <w:pStyle w:val="TableParagraph"/>
              <w:kinsoku w:val="0"/>
              <w:overflowPunct w:val="0"/>
              <w:spacing w:before="116"/>
              <w:ind w:right="49"/>
              <w:jc w:val="right"/>
              <w:rPr>
                <w:color w:val="050606"/>
                <w:sz w:val="18"/>
                <w:szCs w:val="18"/>
              </w:rPr>
            </w:pPr>
            <w:r>
              <w:rPr>
                <w:color w:val="050606"/>
                <w:sz w:val="18"/>
                <w:szCs w:val="18"/>
              </w:rPr>
              <w:t>51</w:t>
            </w:r>
            <w:r w:rsidR="00E31420">
              <w:rPr>
                <w:color w:val="050606"/>
                <w:sz w:val="18"/>
                <w:szCs w:val="18"/>
              </w:rPr>
              <w:t xml:space="preserve"> - </w:t>
            </w:r>
            <w:r>
              <w:rPr>
                <w:color w:val="050606"/>
                <w:sz w:val="18"/>
                <w:szCs w:val="18"/>
              </w:rPr>
              <w:t>52</w:t>
            </w:r>
          </w:p>
        </w:tc>
      </w:tr>
      <w:tr w:rsidR="00783288" w14:paraId="14BAC8DD" w14:textId="77777777">
        <w:trPr>
          <w:trHeight w:val="447"/>
        </w:trPr>
        <w:tc>
          <w:tcPr>
            <w:tcW w:w="7812" w:type="dxa"/>
            <w:tcBorders>
              <w:top w:val="none" w:sz="6" w:space="0" w:color="auto"/>
              <w:left w:val="none" w:sz="6" w:space="0" w:color="auto"/>
              <w:bottom w:val="none" w:sz="6" w:space="0" w:color="auto"/>
              <w:right w:val="none" w:sz="6" w:space="0" w:color="auto"/>
            </w:tcBorders>
          </w:tcPr>
          <w:p w14:paraId="35C3B9B2" w14:textId="77777777" w:rsidR="00783288" w:rsidRDefault="00E31420">
            <w:pPr>
              <w:pStyle w:val="TableParagraph"/>
              <w:tabs>
                <w:tab w:val="left" w:pos="1321"/>
              </w:tabs>
              <w:kinsoku w:val="0"/>
              <w:overflowPunct w:val="0"/>
              <w:spacing w:before="116"/>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VII</w:t>
            </w:r>
            <w:r>
              <w:rPr>
                <w:color w:val="050606"/>
                <w:sz w:val="18"/>
                <w:szCs w:val="18"/>
              </w:rPr>
              <w:tab/>
              <w:t>ADDITIONAL</w:t>
            </w:r>
            <w:r>
              <w:rPr>
                <w:color w:val="050606"/>
                <w:spacing w:val="1"/>
                <w:sz w:val="18"/>
                <w:szCs w:val="18"/>
              </w:rPr>
              <w:t xml:space="preserve"> </w:t>
            </w:r>
            <w:r>
              <w:rPr>
                <w:color w:val="050606"/>
                <w:sz w:val="18"/>
                <w:szCs w:val="18"/>
              </w:rPr>
              <w:t>INFORMATION</w:t>
            </w:r>
          </w:p>
        </w:tc>
        <w:tc>
          <w:tcPr>
            <w:tcW w:w="1144" w:type="dxa"/>
            <w:tcBorders>
              <w:top w:val="none" w:sz="6" w:space="0" w:color="auto"/>
              <w:left w:val="none" w:sz="6" w:space="0" w:color="auto"/>
              <w:bottom w:val="none" w:sz="6" w:space="0" w:color="auto"/>
              <w:right w:val="none" w:sz="6" w:space="0" w:color="auto"/>
            </w:tcBorders>
          </w:tcPr>
          <w:p w14:paraId="30B7C2D9" w14:textId="174DE0C1" w:rsidR="00783288" w:rsidRDefault="00751587">
            <w:pPr>
              <w:pStyle w:val="TableParagraph"/>
              <w:kinsoku w:val="0"/>
              <w:overflowPunct w:val="0"/>
              <w:spacing w:before="116"/>
              <w:ind w:right="49"/>
              <w:jc w:val="right"/>
              <w:rPr>
                <w:color w:val="050606"/>
                <w:sz w:val="18"/>
                <w:szCs w:val="18"/>
              </w:rPr>
            </w:pPr>
            <w:r>
              <w:rPr>
                <w:color w:val="050606"/>
                <w:sz w:val="18"/>
                <w:szCs w:val="18"/>
              </w:rPr>
              <w:t>5</w:t>
            </w:r>
            <w:r w:rsidR="00D21F8F">
              <w:rPr>
                <w:color w:val="050606"/>
                <w:sz w:val="18"/>
                <w:szCs w:val="18"/>
              </w:rPr>
              <w:t>3</w:t>
            </w:r>
            <w:r w:rsidR="00E31420">
              <w:rPr>
                <w:color w:val="050606"/>
                <w:sz w:val="18"/>
                <w:szCs w:val="18"/>
              </w:rPr>
              <w:t xml:space="preserve"> –</w:t>
            </w:r>
            <w:r w:rsidR="00DF7F4D">
              <w:rPr>
                <w:color w:val="050606"/>
                <w:sz w:val="18"/>
                <w:szCs w:val="18"/>
              </w:rPr>
              <w:t>7</w:t>
            </w:r>
            <w:r w:rsidR="00D21F8F">
              <w:rPr>
                <w:color w:val="050606"/>
                <w:sz w:val="18"/>
                <w:szCs w:val="18"/>
              </w:rPr>
              <w:t>7</w:t>
            </w:r>
            <w:r w:rsidR="00E31420">
              <w:rPr>
                <w:color w:val="050606"/>
                <w:sz w:val="18"/>
                <w:szCs w:val="18"/>
              </w:rPr>
              <w:t xml:space="preserve"> </w:t>
            </w:r>
          </w:p>
        </w:tc>
      </w:tr>
      <w:tr w:rsidR="00783288" w14:paraId="24F7BC2E" w14:textId="77777777">
        <w:trPr>
          <w:trHeight w:val="447"/>
        </w:trPr>
        <w:tc>
          <w:tcPr>
            <w:tcW w:w="7812" w:type="dxa"/>
            <w:tcBorders>
              <w:top w:val="none" w:sz="6" w:space="0" w:color="auto"/>
              <w:left w:val="none" w:sz="6" w:space="0" w:color="auto"/>
              <w:bottom w:val="none" w:sz="6" w:space="0" w:color="auto"/>
              <w:right w:val="none" w:sz="6" w:space="0" w:color="auto"/>
            </w:tcBorders>
          </w:tcPr>
          <w:p w14:paraId="5CB88B71" w14:textId="77777777" w:rsidR="00783288" w:rsidRDefault="00E31420">
            <w:pPr>
              <w:pStyle w:val="TableParagraph"/>
              <w:kinsoku w:val="0"/>
              <w:overflowPunct w:val="0"/>
              <w:spacing w:before="118"/>
              <w:ind w:left="1321"/>
              <w:rPr>
                <w:color w:val="050606"/>
                <w:sz w:val="18"/>
                <w:szCs w:val="18"/>
              </w:rPr>
            </w:pPr>
            <w:r>
              <w:rPr>
                <w:color w:val="050606"/>
                <w:sz w:val="18"/>
                <w:szCs w:val="18"/>
              </w:rPr>
              <w:t>NOTICES TO INVESTORS</w:t>
            </w:r>
          </w:p>
        </w:tc>
        <w:tc>
          <w:tcPr>
            <w:tcW w:w="1144" w:type="dxa"/>
            <w:tcBorders>
              <w:top w:val="none" w:sz="6" w:space="0" w:color="auto"/>
              <w:left w:val="none" w:sz="6" w:space="0" w:color="auto"/>
              <w:bottom w:val="none" w:sz="6" w:space="0" w:color="auto"/>
              <w:right w:val="none" w:sz="6" w:space="0" w:color="auto"/>
            </w:tcBorders>
          </w:tcPr>
          <w:p w14:paraId="2ECA60FE" w14:textId="585CA8AF" w:rsidR="00783288" w:rsidRDefault="00751587">
            <w:pPr>
              <w:pStyle w:val="TableParagraph"/>
              <w:kinsoku w:val="0"/>
              <w:overflowPunct w:val="0"/>
              <w:spacing w:before="118"/>
              <w:ind w:right="48"/>
              <w:jc w:val="right"/>
              <w:rPr>
                <w:color w:val="050606"/>
                <w:w w:val="95"/>
                <w:sz w:val="18"/>
                <w:szCs w:val="18"/>
              </w:rPr>
            </w:pPr>
            <w:r>
              <w:rPr>
                <w:color w:val="050606"/>
                <w:w w:val="95"/>
                <w:sz w:val="18"/>
                <w:szCs w:val="18"/>
              </w:rPr>
              <w:t>7</w:t>
            </w:r>
            <w:r w:rsidR="00D21F8F">
              <w:rPr>
                <w:color w:val="050606"/>
                <w:w w:val="95"/>
                <w:sz w:val="18"/>
                <w:szCs w:val="18"/>
              </w:rPr>
              <w:t>8</w:t>
            </w:r>
            <w:r w:rsidR="00DF7F4D">
              <w:rPr>
                <w:color w:val="050606"/>
                <w:w w:val="95"/>
                <w:sz w:val="18"/>
                <w:szCs w:val="18"/>
              </w:rPr>
              <w:t>-7</w:t>
            </w:r>
            <w:r w:rsidR="00D21F8F">
              <w:rPr>
                <w:color w:val="050606"/>
                <w:w w:val="95"/>
                <w:sz w:val="18"/>
                <w:szCs w:val="18"/>
              </w:rPr>
              <w:t>9</w:t>
            </w:r>
          </w:p>
        </w:tc>
      </w:tr>
      <w:tr w:rsidR="00783288" w14:paraId="315F9074" w14:textId="77777777">
        <w:trPr>
          <w:trHeight w:val="323"/>
        </w:trPr>
        <w:tc>
          <w:tcPr>
            <w:tcW w:w="7812" w:type="dxa"/>
            <w:tcBorders>
              <w:top w:val="none" w:sz="6" w:space="0" w:color="auto"/>
              <w:left w:val="none" w:sz="6" w:space="0" w:color="auto"/>
              <w:bottom w:val="none" w:sz="6" w:space="0" w:color="auto"/>
              <w:right w:val="none" w:sz="6" w:space="0" w:color="auto"/>
            </w:tcBorders>
          </w:tcPr>
          <w:p w14:paraId="4EFAE443" w14:textId="0249C124" w:rsidR="00783288" w:rsidRDefault="00E31420">
            <w:pPr>
              <w:pStyle w:val="TableParagraph"/>
              <w:tabs>
                <w:tab w:val="left" w:pos="1321"/>
              </w:tabs>
              <w:kinsoku w:val="0"/>
              <w:overflowPunct w:val="0"/>
              <w:spacing w:before="116" w:line="187" w:lineRule="exact"/>
              <w:ind w:left="50"/>
              <w:rPr>
                <w:color w:val="050606"/>
                <w:sz w:val="18"/>
                <w:szCs w:val="18"/>
              </w:rPr>
            </w:pPr>
            <w:r>
              <w:rPr>
                <w:color w:val="050606"/>
                <w:sz w:val="18"/>
                <w:szCs w:val="18"/>
              </w:rPr>
              <w:t>PART</w:t>
            </w:r>
            <w:r>
              <w:rPr>
                <w:color w:val="050606"/>
                <w:spacing w:val="-3"/>
                <w:sz w:val="18"/>
                <w:szCs w:val="18"/>
              </w:rPr>
              <w:t xml:space="preserve"> </w:t>
            </w:r>
            <w:r>
              <w:rPr>
                <w:color w:val="050606"/>
                <w:sz w:val="18"/>
                <w:szCs w:val="18"/>
              </w:rPr>
              <w:t>VIII</w:t>
            </w:r>
            <w:r>
              <w:rPr>
                <w:color w:val="050606"/>
                <w:sz w:val="18"/>
                <w:szCs w:val="18"/>
              </w:rPr>
              <w:tab/>
              <w:t>DEFINITIONS</w:t>
            </w:r>
          </w:p>
        </w:tc>
        <w:tc>
          <w:tcPr>
            <w:tcW w:w="1144" w:type="dxa"/>
            <w:tcBorders>
              <w:top w:val="none" w:sz="6" w:space="0" w:color="auto"/>
              <w:left w:val="none" w:sz="6" w:space="0" w:color="auto"/>
              <w:bottom w:val="none" w:sz="6" w:space="0" w:color="auto"/>
              <w:right w:val="none" w:sz="6" w:space="0" w:color="auto"/>
            </w:tcBorders>
          </w:tcPr>
          <w:p w14:paraId="5488F11A" w14:textId="4CD5F842" w:rsidR="00783288" w:rsidRDefault="00307BB5">
            <w:pPr>
              <w:pStyle w:val="TableParagraph"/>
              <w:kinsoku w:val="0"/>
              <w:overflowPunct w:val="0"/>
              <w:spacing w:before="116" w:line="187" w:lineRule="exact"/>
              <w:ind w:right="49"/>
              <w:jc w:val="right"/>
              <w:rPr>
                <w:color w:val="050606"/>
                <w:sz w:val="18"/>
                <w:szCs w:val="18"/>
              </w:rPr>
            </w:pPr>
            <w:r>
              <w:rPr>
                <w:color w:val="050606"/>
                <w:sz w:val="18"/>
                <w:szCs w:val="18"/>
              </w:rPr>
              <w:t>80</w:t>
            </w:r>
            <w:r w:rsidR="00E31420">
              <w:rPr>
                <w:color w:val="050606"/>
                <w:sz w:val="18"/>
                <w:szCs w:val="18"/>
              </w:rPr>
              <w:t xml:space="preserve"> </w:t>
            </w:r>
            <w:r w:rsidR="0056138B">
              <w:rPr>
                <w:color w:val="050606"/>
                <w:sz w:val="18"/>
                <w:szCs w:val="18"/>
              </w:rPr>
              <w:t>–</w:t>
            </w:r>
            <w:r w:rsidR="00E31420">
              <w:rPr>
                <w:color w:val="050606"/>
                <w:sz w:val="18"/>
                <w:szCs w:val="18"/>
              </w:rPr>
              <w:t xml:space="preserve"> </w:t>
            </w:r>
            <w:r w:rsidR="00751587">
              <w:rPr>
                <w:color w:val="050606"/>
                <w:sz w:val="18"/>
                <w:szCs w:val="18"/>
              </w:rPr>
              <w:t>8</w:t>
            </w:r>
            <w:r>
              <w:rPr>
                <w:color w:val="050606"/>
                <w:sz w:val="18"/>
                <w:szCs w:val="18"/>
              </w:rPr>
              <w:t>6</w:t>
            </w:r>
          </w:p>
          <w:p w14:paraId="0A13B6FC" w14:textId="2B1B61F0" w:rsidR="0056138B" w:rsidRDefault="0056138B">
            <w:pPr>
              <w:pStyle w:val="TableParagraph"/>
              <w:kinsoku w:val="0"/>
              <w:overflowPunct w:val="0"/>
              <w:spacing w:before="116" w:line="187" w:lineRule="exact"/>
              <w:ind w:right="49"/>
              <w:jc w:val="right"/>
              <w:rPr>
                <w:color w:val="050606"/>
                <w:sz w:val="18"/>
                <w:szCs w:val="18"/>
              </w:rPr>
            </w:pPr>
          </w:p>
        </w:tc>
      </w:tr>
      <w:tr w:rsidR="0056138B" w14:paraId="162A3101" w14:textId="77777777">
        <w:trPr>
          <w:trHeight w:val="323"/>
        </w:trPr>
        <w:tc>
          <w:tcPr>
            <w:tcW w:w="7812" w:type="dxa"/>
            <w:tcBorders>
              <w:top w:val="none" w:sz="6" w:space="0" w:color="auto"/>
              <w:left w:val="none" w:sz="6" w:space="0" w:color="auto"/>
              <w:bottom w:val="none" w:sz="6" w:space="0" w:color="auto"/>
              <w:right w:val="none" w:sz="6" w:space="0" w:color="auto"/>
            </w:tcBorders>
          </w:tcPr>
          <w:p w14:paraId="134061A7" w14:textId="30E16094" w:rsidR="0056138B" w:rsidRDefault="0056138B">
            <w:pPr>
              <w:pStyle w:val="TableParagraph"/>
              <w:tabs>
                <w:tab w:val="left" w:pos="1321"/>
              </w:tabs>
              <w:kinsoku w:val="0"/>
              <w:overflowPunct w:val="0"/>
              <w:spacing w:before="116" w:line="187" w:lineRule="exact"/>
              <w:ind w:left="50"/>
              <w:rPr>
                <w:color w:val="050606"/>
                <w:sz w:val="18"/>
                <w:szCs w:val="18"/>
              </w:rPr>
            </w:pPr>
            <w:r>
              <w:rPr>
                <w:color w:val="050606"/>
                <w:sz w:val="18"/>
                <w:szCs w:val="18"/>
              </w:rPr>
              <w:t xml:space="preserve">ANNEX I           COMPETENT PERSON’S REPORT                                                                             </w:t>
            </w:r>
          </w:p>
        </w:tc>
        <w:tc>
          <w:tcPr>
            <w:tcW w:w="1144" w:type="dxa"/>
            <w:tcBorders>
              <w:top w:val="none" w:sz="6" w:space="0" w:color="auto"/>
              <w:left w:val="none" w:sz="6" w:space="0" w:color="auto"/>
              <w:bottom w:val="none" w:sz="6" w:space="0" w:color="auto"/>
              <w:right w:val="none" w:sz="6" w:space="0" w:color="auto"/>
            </w:tcBorders>
          </w:tcPr>
          <w:p w14:paraId="27EEFB44" w14:textId="5181A6A2" w:rsidR="0056138B" w:rsidRDefault="00307BB5">
            <w:pPr>
              <w:pStyle w:val="TableParagraph"/>
              <w:kinsoku w:val="0"/>
              <w:overflowPunct w:val="0"/>
              <w:spacing w:before="116" w:line="187" w:lineRule="exact"/>
              <w:ind w:right="49"/>
              <w:jc w:val="right"/>
              <w:rPr>
                <w:color w:val="050606"/>
                <w:sz w:val="18"/>
                <w:szCs w:val="18"/>
              </w:rPr>
            </w:pPr>
            <w:r>
              <w:rPr>
                <w:sz w:val="18"/>
                <w:szCs w:val="18"/>
              </w:rPr>
              <w:t>87</w:t>
            </w:r>
          </w:p>
        </w:tc>
      </w:tr>
    </w:tbl>
    <w:p w14:paraId="3A3580BE" w14:textId="77777777" w:rsidR="00783288" w:rsidRDefault="00783288">
      <w:pPr>
        <w:rPr>
          <w:rFonts w:ascii="Times New Roman" w:hAnsi="Times New Roman" w:cs="Times New Roman"/>
          <w:sz w:val="4"/>
          <w:szCs w:val="4"/>
        </w:rPr>
        <w:sectPr w:rsidR="00783288">
          <w:footerReference w:type="default" r:id="rId12"/>
          <w:pgSz w:w="11900" w:h="16840"/>
          <w:pgMar w:top="1600" w:right="240" w:bottom="1160" w:left="1140" w:header="0" w:footer="891" w:gutter="0"/>
          <w:cols w:space="720"/>
          <w:noEndnote/>
        </w:sectPr>
      </w:pPr>
    </w:p>
    <w:p w14:paraId="1C47C042" w14:textId="77777777" w:rsidR="0031766D" w:rsidRDefault="0031766D" w:rsidP="0031766D">
      <w:pPr>
        <w:pStyle w:val="BodyText"/>
        <w:kinsoku w:val="0"/>
        <w:overflowPunct w:val="0"/>
        <w:spacing w:before="74"/>
        <w:ind w:left="376" w:right="1273"/>
        <w:jc w:val="center"/>
        <w:rPr>
          <w:b/>
          <w:bCs/>
          <w:color w:val="050606"/>
        </w:rPr>
      </w:pPr>
      <w:r>
        <w:rPr>
          <w:b/>
          <w:bCs/>
          <w:color w:val="050606"/>
        </w:rPr>
        <w:lastRenderedPageBreak/>
        <w:t>SUMMARY</w:t>
      </w:r>
    </w:p>
    <w:p w14:paraId="07A763F8" w14:textId="77777777" w:rsidR="0031766D" w:rsidRDefault="0031766D" w:rsidP="0031766D">
      <w:pPr>
        <w:pStyle w:val="BodyText"/>
        <w:kinsoku w:val="0"/>
        <w:overflowPunct w:val="0"/>
        <w:spacing w:before="6"/>
        <w:rPr>
          <w:b/>
          <w:bCs/>
          <w:sz w:val="16"/>
          <w:szCs w:val="16"/>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1395"/>
        <w:gridCol w:w="7956"/>
      </w:tblGrid>
      <w:tr w:rsidR="0031766D" w14:paraId="5743EEB1" w14:textId="77777777" w:rsidTr="0047572B">
        <w:trPr>
          <w:trHeight w:val="412"/>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3BB2D937" w14:textId="77777777" w:rsidR="0031766D" w:rsidRDefault="0031766D" w:rsidP="0047572B">
            <w:pPr>
              <w:pStyle w:val="TableParagraph"/>
              <w:kinsoku w:val="0"/>
              <w:overflowPunct w:val="0"/>
              <w:spacing w:line="201" w:lineRule="exact"/>
              <w:ind w:left="1977" w:right="1966"/>
              <w:jc w:val="center"/>
              <w:rPr>
                <w:b/>
                <w:bCs/>
                <w:color w:val="050606"/>
                <w:sz w:val="18"/>
                <w:szCs w:val="18"/>
              </w:rPr>
            </w:pPr>
            <w:r>
              <w:rPr>
                <w:b/>
                <w:bCs/>
                <w:color w:val="050606"/>
                <w:sz w:val="18"/>
                <w:szCs w:val="18"/>
              </w:rPr>
              <w:t>Introduction and warnings</w:t>
            </w:r>
          </w:p>
        </w:tc>
      </w:tr>
      <w:tr w:rsidR="0031766D" w14:paraId="770EC0C5" w14:textId="77777777" w:rsidTr="0047572B">
        <w:trPr>
          <w:trHeight w:val="1775"/>
        </w:trPr>
        <w:tc>
          <w:tcPr>
            <w:tcW w:w="1395" w:type="dxa"/>
            <w:tcBorders>
              <w:top w:val="single" w:sz="4" w:space="0" w:color="231F20"/>
              <w:left w:val="single" w:sz="4" w:space="0" w:color="231F20"/>
              <w:bottom w:val="single" w:sz="4" w:space="0" w:color="231F20"/>
              <w:right w:val="single" w:sz="4" w:space="0" w:color="231F20"/>
            </w:tcBorders>
          </w:tcPr>
          <w:p w14:paraId="6428E2BA" w14:textId="77777777" w:rsidR="0031766D" w:rsidRDefault="0031766D" w:rsidP="0047572B">
            <w:pPr>
              <w:pStyle w:val="TableParagraph"/>
              <w:kinsoku w:val="0"/>
              <w:overflowPunct w:val="0"/>
              <w:spacing w:before="1"/>
              <w:ind w:left="107"/>
              <w:rPr>
                <w:color w:val="050606"/>
                <w:sz w:val="18"/>
                <w:szCs w:val="18"/>
              </w:rPr>
            </w:pPr>
            <w:r>
              <w:rPr>
                <w:color w:val="050606"/>
                <w:sz w:val="18"/>
                <w:szCs w:val="18"/>
              </w:rPr>
              <w:t>Introduction</w:t>
            </w:r>
          </w:p>
        </w:tc>
        <w:tc>
          <w:tcPr>
            <w:tcW w:w="7956" w:type="dxa"/>
            <w:tcBorders>
              <w:top w:val="single" w:sz="4" w:space="0" w:color="231F20"/>
              <w:left w:val="single" w:sz="4" w:space="0" w:color="231F20"/>
              <w:bottom w:val="single" w:sz="4" w:space="0" w:color="231F20"/>
              <w:right w:val="single" w:sz="4" w:space="0" w:color="231F20"/>
            </w:tcBorders>
          </w:tcPr>
          <w:p w14:paraId="0F8EDF07" w14:textId="0E8621BF" w:rsidR="0031766D" w:rsidRDefault="0031766D" w:rsidP="0047572B">
            <w:pPr>
              <w:pStyle w:val="TableParagraph"/>
              <w:kinsoku w:val="0"/>
              <w:overflowPunct w:val="0"/>
              <w:spacing w:before="1"/>
              <w:ind w:left="108" w:right="92"/>
              <w:jc w:val="both"/>
              <w:rPr>
                <w:color w:val="231F20"/>
                <w:sz w:val="18"/>
                <w:szCs w:val="18"/>
              </w:rPr>
            </w:pPr>
            <w:r>
              <w:rPr>
                <w:color w:val="231F20"/>
                <w:sz w:val="18"/>
                <w:szCs w:val="18"/>
              </w:rPr>
              <w:t>The legal and commercial name of the issuer is Chesterfield Resources Plc, a public limited company</w:t>
            </w:r>
            <w:r>
              <w:rPr>
                <w:color w:val="231F20"/>
                <w:spacing w:val="-8"/>
                <w:sz w:val="18"/>
                <w:szCs w:val="18"/>
              </w:rPr>
              <w:t xml:space="preserve"> </w:t>
            </w:r>
            <w:r>
              <w:rPr>
                <w:color w:val="231F20"/>
                <w:sz w:val="18"/>
                <w:szCs w:val="18"/>
              </w:rPr>
              <w:t>with</w:t>
            </w:r>
            <w:r>
              <w:rPr>
                <w:color w:val="231F20"/>
                <w:spacing w:val="-6"/>
                <w:sz w:val="18"/>
                <w:szCs w:val="18"/>
              </w:rPr>
              <w:t xml:space="preserve"> </w:t>
            </w:r>
            <w:r>
              <w:rPr>
                <w:color w:val="231F20"/>
                <w:sz w:val="18"/>
                <w:szCs w:val="18"/>
              </w:rPr>
              <w:t>its</w:t>
            </w:r>
            <w:r>
              <w:rPr>
                <w:color w:val="231F20"/>
                <w:spacing w:val="-5"/>
                <w:sz w:val="18"/>
                <w:szCs w:val="18"/>
              </w:rPr>
              <w:t xml:space="preserve"> </w:t>
            </w:r>
            <w:r>
              <w:rPr>
                <w:color w:val="231F20"/>
                <w:sz w:val="18"/>
                <w:szCs w:val="18"/>
              </w:rPr>
              <w:t>registered</w:t>
            </w:r>
            <w:r>
              <w:rPr>
                <w:color w:val="231F20"/>
                <w:spacing w:val="-6"/>
                <w:sz w:val="18"/>
                <w:szCs w:val="18"/>
              </w:rPr>
              <w:t xml:space="preserve"> </w:t>
            </w:r>
            <w:r>
              <w:rPr>
                <w:color w:val="231F20"/>
                <w:sz w:val="18"/>
                <w:szCs w:val="18"/>
              </w:rPr>
              <w:t>office</w:t>
            </w:r>
            <w:r>
              <w:rPr>
                <w:color w:val="231F20"/>
                <w:spacing w:val="-6"/>
                <w:sz w:val="18"/>
                <w:szCs w:val="18"/>
              </w:rPr>
              <w:t xml:space="preserve"> </w:t>
            </w:r>
            <w:r>
              <w:rPr>
                <w:color w:val="231F20"/>
                <w:sz w:val="18"/>
                <w:szCs w:val="18"/>
              </w:rPr>
              <w:t>address</w:t>
            </w:r>
            <w:r>
              <w:rPr>
                <w:color w:val="231F20"/>
                <w:spacing w:val="-5"/>
                <w:sz w:val="18"/>
                <w:szCs w:val="18"/>
              </w:rPr>
              <w:t xml:space="preserve"> </w:t>
            </w:r>
            <w:r>
              <w:rPr>
                <w:color w:val="231F20"/>
                <w:sz w:val="18"/>
                <w:szCs w:val="18"/>
              </w:rPr>
              <w:t>at</w:t>
            </w:r>
            <w:r>
              <w:rPr>
                <w:color w:val="231F20"/>
                <w:spacing w:val="-6"/>
                <w:sz w:val="18"/>
                <w:szCs w:val="18"/>
              </w:rPr>
              <w:t xml:space="preserve"> </w:t>
            </w:r>
            <w:r>
              <w:rPr>
                <w:color w:val="231F20"/>
                <w:sz w:val="18"/>
                <w:szCs w:val="18"/>
              </w:rPr>
              <w:t>7-9</w:t>
            </w:r>
            <w:r>
              <w:rPr>
                <w:color w:val="231F20"/>
                <w:spacing w:val="-6"/>
                <w:sz w:val="18"/>
                <w:szCs w:val="18"/>
              </w:rPr>
              <w:t xml:space="preserve"> </w:t>
            </w:r>
            <w:r>
              <w:rPr>
                <w:color w:val="231F20"/>
                <w:sz w:val="18"/>
                <w:szCs w:val="18"/>
              </w:rPr>
              <w:t>Swallow</w:t>
            </w:r>
            <w:r>
              <w:rPr>
                <w:color w:val="231F20"/>
                <w:spacing w:val="-9"/>
                <w:sz w:val="18"/>
                <w:szCs w:val="18"/>
              </w:rPr>
              <w:t xml:space="preserve"> </w:t>
            </w:r>
            <w:r>
              <w:rPr>
                <w:color w:val="231F20"/>
                <w:sz w:val="18"/>
                <w:szCs w:val="18"/>
              </w:rPr>
              <w:t>Street,</w:t>
            </w:r>
            <w:r>
              <w:rPr>
                <w:color w:val="231F20"/>
                <w:spacing w:val="-6"/>
                <w:sz w:val="18"/>
                <w:szCs w:val="18"/>
              </w:rPr>
              <w:t xml:space="preserve"> </w:t>
            </w:r>
            <w:r>
              <w:rPr>
                <w:color w:val="231F20"/>
                <w:sz w:val="18"/>
                <w:szCs w:val="18"/>
              </w:rPr>
              <w:t>London,</w:t>
            </w:r>
            <w:r>
              <w:rPr>
                <w:color w:val="231F20"/>
                <w:spacing w:val="-6"/>
                <w:sz w:val="18"/>
                <w:szCs w:val="18"/>
              </w:rPr>
              <w:t xml:space="preserve"> </w:t>
            </w:r>
            <w:r>
              <w:rPr>
                <w:color w:val="231F20"/>
                <w:sz w:val="18"/>
                <w:szCs w:val="18"/>
              </w:rPr>
              <w:t>England,</w:t>
            </w:r>
            <w:r>
              <w:rPr>
                <w:color w:val="231F20"/>
                <w:spacing w:val="-10"/>
                <w:sz w:val="18"/>
                <w:szCs w:val="18"/>
              </w:rPr>
              <w:t xml:space="preserve"> </w:t>
            </w:r>
            <w:r>
              <w:rPr>
                <w:color w:val="231F20"/>
                <w:sz w:val="18"/>
                <w:szCs w:val="18"/>
              </w:rPr>
              <w:t>W1B</w:t>
            </w:r>
            <w:r>
              <w:rPr>
                <w:color w:val="231F20"/>
                <w:spacing w:val="-7"/>
                <w:sz w:val="18"/>
                <w:szCs w:val="18"/>
              </w:rPr>
              <w:t xml:space="preserve"> </w:t>
            </w:r>
            <w:r>
              <w:rPr>
                <w:color w:val="231F20"/>
                <w:sz w:val="18"/>
                <w:szCs w:val="18"/>
              </w:rPr>
              <w:t>4DE and telephone number +44(0)203 004 0693. In respect of the Company’s Ordinary Shares, the</w:t>
            </w:r>
            <w:r>
              <w:rPr>
                <w:color w:val="231F20"/>
                <w:spacing w:val="-12"/>
                <w:sz w:val="18"/>
                <w:szCs w:val="18"/>
              </w:rPr>
              <w:t xml:space="preserve"> </w:t>
            </w:r>
            <w:r>
              <w:rPr>
                <w:color w:val="231F20"/>
                <w:sz w:val="18"/>
                <w:szCs w:val="18"/>
              </w:rPr>
              <w:t>Company’s</w:t>
            </w:r>
            <w:r>
              <w:rPr>
                <w:color w:val="231F20"/>
                <w:spacing w:val="-10"/>
                <w:sz w:val="18"/>
                <w:szCs w:val="18"/>
              </w:rPr>
              <w:t xml:space="preserve"> </w:t>
            </w:r>
            <w:r>
              <w:rPr>
                <w:color w:val="231F20"/>
                <w:sz w:val="18"/>
                <w:szCs w:val="18"/>
              </w:rPr>
              <w:t>International</w:t>
            </w:r>
            <w:r>
              <w:rPr>
                <w:color w:val="231F20"/>
                <w:spacing w:val="-11"/>
                <w:sz w:val="18"/>
                <w:szCs w:val="18"/>
              </w:rPr>
              <w:t xml:space="preserve"> </w:t>
            </w:r>
            <w:r>
              <w:rPr>
                <w:color w:val="231F20"/>
                <w:sz w:val="18"/>
                <w:szCs w:val="18"/>
              </w:rPr>
              <w:t>Securities</w:t>
            </w:r>
            <w:r>
              <w:rPr>
                <w:color w:val="231F20"/>
                <w:spacing w:val="-10"/>
                <w:sz w:val="18"/>
                <w:szCs w:val="18"/>
              </w:rPr>
              <w:t xml:space="preserve"> </w:t>
            </w:r>
            <w:r>
              <w:rPr>
                <w:color w:val="231F20"/>
                <w:sz w:val="18"/>
                <w:szCs w:val="18"/>
              </w:rPr>
              <w:t>Identification</w:t>
            </w:r>
            <w:r>
              <w:rPr>
                <w:color w:val="231F20"/>
                <w:spacing w:val="-12"/>
                <w:sz w:val="18"/>
                <w:szCs w:val="18"/>
              </w:rPr>
              <w:t xml:space="preserve"> </w:t>
            </w:r>
            <w:r>
              <w:rPr>
                <w:color w:val="231F20"/>
                <w:sz w:val="18"/>
                <w:szCs w:val="18"/>
              </w:rPr>
              <w:t>Number</w:t>
            </w:r>
            <w:r>
              <w:rPr>
                <w:color w:val="231F20"/>
                <w:spacing w:val="-13"/>
                <w:sz w:val="18"/>
                <w:szCs w:val="18"/>
              </w:rPr>
              <w:t xml:space="preserve"> </w:t>
            </w:r>
            <w:r>
              <w:rPr>
                <w:color w:val="231F20"/>
                <w:sz w:val="18"/>
                <w:szCs w:val="18"/>
              </w:rPr>
              <w:t>(ISIN)</w:t>
            </w:r>
            <w:r>
              <w:rPr>
                <w:color w:val="231F20"/>
                <w:spacing w:val="-12"/>
                <w:sz w:val="18"/>
                <w:szCs w:val="18"/>
              </w:rPr>
              <w:t xml:space="preserve"> </w:t>
            </w:r>
            <w:r>
              <w:rPr>
                <w:color w:val="231F20"/>
                <w:sz w:val="18"/>
                <w:szCs w:val="18"/>
              </w:rPr>
              <w:t>is</w:t>
            </w:r>
            <w:r>
              <w:rPr>
                <w:color w:val="231F20"/>
                <w:spacing w:val="-12"/>
                <w:sz w:val="18"/>
                <w:szCs w:val="18"/>
              </w:rPr>
              <w:t xml:space="preserve"> </w:t>
            </w:r>
            <w:r>
              <w:rPr>
                <w:color w:val="050606"/>
                <w:sz w:val="18"/>
                <w:szCs w:val="18"/>
              </w:rPr>
              <w:t>GB00BF2F1X78</w:t>
            </w:r>
            <w:r>
              <w:rPr>
                <w:color w:val="050606"/>
                <w:spacing w:val="-10"/>
                <w:sz w:val="18"/>
                <w:szCs w:val="18"/>
              </w:rPr>
              <w:t xml:space="preserve"> </w:t>
            </w:r>
            <w:r>
              <w:rPr>
                <w:color w:val="231F20"/>
                <w:sz w:val="18"/>
                <w:szCs w:val="18"/>
              </w:rPr>
              <w:t>and</w:t>
            </w:r>
            <w:r>
              <w:rPr>
                <w:color w:val="231F20"/>
                <w:spacing w:val="-11"/>
                <w:sz w:val="18"/>
                <w:szCs w:val="18"/>
              </w:rPr>
              <w:t xml:space="preserve"> </w:t>
            </w:r>
            <w:r>
              <w:rPr>
                <w:color w:val="231F20"/>
                <w:sz w:val="18"/>
                <w:szCs w:val="18"/>
              </w:rPr>
              <w:t xml:space="preserve">its legal entity identifier (LEI) is </w:t>
            </w:r>
            <w:r>
              <w:rPr>
                <w:color w:val="050606"/>
                <w:sz w:val="18"/>
                <w:szCs w:val="18"/>
              </w:rPr>
              <w:t>213800EF8I2TT767IU35</w:t>
            </w:r>
            <w:r>
              <w:rPr>
                <w:color w:val="231F20"/>
                <w:sz w:val="18"/>
                <w:szCs w:val="18"/>
              </w:rPr>
              <w:t xml:space="preserve">. This Document was approved on </w:t>
            </w:r>
            <w:r w:rsidR="00372FBF">
              <w:rPr>
                <w:sz w:val="18"/>
                <w:szCs w:val="18"/>
              </w:rPr>
              <w:t>7</w:t>
            </w:r>
            <w:r>
              <w:rPr>
                <w:color w:val="231F20"/>
                <w:sz w:val="18"/>
                <w:szCs w:val="18"/>
              </w:rPr>
              <w:t xml:space="preserve"> </w:t>
            </w:r>
            <w:r w:rsidR="00F21AAA">
              <w:rPr>
                <w:color w:val="231F20"/>
                <w:sz w:val="18"/>
                <w:szCs w:val="18"/>
              </w:rPr>
              <w:t xml:space="preserve">July </w:t>
            </w:r>
            <w:r>
              <w:rPr>
                <w:color w:val="231F20"/>
                <w:sz w:val="18"/>
                <w:szCs w:val="18"/>
              </w:rPr>
              <w:t>2021 by the Financial Conduct Authority (whose address is at 12 Endeavour Square, London, E20 1JN, United Kingdom and telephone number is 020 7066 1000), as competent authority in the United Kingdom under Regulation (EU)</w:t>
            </w:r>
            <w:r>
              <w:rPr>
                <w:color w:val="231F20"/>
                <w:spacing w:val="-5"/>
                <w:sz w:val="18"/>
                <w:szCs w:val="18"/>
              </w:rPr>
              <w:t xml:space="preserve"> </w:t>
            </w:r>
            <w:r>
              <w:rPr>
                <w:color w:val="231F20"/>
                <w:sz w:val="18"/>
                <w:szCs w:val="18"/>
              </w:rPr>
              <w:t>2017/1129.</w:t>
            </w:r>
          </w:p>
        </w:tc>
      </w:tr>
      <w:tr w:rsidR="0031766D" w14:paraId="48008C9D" w14:textId="77777777" w:rsidTr="0047572B">
        <w:trPr>
          <w:trHeight w:val="1759"/>
        </w:trPr>
        <w:tc>
          <w:tcPr>
            <w:tcW w:w="1395" w:type="dxa"/>
            <w:tcBorders>
              <w:top w:val="single" w:sz="4" w:space="0" w:color="231F20"/>
              <w:left w:val="single" w:sz="4" w:space="0" w:color="231F20"/>
              <w:bottom w:val="single" w:sz="4" w:space="0" w:color="231F20"/>
              <w:right w:val="single" w:sz="4" w:space="0" w:color="231F20"/>
            </w:tcBorders>
          </w:tcPr>
          <w:p w14:paraId="0C062C5F" w14:textId="77777777" w:rsidR="0031766D" w:rsidRDefault="0031766D" w:rsidP="0047572B">
            <w:pPr>
              <w:pStyle w:val="TableParagraph"/>
              <w:kinsoku w:val="0"/>
              <w:overflowPunct w:val="0"/>
              <w:spacing w:before="1"/>
              <w:ind w:left="107"/>
              <w:rPr>
                <w:color w:val="050606"/>
                <w:sz w:val="18"/>
                <w:szCs w:val="18"/>
              </w:rPr>
            </w:pPr>
            <w:r>
              <w:rPr>
                <w:color w:val="050606"/>
                <w:sz w:val="18"/>
                <w:szCs w:val="18"/>
              </w:rPr>
              <w:t>Warnings</w:t>
            </w:r>
          </w:p>
        </w:tc>
        <w:tc>
          <w:tcPr>
            <w:tcW w:w="7956" w:type="dxa"/>
            <w:tcBorders>
              <w:top w:val="single" w:sz="4" w:space="0" w:color="231F20"/>
              <w:left w:val="single" w:sz="4" w:space="0" w:color="231F20"/>
              <w:bottom w:val="single" w:sz="4" w:space="0" w:color="231F20"/>
              <w:right w:val="single" w:sz="4" w:space="0" w:color="231F20"/>
            </w:tcBorders>
          </w:tcPr>
          <w:p w14:paraId="63E0F414" w14:textId="77777777" w:rsidR="0031766D" w:rsidRDefault="0031766D" w:rsidP="0047572B">
            <w:pPr>
              <w:pStyle w:val="TableParagraph"/>
              <w:kinsoku w:val="0"/>
              <w:overflowPunct w:val="0"/>
              <w:spacing w:before="1"/>
              <w:ind w:left="108" w:right="93"/>
              <w:jc w:val="both"/>
              <w:rPr>
                <w:color w:val="231F20"/>
                <w:sz w:val="18"/>
                <w:szCs w:val="18"/>
              </w:rPr>
            </w:pPr>
            <w:r>
              <w:rPr>
                <w:color w:val="231F20"/>
                <w:sz w:val="18"/>
                <w:szCs w:val="18"/>
              </w:rPr>
              <w:t>This summary should be read as an introduction to this Document. Any decision to invest in the</w:t>
            </w:r>
            <w:r>
              <w:rPr>
                <w:color w:val="231F20"/>
                <w:spacing w:val="-4"/>
                <w:sz w:val="18"/>
                <w:szCs w:val="18"/>
              </w:rPr>
              <w:t xml:space="preserve"> </w:t>
            </w:r>
            <w:r>
              <w:rPr>
                <w:color w:val="231F20"/>
                <w:sz w:val="18"/>
                <w:szCs w:val="18"/>
              </w:rPr>
              <w:t>Ordinary</w:t>
            </w:r>
            <w:r>
              <w:rPr>
                <w:color w:val="231F20"/>
                <w:spacing w:val="-6"/>
                <w:sz w:val="18"/>
                <w:szCs w:val="18"/>
              </w:rPr>
              <w:t xml:space="preserve"> </w:t>
            </w:r>
            <w:r>
              <w:rPr>
                <w:color w:val="231F20"/>
                <w:sz w:val="18"/>
                <w:szCs w:val="18"/>
              </w:rPr>
              <w:t>Shares</w:t>
            </w:r>
            <w:r>
              <w:rPr>
                <w:color w:val="231F20"/>
                <w:spacing w:val="-5"/>
                <w:sz w:val="18"/>
                <w:szCs w:val="18"/>
              </w:rPr>
              <w:t xml:space="preserve"> </w:t>
            </w:r>
            <w:r>
              <w:rPr>
                <w:color w:val="231F20"/>
                <w:sz w:val="18"/>
                <w:szCs w:val="18"/>
              </w:rPr>
              <w:t>should</w:t>
            </w:r>
            <w:r>
              <w:rPr>
                <w:color w:val="231F20"/>
                <w:spacing w:val="-6"/>
                <w:sz w:val="18"/>
                <w:szCs w:val="18"/>
              </w:rPr>
              <w:t xml:space="preserve"> </w:t>
            </w:r>
            <w:r>
              <w:rPr>
                <w:color w:val="231F20"/>
                <w:sz w:val="18"/>
                <w:szCs w:val="18"/>
              </w:rPr>
              <w:t>be</w:t>
            </w:r>
            <w:r>
              <w:rPr>
                <w:color w:val="231F20"/>
                <w:spacing w:val="-5"/>
                <w:sz w:val="18"/>
                <w:szCs w:val="18"/>
              </w:rPr>
              <w:t xml:space="preserve"> </w:t>
            </w:r>
            <w:r>
              <w:rPr>
                <w:color w:val="231F20"/>
                <w:sz w:val="18"/>
                <w:szCs w:val="18"/>
              </w:rPr>
              <w:t>based</w:t>
            </w:r>
            <w:r>
              <w:rPr>
                <w:color w:val="231F20"/>
                <w:spacing w:val="-4"/>
                <w:sz w:val="18"/>
                <w:szCs w:val="18"/>
              </w:rPr>
              <w:t xml:space="preserve"> </w:t>
            </w:r>
            <w:r>
              <w:rPr>
                <w:color w:val="231F20"/>
                <w:sz w:val="18"/>
                <w:szCs w:val="18"/>
              </w:rPr>
              <w:t>on</w:t>
            </w:r>
            <w:r>
              <w:rPr>
                <w:color w:val="231F20"/>
                <w:spacing w:val="-4"/>
                <w:sz w:val="18"/>
                <w:szCs w:val="18"/>
              </w:rPr>
              <w:t xml:space="preserve"> </w:t>
            </w:r>
            <w:r>
              <w:rPr>
                <w:color w:val="231F20"/>
                <w:sz w:val="18"/>
                <w:szCs w:val="18"/>
              </w:rPr>
              <w:t>consideration</w:t>
            </w:r>
            <w:r>
              <w:rPr>
                <w:color w:val="231F20"/>
                <w:spacing w:val="-3"/>
                <w:sz w:val="18"/>
                <w:szCs w:val="18"/>
              </w:rPr>
              <w:t xml:space="preserve"> </w:t>
            </w:r>
            <w:r>
              <w:rPr>
                <w:color w:val="231F20"/>
                <w:sz w:val="18"/>
                <w:szCs w:val="18"/>
              </w:rPr>
              <w:t>of</w:t>
            </w:r>
            <w:r>
              <w:rPr>
                <w:color w:val="231F20"/>
                <w:spacing w:val="-6"/>
                <w:sz w:val="18"/>
                <w:szCs w:val="18"/>
              </w:rPr>
              <w:t xml:space="preserve"> </w:t>
            </w:r>
            <w:r>
              <w:rPr>
                <w:color w:val="231F20"/>
                <w:sz w:val="18"/>
                <w:szCs w:val="18"/>
              </w:rPr>
              <w:t>this</w:t>
            </w:r>
            <w:r>
              <w:rPr>
                <w:color w:val="231F20"/>
                <w:spacing w:val="-5"/>
                <w:sz w:val="18"/>
                <w:szCs w:val="18"/>
              </w:rPr>
              <w:t xml:space="preserve"> </w:t>
            </w:r>
            <w:r>
              <w:rPr>
                <w:color w:val="231F20"/>
                <w:sz w:val="18"/>
                <w:szCs w:val="18"/>
              </w:rPr>
              <w:t>Document</w:t>
            </w:r>
            <w:r>
              <w:rPr>
                <w:color w:val="231F20"/>
                <w:spacing w:val="-6"/>
                <w:sz w:val="18"/>
                <w:szCs w:val="18"/>
              </w:rPr>
              <w:t xml:space="preserve"> </w:t>
            </w:r>
            <w:r>
              <w:rPr>
                <w:color w:val="231F20"/>
                <w:sz w:val="18"/>
                <w:szCs w:val="18"/>
              </w:rPr>
              <w:t>as</w:t>
            </w:r>
            <w:r>
              <w:rPr>
                <w:color w:val="231F20"/>
                <w:spacing w:val="-5"/>
                <w:sz w:val="18"/>
                <w:szCs w:val="18"/>
              </w:rPr>
              <w:t xml:space="preserve"> </w:t>
            </w:r>
            <w:r>
              <w:rPr>
                <w:color w:val="231F20"/>
                <w:sz w:val="18"/>
                <w:szCs w:val="18"/>
              </w:rPr>
              <w:t>a</w:t>
            </w:r>
            <w:r>
              <w:rPr>
                <w:color w:val="231F20"/>
                <w:spacing w:val="-4"/>
                <w:sz w:val="18"/>
                <w:szCs w:val="18"/>
              </w:rPr>
              <w:t xml:space="preserve"> </w:t>
            </w:r>
            <w:r>
              <w:rPr>
                <w:color w:val="231F20"/>
                <w:sz w:val="18"/>
                <w:szCs w:val="18"/>
              </w:rPr>
              <w:t>whole.</w:t>
            </w:r>
            <w:r>
              <w:rPr>
                <w:color w:val="231F20"/>
                <w:spacing w:val="-10"/>
                <w:sz w:val="18"/>
                <w:szCs w:val="18"/>
              </w:rPr>
              <w:t xml:space="preserve"> </w:t>
            </w:r>
            <w:r>
              <w:rPr>
                <w:color w:val="231F20"/>
                <w:sz w:val="18"/>
                <w:szCs w:val="18"/>
              </w:rPr>
              <w:t>Civil liability attaches only to those persons who have tabled this summary, including any translation thereof, but only if this summary is misleading, inaccurate or inconsistent when read together with the other parts of this Document, or if this summary does not provide, when read together with the other parts of this Document, key information in</w:t>
            </w:r>
            <w:r>
              <w:rPr>
                <w:color w:val="231F20"/>
                <w:spacing w:val="-2"/>
                <w:sz w:val="18"/>
                <w:szCs w:val="18"/>
              </w:rPr>
              <w:t xml:space="preserve"> </w:t>
            </w:r>
            <w:r>
              <w:rPr>
                <w:color w:val="231F20"/>
                <w:sz w:val="18"/>
                <w:szCs w:val="18"/>
              </w:rPr>
              <w:t>order</w:t>
            </w:r>
            <w:r>
              <w:rPr>
                <w:color w:val="231F20"/>
                <w:spacing w:val="-2"/>
                <w:sz w:val="18"/>
                <w:szCs w:val="18"/>
              </w:rPr>
              <w:t xml:space="preserve"> </w:t>
            </w:r>
            <w:r>
              <w:rPr>
                <w:color w:val="231F20"/>
                <w:sz w:val="18"/>
                <w:szCs w:val="18"/>
              </w:rPr>
              <w:t>to</w:t>
            </w:r>
            <w:r>
              <w:rPr>
                <w:color w:val="231F20"/>
                <w:spacing w:val="-2"/>
                <w:sz w:val="18"/>
                <w:szCs w:val="18"/>
              </w:rPr>
              <w:t xml:space="preserve"> </w:t>
            </w:r>
            <w:r>
              <w:rPr>
                <w:color w:val="231F20"/>
                <w:sz w:val="18"/>
                <w:szCs w:val="18"/>
              </w:rPr>
              <w:t>aid</w:t>
            </w:r>
            <w:r>
              <w:rPr>
                <w:color w:val="231F20"/>
                <w:spacing w:val="-4"/>
                <w:sz w:val="18"/>
                <w:szCs w:val="18"/>
              </w:rPr>
              <w:t xml:space="preserve"> </w:t>
            </w:r>
            <w:r>
              <w:rPr>
                <w:color w:val="231F20"/>
                <w:sz w:val="18"/>
                <w:szCs w:val="18"/>
              </w:rPr>
              <w:t>investors</w:t>
            </w:r>
            <w:r>
              <w:rPr>
                <w:color w:val="231F20"/>
                <w:spacing w:val="-4"/>
                <w:sz w:val="18"/>
                <w:szCs w:val="18"/>
              </w:rPr>
              <w:t xml:space="preserve"> </w:t>
            </w:r>
            <w:r>
              <w:rPr>
                <w:color w:val="231F20"/>
                <w:sz w:val="18"/>
                <w:szCs w:val="18"/>
              </w:rPr>
              <w:t>when</w:t>
            </w:r>
            <w:r>
              <w:rPr>
                <w:color w:val="231F20"/>
                <w:spacing w:val="-4"/>
                <w:sz w:val="18"/>
                <w:szCs w:val="18"/>
              </w:rPr>
              <w:t xml:space="preserve"> </w:t>
            </w:r>
            <w:r>
              <w:rPr>
                <w:color w:val="231F20"/>
                <w:sz w:val="18"/>
                <w:szCs w:val="18"/>
              </w:rPr>
              <w:t>considering</w:t>
            </w:r>
            <w:r>
              <w:rPr>
                <w:color w:val="231F20"/>
                <w:spacing w:val="-4"/>
                <w:sz w:val="18"/>
                <w:szCs w:val="18"/>
              </w:rPr>
              <w:t xml:space="preserve"> </w:t>
            </w:r>
            <w:r>
              <w:rPr>
                <w:color w:val="231F20"/>
                <w:sz w:val="18"/>
                <w:szCs w:val="18"/>
              </w:rPr>
              <w:t>whether</w:t>
            </w:r>
            <w:r>
              <w:rPr>
                <w:color w:val="231F20"/>
                <w:spacing w:val="-5"/>
                <w:sz w:val="18"/>
                <w:szCs w:val="18"/>
              </w:rPr>
              <w:t xml:space="preserve"> </w:t>
            </w:r>
            <w:r>
              <w:rPr>
                <w:color w:val="231F20"/>
                <w:sz w:val="18"/>
                <w:szCs w:val="18"/>
              </w:rPr>
              <w:t>to</w:t>
            </w:r>
            <w:r>
              <w:rPr>
                <w:color w:val="231F20"/>
                <w:spacing w:val="-4"/>
                <w:sz w:val="18"/>
                <w:szCs w:val="18"/>
              </w:rPr>
              <w:t xml:space="preserve"> </w:t>
            </w:r>
            <w:r>
              <w:rPr>
                <w:color w:val="231F20"/>
                <w:sz w:val="18"/>
                <w:szCs w:val="18"/>
              </w:rPr>
              <w:t>invest</w:t>
            </w:r>
            <w:r>
              <w:rPr>
                <w:color w:val="231F20"/>
                <w:spacing w:val="-4"/>
                <w:sz w:val="18"/>
                <w:szCs w:val="18"/>
              </w:rPr>
              <w:t xml:space="preserve"> </w:t>
            </w:r>
            <w:r>
              <w:rPr>
                <w:color w:val="231F20"/>
                <w:sz w:val="18"/>
                <w:szCs w:val="18"/>
              </w:rPr>
              <w:t>in</w:t>
            </w:r>
            <w:r>
              <w:rPr>
                <w:color w:val="231F20"/>
                <w:spacing w:val="-1"/>
                <w:sz w:val="18"/>
                <w:szCs w:val="18"/>
              </w:rPr>
              <w:t xml:space="preserve"> </w:t>
            </w:r>
            <w:r>
              <w:rPr>
                <w:color w:val="231F20"/>
                <w:sz w:val="18"/>
                <w:szCs w:val="18"/>
              </w:rPr>
              <w:t>the</w:t>
            </w:r>
            <w:r>
              <w:rPr>
                <w:color w:val="231F20"/>
                <w:spacing w:val="-4"/>
                <w:sz w:val="18"/>
                <w:szCs w:val="18"/>
              </w:rPr>
              <w:t xml:space="preserve"> </w:t>
            </w:r>
            <w:r>
              <w:rPr>
                <w:color w:val="231F20"/>
                <w:sz w:val="18"/>
                <w:szCs w:val="18"/>
              </w:rPr>
              <w:t>Ordinary</w:t>
            </w:r>
            <w:r>
              <w:rPr>
                <w:color w:val="231F20"/>
                <w:spacing w:val="-4"/>
                <w:sz w:val="18"/>
                <w:szCs w:val="18"/>
              </w:rPr>
              <w:t xml:space="preserve"> </w:t>
            </w:r>
            <w:r>
              <w:rPr>
                <w:color w:val="231F20"/>
                <w:sz w:val="18"/>
                <w:szCs w:val="18"/>
              </w:rPr>
              <w:t>Shares.</w:t>
            </w:r>
            <w:r>
              <w:rPr>
                <w:color w:val="231F20"/>
                <w:spacing w:val="-4"/>
                <w:sz w:val="18"/>
                <w:szCs w:val="18"/>
              </w:rPr>
              <w:t xml:space="preserve"> </w:t>
            </w:r>
            <w:r>
              <w:rPr>
                <w:color w:val="231F20"/>
                <w:sz w:val="18"/>
                <w:szCs w:val="18"/>
              </w:rPr>
              <w:t>Investors could lose all or part of their invested capital by participating in the</w:t>
            </w:r>
            <w:r>
              <w:rPr>
                <w:color w:val="231F20"/>
                <w:spacing w:val="-21"/>
                <w:sz w:val="18"/>
                <w:szCs w:val="18"/>
              </w:rPr>
              <w:t xml:space="preserve"> </w:t>
            </w:r>
            <w:r>
              <w:rPr>
                <w:color w:val="231F20"/>
                <w:sz w:val="18"/>
                <w:szCs w:val="18"/>
              </w:rPr>
              <w:t>Placing.</w:t>
            </w:r>
          </w:p>
        </w:tc>
      </w:tr>
      <w:tr w:rsidR="0031766D" w14:paraId="43A85571" w14:textId="77777777" w:rsidTr="0047572B">
        <w:trPr>
          <w:trHeight w:val="414"/>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581F4BB5" w14:textId="77777777" w:rsidR="0031766D" w:rsidRDefault="0031766D" w:rsidP="0047572B">
            <w:pPr>
              <w:pStyle w:val="TableParagraph"/>
              <w:kinsoku w:val="0"/>
              <w:overflowPunct w:val="0"/>
              <w:spacing w:line="201" w:lineRule="exact"/>
              <w:ind w:left="1977" w:right="1967"/>
              <w:jc w:val="center"/>
              <w:rPr>
                <w:b/>
                <w:bCs/>
                <w:color w:val="050606"/>
                <w:sz w:val="18"/>
                <w:szCs w:val="18"/>
              </w:rPr>
            </w:pPr>
            <w:r>
              <w:rPr>
                <w:b/>
                <w:bCs/>
                <w:color w:val="050606"/>
                <w:sz w:val="18"/>
                <w:szCs w:val="18"/>
              </w:rPr>
              <w:t>Key Information on the Issuer</w:t>
            </w:r>
          </w:p>
        </w:tc>
      </w:tr>
      <w:tr w:rsidR="0031766D" w14:paraId="2FFE7420" w14:textId="77777777" w:rsidTr="0047572B">
        <w:trPr>
          <w:trHeight w:val="445"/>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D9DADB"/>
          </w:tcPr>
          <w:p w14:paraId="2BE29F1A" w14:textId="77777777" w:rsidR="0031766D" w:rsidRDefault="0031766D" w:rsidP="0047572B">
            <w:pPr>
              <w:pStyle w:val="TableParagraph"/>
              <w:kinsoku w:val="0"/>
              <w:overflowPunct w:val="0"/>
              <w:spacing w:line="206" w:lineRule="exact"/>
              <w:ind w:left="1977" w:right="1966"/>
              <w:jc w:val="center"/>
              <w:rPr>
                <w:color w:val="050606"/>
                <w:sz w:val="18"/>
                <w:szCs w:val="18"/>
              </w:rPr>
            </w:pPr>
            <w:r>
              <w:rPr>
                <w:color w:val="050606"/>
                <w:sz w:val="18"/>
                <w:szCs w:val="18"/>
              </w:rPr>
              <w:t>Who is the issuer of the securities?</w:t>
            </w:r>
          </w:p>
        </w:tc>
      </w:tr>
      <w:tr w:rsidR="0031766D" w14:paraId="7AC298B3" w14:textId="77777777" w:rsidTr="0047572B">
        <w:trPr>
          <w:trHeight w:val="713"/>
        </w:trPr>
        <w:tc>
          <w:tcPr>
            <w:tcW w:w="1395" w:type="dxa"/>
            <w:tcBorders>
              <w:top w:val="single" w:sz="4" w:space="0" w:color="231F20"/>
              <w:left w:val="single" w:sz="4" w:space="0" w:color="231F20"/>
              <w:bottom w:val="single" w:sz="4" w:space="0" w:color="231F20"/>
              <w:right w:val="single" w:sz="4" w:space="0" w:color="231F20"/>
            </w:tcBorders>
          </w:tcPr>
          <w:p w14:paraId="4FB9B4A2" w14:textId="77777777" w:rsidR="0031766D" w:rsidRDefault="0031766D" w:rsidP="0047572B">
            <w:pPr>
              <w:pStyle w:val="TableParagraph"/>
              <w:kinsoku w:val="0"/>
              <w:overflowPunct w:val="0"/>
              <w:spacing w:before="5" w:line="206" w:lineRule="exact"/>
              <w:ind w:left="107" w:right="336"/>
              <w:rPr>
                <w:color w:val="050606"/>
                <w:sz w:val="18"/>
                <w:szCs w:val="18"/>
              </w:rPr>
            </w:pPr>
            <w:r>
              <w:rPr>
                <w:color w:val="050606"/>
                <w:sz w:val="18"/>
                <w:szCs w:val="18"/>
              </w:rPr>
              <w:t>Legal and commercial name</w:t>
            </w:r>
          </w:p>
        </w:tc>
        <w:tc>
          <w:tcPr>
            <w:tcW w:w="7956" w:type="dxa"/>
            <w:tcBorders>
              <w:top w:val="single" w:sz="4" w:space="0" w:color="231F20"/>
              <w:left w:val="single" w:sz="4" w:space="0" w:color="231F20"/>
              <w:bottom w:val="single" w:sz="4" w:space="0" w:color="231F20"/>
              <w:right w:val="single" w:sz="4" w:space="0" w:color="231F20"/>
            </w:tcBorders>
          </w:tcPr>
          <w:p w14:paraId="22538FDB" w14:textId="77777777" w:rsidR="0031766D" w:rsidRDefault="0031766D" w:rsidP="0047572B">
            <w:pPr>
              <w:pStyle w:val="TableParagraph"/>
              <w:kinsoku w:val="0"/>
              <w:overflowPunct w:val="0"/>
              <w:spacing w:before="1"/>
              <w:ind w:left="108"/>
              <w:rPr>
                <w:color w:val="050606"/>
                <w:sz w:val="18"/>
                <w:szCs w:val="18"/>
              </w:rPr>
            </w:pPr>
            <w:r>
              <w:rPr>
                <w:color w:val="050606"/>
                <w:sz w:val="18"/>
                <w:szCs w:val="18"/>
              </w:rPr>
              <w:t>The legal and commercial name of the issuer is Chesterfield Resources plc.</w:t>
            </w:r>
          </w:p>
        </w:tc>
      </w:tr>
      <w:tr w:rsidR="0031766D" w14:paraId="2329F3ED" w14:textId="77777777" w:rsidTr="0047572B">
        <w:trPr>
          <w:trHeight w:val="2375"/>
        </w:trPr>
        <w:tc>
          <w:tcPr>
            <w:tcW w:w="1395" w:type="dxa"/>
            <w:tcBorders>
              <w:top w:val="single" w:sz="4" w:space="0" w:color="231F20"/>
              <w:left w:val="single" w:sz="4" w:space="0" w:color="231F20"/>
              <w:bottom w:val="single" w:sz="4" w:space="0" w:color="231F20"/>
              <w:right w:val="single" w:sz="4" w:space="0" w:color="231F20"/>
            </w:tcBorders>
          </w:tcPr>
          <w:p w14:paraId="16690A8F" w14:textId="77777777" w:rsidR="0031766D" w:rsidRDefault="0031766D" w:rsidP="0047572B">
            <w:pPr>
              <w:pStyle w:val="TableParagraph"/>
              <w:kinsoku w:val="0"/>
              <w:overflowPunct w:val="0"/>
              <w:ind w:left="107" w:right="86"/>
              <w:rPr>
                <w:color w:val="050606"/>
                <w:sz w:val="18"/>
                <w:szCs w:val="18"/>
              </w:rPr>
            </w:pPr>
            <w:r>
              <w:rPr>
                <w:color w:val="050606"/>
                <w:sz w:val="18"/>
                <w:szCs w:val="18"/>
              </w:rPr>
              <w:t xml:space="preserve">Domicile, legal form, </w:t>
            </w:r>
            <w:proofErr w:type="gramStart"/>
            <w:r>
              <w:rPr>
                <w:color w:val="050606"/>
                <w:sz w:val="18"/>
                <w:szCs w:val="18"/>
              </w:rPr>
              <w:t>legislation</w:t>
            </w:r>
            <w:proofErr w:type="gramEnd"/>
            <w:r>
              <w:rPr>
                <w:color w:val="050606"/>
                <w:sz w:val="18"/>
                <w:szCs w:val="18"/>
              </w:rPr>
              <w:t xml:space="preserve"> and country of incorporation</w:t>
            </w:r>
          </w:p>
        </w:tc>
        <w:tc>
          <w:tcPr>
            <w:tcW w:w="7956" w:type="dxa"/>
            <w:tcBorders>
              <w:top w:val="single" w:sz="4" w:space="0" w:color="231F20"/>
              <w:left w:val="single" w:sz="4" w:space="0" w:color="231F20"/>
              <w:bottom w:val="single" w:sz="4" w:space="0" w:color="231F20"/>
              <w:right w:val="single" w:sz="4" w:space="0" w:color="231F20"/>
            </w:tcBorders>
          </w:tcPr>
          <w:p w14:paraId="56C6C96B" w14:textId="77777777" w:rsidR="0031766D" w:rsidRDefault="0031766D" w:rsidP="0047572B">
            <w:pPr>
              <w:pStyle w:val="TableParagraph"/>
              <w:kinsoku w:val="0"/>
              <w:overflowPunct w:val="0"/>
              <w:ind w:left="108" w:right="92"/>
              <w:jc w:val="both"/>
              <w:rPr>
                <w:color w:val="050606"/>
                <w:sz w:val="18"/>
                <w:szCs w:val="18"/>
              </w:rPr>
            </w:pPr>
            <w:r>
              <w:rPr>
                <w:color w:val="050606"/>
                <w:sz w:val="18"/>
                <w:szCs w:val="18"/>
              </w:rPr>
              <w:t>The</w:t>
            </w:r>
            <w:r>
              <w:rPr>
                <w:color w:val="050606"/>
                <w:spacing w:val="-6"/>
                <w:sz w:val="18"/>
                <w:szCs w:val="18"/>
              </w:rPr>
              <w:t xml:space="preserve"> </w:t>
            </w:r>
            <w:r>
              <w:rPr>
                <w:color w:val="050606"/>
                <w:sz w:val="18"/>
                <w:szCs w:val="18"/>
              </w:rPr>
              <w:t>Company</w:t>
            </w:r>
            <w:r>
              <w:rPr>
                <w:color w:val="050606"/>
                <w:spacing w:val="-8"/>
                <w:sz w:val="18"/>
                <w:szCs w:val="18"/>
              </w:rPr>
              <w:t xml:space="preserve"> </w:t>
            </w:r>
            <w:r>
              <w:rPr>
                <w:color w:val="050606"/>
                <w:sz w:val="18"/>
                <w:szCs w:val="18"/>
              </w:rPr>
              <w:t>was</w:t>
            </w:r>
            <w:r>
              <w:rPr>
                <w:color w:val="050606"/>
                <w:spacing w:val="-6"/>
                <w:sz w:val="18"/>
                <w:szCs w:val="18"/>
              </w:rPr>
              <w:t xml:space="preserve"> </w:t>
            </w:r>
            <w:r>
              <w:rPr>
                <w:color w:val="050606"/>
                <w:sz w:val="18"/>
                <w:szCs w:val="18"/>
              </w:rPr>
              <w:t>incorporated</w:t>
            </w:r>
            <w:r>
              <w:rPr>
                <w:color w:val="050606"/>
                <w:spacing w:val="-6"/>
                <w:sz w:val="18"/>
                <w:szCs w:val="18"/>
              </w:rPr>
              <w:t xml:space="preserve"> </w:t>
            </w:r>
            <w:r>
              <w:rPr>
                <w:color w:val="050606"/>
                <w:sz w:val="18"/>
                <w:szCs w:val="18"/>
              </w:rPr>
              <w:t>and</w:t>
            </w:r>
            <w:r>
              <w:rPr>
                <w:color w:val="050606"/>
                <w:spacing w:val="-5"/>
                <w:sz w:val="18"/>
                <w:szCs w:val="18"/>
              </w:rPr>
              <w:t xml:space="preserve"> </w:t>
            </w:r>
            <w:r>
              <w:rPr>
                <w:color w:val="050606"/>
                <w:sz w:val="18"/>
                <w:szCs w:val="18"/>
              </w:rPr>
              <w:t>registered</w:t>
            </w:r>
            <w:r>
              <w:rPr>
                <w:color w:val="050606"/>
                <w:spacing w:val="-9"/>
                <w:sz w:val="18"/>
                <w:szCs w:val="18"/>
              </w:rPr>
              <w:t xml:space="preserve"> </w:t>
            </w:r>
            <w:r>
              <w:rPr>
                <w:color w:val="050606"/>
                <w:sz w:val="18"/>
                <w:szCs w:val="18"/>
              </w:rPr>
              <w:t>in</w:t>
            </w:r>
            <w:r>
              <w:rPr>
                <w:color w:val="050606"/>
                <w:spacing w:val="-6"/>
                <w:sz w:val="18"/>
                <w:szCs w:val="18"/>
              </w:rPr>
              <w:t xml:space="preserve"> </w:t>
            </w:r>
            <w:r>
              <w:rPr>
                <w:color w:val="050606"/>
                <w:sz w:val="18"/>
                <w:szCs w:val="18"/>
              </w:rPr>
              <w:t>England</w:t>
            </w:r>
            <w:r>
              <w:rPr>
                <w:color w:val="050606"/>
                <w:spacing w:val="-5"/>
                <w:sz w:val="18"/>
                <w:szCs w:val="18"/>
              </w:rPr>
              <w:t xml:space="preserve"> </w:t>
            </w:r>
            <w:r>
              <w:rPr>
                <w:color w:val="050606"/>
                <w:sz w:val="18"/>
                <w:szCs w:val="18"/>
              </w:rPr>
              <w:t>and</w:t>
            </w:r>
            <w:r>
              <w:rPr>
                <w:color w:val="050606"/>
                <w:spacing w:val="-11"/>
                <w:sz w:val="18"/>
                <w:szCs w:val="18"/>
              </w:rPr>
              <w:t xml:space="preserve"> </w:t>
            </w:r>
            <w:r>
              <w:rPr>
                <w:color w:val="050606"/>
                <w:sz w:val="18"/>
                <w:szCs w:val="18"/>
              </w:rPr>
              <w:t>Wales</w:t>
            </w:r>
            <w:r>
              <w:rPr>
                <w:color w:val="050606"/>
                <w:spacing w:val="-6"/>
                <w:sz w:val="18"/>
                <w:szCs w:val="18"/>
              </w:rPr>
              <w:t xml:space="preserve"> </w:t>
            </w:r>
            <w:r>
              <w:rPr>
                <w:color w:val="050606"/>
                <w:sz w:val="18"/>
                <w:szCs w:val="18"/>
              </w:rPr>
              <w:t>on</w:t>
            </w:r>
            <w:r>
              <w:rPr>
                <w:color w:val="050606"/>
                <w:spacing w:val="-6"/>
                <w:sz w:val="18"/>
                <w:szCs w:val="18"/>
              </w:rPr>
              <w:t xml:space="preserve"> </w:t>
            </w:r>
            <w:r>
              <w:rPr>
                <w:color w:val="050606"/>
                <w:sz w:val="18"/>
                <w:szCs w:val="18"/>
              </w:rPr>
              <w:t>4</w:t>
            </w:r>
            <w:r>
              <w:rPr>
                <w:color w:val="050606"/>
                <w:spacing w:val="-8"/>
                <w:sz w:val="18"/>
                <w:szCs w:val="18"/>
              </w:rPr>
              <w:t xml:space="preserve"> </w:t>
            </w:r>
            <w:r>
              <w:rPr>
                <w:color w:val="050606"/>
                <w:sz w:val="18"/>
                <w:szCs w:val="18"/>
              </w:rPr>
              <w:t>January</w:t>
            </w:r>
            <w:r>
              <w:rPr>
                <w:color w:val="050606"/>
                <w:spacing w:val="-8"/>
                <w:sz w:val="18"/>
                <w:szCs w:val="18"/>
              </w:rPr>
              <w:t xml:space="preserve"> </w:t>
            </w:r>
            <w:r>
              <w:rPr>
                <w:color w:val="050606"/>
                <w:sz w:val="18"/>
                <w:szCs w:val="18"/>
              </w:rPr>
              <w:t>2017</w:t>
            </w:r>
            <w:r>
              <w:rPr>
                <w:color w:val="050606"/>
                <w:spacing w:val="-6"/>
                <w:sz w:val="18"/>
                <w:szCs w:val="18"/>
              </w:rPr>
              <w:t xml:space="preserve"> </w:t>
            </w:r>
            <w:r>
              <w:rPr>
                <w:color w:val="050606"/>
                <w:sz w:val="18"/>
                <w:szCs w:val="18"/>
              </w:rPr>
              <w:t xml:space="preserve">with registered number 10545738 as a private limited company under the Companies Act with the name </w:t>
            </w:r>
            <w:r>
              <w:rPr>
                <w:color w:val="231F20"/>
                <w:sz w:val="18"/>
                <w:szCs w:val="18"/>
              </w:rPr>
              <w:t xml:space="preserve">Chesterfield Resources </w:t>
            </w:r>
            <w:r>
              <w:rPr>
                <w:color w:val="050606"/>
                <w:sz w:val="18"/>
                <w:szCs w:val="18"/>
              </w:rPr>
              <w:t xml:space="preserve">Limited. On 8 May 2017, the Company was re-registered as a public limited company under the Companies Act and accordingly changed its name to Chesterfield Resources Plc. The principal legislation under which the Company operates and under which the Ordinary Shares have been created is the Companies Act and the Company is subject to the provisions of the Takeover Code. The Company is domiciled in the United Kingdom </w:t>
            </w:r>
            <w:proofErr w:type="gramStart"/>
            <w:r>
              <w:rPr>
                <w:color w:val="050606"/>
                <w:sz w:val="18"/>
                <w:szCs w:val="18"/>
              </w:rPr>
              <w:t>and also</w:t>
            </w:r>
            <w:proofErr w:type="gramEnd"/>
            <w:r>
              <w:rPr>
                <w:color w:val="050606"/>
                <w:sz w:val="18"/>
                <w:szCs w:val="18"/>
              </w:rPr>
              <w:t xml:space="preserve"> has a wholly owned subsidiary, Chesterfield Resources (Cyprus) Limited, which is registered and operates in</w:t>
            </w:r>
            <w:r>
              <w:rPr>
                <w:color w:val="050606"/>
                <w:spacing w:val="4"/>
                <w:sz w:val="18"/>
                <w:szCs w:val="18"/>
              </w:rPr>
              <w:t xml:space="preserve"> </w:t>
            </w:r>
            <w:r>
              <w:rPr>
                <w:color w:val="050606"/>
                <w:sz w:val="18"/>
                <w:szCs w:val="18"/>
              </w:rPr>
              <w:t>Cyprus. Following completion of the Labrador Acquisition, the Company shall have a further wholly owned subsidiary, 87986 Newfoundland and Labrador Inc., which is registered and operates in Newfoundland and Labrador, Canada.</w:t>
            </w:r>
          </w:p>
        </w:tc>
      </w:tr>
      <w:tr w:rsidR="0031766D" w14:paraId="6EF2E231" w14:textId="77777777" w:rsidTr="0047572B">
        <w:trPr>
          <w:trHeight w:val="2585"/>
        </w:trPr>
        <w:tc>
          <w:tcPr>
            <w:tcW w:w="1395" w:type="dxa"/>
            <w:tcBorders>
              <w:top w:val="single" w:sz="4" w:space="0" w:color="231F20"/>
              <w:left w:val="single" w:sz="4" w:space="0" w:color="231F20"/>
              <w:right w:val="single" w:sz="4" w:space="0" w:color="231F20"/>
            </w:tcBorders>
          </w:tcPr>
          <w:p w14:paraId="1B7F8DB6" w14:textId="77777777" w:rsidR="0031766D" w:rsidRDefault="0031766D" w:rsidP="0047572B">
            <w:pPr>
              <w:pStyle w:val="TableParagraph"/>
              <w:kinsoku w:val="0"/>
              <w:overflowPunct w:val="0"/>
              <w:ind w:left="107" w:right="266"/>
              <w:rPr>
                <w:color w:val="050606"/>
                <w:sz w:val="18"/>
                <w:szCs w:val="18"/>
              </w:rPr>
            </w:pPr>
            <w:r>
              <w:rPr>
                <w:color w:val="050606"/>
                <w:sz w:val="18"/>
                <w:szCs w:val="18"/>
              </w:rPr>
              <w:t>Principal Activities / Current operations and markets</w:t>
            </w:r>
          </w:p>
        </w:tc>
        <w:tc>
          <w:tcPr>
            <w:tcW w:w="7956" w:type="dxa"/>
            <w:tcBorders>
              <w:top w:val="single" w:sz="4" w:space="0" w:color="231F20"/>
              <w:left w:val="single" w:sz="4" w:space="0" w:color="231F20"/>
              <w:right w:val="single" w:sz="4" w:space="0" w:color="231F20"/>
            </w:tcBorders>
          </w:tcPr>
          <w:p w14:paraId="6C8C113F" w14:textId="7BD28382" w:rsidR="00B7193E" w:rsidRDefault="0031766D" w:rsidP="0047572B">
            <w:pPr>
              <w:pStyle w:val="TableParagraph"/>
              <w:kinsoku w:val="0"/>
              <w:overflowPunct w:val="0"/>
              <w:ind w:left="108" w:right="92"/>
              <w:jc w:val="both"/>
              <w:rPr>
                <w:color w:val="231F20"/>
                <w:sz w:val="18"/>
                <w:szCs w:val="18"/>
              </w:rPr>
            </w:pPr>
            <w:r>
              <w:rPr>
                <w:color w:val="231F20"/>
                <w:sz w:val="18"/>
                <w:szCs w:val="18"/>
              </w:rPr>
              <w:t>The Group’s principal activity is currently the exploration for and development of copper and gold</w:t>
            </w:r>
            <w:r>
              <w:rPr>
                <w:color w:val="231F20"/>
                <w:spacing w:val="-7"/>
                <w:sz w:val="18"/>
                <w:szCs w:val="18"/>
              </w:rPr>
              <w:t xml:space="preserve"> </w:t>
            </w:r>
            <w:r w:rsidRPr="007858BE">
              <w:rPr>
                <w:color w:val="050606"/>
                <w:sz w:val="18"/>
                <w:szCs w:val="18"/>
              </w:rPr>
              <w:t>mineral</w:t>
            </w:r>
            <w:r>
              <w:rPr>
                <w:color w:val="231F20"/>
                <w:spacing w:val="-5"/>
                <w:sz w:val="18"/>
                <w:szCs w:val="18"/>
              </w:rPr>
              <w:t xml:space="preserve"> </w:t>
            </w:r>
            <w:r>
              <w:rPr>
                <w:color w:val="231F20"/>
                <w:sz w:val="18"/>
                <w:szCs w:val="18"/>
              </w:rPr>
              <w:t>resource</w:t>
            </w:r>
            <w:r>
              <w:rPr>
                <w:color w:val="231F20"/>
                <w:spacing w:val="-7"/>
                <w:sz w:val="18"/>
                <w:szCs w:val="18"/>
              </w:rPr>
              <w:t xml:space="preserve"> </w:t>
            </w:r>
            <w:r>
              <w:rPr>
                <w:color w:val="231F20"/>
                <w:sz w:val="18"/>
                <w:szCs w:val="18"/>
              </w:rPr>
              <w:t>assets</w:t>
            </w:r>
            <w:r>
              <w:rPr>
                <w:color w:val="231F20"/>
                <w:spacing w:val="-7"/>
                <w:sz w:val="18"/>
                <w:szCs w:val="18"/>
              </w:rPr>
              <w:t xml:space="preserve"> </w:t>
            </w:r>
            <w:r>
              <w:rPr>
                <w:color w:val="231F20"/>
                <w:sz w:val="18"/>
                <w:szCs w:val="18"/>
              </w:rPr>
              <w:t>in</w:t>
            </w:r>
            <w:r>
              <w:rPr>
                <w:color w:val="231F20"/>
                <w:spacing w:val="-4"/>
                <w:sz w:val="18"/>
                <w:szCs w:val="18"/>
              </w:rPr>
              <w:t xml:space="preserve"> </w:t>
            </w:r>
            <w:r>
              <w:rPr>
                <w:color w:val="231F20"/>
                <w:sz w:val="18"/>
                <w:szCs w:val="18"/>
              </w:rPr>
              <w:t>Cyprus and, following completion of the Labrador Acquisition, shall shortly include the exploration for and development of copper mineral resource assets in Canada.</w:t>
            </w:r>
            <w:r>
              <w:rPr>
                <w:color w:val="231F20"/>
                <w:spacing w:val="-7"/>
                <w:sz w:val="18"/>
                <w:szCs w:val="18"/>
              </w:rPr>
              <w:t xml:space="preserve"> </w:t>
            </w:r>
            <w:r>
              <w:rPr>
                <w:color w:val="231F20"/>
                <w:sz w:val="18"/>
                <w:szCs w:val="18"/>
              </w:rPr>
              <w:t>The</w:t>
            </w:r>
            <w:r>
              <w:rPr>
                <w:color w:val="231F20"/>
                <w:spacing w:val="-5"/>
                <w:sz w:val="18"/>
                <w:szCs w:val="18"/>
              </w:rPr>
              <w:t xml:space="preserve"> </w:t>
            </w:r>
            <w:r>
              <w:rPr>
                <w:color w:val="231F20"/>
                <w:sz w:val="18"/>
                <w:szCs w:val="18"/>
              </w:rPr>
              <w:t>Group</w:t>
            </w:r>
            <w:r>
              <w:rPr>
                <w:color w:val="231F20"/>
                <w:spacing w:val="-7"/>
                <w:sz w:val="18"/>
                <w:szCs w:val="18"/>
              </w:rPr>
              <w:t xml:space="preserve"> </w:t>
            </w:r>
            <w:r>
              <w:rPr>
                <w:color w:val="231F20"/>
                <w:sz w:val="18"/>
                <w:szCs w:val="18"/>
              </w:rPr>
              <w:t>intends</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continue</w:t>
            </w:r>
            <w:r>
              <w:rPr>
                <w:color w:val="231F20"/>
                <w:spacing w:val="-7"/>
                <w:sz w:val="18"/>
                <w:szCs w:val="18"/>
              </w:rPr>
              <w:t xml:space="preserve"> </w:t>
            </w:r>
            <w:r>
              <w:rPr>
                <w:color w:val="231F20"/>
                <w:sz w:val="18"/>
                <w:szCs w:val="18"/>
              </w:rPr>
              <w:t>developing</w:t>
            </w:r>
            <w:r>
              <w:rPr>
                <w:color w:val="231F20"/>
                <w:spacing w:val="-5"/>
                <w:sz w:val="18"/>
                <w:szCs w:val="18"/>
              </w:rPr>
              <w:t xml:space="preserve"> </w:t>
            </w:r>
            <w:r>
              <w:rPr>
                <w:color w:val="231F20"/>
                <w:sz w:val="18"/>
                <w:szCs w:val="18"/>
              </w:rPr>
              <w:t>its</w:t>
            </w:r>
            <w:r>
              <w:rPr>
                <w:color w:val="231F20"/>
                <w:spacing w:val="-7"/>
                <w:sz w:val="18"/>
                <w:szCs w:val="18"/>
              </w:rPr>
              <w:t xml:space="preserve"> </w:t>
            </w:r>
            <w:r>
              <w:rPr>
                <w:color w:val="231F20"/>
                <w:sz w:val="18"/>
                <w:szCs w:val="18"/>
              </w:rPr>
              <w:t>existing operations</w:t>
            </w:r>
            <w:r>
              <w:rPr>
                <w:color w:val="231F20"/>
                <w:spacing w:val="-9"/>
                <w:sz w:val="18"/>
                <w:szCs w:val="18"/>
              </w:rPr>
              <w:t xml:space="preserve"> </w:t>
            </w:r>
            <w:r>
              <w:rPr>
                <w:color w:val="231F20"/>
                <w:sz w:val="18"/>
                <w:szCs w:val="18"/>
              </w:rPr>
              <w:t>to</w:t>
            </w:r>
            <w:r>
              <w:rPr>
                <w:color w:val="231F20"/>
                <w:spacing w:val="-12"/>
                <w:sz w:val="18"/>
                <w:szCs w:val="18"/>
              </w:rPr>
              <w:t xml:space="preserve"> </w:t>
            </w:r>
            <w:r>
              <w:rPr>
                <w:color w:val="231F20"/>
                <w:sz w:val="18"/>
                <w:szCs w:val="18"/>
              </w:rPr>
              <w:t>identify</w:t>
            </w:r>
            <w:r>
              <w:rPr>
                <w:color w:val="231F20"/>
                <w:spacing w:val="-13"/>
                <w:sz w:val="18"/>
                <w:szCs w:val="18"/>
              </w:rPr>
              <w:t xml:space="preserve"> </w:t>
            </w:r>
            <w:r>
              <w:rPr>
                <w:color w:val="231F20"/>
                <w:sz w:val="18"/>
                <w:szCs w:val="18"/>
              </w:rPr>
              <w:t>commercially</w:t>
            </w:r>
            <w:r>
              <w:rPr>
                <w:color w:val="231F20"/>
                <w:spacing w:val="-14"/>
                <w:sz w:val="18"/>
                <w:szCs w:val="18"/>
              </w:rPr>
              <w:t xml:space="preserve"> </w:t>
            </w:r>
            <w:r>
              <w:rPr>
                <w:color w:val="231F20"/>
                <w:sz w:val="18"/>
                <w:szCs w:val="18"/>
              </w:rPr>
              <w:t>mineable</w:t>
            </w:r>
            <w:r>
              <w:rPr>
                <w:color w:val="231F20"/>
                <w:spacing w:val="-9"/>
                <w:sz w:val="18"/>
                <w:szCs w:val="18"/>
              </w:rPr>
              <w:t xml:space="preserve"> </w:t>
            </w:r>
            <w:r>
              <w:rPr>
                <w:color w:val="231F20"/>
                <w:sz w:val="18"/>
                <w:szCs w:val="18"/>
              </w:rPr>
              <w:t>copper</w:t>
            </w:r>
            <w:r>
              <w:rPr>
                <w:color w:val="231F20"/>
                <w:spacing w:val="-13"/>
                <w:sz w:val="18"/>
                <w:szCs w:val="18"/>
              </w:rPr>
              <w:t xml:space="preserve"> </w:t>
            </w:r>
            <w:r>
              <w:rPr>
                <w:color w:val="231F20"/>
                <w:sz w:val="18"/>
                <w:szCs w:val="18"/>
              </w:rPr>
              <w:t>and</w:t>
            </w:r>
            <w:r>
              <w:rPr>
                <w:color w:val="231F20"/>
                <w:spacing w:val="-9"/>
                <w:sz w:val="18"/>
                <w:szCs w:val="18"/>
              </w:rPr>
              <w:t xml:space="preserve"> </w:t>
            </w:r>
            <w:r>
              <w:rPr>
                <w:color w:val="231F20"/>
                <w:sz w:val="18"/>
                <w:szCs w:val="18"/>
              </w:rPr>
              <w:t>gold</w:t>
            </w:r>
            <w:r>
              <w:rPr>
                <w:color w:val="231F20"/>
                <w:spacing w:val="-12"/>
                <w:sz w:val="18"/>
                <w:szCs w:val="18"/>
              </w:rPr>
              <w:t xml:space="preserve"> </w:t>
            </w:r>
            <w:r>
              <w:rPr>
                <w:color w:val="231F20"/>
                <w:sz w:val="18"/>
                <w:szCs w:val="18"/>
              </w:rPr>
              <w:t>resources</w:t>
            </w:r>
            <w:r>
              <w:rPr>
                <w:color w:val="231F20"/>
                <w:spacing w:val="-9"/>
                <w:sz w:val="18"/>
                <w:szCs w:val="18"/>
              </w:rPr>
              <w:t xml:space="preserve"> </w:t>
            </w:r>
            <w:r>
              <w:rPr>
                <w:color w:val="231F20"/>
                <w:sz w:val="18"/>
                <w:szCs w:val="18"/>
              </w:rPr>
              <w:t>in</w:t>
            </w:r>
            <w:r>
              <w:rPr>
                <w:color w:val="231F20"/>
                <w:spacing w:val="-9"/>
                <w:sz w:val="18"/>
                <w:szCs w:val="18"/>
              </w:rPr>
              <w:t xml:space="preserve"> </w:t>
            </w:r>
            <w:r>
              <w:rPr>
                <w:color w:val="231F20"/>
                <w:sz w:val="18"/>
                <w:szCs w:val="18"/>
              </w:rPr>
              <w:t>Cyprus and copper resources in Canada.</w:t>
            </w:r>
            <w:r>
              <w:rPr>
                <w:color w:val="231F20"/>
                <w:spacing w:val="-12"/>
                <w:sz w:val="18"/>
                <w:szCs w:val="18"/>
              </w:rPr>
              <w:t xml:space="preserve"> </w:t>
            </w:r>
            <w:r>
              <w:rPr>
                <w:color w:val="231F20"/>
                <w:sz w:val="18"/>
                <w:szCs w:val="18"/>
              </w:rPr>
              <w:t>The</w:t>
            </w:r>
            <w:r>
              <w:rPr>
                <w:color w:val="231F20"/>
                <w:spacing w:val="-9"/>
                <w:sz w:val="18"/>
                <w:szCs w:val="18"/>
              </w:rPr>
              <w:t xml:space="preserve"> </w:t>
            </w:r>
            <w:r>
              <w:rPr>
                <w:color w:val="231F20"/>
                <w:sz w:val="18"/>
                <w:szCs w:val="18"/>
              </w:rPr>
              <w:t>Group is unlikely to carry out mining activities on its own account, as it intends to generate its revenues through the eventual trade sale (or partial trade sale) or entry into a joint venture or strategic partnership in respect of its mineral resource assets before they reach the stage of commercial extraction.</w:t>
            </w:r>
          </w:p>
          <w:p w14:paraId="40B30287" w14:textId="77777777" w:rsidR="003C29CA" w:rsidRDefault="003C29CA" w:rsidP="0047572B">
            <w:pPr>
              <w:pStyle w:val="TableParagraph"/>
              <w:kinsoku w:val="0"/>
              <w:overflowPunct w:val="0"/>
              <w:spacing w:before="8"/>
              <w:ind w:left="160"/>
              <w:jc w:val="both"/>
              <w:rPr>
                <w:color w:val="231F20"/>
                <w:sz w:val="18"/>
                <w:szCs w:val="18"/>
              </w:rPr>
            </w:pPr>
          </w:p>
          <w:p w14:paraId="7E21BA3E" w14:textId="297F0873" w:rsidR="00B7193E" w:rsidRDefault="00B7193E" w:rsidP="0047572B">
            <w:pPr>
              <w:pStyle w:val="TableParagraph"/>
              <w:kinsoku w:val="0"/>
              <w:overflowPunct w:val="0"/>
              <w:ind w:left="108" w:right="92"/>
              <w:jc w:val="both"/>
              <w:rPr>
                <w:color w:val="231F20"/>
                <w:sz w:val="18"/>
                <w:szCs w:val="18"/>
              </w:rPr>
            </w:pPr>
            <w:r>
              <w:rPr>
                <w:color w:val="231F20"/>
                <w:sz w:val="18"/>
                <w:szCs w:val="18"/>
              </w:rPr>
              <w:t>In addition, the Group also intends to continue exploring new prospective locations for Exchange</w:t>
            </w:r>
            <w:r>
              <w:rPr>
                <w:color w:val="231F20"/>
                <w:spacing w:val="-12"/>
                <w:sz w:val="18"/>
                <w:szCs w:val="18"/>
              </w:rPr>
              <w:t xml:space="preserve"> </w:t>
            </w:r>
            <w:r>
              <w:rPr>
                <w:color w:val="231F20"/>
                <w:sz w:val="18"/>
                <w:szCs w:val="18"/>
              </w:rPr>
              <w:t>Traded</w:t>
            </w:r>
            <w:r>
              <w:rPr>
                <w:color w:val="231F20"/>
                <w:spacing w:val="-12"/>
                <w:sz w:val="18"/>
                <w:szCs w:val="18"/>
              </w:rPr>
              <w:t xml:space="preserve"> </w:t>
            </w:r>
            <w:r>
              <w:rPr>
                <w:color w:val="231F20"/>
                <w:sz w:val="18"/>
                <w:szCs w:val="18"/>
              </w:rPr>
              <w:t>Non-Ferrous</w:t>
            </w:r>
            <w:r>
              <w:rPr>
                <w:color w:val="231F20"/>
                <w:spacing w:val="-11"/>
                <w:sz w:val="18"/>
                <w:szCs w:val="18"/>
              </w:rPr>
              <w:t xml:space="preserve"> </w:t>
            </w:r>
            <w:r>
              <w:rPr>
                <w:color w:val="231F20"/>
                <w:sz w:val="18"/>
                <w:szCs w:val="18"/>
              </w:rPr>
              <w:t>Metals,</w:t>
            </w:r>
            <w:r>
              <w:rPr>
                <w:color w:val="231F20"/>
                <w:spacing w:val="-12"/>
                <w:sz w:val="18"/>
                <w:szCs w:val="18"/>
              </w:rPr>
              <w:t xml:space="preserve"> </w:t>
            </w:r>
            <w:r>
              <w:rPr>
                <w:color w:val="231F20"/>
                <w:sz w:val="18"/>
                <w:szCs w:val="18"/>
              </w:rPr>
              <w:t>whether</w:t>
            </w:r>
            <w:r>
              <w:rPr>
                <w:color w:val="231F20"/>
                <w:spacing w:val="-12"/>
                <w:sz w:val="18"/>
                <w:szCs w:val="18"/>
              </w:rPr>
              <w:t xml:space="preserve"> </w:t>
            </w:r>
            <w:r>
              <w:rPr>
                <w:color w:val="231F20"/>
                <w:sz w:val="18"/>
                <w:szCs w:val="18"/>
              </w:rPr>
              <w:t>identified directly</w:t>
            </w:r>
            <w:r>
              <w:rPr>
                <w:color w:val="231F20"/>
                <w:spacing w:val="-16"/>
                <w:sz w:val="18"/>
                <w:szCs w:val="18"/>
              </w:rPr>
              <w:t xml:space="preserve"> </w:t>
            </w:r>
            <w:r>
              <w:rPr>
                <w:color w:val="231F20"/>
                <w:sz w:val="18"/>
                <w:szCs w:val="18"/>
              </w:rPr>
              <w:t>by</w:t>
            </w:r>
            <w:r>
              <w:rPr>
                <w:color w:val="231F20"/>
                <w:spacing w:val="-16"/>
                <w:sz w:val="18"/>
                <w:szCs w:val="18"/>
              </w:rPr>
              <w:t xml:space="preserve"> </w:t>
            </w:r>
            <w:r>
              <w:rPr>
                <w:color w:val="231F20"/>
                <w:sz w:val="18"/>
                <w:szCs w:val="18"/>
              </w:rPr>
              <w:t>the</w:t>
            </w:r>
            <w:r>
              <w:rPr>
                <w:color w:val="231F20"/>
                <w:spacing w:val="-14"/>
                <w:sz w:val="18"/>
                <w:szCs w:val="18"/>
              </w:rPr>
              <w:t xml:space="preserve"> </w:t>
            </w:r>
            <w:r>
              <w:rPr>
                <w:color w:val="231F20"/>
                <w:sz w:val="18"/>
                <w:szCs w:val="18"/>
              </w:rPr>
              <w:t>Group</w:t>
            </w:r>
            <w:r>
              <w:rPr>
                <w:color w:val="231F20"/>
                <w:spacing w:val="-14"/>
                <w:sz w:val="18"/>
                <w:szCs w:val="18"/>
              </w:rPr>
              <w:t xml:space="preserve"> </w:t>
            </w:r>
            <w:r>
              <w:rPr>
                <w:color w:val="231F20"/>
                <w:sz w:val="18"/>
                <w:szCs w:val="18"/>
              </w:rPr>
              <w:t>or</w:t>
            </w:r>
            <w:r>
              <w:rPr>
                <w:color w:val="231F20"/>
                <w:spacing w:val="-17"/>
                <w:sz w:val="18"/>
                <w:szCs w:val="18"/>
              </w:rPr>
              <w:t xml:space="preserve"> </w:t>
            </w:r>
            <w:r>
              <w:rPr>
                <w:color w:val="231F20"/>
                <w:sz w:val="18"/>
                <w:szCs w:val="18"/>
              </w:rPr>
              <w:t>obtained</w:t>
            </w:r>
            <w:r>
              <w:rPr>
                <w:color w:val="231F20"/>
                <w:spacing w:val="-14"/>
                <w:sz w:val="18"/>
                <w:szCs w:val="18"/>
              </w:rPr>
              <w:t xml:space="preserve"> </w:t>
            </w:r>
            <w:r>
              <w:rPr>
                <w:color w:val="231F20"/>
                <w:sz w:val="18"/>
                <w:szCs w:val="18"/>
              </w:rPr>
              <w:t>through</w:t>
            </w:r>
            <w:r>
              <w:rPr>
                <w:color w:val="231F20"/>
                <w:spacing w:val="-14"/>
                <w:sz w:val="18"/>
                <w:szCs w:val="18"/>
              </w:rPr>
              <w:t xml:space="preserve"> </w:t>
            </w:r>
            <w:r>
              <w:rPr>
                <w:color w:val="231F20"/>
                <w:sz w:val="18"/>
                <w:szCs w:val="18"/>
              </w:rPr>
              <w:t>further</w:t>
            </w:r>
            <w:r>
              <w:rPr>
                <w:color w:val="231F20"/>
                <w:spacing w:val="-16"/>
                <w:sz w:val="18"/>
                <w:szCs w:val="18"/>
              </w:rPr>
              <w:t xml:space="preserve"> </w:t>
            </w:r>
            <w:r>
              <w:rPr>
                <w:color w:val="231F20"/>
                <w:sz w:val="18"/>
                <w:szCs w:val="18"/>
              </w:rPr>
              <w:t>acquisitions</w:t>
            </w:r>
            <w:r>
              <w:rPr>
                <w:color w:val="231F20"/>
                <w:spacing w:val="-13"/>
                <w:sz w:val="18"/>
                <w:szCs w:val="18"/>
              </w:rPr>
              <w:t xml:space="preserve"> </w:t>
            </w:r>
            <w:r>
              <w:rPr>
                <w:color w:val="231F20"/>
                <w:sz w:val="18"/>
                <w:szCs w:val="18"/>
              </w:rPr>
              <w:t>or</w:t>
            </w:r>
            <w:r>
              <w:rPr>
                <w:color w:val="231F20"/>
                <w:spacing w:val="-14"/>
                <w:sz w:val="18"/>
                <w:szCs w:val="18"/>
              </w:rPr>
              <w:t xml:space="preserve"> </w:t>
            </w:r>
            <w:r>
              <w:rPr>
                <w:color w:val="231F20"/>
                <w:sz w:val="18"/>
                <w:szCs w:val="18"/>
              </w:rPr>
              <w:t>joint</w:t>
            </w:r>
            <w:r>
              <w:rPr>
                <w:color w:val="231F20"/>
                <w:spacing w:val="-15"/>
                <w:sz w:val="18"/>
                <w:szCs w:val="18"/>
              </w:rPr>
              <w:t xml:space="preserve"> </w:t>
            </w:r>
            <w:r>
              <w:rPr>
                <w:color w:val="231F20"/>
                <w:sz w:val="18"/>
                <w:szCs w:val="18"/>
              </w:rPr>
              <w:t>ventures,</w:t>
            </w:r>
            <w:r>
              <w:rPr>
                <w:color w:val="231F20"/>
                <w:spacing w:val="-15"/>
                <w:sz w:val="18"/>
                <w:szCs w:val="18"/>
              </w:rPr>
              <w:t xml:space="preserve"> </w:t>
            </w:r>
            <w:r>
              <w:rPr>
                <w:color w:val="231F20"/>
                <w:sz w:val="18"/>
                <w:szCs w:val="18"/>
              </w:rPr>
              <w:t>which</w:t>
            </w:r>
            <w:r>
              <w:rPr>
                <w:color w:val="231F20"/>
                <w:spacing w:val="-14"/>
                <w:sz w:val="18"/>
                <w:szCs w:val="18"/>
              </w:rPr>
              <w:t xml:space="preserve"> </w:t>
            </w:r>
            <w:r>
              <w:rPr>
                <w:color w:val="231F20"/>
                <w:sz w:val="18"/>
                <w:szCs w:val="18"/>
              </w:rPr>
              <w:t>the</w:t>
            </w:r>
            <w:r>
              <w:rPr>
                <w:color w:val="231F20"/>
                <w:spacing w:val="-14"/>
                <w:sz w:val="18"/>
                <w:szCs w:val="18"/>
              </w:rPr>
              <w:t xml:space="preserve"> </w:t>
            </w:r>
            <w:r>
              <w:rPr>
                <w:color w:val="231F20"/>
                <w:sz w:val="18"/>
                <w:szCs w:val="18"/>
              </w:rPr>
              <w:t>Group is actively</w:t>
            </w:r>
            <w:r>
              <w:rPr>
                <w:color w:val="231F20"/>
                <w:spacing w:val="-4"/>
                <w:sz w:val="18"/>
                <w:szCs w:val="18"/>
              </w:rPr>
              <w:t xml:space="preserve"> </w:t>
            </w:r>
            <w:r>
              <w:rPr>
                <w:color w:val="231F20"/>
                <w:sz w:val="18"/>
                <w:szCs w:val="18"/>
              </w:rPr>
              <w:t>seeking.</w:t>
            </w:r>
          </w:p>
        </w:tc>
      </w:tr>
      <w:tr w:rsidR="0031766D" w14:paraId="21AD4FF9" w14:textId="77777777" w:rsidTr="0047572B">
        <w:trPr>
          <w:trHeight w:val="699"/>
        </w:trPr>
        <w:tc>
          <w:tcPr>
            <w:tcW w:w="1395" w:type="dxa"/>
            <w:tcBorders>
              <w:top w:val="single" w:sz="4" w:space="0" w:color="auto"/>
              <w:left w:val="single" w:sz="4" w:space="0" w:color="231F20"/>
              <w:bottom w:val="single" w:sz="4" w:space="0" w:color="231F20"/>
              <w:right w:val="single" w:sz="4" w:space="0" w:color="231F20"/>
            </w:tcBorders>
          </w:tcPr>
          <w:p w14:paraId="4572CA77" w14:textId="77777777" w:rsidR="0031766D" w:rsidRDefault="0031766D" w:rsidP="0047572B">
            <w:pPr>
              <w:pStyle w:val="TableParagraph"/>
              <w:kinsoku w:val="0"/>
              <w:overflowPunct w:val="0"/>
              <w:rPr>
                <w:rFonts w:ascii="Times New Roman" w:hAnsi="Times New Roman" w:cs="Times New Roman"/>
                <w:sz w:val="16"/>
                <w:szCs w:val="16"/>
              </w:rPr>
            </w:pPr>
          </w:p>
        </w:tc>
        <w:tc>
          <w:tcPr>
            <w:tcW w:w="7956" w:type="dxa"/>
            <w:tcBorders>
              <w:top w:val="single" w:sz="4" w:space="0" w:color="auto"/>
              <w:left w:val="single" w:sz="4" w:space="0" w:color="231F20"/>
              <w:bottom w:val="single" w:sz="4" w:space="0" w:color="231F20"/>
              <w:right w:val="single" w:sz="4" w:space="0" w:color="231F20"/>
            </w:tcBorders>
          </w:tcPr>
          <w:p w14:paraId="5FCE218D" w14:textId="77777777" w:rsidR="0031766D" w:rsidRDefault="0031766D" w:rsidP="0047572B">
            <w:pPr>
              <w:pStyle w:val="TableParagraph"/>
              <w:kinsoku w:val="0"/>
              <w:overflowPunct w:val="0"/>
              <w:spacing w:before="98"/>
              <w:ind w:left="108"/>
              <w:jc w:val="both"/>
              <w:rPr>
                <w:i/>
                <w:iCs/>
                <w:color w:val="231F20"/>
                <w:sz w:val="18"/>
                <w:szCs w:val="18"/>
              </w:rPr>
            </w:pPr>
            <w:r>
              <w:rPr>
                <w:i/>
                <w:iCs/>
                <w:color w:val="231F20"/>
                <w:sz w:val="18"/>
                <w:szCs w:val="18"/>
              </w:rPr>
              <w:t>Stage of Operations</w:t>
            </w:r>
          </w:p>
          <w:p w14:paraId="01EA14C3" w14:textId="77777777" w:rsidR="0031766D" w:rsidRDefault="0031766D" w:rsidP="0047572B">
            <w:pPr>
              <w:pStyle w:val="TableParagraph"/>
              <w:kinsoku w:val="0"/>
              <w:overflowPunct w:val="0"/>
              <w:spacing w:before="2"/>
              <w:ind w:left="108" w:right="93"/>
              <w:jc w:val="both"/>
              <w:rPr>
                <w:color w:val="231F20"/>
                <w:sz w:val="18"/>
                <w:szCs w:val="18"/>
              </w:rPr>
            </w:pPr>
            <w:r>
              <w:rPr>
                <w:color w:val="231F20"/>
                <w:sz w:val="18"/>
                <w:szCs w:val="18"/>
              </w:rPr>
              <w:t xml:space="preserve">The Group is continuing to expand its Portfolio of mineral Prospecting Permits, in Cyprus, Canada </w:t>
            </w:r>
            <w:r>
              <w:rPr>
                <w:color w:val="231F20"/>
                <w:spacing w:val="-2"/>
                <w:sz w:val="18"/>
                <w:szCs w:val="18"/>
              </w:rPr>
              <w:t xml:space="preserve">and </w:t>
            </w:r>
            <w:r>
              <w:rPr>
                <w:color w:val="231F20"/>
                <w:sz w:val="18"/>
                <w:szCs w:val="18"/>
              </w:rPr>
              <w:t xml:space="preserve">further afield, with a view to building a substantial group within the Exchange Traded Non- Ferrous Metals sector. </w:t>
            </w:r>
          </w:p>
          <w:p w14:paraId="0C2B3DF5" w14:textId="77777777" w:rsidR="0031766D" w:rsidRDefault="0031766D" w:rsidP="0047572B">
            <w:pPr>
              <w:pStyle w:val="TableParagraph"/>
              <w:kinsoku w:val="0"/>
              <w:overflowPunct w:val="0"/>
              <w:spacing w:before="2"/>
              <w:ind w:left="108" w:right="93"/>
              <w:jc w:val="both"/>
              <w:rPr>
                <w:color w:val="231F20"/>
                <w:sz w:val="18"/>
                <w:szCs w:val="18"/>
              </w:rPr>
            </w:pPr>
          </w:p>
          <w:p w14:paraId="71F48D8F" w14:textId="475FCCBA" w:rsidR="0031766D" w:rsidRDefault="0031766D" w:rsidP="0047572B">
            <w:pPr>
              <w:pStyle w:val="TableParagraph"/>
              <w:kinsoku w:val="0"/>
              <w:overflowPunct w:val="0"/>
              <w:spacing w:before="2"/>
              <w:ind w:left="108" w:right="93"/>
              <w:jc w:val="both"/>
              <w:rPr>
                <w:color w:val="231F20"/>
                <w:sz w:val="18"/>
                <w:szCs w:val="18"/>
              </w:rPr>
            </w:pPr>
            <w:r>
              <w:rPr>
                <w:color w:val="231F20"/>
                <w:sz w:val="18"/>
                <w:szCs w:val="18"/>
              </w:rPr>
              <w:t>The Group has a 100% interest in 2</w:t>
            </w:r>
            <w:r w:rsidR="002C1A67">
              <w:rPr>
                <w:color w:val="231F20"/>
                <w:sz w:val="18"/>
                <w:szCs w:val="18"/>
              </w:rPr>
              <w:t>0</w:t>
            </w:r>
            <w:r>
              <w:rPr>
                <w:color w:val="231F20"/>
                <w:sz w:val="18"/>
                <w:szCs w:val="18"/>
              </w:rPr>
              <w:t xml:space="preserve"> Granted Prospecting Permits (</w:t>
            </w:r>
            <w:r w:rsidRPr="00000354">
              <w:rPr>
                <w:color w:val="231F20"/>
                <w:sz w:val="18"/>
                <w:szCs w:val="18"/>
              </w:rPr>
              <w:t>covering 95.</w:t>
            </w:r>
            <w:r w:rsidR="002C1A67" w:rsidRPr="00000354">
              <w:rPr>
                <w:color w:val="231F20"/>
                <w:sz w:val="18"/>
                <w:szCs w:val="18"/>
              </w:rPr>
              <w:t>3</w:t>
            </w:r>
            <w:r w:rsidR="00F2354D" w:rsidRPr="00000354">
              <w:rPr>
                <w:color w:val="231F20"/>
                <w:sz w:val="18"/>
                <w:szCs w:val="18"/>
              </w:rPr>
              <w:t>8</w:t>
            </w:r>
            <w:r w:rsidR="002C1A67" w:rsidRPr="00000354">
              <w:rPr>
                <w:color w:val="231F20"/>
                <w:sz w:val="18"/>
                <w:szCs w:val="18"/>
              </w:rPr>
              <w:t>2</w:t>
            </w:r>
            <w:r w:rsidRPr="00000354">
              <w:rPr>
                <w:color w:val="231F20"/>
                <w:sz w:val="18"/>
                <w:szCs w:val="18"/>
              </w:rPr>
              <w:t xml:space="preserve"> square</w:t>
            </w:r>
            <w:r>
              <w:rPr>
                <w:color w:val="231F20"/>
                <w:sz w:val="18"/>
                <w:szCs w:val="18"/>
              </w:rPr>
              <w:t xml:space="preserve"> kilometres) in</w:t>
            </w:r>
            <w:r>
              <w:rPr>
                <w:color w:val="231F20"/>
                <w:spacing w:val="-6"/>
                <w:sz w:val="18"/>
                <w:szCs w:val="18"/>
              </w:rPr>
              <w:t xml:space="preserve"> </w:t>
            </w:r>
            <w:r>
              <w:rPr>
                <w:color w:val="231F20"/>
                <w:sz w:val="18"/>
                <w:szCs w:val="18"/>
              </w:rPr>
              <w:t>proximity to the Troodos mountains in Cyprus, on which it is currently exploring primarily for gold and</w:t>
            </w:r>
            <w:r>
              <w:rPr>
                <w:color w:val="231F20"/>
                <w:spacing w:val="-27"/>
                <w:sz w:val="18"/>
                <w:szCs w:val="18"/>
              </w:rPr>
              <w:t xml:space="preserve"> </w:t>
            </w:r>
            <w:r>
              <w:rPr>
                <w:color w:val="231F20"/>
                <w:sz w:val="18"/>
                <w:szCs w:val="18"/>
              </w:rPr>
              <w:t>copper.</w:t>
            </w:r>
          </w:p>
          <w:p w14:paraId="4DE7A891" w14:textId="77777777" w:rsidR="0031766D" w:rsidRPr="00DE4BBA" w:rsidRDefault="0031766D" w:rsidP="0047572B">
            <w:pPr>
              <w:pStyle w:val="TableParagraph"/>
              <w:kinsoku w:val="0"/>
              <w:overflowPunct w:val="0"/>
              <w:spacing w:before="2"/>
              <w:ind w:left="108" w:right="93"/>
              <w:jc w:val="both"/>
              <w:rPr>
                <w:i/>
                <w:color w:val="231F20"/>
                <w:sz w:val="18"/>
                <w:szCs w:val="18"/>
              </w:rPr>
            </w:pPr>
          </w:p>
          <w:p w14:paraId="4B3A9685" w14:textId="66D60360" w:rsidR="0031766D" w:rsidRPr="00DE4BBA" w:rsidRDefault="0031766D" w:rsidP="0047572B">
            <w:pPr>
              <w:pStyle w:val="TableParagraph"/>
              <w:kinsoku w:val="0"/>
              <w:overflowPunct w:val="0"/>
              <w:spacing w:before="2"/>
              <w:ind w:left="108" w:right="93"/>
              <w:jc w:val="both"/>
              <w:rPr>
                <w:b/>
                <w:color w:val="231F20"/>
                <w:sz w:val="18"/>
                <w:szCs w:val="18"/>
              </w:rPr>
            </w:pPr>
            <w:r>
              <w:rPr>
                <w:color w:val="231F20"/>
                <w:sz w:val="18"/>
                <w:szCs w:val="18"/>
              </w:rPr>
              <w:t>Following completion of the Labrador Acquisition, t</w:t>
            </w:r>
            <w:r w:rsidRPr="00DE4BBA">
              <w:rPr>
                <w:color w:val="231F20"/>
                <w:sz w:val="18"/>
                <w:szCs w:val="18"/>
              </w:rPr>
              <w:t xml:space="preserve">he Group </w:t>
            </w:r>
            <w:r>
              <w:rPr>
                <w:color w:val="231F20"/>
                <w:sz w:val="18"/>
                <w:szCs w:val="18"/>
              </w:rPr>
              <w:t>shall have</w:t>
            </w:r>
            <w:r w:rsidRPr="00DE4BBA">
              <w:rPr>
                <w:color w:val="231F20"/>
                <w:sz w:val="18"/>
                <w:szCs w:val="18"/>
              </w:rPr>
              <w:t xml:space="preserve"> a 100% interest in </w:t>
            </w:r>
            <w:r w:rsidR="009E6836">
              <w:rPr>
                <w:color w:val="231F20"/>
                <w:sz w:val="18"/>
                <w:szCs w:val="18"/>
              </w:rPr>
              <w:t>10</w:t>
            </w:r>
            <w:r>
              <w:rPr>
                <w:color w:val="231F20"/>
                <w:sz w:val="18"/>
                <w:szCs w:val="18"/>
              </w:rPr>
              <w:t xml:space="preserve"> Granted Map-Staked Mineral Licences (covering </w:t>
            </w:r>
            <w:r w:rsidR="006A64C9">
              <w:rPr>
                <w:color w:val="231F20"/>
                <w:sz w:val="18"/>
                <w:szCs w:val="18"/>
              </w:rPr>
              <w:t>297.25</w:t>
            </w:r>
            <w:r>
              <w:rPr>
                <w:color w:val="231F20"/>
                <w:sz w:val="18"/>
                <w:szCs w:val="18"/>
              </w:rPr>
              <w:t xml:space="preserve"> square kilometres) in proximity to the Central Mineral Belt of Labrador, Newfoundland and Labrador, Canada, on which it intends to explore primarily for copper. </w:t>
            </w:r>
          </w:p>
        </w:tc>
      </w:tr>
      <w:tr w:rsidR="0031766D" w14:paraId="25635225" w14:textId="77777777" w:rsidTr="0047572B">
        <w:trPr>
          <w:trHeight w:val="7775"/>
        </w:trPr>
        <w:tc>
          <w:tcPr>
            <w:tcW w:w="1395" w:type="dxa"/>
            <w:tcBorders>
              <w:top w:val="single" w:sz="4" w:space="0" w:color="231F20"/>
              <w:left w:val="single" w:sz="4" w:space="0" w:color="231F20"/>
              <w:bottom w:val="single" w:sz="4" w:space="0" w:color="231F20"/>
              <w:right w:val="single" w:sz="4" w:space="0" w:color="231F20"/>
            </w:tcBorders>
          </w:tcPr>
          <w:p w14:paraId="10E1CD44" w14:textId="77777777" w:rsidR="0031766D" w:rsidRDefault="0031766D" w:rsidP="0047572B">
            <w:pPr>
              <w:pStyle w:val="TableParagraph"/>
              <w:kinsoku w:val="0"/>
              <w:overflowPunct w:val="0"/>
              <w:rPr>
                <w:rFonts w:ascii="Times New Roman" w:hAnsi="Times New Roman" w:cs="Times New Roman"/>
                <w:sz w:val="16"/>
                <w:szCs w:val="16"/>
              </w:rPr>
            </w:pPr>
          </w:p>
        </w:tc>
        <w:tc>
          <w:tcPr>
            <w:tcW w:w="7956" w:type="dxa"/>
            <w:tcBorders>
              <w:top w:val="single" w:sz="4" w:space="0" w:color="231F20"/>
              <w:left w:val="single" w:sz="4" w:space="0" w:color="231F20"/>
              <w:bottom w:val="single" w:sz="4" w:space="0" w:color="231F20"/>
              <w:right w:val="single" w:sz="4" w:space="0" w:color="231F20"/>
            </w:tcBorders>
          </w:tcPr>
          <w:p w14:paraId="32D696B5" w14:textId="26A6E4F1" w:rsidR="006E5B10" w:rsidRDefault="0031766D" w:rsidP="0047572B">
            <w:pPr>
              <w:pStyle w:val="TableParagraph"/>
              <w:kinsoku w:val="0"/>
              <w:overflowPunct w:val="0"/>
              <w:ind w:left="108" w:right="95"/>
              <w:jc w:val="both"/>
              <w:rPr>
                <w:color w:val="231F20"/>
                <w:sz w:val="18"/>
                <w:szCs w:val="18"/>
              </w:rPr>
            </w:pPr>
            <w:r>
              <w:rPr>
                <w:color w:val="231F20"/>
                <w:sz w:val="18"/>
                <w:szCs w:val="18"/>
              </w:rPr>
              <w:t>In Cyprus</w:t>
            </w:r>
            <w:r w:rsidRPr="00915E7F">
              <w:rPr>
                <w:color w:val="231F20"/>
                <w:sz w:val="18"/>
                <w:szCs w:val="18"/>
              </w:rPr>
              <w:t>,</w:t>
            </w:r>
            <w:r w:rsidR="006E5B10" w:rsidRPr="00915E7F">
              <w:rPr>
                <w:color w:val="231F20"/>
                <w:sz w:val="18"/>
                <w:szCs w:val="18"/>
              </w:rPr>
              <w:t xml:space="preserve"> the</w:t>
            </w:r>
            <w:r w:rsidR="006E5B10">
              <w:rPr>
                <w:color w:val="231F20"/>
                <w:sz w:val="18"/>
                <w:szCs w:val="18"/>
              </w:rPr>
              <w:t xml:space="preserve"> Group has identified over 30 targets at Troodos West which </w:t>
            </w:r>
            <w:proofErr w:type="gramStart"/>
            <w:r w:rsidR="006E5B10">
              <w:rPr>
                <w:color w:val="231F20"/>
                <w:sz w:val="18"/>
                <w:szCs w:val="18"/>
              </w:rPr>
              <w:t>are considered to be</w:t>
            </w:r>
            <w:proofErr w:type="gramEnd"/>
            <w:r w:rsidR="006E5B10">
              <w:rPr>
                <w:color w:val="231F20"/>
                <w:sz w:val="18"/>
                <w:szCs w:val="18"/>
              </w:rPr>
              <w:t xml:space="preserve"> prospective for Gold and Copper, which it is currently assessing for drilling. The Group’s top drill targets on the Troodos West licence area are called </w:t>
            </w:r>
            <w:proofErr w:type="spellStart"/>
            <w:r w:rsidR="006E5B10">
              <w:rPr>
                <w:color w:val="231F20"/>
                <w:sz w:val="18"/>
                <w:szCs w:val="18"/>
              </w:rPr>
              <w:t>Evlim</w:t>
            </w:r>
            <w:proofErr w:type="spellEnd"/>
            <w:r w:rsidR="006E5B10">
              <w:rPr>
                <w:color w:val="231F20"/>
                <w:sz w:val="18"/>
                <w:szCs w:val="18"/>
              </w:rPr>
              <w:t xml:space="preserve">, </w:t>
            </w:r>
            <w:proofErr w:type="spellStart"/>
            <w:r w:rsidR="006E5B10">
              <w:rPr>
                <w:color w:val="231F20"/>
                <w:sz w:val="18"/>
                <w:szCs w:val="18"/>
              </w:rPr>
              <w:t>KinValley</w:t>
            </w:r>
            <w:proofErr w:type="spellEnd"/>
            <w:r w:rsidR="006E5B10">
              <w:rPr>
                <w:color w:val="231F20"/>
                <w:sz w:val="18"/>
                <w:szCs w:val="18"/>
              </w:rPr>
              <w:t xml:space="preserve"> and Hillside.</w:t>
            </w:r>
          </w:p>
          <w:p w14:paraId="6BA9A673" w14:textId="77777777" w:rsidR="00915E7F" w:rsidRDefault="00915E7F" w:rsidP="0047572B">
            <w:pPr>
              <w:pStyle w:val="TableParagraph"/>
              <w:kinsoku w:val="0"/>
              <w:overflowPunct w:val="0"/>
              <w:ind w:left="108" w:right="95"/>
              <w:jc w:val="both"/>
              <w:rPr>
                <w:color w:val="231F20"/>
                <w:sz w:val="18"/>
                <w:szCs w:val="18"/>
              </w:rPr>
            </w:pPr>
          </w:p>
          <w:p w14:paraId="52C007E8" w14:textId="1B0C4300" w:rsidR="006E5B10" w:rsidRPr="00D54B42" w:rsidRDefault="006E5B10" w:rsidP="0047572B">
            <w:pPr>
              <w:pStyle w:val="TableParagraph"/>
              <w:kinsoku w:val="0"/>
              <w:overflowPunct w:val="0"/>
              <w:ind w:left="108" w:right="93"/>
              <w:jc w:val="both"/>
              <w:rPr>
                <w:color w:val="231F20"/>
                <w:sz w:val="18"/>
                <w:szCs w:val="18"/>
                <w:highlight w:val="yellow"/>
              </w:rPr>
            </w:pPr>
            <w:r>
              <w:rPr>
                <w:color w:val="231F20"/>
                <w:sz w:val="18"/>
                <w:szCs w:val="18"/>
              </w:rPr>
              <w:t xml:space="preserve">In Q4 2020, the Group carried out an AMT geophysics survey at its Troodos North licence area, with encouraging results. The Group carried out Diamond Drilling on this licence area in November 2020. An historic mine was located on this target area which was closed before the orebody was exhausted. The Directors therefore believe that there is the potential to estimate a mineral resource in this area in the future. The Group has received assay results from its Diamond Drilling carried out from September to November 2020. The drilling provided encouraging intersections on all three of the Group’s priority targets. At target </w:t>
            </w:r>
            <w:proofErr w:type="spellStart"/>
            <w:r>
              <w:rPr>
                <w:color w:val="231F20"/>
                <w:sz w:val="18"/>
                <w:szCs w:val="18"/>
              </w:rPr>
              <w:t>Evlim</w:t>
            </w:r>
            <w:proofErr w:type="spellEnd"/>
            <w:r>
              <w:rPr>
                <w:color w:val="231F20"/>
                <w:sz w:val="18"/>
                <w:szCs w:val="18"/>
              </w:rPr>
              <w:t xml:space="preserve">, high-grade, resource quality polymetallic massive sulphides were encountered from a depth of 148.50-151.15m, i.e. 2.65m with assayed grades of 2.8% copper, 3.8% zinc, 3.0 g/t gold, 30 g/t silver. The total mineralised width of the intersection was 11.6m. At target Hillside, resource-grade polymetallic sulphides were encountered from a depth of 143.55-146.00m, i.e. 2.45m with assayed grades of 1.4% copper, 4.4% zinc, 3.0 g/t gold, 38 g/t silver. The total mineralised width of the intersection was 16.6m. At target </w:t>
            </w:r>
            <w:proofErr w:type="spellStart"/>
            <w:r>
              <w:rPr>
                <w:color w:val="231F20"/>
                <w:sz w:val="18"/>
                <w:szCs w:val="18"/>
              </w:rPr>
              <w:t>KinValley</w:t>
            </w:r>
            <w:proofErr w:type="spellEnd"/>
            <w:r>
              <w:rPr>
                <w:color w:val="231F20"/>
                <w:sz w:val="18"/>
                <w:szCs w:val="18"/>
              </w:rPr>
              <w:t xml:space="preserve">, traces of supergene native copper encountered in three drill holes are indicative of a primary copper sulphide source undergoing weathering nearby. The Group’s 2021 exploration campaign in Cyprus is running on schedule, with the Group’s first phase AMT and gravity geophysics surveys, together with its Percussion Drilling programme of 14 holes, now completed. The gravity geophysics survey conducted in the area to the west of target Hillside highlighted a large new high-priority target named “Olive”, which is a compelling North-South trending structure, manifesting as a residual gravity high. This anomaly extends 1km in length and up to 300m in width and may be indicative of a type of early-forming subsidiary basin that often host VMS deposits. The next phase of geophysics </w:t>
            </w:r>
            <w:r w:rsidR="007E480E">
              <w:rPr>
                <w:color w:val="231F20"/>
                <w:sz w:val="18"/>
                <w:szCs w:val="18"/>
              </w:rPr>
              <w:t>has</w:t>
            </w:r>
            <w:r>
              <w:rPr>
                <w:color w:val="231F20"/>
                <w:sz w:val="18"/>
                <w:szCs w:val="18"/>
              </w:rPr>
              <w:t xml:space="preserve"> now </w:t>
            </w:r>
            <w:proofErr w:type="gramStart"/>
            <w:r>
              <w:rPr>
                <w:color w:val="231F20"/>
                <w:sz w:val="18"/>
                <w:szCs w:val="18"/>
              </w:rPr>
              <w:t>commence</w:t>
            </w:r>
            <w:r w:rsidR="007E480E">
              <w:rPr>
                <w:color w:val="231F20"/>
                <w:sz w:val="18"/>
                <w:szCs w:val="18"/>
              </w:rPr>
              <w:t>d</w:t>
            </w:r>
            <w:proofErr w:type="gramEnd"/>
            <w:r>
              <w:rPr>
                <w:color w:val="231F20"/>
                <w:sz w:val="18"/>
                <w:szCs w:val="18"/>
              </w:rPr>
              <w:t xml:space="preserve"> and a specialised team </w:t>
            </w:r>
            <w:r w:rsidR="007E480E">
              <w:rPr>
                <w:color w:val="231F20"/>
                <w:sz w:val="18"/>
                <w:szCs w:val="18"/>
              </w:rPr>
              <w:t>has</w:t>
            </w:r>
            <w:r>
              <w:rPr>
                <w:color w:val="231F20"/>
                <w:sz w:val="18"/>
                <w:szCs w:val="18"/>
              </w:rPr>
              <w:t xml:space="preserve"> conduct</w:t>
            </w:r>
            <w:r w:rsidR="007E480E">
              <w:rPr>
                <w:color w:val="231F20"/>
                <w:sz w:val="18"/>
                <w:szCs w:val="18"/>
              </w:rPr>
              <w:t>ed</w:t>
            </w:r>
            <w:r>
              <w:rPr>
                <w:color w:val="231F20"/>
                <w:sz w:val="18"/>
                <w:szCs w:val="18"/>
              </w:rPr>
              <w:t xml:space="preserve"> a down-hole EM programme. Diamond Drilling commence</w:t>
            </w:r>
            <w:r w:rsidR="00FC2F8C">
              <w:rPr>
                <w:color w:val="231F20"/>
                <w:sz w:val="18"/>
                <w:szCs w:val="18"/>
              </w:rPr>
              <w:t>d</w:t>
            </w:r>
            <w:r>
              <w:rPr>
                <w:color w:val="231F20"/>
                <w:sz w:val="18"/>
                <w:szCs w:val="18"/>
              </w:rPr>
              <w:t xml:space="preserve"> </w:t>
            </w:r>
            <w:r w:rsidR="007E480E">
              <w:rPr>
                <w:color w:val="231F20"/>
                <w:sz w:val="18"/>
                <w:szCs w:val="18"/>
              </w:rPr>
              <w:t xml:space="preserve">at the </w:t>
            </w:r>
            <w:r w:rsidR="00B765C9">
              <w:rPr>
                <w:color w:val="231F20"/>
                <w:sz w:val="18"/>
                <w:szCs w:val="18"/>
              </w:rPr>
              <w:t>start of July</w:t>
            </w:r>
            <w:r w:rsidR="007E480E">
              <w:rPr>
                <w:color w:val="231F20"/>
                <w:sz w:val="18"/>
                <w:szCs w:val="18"/>
              </w:rPr>
              <w:t xml:space="preserve"> 2021</w:t>
            </w:r>
            <w:r>
              <w:rPr>
                <w:color w:val="231F20"/>
                <w:sz w:val="18"/>
                <w:szCs w:val="18"/>
              </w:rPr>
              <w:t>, in an expanded works programme. As well as focusing on its primary target area of Troodos West, the Group anticipates exploratory work on its Troodos North and Discovery South licence are</w:t>
            </w:r>
            <w:r w:rsidRPr="00EA1788">
              <w:rPr>
                <w:color w:val="231F20"/>
                <w:sz w:val="18"/>
                <w:szCs w:val="18"/>
              </w:rPr>
              <w:t>as</w:t>
            </w:r>
            <w:r w:rsidRPr="00EA1788">
              <w:rPr>
                <w:b/>
                <w:color w:val="231F20"/>
                <w:sz w:val="18"/>
                <w:szCs w:val="18"/>
              </w:rPr>
              <w:t>.</w:t>
            </w:r>
          </w:p>
          <w:p w14:paraId="2BFC3E8D" w14:textId="77777777" w:rsidR="006E5B10" w:rsidRDefault="006E5B10" w:rsidP="0047572B">
            <w:pPr>
              <w:pStyle w:val="TableParagraph"/>
              <w:kinsoku w:val="0"/>
              <w:overflowPunct w:val="0"/>
              <w:ind w:right="93"/>
              <w:jc w:val="both"/>
              <w:rPr>
                <w:b/>
                <w:i/>
                <w:color w:val="231F20"/>
                <w:sz w:val="18"/>
                <w:szCs w:val="18"/>
              </w:rPr>
            </w:pPr>
          </w:p>
          <w:p w14:paraId="7F16B67A" w14:textId="72FF5B9A" w:rsidR="0031766D" w:rsidRDefault="006E5B10" w:rsidP="0047572B">
            <w:pPr>
              <w:pStyle w:val="TableParagraph"/>
              <w:kinsoku w:val="0"/>
              <w:overflowPunct w:val="0"/>
              <w:ind w:left="108" w:right="93"/>
              <w:jc w:val="both"/>
              <w:rPr>
                <w:color w:val="231F20"/>
                <w:sz w:val="18"/>
                <w:szCs w:val="18"/>
              </w:rPr>
            </w:pPr>
            <w:r>
              <w:rPr>
                <w:color w:val="231F20"/>
                <w:sz w:val="18"/>
                <w:szCs w:val="18"/>
              </w:rPr>
              <w:t xml:space="preserve">In Canada, the Adeline Copper Project demonstrates the potential for sediment-hosted copper mineralisation as reduced grey beds of the Adeline Island Formation host significant copper concentrations. The </w:t>
            </w:r>
            <w:r w:rsidRPr="007B03B1">
              <w:rPr>
                <w:color w:val="231F20"/>
                <w:sz w:val="18"/>
                <w:szCs w:val="18"/>
              </w:rPr>
              <w:t xml:space="preserve">Group </w:t>
            </w:r>
            <w:r>
              <w:rPr>
                <w:color w:val="231F20"/>
                <w:sz w:val="18"/>
                <w:szCs w:val="18"/>
              </w:rPr>
              <w:t xml:space="preserve">intends to </w:t>
            </w:r>
            <w:r>
              <w:rPr>
                <w:sz w:val="18"/>
                <w:szCs w:val="18"/>
              </w:rPr>
              <w:t xml:space="preserve">undertake a programme of core re-logging, detailed geological mapping, </w:t>
            </w:r>
            <w:proofErr w:type="gramStart"/>
            <w:r>
              <w:rPr>
                <w:sz w:val="18"/>
                <w:szCs w:val="18"/>
              </w:rPr>
              <w:t>prospecting</w:t>
            </w:r>
            <w:proofErr w:type="gramEnd"/>
            <w:r>
              <w:rPr>
                <w:sz w:val="18"/>
                <w:szCs w:val="18"/>
              </w:rPr>
              <w:t xml:space="preserve"> and soil sampling as the first phase of a work programme to identify drill targets within the target areas. Geochemical techniques such as soil and/or till sampling, </w:t>
            </w:r>
            <w:r w:rsidR="00915E7F">
              <w:rPr>
                <w:sz w:val="18"/>
                <w:szCs w:val="18"/>
              </w:rPr>
              <w:t>together</w:t>
            </w:r>
            <w:r>
              <w:rPr>
                <w:sz w:val="18"/>
                <w:szCs w:val="18"/>
              </w:rPr>
              <w:t xml:space="preserve"> with detailed geological and structural mapping, will aid in the identification and evaluation of mineralised areas, including those which are typically not exposed. </w:t>
            </w:r>
          </w:p>
        </w:tc>
      </w:tr>
      <w:tr w:rsidR="0031766D" w14:paraId="2C834C61" w14:textId="77777777" w:rsidTr="0047572B">
        <w:trPr>
          <w:trHeight w:val="1550"/>
        </w:trPr>
        <w:tc>
          <w:tcPr>
            <w:tcW w:w="1395" w:type="dxa"/>
            <w:tcBorders>
              <w:top w:val="single" w:sz="4" w:space="0" w:color="231F20"/>
              <w:left w:val="single" w:sz="4" w:space="0" w:color="231F20"/>
              <w:bottom w:val="single" w:sz="4" w:space="0" w:color="231F20"/>
              <w:right w:val="single" w:sz="4" w:space="0" w:color="231F20"/>
            </w:tcBorders>
          </w:tcPr>
          <w:p w14:paraId="6E53179A" w14:textId="77777777" w:rsidR="0031766D" w:rsidRDefault="0031766D" w:rsidP="0047572B">
            <w:pPr>
              <w:pStyle w:val="TableParagraph"/>
              <w:kinsoku w:val="0"/>
              <w:overflowPunct w:val="0"/>
              <w:ind w:left="107" w:right="216"/>
              <w:rPr>
                <w:color w:val="050606"/>
                <w:sz w:val="18"/>
                <w:szCs w:val="18"/>
              </w:rPr>
            </w:pPr>
            <w:r>
              <w:rPr>
                <w:color w:val="050606"/>
                <w:sz w:val="18"/>
                <w:szCs w:val="18"/>
              </w:rPr>
              <w:t>Major shareholders</w:t>
            </w:r>
          </w:p>
        </w:tc>
        <w:tc>
          <w:tcPr>
            <w:tcW w:w="7956" w:type="dxa"/>
            <w:tcBorders>
              <w:top w:val="single" w:sz="4" w:space="0" w:color="231F20"/>
              <w:left w:val="single" w:sz="4" w:space="0" w:color="231F20"/>
              <w:bottom w:val="single" w:sz="4" w:space="0" w:color="231F20"/>
              <w:right w:val="single" w:sz="4" w:space="0" w:color="231F20"/>
            </w:tcBorders>
          </w:tcPr>
          <w:p w14:paraId="04BD57B3" w14:textId="44EF07F8" w:rsidR="0031766D" w:rsidRDefault="00002F84" w:rsidP="0047572B">
            <w:pPr>
              <w:pStyle w:val="TableParagraph"/>
              <w:kinsoku w:val="0"/>
              <w:overflowPunct w:val="0"/>
              <w:ind w:left="108" w:right="93"/>
              <w:jc w:val="both"/>
              <w:rPr>
                <w:b/>
                <w:i/>
                <w:color w:val="050606"/>
                <w:sz w:val="18"/>
                <w:szCs w:val="18"/>
                <w:highlight w:val="yellow"/>
              </w:rPr>
            </w:pPr>
            <w:r>
              <w:rPr>
                <w:noProof/>
              </w:rPr>
              <mc:AlternateContent>
                <mc:Choice Requires="wps">
                  <w:drawing>
                    <wp:anchor distT="0" distB="0" distL="114300" distR="114300" simplePos="0" relativeHeight="251663360" behindDoc="0" locked="0" layoutInCell="0" allowOverlap="1" wp14:anchorId="42D5E6B0" wp14:editId="0974BFEA">
                      <wp:simplePos x="0" y="0"/>
                      <wp:positionH relativeFrom="page">
                        <wp:posOffset>69850</wp:posOffset>
                      </wp:positionH>
                      <wp:positionV relativeFrom="page">
                        <wp:posOffset>393700</wp:posOffset>
                      </wp:positionV>
                      <wp:extent cx="7042785" cy="3600450"/>
                      <wp:effectExtent l="0" t="0" r="5715"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78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65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1106"/>
                                    <w:gridCol w:w="1162"/>
                                    <w:gridCol w:w="993"/>
                                    <w:gridCol w:w="1275"/>
                                    <w:gridCol w:w="1701"/>
                                    <w:gridCol w:w="1418"/>
                                  </w:tblGrid>
                                  <w:tr w:rsidR="00170424" w14:paraId="3488AAC4" w14:textId="10389B48" w:rsidTr="0047572B">
                                    <w:trPr>
                                      <w:trHeight w:val="1585"/>
                                    </w:trPr>
                                    <w:tc>
                                      <w:tcPr>
                                        <w:tcW w:w="1106" w:type="dxa"/>
                                      </w:tcPr>
                                      <w:p w14:paraId="48F4B2A3" w14:textId="77777777" w:rsidR="00170424" w:rsidRPr="007C2E3B" w:rsidRDefault="00170424">
                                        <w:pPr>
                                          <w:pStyle w:val="TableParagraph"/>
                                          <w:kinsoku w:val="0"/>
                                          <w:overflowPunct w:val="0"/>
                                          <w:spacing w:line="201" w:lineRule="exact"/>
                                          <w:ind w:left="107"/>
                                          <w:rPr>
                                            <w:b/>
                                            <w:bCs/>
                                            <w:color w:val="231F20"/>
                                            <w:sz w:val="14"/>
                                            <w:szCs w:val="14"/>
                                          </w:rPr>
                                        </w:pPr>
                                        <w:r w:rsidRPr="007C2E3B">
                                          <w:rPr>
                                            <w:b/>
                                            <w:bCs/>
                                            <w:color w:val="231F20"/>
                                            <w:sz w:val="14"/>
                                            <w:szCs w:val="14"/>
                                          </w:rPr>
                                          <w:t>Name</w:t>
                                        </w:r>
                                      </w:p>
                                    </w:tc>
                                    <w:tc>
                                      <w:tcPr>
                                        <w:tcW w:w="1162" w:type="dxa"/>
                                      </w:tcPr>
                                      <w:p w14:paraId="6E75F433" w14:textId="77777777" w:rsidR="00170424" w:rsidRPr="007C2E3B" w:rsidRDefault="00170424" w:rsidP="007858BE">
                                        <w:pPr>
                                          <w:pStyle w:val="TableParagraph"/>
                                          <w:kinsoku w:val="0"/>
                                          <w:overflowPunct w:val="0"/>
                                          <w:spacing w:line="259" w:lineRule="auto"/>
                                          <w:ind w:left="81" w:right="180" w:hanging="3"/>
                                          <w:rPr>
                                            <w:b/>
                                            <w:bCs/>
                                            <w:color w:val="231F20"/>
                                            <w:sz w:val="14"/>
                                            <w:szCs w:val="14"/>
                                          </w:rPr>
                                        </w:pPr>
                                        <w:r w:rsidRPr="007C2E3B">
                                          <w:rPr>
                                            <w:b/>
                                            <w:bCs/>
                                            <w:color w:val="231F20"/>
                                            <w:sz w:val="14"/>
                                            <w:szCs w:val="14"/>
                                          </w:rPr>
                                          <w:t>Number of Ordinary Shares as at date of this Document</w:t>
                                        </w:r>
                                      </w:p>
                                    </w:tc>
                                    <w:tc>
                                      <w:tcPr>
                                        <w:tcW w:w="993" w:type="dxa"/>
                                      </w:tcPr>
                                      <w:p w14:paraId="3E264954" w14:textId="77777777" w:rsidR="00170424" w:rsidRPr="007C2E3B" w:rsidRDefault="00170424" w:rsidP="007858BE">
                                        <w:pPr>
                                          <w:pStyle w:val="TableParagraph"/>
                                          <w:kinsoku w:val="0"/>
                                          <w:overflowPunct w:val="0"/>
                                          <w:spacing w:line="259" w:lineRule="auto"/>
                                          <w:ind w:left="107" w:right="98" w:firstLine="3"/>
                                          <w:rPr>
                                            <w:b/>
                                            <w:bCs/>
                                            <w:color w:val="231F20"/>
                                            <w:sz w:val="14"/>
                                            <w:szCs w:val="14"/>
                                          </w:rPr>
                                        </w:pPr>
                                        <w:r w:rsidRPr="007C2E3B">
                                          <w:rPr>
                                            <w:b/>
                                            <w:bCs/>
                                            <w:color w:val="231F20"/>
                                            <w:sz w:val="14"/>
                                            <w:szCs w:val="14"/>
                                          </w:rPr>
                                          <w:t>% of Existing Ordinary Share Capital</w:t>
                                        </w:r>
                                      </w:p>
                                    </w:tc>
                                    <w:tc>
                                      <w:tcPr>
                                        <w:tcW w:w="1275" w:type="dxa"/>
                                      </w:tcPr>
                                      <w:p w14:paraId="5DD7FEA5" w14:textId="60F2409E" w:rsidR="00170424" w:rsidRPr="007C2E3B" w:rsidRDefault="00170424">
                                        <w:pPr>
                                          <w:pStyle w:val="TableParagraph"/>
                                          <w:kinsoku w:val="0"/>
                                          <w:overflowPunct w:val="0"/>
                                          <w:spacing w:line="259" w:lineRule="auto"/>
                                          <w:ind w:left="108" w:right="101"/>
                                          <w:rPr>
                                            <w:b/>
                                            <w:bCs/>
                                            <w:color w:val="231F20"/>
                                            <w:sz w:val="14"/>
                                            <w:szCs w:val="14"/>
                                          </w:rPr>
                                        </w:pPr>
                                        <w:r w:rsidRPr="007C2E3B">
                                          <w:rPr>
                                            <w:b/>
                                            <w:bCs/>
                                            <w:color w:val="231F20"/>
                                            <w:sz w:val="14"/>
                                            <w:szCs w:val="14"/>
                                          </w:rPr>
                                          <w:t>Number of Ordinary Shares as at Admission</w:t>
                                        </w:r>
                                        <w:r>
                                          <w:rPr>
                                            <w:b/>
                                            <w:bCs/>
                                            <w:color w:val="231F20"/>
                                            <w:sz w:val="14"/>
                                            <w:szCs w:val="14"/>
                                          </w:rPr>
                                          <w:t xml:space="preserve"> (pre/</w:t>
                                        </w:r>
                                        <w:proofErr w:type="gramStart"/>
                                        <w:r>
                                          <w:rPr>
                                            <w:b/>
                                            <w:bCs/>
                                            <w:color w:val="231F20"/>
                                            <w:sz w:val="14"/>
                                            <w:szCs w:val="14"/>
                                          </w:rPr>
                                          <w:t>post  exercise</w:t>
                                        </w:r>
                                        <w:proofErr w:type="gramEnd"/>
                                        <w:r>
                                          <w:rPr>
                                            <w:b/>
                                            <w:bCs/>
                                            <w:color w:val="231F20"/>
                                            <w:sz w:val="14"/>
                                            <w:szCs w:val="14"/>
                                          </w:rPr>
                                          <w:t xml:space="preserve"> of  Labrador Consideration Warrants)*</w:t>
                                        </w:r>
                                      </w:p>
                                    </w:tc>
                                    <w:tc>
                                      <w:tcPr>
                                        <w:tcW w:w="1701" w:type="dxa"/>
                                      </w:tcPr>
                                      <w:p w14:paraId="4727BEE9" w14:textId="7B605DCC" w:rsidR="00170424" w:rsidRDefault="00170424" w:rsidP="001C4361">
                                        <w:pPr>
                                          <w:pStyle w:val="TableParagraph"/>
                                          <w:kinsoku w:val="0"/>
                                          <w:overflowPunct w:val="0"/>
                                          <w:spacing w:line="259" w:lineRule="auto"/>
                                          <w:ind w:left="108" w:right="129"/>
                                          <w:rPr>
                                            <w:b/>
                                            <w:bCs/>
                                            <w:color w:val="231F20"/>
                                            <w:sz w:val="14"/>
                                            <w:szCs w:val="14"/>
                                          </w:rPr>
                                        </w:pPr>
                                        <w:r w:rsidRPr="007C2E3B">
                                          <w:rPr>
                                            <w:b/>
                                            <w:bCs/>
                                            <w:color w:val="231F20"/>
                                            <w:sz w:val="14"/>
                                            <w:szCs w:val="14"/>
                                          </w:rPr>
                                          <w:t>% of the Enlarged Ordinary Share Capital</w:t>
                                        </w:r>
                                        <w:r>
                                          <w:rPr>
                                            <w:b/>
                                            <w:bCs/>
                                            <w:color w:val="231F20"/>
                                            <w:sz w:val="14"/>
                                            <w:szCs w:val="14"/>
                                          </w:rPr>
                                          <w:t xml:space="preserve">/issued ordinary share </w:t>
                                        </w:r>
                                        <w:proofErr w:type="gramStart"/>
                                        <w:r>
                                          <w:rPr>
                                            <w:b/>
                                            <w:bCs/>
                                            <w:color w:val="231F20"/>
                                            <w:sz w:val="14"/>
                                            <w:szCs w:val="14"/>
                                          </w:rPr>
                                          <w:t>capital  post</w:t>
                                        </w:r>
                                        <w:proofErr w:type="gramEnd"/>
                                        <w:r>
                                          <w:rPr>
                                            <w:b/>
                                            <w:bCs/>
                                            <w:color w:val="231F20"/>
                                            <w:sz w:val="14"/>
                                            <w:szCs w:val="14"/>
                                          </w:rPr>
                                          <w:t xml:space="preserve">  exercise of  Labrador Consideration Warrants*</w:t>
                                        </w:r>
                                      </w:p>
                                      <w:p w14:paraId="4250E5B2" w14:textId="12F43854" w:rsidR="00170424" w:rsidRPr="007C2E3B" w:rsidRDefault="00170424" w:rsidP="001C4361">
                                        <w:pPr>
                                          <w:pStyle w:val="TableParagraph"/>
                                          <w:kinsoku w:val="0"/>
                                          <w:overflowPunct w:val="0"/>
                                          <w:spacing w:line="259" w:lineRule="auto"/>
                                          <w:ind w:left="108" w:right="129"/>
                                          <w:rPr>
                                            <w:b/>
                                            <w:bCs/>
                                            <w:color w:val="231F20"/>
                                            <w:sz w:val="14"/>
                                            <w:szCs w:val="14"/>
                                          </w:rPr>
                                        </w:pPr>
                                      </w:p>
                                    </w:tc>
                                    <w:tc>
                                      <w:tcPr>
                                        <w:tcW w:w="1418" w:type="dxa"/>
                                      </w:tcPr>
                                      <w:p w14:paraId="1E51E064" w14:textId="77777777" w:rsidR="00170424" w:rsidRDefault="00170424">
                                        <w:pPr>
                                          <w:pStyle w:val="TableParagraph"/>
                                          <w:kinsoku w:val="0"/>
                                          <w:overflowPunct w:val="0"/>
                                          <w:spacing w:line="259" w:lineRule="auto"/>
                                          <w:ind w:left="108" w:right="326"/>
                                          <w:rPr>
                                            <w:b/>
                                            <w:bCs/>
                                            <w:color w:val="231F20"/>
                                            <w:sz w:val="14"/>
                                            <w:szCs w:val="14"/>
                                          </w:rPr>
                                        </w:pPr>
                                        <w:r>
                                          <w:rPr>
                                            <w:b/>
                                            <w:bCs/>
                                            <w:color w:val="231F20"/>
                                            <w:sz w:val="14"/>
                                            <w:szCs w:val="14"/>
                                          </w:rPr>
                                          <w:t>% of Dilution</w:t>
                                        </w:r>
                                      </w:p>
                                      <w:p w14:paraId="66A9CF67" w14:textId="25DF72F9" w:rsidR="00170424" w:rsidRPr="007C2E3B" w:rsidRDefault="00170424">
                                        <w:pPr>
                                          <w:pStyle w:val="TableParagraph"/>
                                          <w:kinsoku w:val="0"/>
                                          <w:overflowPunct w:val="0"/>
                                          <w:spacing w:line="259" w:lineRule="auto"/>
                                          <w:ind w:left="108" w:right="326"/>
                                          <w:rPr>
                                            <w:b/>
                                            <w:bCs/>
                                            <w:color w:val="231F20"/>
                                            <w:sz w:val="14"/>
                                            <w:szCs w:val="14"/>
                                          </w:rPr>
                                        </w:pPr>
                                        <w:r w:rsidRPr="00696DC8">
                                          <w:rPr>
                                            <w:b/>
                                            <w:bCs/>
                                            <w:color w:val="231F20"/>
                                            <w:sz w:val="14"/>
                                            <w:szCs w:val="14"/>
                                          </w:rPr>
                                          <w:t>(pre/</w:t>
                                        </w:r>
                                        <w:proofErr w:type="gramStart"/>
                                        <w:r w:rsidRPr="00696DC8">
                                          <w:rPr>
                                            <w:b/>
                                            <w:bCs/>
                                            <w:color w:val="231F20"/>
                                            <w:sz w:val="14"/>
                                            <w:szCs w:val="14"/>
                                          </w:rPr>
                                          <w:t>post  exercise</w:t>
                                        </w:r>
                                        <w:proofErr w:type="gramEnd"/>
                                        <w:r w:rsidRPr="00696DC8">
                                          <w:rPr>
                                            <w:b/>
                                            <w:bCs/>
                                            <w:color w:val="231F20"/>
                                            <w:sz w:val="14"/>
                                            <w:szCs w:val="14"/>
                                          </w:rPr>
                                          <w:t xml:space="preserve"> of </w:t>
                                        </w:r>
                                        <w:r>
                                          <w:rPr>
                                            <w:b/>
                                            <w:bCs/>
                                            <w:color w:val="231F20"/>
                                            <w:sz w:val="14"/>
                                            <w:szCs w:val="14"/>
                                          </w:rPr>
                                          <w:t xml:space="preserve"> Labrador Consideration </w:t>
                                        </w:r>
                                        <w:r w:rsidRPr="00696DC8">
                                          <w:rPr>
                                            <w:b/>
                                            <w:bCs/>
                                            <w:color w:val="231F20"/>
                                            <w:sz w:val="14"/>
                                            <w:szCs w:val="14"/>
                                          </w:rPr>
                                          <w:t>Warrants)</w:t>
                                        </w:r>
                                        <w:r>
                                          <w:rPr>
                                            <w:b/>
                                            <w:bCs/>
                                            <w:color w:val="231F20"/>
                                            <w:sz w:val="14"/>
                                            <w:szCs w:val="14"/>
                                          </w:rPr>
                                          <w:t>*</w:t>
                                        </w:r>
                                      </w:p>
                                    </w:tc>
                                  </w:tr>
                                  <w:tr w:rsidR="00170424" w14:paraId="71800C6D" w14:textId="1B868FBE" w:rsidTr="0047572B">
                                    <w:trPr>
                                      <w:trHeight w:hRule="exact" w:val="543"/>
                                    </w:trPr>
                                    <w:tc>
                                      <w:tcPr>
                                        <w:tcW w:w="1106" w:type="dxa"/>
                                      </w:tcPr>
                                      <w:p w14:paraId="38238CBF" w14:textId="7F02A034" w:rsidR="00170424" w:rsidRPr="007C2E3B" w:rsidRDefault="00170424" w:rsidP="007858BE">
                                        <w:pPr>
                                          <w:pStyle w:val="TableParagraph"/>
                                          <w:kinsoku w:val="0"/>
                                          <w:overflowPunct w:val="0"/>
                                          <w:spacing w:line="206" w:lineRule="exact"/>
                                          <w:ind w:left="107"/>
                                          <w:rPr>
                                            <w:color w:val="231F20"/>
                                            <w:sz w:val="14"/>
                                            <w:szCs w:val="14"/>
                                          </w:rPr>
                                        </w:pPr>
                                        <w:proofErr w:type="spellStart"/>
                                        <w:r w:rsidRPr="007C2E3B">
                                          <w:rPr>
                                            <w:color w:val="231F20"/>
                                            <w:sz w:val="14"/>
                                            <w:szCs w:val="14"/>
                                          </w:rPr>
                                          <w:t>Polymetal</w:t>
                                        </w:r>
                                        <w:proofErr w:type="spellEnd"/>
                                      </w:p>
                                    </w:tc>
                                    <w:tc>
                                      <w:tcPr>
                                        <w:tcW w:w="1162" w:type="dxa"/>
                                      </w:tcPr>
                                      <w:p w14:paraId="46DB56B9" w14:textId="77777777" w:rsidR="00170424" w:rsidRPr="007C2E3B" w:rsidRDefault="00170424" w:rsidP="007858BE">
                                        <w:pPr>
                                          <w:pStyle w:val="TableParagraph"/>
                                          <w:kinsoku w:val="0"/>
                                          <w:overflowPunct w:val="0"/>
                                          <w:spacing w:line="206" w:lineRule="exact"/>
                                          <w:ind w:left="81"/>
                                          <w:rPr>
                                            <w:color w:val="231F20"/>
                                            <w:w w:val="99"/>
                                            <w:sz w:val="14"/>
                                            <w:szCs w:val="14"/>
                                          </w:rPr>
                                        </w:pPr>
                                        <w:r w:rsidRPr="007C2E3B">
                                          <w:rPr>
                                            <w:color w:val="231F20"/>
                                            <w:w w:val="99"/>
                                            <w:sz w:val="14"/>
                                            <w:szCs w:val="14"/>
                                          </w:rPr>
                                          <w:t>23,333,334</w:t>
                                        </w:r>
                                      </w:p>
                                    </w:tc>
                                    <w:tc>
                                      <w:tcPr>
                                        <w:tcW w:w="993" w:type="dxa"/>
                                      </w:tcPr>
                                      <w:p w14:paraId="679AE127" w14:textId="307A4CE7" w:rsidR="00170424" w:rsidRPr="007C2E3B" w:rsidRDefault="00170424" w:rsidP="007858BE">
                                        <w:pPr>
                                          <w:pStyle w:val="TableParagraph"/>
                                          <w:kinsoku w:val="0"/>
                                          <w:overflowPunct w:val="0"/>
                                          <w:spacing w:line="206" w:lineRule="exact"/>
                                          <w:ind w:left="107" w:right="98"/>
                                          <w:rPr>
                                            <w:color w:val="231F20"/>
                                            <w:w w:val="99"/>
                                            <w:sz w:val="14"/>
                                            <w:szCs w:val="14"/>
                                          </w:rPr>
                                        </w:pPr>
                                        <w:r w:rsidRPr="007C2E3B">
                                          <w:rPr>
                                            <w:color w:val="231F20"/>
                                            <w:w w:val="99"/>
                                            <w:sz w:val="14"/>
                                            <w:szCs w:val="14"/>
                                          </w:rPr>
                                          <w:t>22.90</w:t>
                                        </w:r>
                                      </w:p>
                                    </w:tc>
                                    <w:tc>
                                      <w:tcPr>
                                        <w:tcW w:w="1275" w:type="dxa"/>
                                      </w:tcPr>
                                      <w:p w14:paraId="3BBC8F3A" w14:textId="6384C6BA" w:rsidR="00170424" w:rsidRPr="007C2E3B" w:rsidRDefault="00170424">
                                        <w:pPr>
                                          <w:pStyle w:val="TableParagraph"/>
                                          <w:kinsoku w:val="0"/>
                                          <w:overflowPunct w:val="0"/>
                                          <w:spacing w:line="206" w:lineRule="exact"/>
                                          <w:ind w:left="108"/>
                                          <w:rPr>
                                            <w:color w:val="231F20"/>
                                            <w:sz w:val="14"/>
                                            <w:szCs w:val="14"/>
                                          </w:rPr>
                                        </w:pPr>
                                        <w:r w:rsidRPr="007C2E3B">
                                          <w:rPr>
                                            <w:color w:val="231F20"/>
                                            <w:sz w:val="14"/>
                                            <w:szCs w:val="14"/>
                                          </w:rPr>
                                          <w:t>23,333,334</w:t>
                                        </w:r>
                                        <w:r>
                                          <w:rPr>
                                            <w:color w:val="231F20"/>
                                            <w:sz w:val="14"/>
                                            <w:szCs w:val="14"/>
                                          </w:rPr>
                                          <w:t>/</w:t>
                                        </w:r>
                                        <w:r>
                                          <w:rPr>
                                            <w:color w:val="231F20"/>
                                            <w:sz w:val="14"/>
                                            <w:szCs w:val="14"/>
                                          </w:rPr>
                                          <w:br/>
                                        </w:r>
                                        <w:r>
                                          <w:rPr>
                                            <w:sz w:val="14"/>
                                            <w:szCs w:val="14"/>
                                          </w:rPr>
                                          <w:t>23,333,334</w:t>
                                        </w:r>
                                      </w:p>
                                    </w:tc>
                                    <w:tc>
                                      <w:tcPr>
                                        <w:tcW w:w="1701" w:type="dxa"/>
                                      </w:tcPr>
                                      <w:p w14:paraId="4BCF79CA" w14:textId="67A01AC1" w:rsidR="00170424" w:rsidRPr="007C2E3B" w:rsidRDefault="00170424" w:rsidP="001C4361">
                                        <w:pPr>
                                          <w:pStyle w:val="TableParagraph"/>
                                          <w:kinsoku w:val="0"/>
                                          <w:overflowPunct w:val="0"/>
                                          <w:spacing w:line="206" w:lineRule="exact"/>
                                          <w:ind w:left="108" w:right="129"/>
                                          <w:rPr>
                                            <w:color w:val="231F20"/>
                                            <w:sz w:val="14"/>
                                            <w:szCs w:val="14"/>
                                          </w:rPr>
                                        </w:pPr>
                                        <w:r>
                                          <w:rPr>
                                            <w:sz w:val="14"/>
                                            <w:szCs w:val="14"/>
                                          </w:rPr>
                                          <w:t>19.44</w:t>
                                        </w:r>
                                        <w:r>
                                          <w:rPr>
                                            <w:color w:val="231F20"/>
                                            <w:sz w:val="14"/>
                                            <w:szCs w:val="14"/>
                                          </w:rPr>
                                          <w:t>/</w:t>
                                        </w:r>
                                        <w:r>
                                          <w:rPr>
                                            <w:sz w:val="14"/>
                                            <w:szCs w:val="14"/>
                                          </w:rPr>
                                          <w:t>17.80</w:t>
                                        </w:r>
                                      </w:p>
                                    </w:tc>
                                    <w:tc>
                                      <w:tcPr>
                                        <w:tcW w:w="1418" w:type="dxa"/>
                                      </w:tcPr>
                                      <w:p w14:paraId="14452007" w14:textId="5C67468D" w:rsidR="00170424" w:rsidRPr="007C2E3B" w:rsidRDefault="00170424">
                                        <w:pPr>
                                          <w:pStyle w:val="TableParagraph"/>
                                          <w:kinsoku w:val="0"/>
                                          <w:overflowPunct w:val="0"/>
                                          <w:spacing w:line="206" w:lineRule="exact"/>
                                          <w:ind w:left="108"/>
                                          <w:rPr>
                                            <w:color w:val="231F20"/>
                                            <w:sz w:val="14"/>
                                            <w:szCs w:val="14"/>
                                          </w:rPr>
                                        </w:pPr>
                                        <w:r>
                                          <w:rPr>
                                            <w:sz w:val="14"/>
                                            <w:szCs w:val="14"/>
                                          </w:rPr>
                                          <w:t>15.07/22.26</w:t>
                                        </w:r>
                                      </w:p>
                                    </w:tc>
                                  </w:tr>
                                  <w:tr w:rsidR="00170424" w14:paraId="4C33F07C" w14:textId="3AEA6244" w:rsidTr="0047572B">
                                    <w:trPr>
                                      <w:trHeight w:hRule="exact" w:val="566"/>
                                    </w:trPr>
                                    <w:tc>
                                      <w:tcPr>
                                        <w:tcW w:w="1106" w:type="dxa"/>
                                      </w:tcPr>
                                      <w:p w14:paraId="5869ADD4" w14:textId="77777777" w:rsidR="00170424" w:rsidRPr="007C2E3B" w:rsidRDefault="00170424">
                                        <w:pPr>
                                          <w:pStyle w:val="TableParagraph"/>
                                          <w:kinsoku w:val="0"/>
                                          <w:overflowPunct w:val="0"/>
                                          <w:spacing w:before="1" w:line="204" w:lineRule="exact"/>
                                          <w:ind w:left="107"/>
                                          <w:rPr>
                                            <w:color w:val="231F20"/>
                                            <w:sz w:val="14"/>
                                            <w:szCs w:val="14"/>
                                          </w:rPr>
                                        </w:pPr>
                                        <w:r w:rsidRPr="007C2E3B">
                                          <w:rPr>
                                            <w:color w:val="231F20"/>
                                            <w:sz w:val="14"/>
                                            <w:szCs w:val="14"/>
                                          </w:rPr>
                                          <w:t xml:space="preserve">Claudio </w:t>
                                        </w:r>
                                        <w:proofErr w:type="spellStart"/>
                                        <w:r w:rsidRPr="007C2E3B">
                                          <w:rPr>
                                            <w:color w:val="231F20"/>
                                            <w:sz w:val="14"/>
                                            <w:szCs w:val="14"/>
                                          </w:rPr>
                                          <w:t>Ciaverella</w:t>
                                        </w:r>
                                        <w:proofErr w:type="spellEnd"/>
                                      </w:p>
                                    </w:tc>
                                    <w:tc>
                                      <w:tcPr>
                                        <w:tcW w:w="1162" w:type="dxa"/>
                                      </w:tcPr>
                                      <w:p w14:paraId="693E7E25" w14:textId="010A7115" w:rsidR="00170424" w:rsidRPr="007C2E3B" w:rsidRDefault="00170424" w:rsidP="007858BE">
                                        <w:pPr>
                                          <w:pStyle w:val="TableParagraph"/>
                                          <w:kinsoku w:val="0"/>
                                          <w:overflowPunct w:val="0"/>
                                          <w:spacing w:before="1" w:line="204" w:lineRule="exact"/>
                                          <w:ind w:left="81" w:right="293"/>
                                          <w:rPr>
                                            <w:color w:val="231F20"/>
                                            <w:sz w:val="14"/>
                                            <w:szCs w:val="14"/>
                                          </w:rPr>
                                        </w:pPr>
                                        <w:r>
                                          <w:rPr>
                                            <w:color w:val="231F20"/>
                                            <w:sz w:val="14"/>
                                            <w:szCs w:val="14"/>
                                          </w:rPr>
                                          <w:t>4,440,000</w:t>
                                        </w:r>
                                      </w:p>
                                    </w:tc>
                                    <w:tc>
                                      <w:tcPr>
                                        <w:tcW w:w="993" w:type="dxa"/>
                                      </w:tcPr>
                                      <w:p w14:paraId="1D7A535F" w14:textId="20F01CBE" w:rsidR="00170424" w:rsidRPr="007C2E3B" w:rsidRDefault="00170424" w:rsidP="007858BE">
                                        <w:pPr>
                                          <w:pStyle w:val="TableParagraph"/>
                                          <w:kinsoku w:val="0"/>
                                          <w:overflowPunct w:val="0"/>
                                          <w:spacing w:before="1" w:line="204" w:lineRule="exact"/>
                                          <w:ind w:left="107" w:right="98"/>
                                          <w:rPr>
                                            <w:color w:val="231F20"/>
                                            <w:sz w:val="14"/>
                                            <w:szCs w:val="14"/>
                                          </w:rPr>
                                        </w:pPr>
                                        <w:r w:rsidRPr="007C2E3B">
                                          <w:rPr>
                                            <w:color w:val="231F20"/>
                                            <w:sz w:val="14"/>
                                            <w:szCs w:val="14"/>
                                          </w:rPr>
                                          <w:t>4.</w:t>
                                        </w:r>
                                        <w:r>
                                          <w:rPr>
                                            <w:color w:val="231F20"/>
                                            <w:sz w:val="14"/>
                                            <w:szCs w:val="14"/>
                                          </w:rPr>
                                          <w:t>36</w:t>
                                        </w:r>
                                      </w:p>
                                    </w:tc>
                                    <w:tc>
                                      <w:tcPr>
                                        <w:tcW w:w="1275" w:type="dxa"/>
                                      </w:tcPr>
                                      <w:p w14:paraId="29516338" w14:textId="77777777" w:rsidR="00170424" w:rsidRDefault="00170424">
                                        <w:pPr>
                                          <w:pStyle w:val="TableParagraph"/>
                                          <w:kinsoku w:val="0"/>
                                          <w:overflowPunct w:val="0"/>
                                          <w:spacing w:before="1" w:line="204" w:lineRule="exact"/>
                                          <w:ind w:left="106"/>
                                          <w:rPr>
                                            <w:color w:val="231F20"/>
                                            <w:sz w:val="14"/>
                                            <w:szCs w:val="14"/>
                                          </w:rPr>
                                        </w:pPr>
                                        <w:r>
                                          <w:rPr>
                                            <w:color w:val="231F20"/>
                                            <w:sz w:val="14"/>
                                            <w:szCs w:val="14"/>
                                          </w:rPr>
                                          <w:t>4,440,000/</w:t>
                                        </w:r>
                                      </w:p>
                                      <w:p w14:paraId="78DD15A3" w14:textId="3388FCA7" w:rsidR="00170424" w:rsidRPr="007C2E3B" w:rsidRDefault="00170424">
                                        <w:pPr>
                                          <w:pStyle w:val="TableParagraph"/>
                                          <w:kinsoku w:val="0"/>
                                          <w:overflowPunct w:val="0"/>
                                          <w:spacing w:before="1" w:line="204" w:lineRule="exact"/>
                                          <w:ind w:left="106"/>
                                          <w:rPr>
                                            <w:color w:val="231F20"/>
                                            <w:sz w:val="14"/>
                                            <w:szCs w:val="14"/>
                                          </w:rPr>
                                        </w:pPr>
                                        <w:r>
                                          <w:rPr>
                                            <w:sz w:val="14"/>
                                            <w:szCs w:val="14"/>
                                          </w:rPr>
                                          <w:t>4,440,000</w:t>
                                        </w:r>
                                      </w:p>
                                    </w:tc>
                                    <w:tc>
                                      <w:tcPr>
                                        <w:tcW w:w="1701" w:type="dxa"/>
                                      </w:tcPr>
                                      <w:p w14:paraId="5493FBE9" w14:textId="6011F0AF" w:rsidR="00170424" w:rsidRPr="007C2E3B" w:rsidRDefault="00170424" w:rsidP="001C4361">
                                        <w:pPr>
                                          <w:pStyle w:val="TableParagraph"/>
                                          <w:kinsoku w:val="0"/>
                                          <w:overflowPunct w:val="0"/>
                                          <w:spacing w:before="1" w:line="204" w:lineRule="exact"/>
                                          <w:ind w:left="107" w:right="129"/>
                                          <w:rPr>
                                            <w:color w:val="231F20"/>
                                            <w:sz w:val="14"/>
                                            <w:szCs w:val="14"/>
                                          </w:rPr>
                                        </w:pPr>
                                        <w:r>
                                          <w:rPr>
                                            <w:sz w:val="14"/>
                                            <w:szCs w:val="14"/>
                                          </w:rPr>
                                          <w:t>3.70</w:t>
                                        </w:r>
                                        <w:r>
                                          <w:rPr>
                                            <w:color w:val="231F20"/>
                                            <w:sz w:val="14"/>
                                            <w:szCs w:val="14"/>
                                          </w:rPr>
                                          <w:t>/</w:t>
                                        </w:r>
                                        <w:r>
                                          <w:rPr>
                                            <w:sz w:val="14"/>
                                            <w:szCs w:val="14"/>
                                          </w:rPr>
                                          <w:t>3.39</w:t>
                                        </w:r>
                                      </w:p>
                                    </w:tc>
                                    <w:tc>
                                      <w:tcPr>
                                        <w:tcW w:w="1418" w:type="dxa"/>
                                      </w:tcPr>
                                      <w:p w14:paraId="4CC8AD9C" w14:textId="17A260F0" w:rsidR="00170424" w:rsidRPr="007C2E3B" w:rsidRDefault="00170424">
                                        <w:pPr>
                                          <w:pStyle w:val="TableParagraph"/>
                                          <w:kinsoku w:val="0"/>
                                          <w:overflowPunct w:val="0"/>
                                          <w:spacing w:before="1" w:line="204" w:lineRule="exact"/>
                                          <w:ind w:left="107"/>
                                          <w:rPr>
                                            <w:color w:val="231F20"/>
                                            <w:sz w:val="14"/>
                                            <w:szCs w:val="14"/>
                                          </w:rPr>
                                        </w:pPr>
                                        <w:r>
                                          <w:rPr>
                                            <w:sz w:val="14"/>
                                            <w:szCs w:val="14"/>
                                          </w:rPr>
                                          <w:t>15.07/22.26</w:t>
                                        </w:r>
                                      </w:p>
                                    </w:tc>
                                  </w:tr>
                                  <w:tr w:rsidR="00170424" w14:paraId="6A34D961" w14:textId="49B90A85" w:rsidTr="0047572B">
                                    <w:trPr>
                                      <w:trHeight w:hRule="exact" w:val="558"/>
                                    </w:trPr>
                                    <w:tc>
                                      <w:tcPr>
                                        <w:tcW w:w="1106" w:type="dxa"/>
                                      </w:tcPr>
                                      <w:p w14:paraId="7F9DB2E3" w14:textId="77777777" w:rsidR="00170424" w:rsidRPr="007C2E3B" w:rsidRDefault="00170424">
                                        <w:pPr>
                                          <w:pStyle w:val="TableParagraph"/>
                                          <w:kinsoku w:val="0"/>
                                          <w:overflowPunct w:val="0"/>
                                          <w:spacing w:line="203" w:lineRule="exact"/>
                                          <w:ind w:left="107"/>
                                          <w:rPr>
                                            <w:color w:val="231F20"/>
                                            <w:sz w:val="14"/>
                                            <w:szCs w:val="14"/>
                                          </w:rPr>
                                        </w:pPr>
                                        <w:r w:rsidRPr="007C2E3B">
                                          <w:rPr>
                                            <w:color w:val="231F20"/>
                                            <w:sz w:val="14"/>
                                            <w:szCs w:val="14"/>
                                          </w:rPr>
                                          <w:t xml:space="preserve">Leo </w:t>
                                        </w:r>
                                        <w:proofErr w:type="spellStart"/>
                                        <w:r w:rsidRPr="007C2E3B">
                                          <w:rPr>
                                            <w:color w:val="231F20"/>
                                            <w:sz w:val="14"/>
                                            <w:szCs w:val="14"/>
                                          </w:rPr>
                                          <w:t>Berezan</w:t>
                                        </w:r>
                                        <w:proofErr w:type="spellEnd"/>
                                      </w:p>
                                    </w:tc>
                                    <w:tc>
                                      <w:tcPr>
                                        <w:tcW w:w="1162" w:type="dxa"/>
                                      </w:tcPr>
                                      <w:p w14:paraId="5FE4B99B" w14:textId="4B6D9E12" w:rsidR="00170424" w:rsidRPr="007C2E3B" w:rsidRDefault="00170424" w:rsidP="007858BE">
                                        <w:pPr>
                                          <w:pStyle w:val="TableParagraph"/>
                                          <w:kinsoku w:val="0"/>
                                          <w:overflowPunct w:val="0"/>
                                          <w:spacing w:line="203" w:lineRule="exact"/>
                                          <w:ind w:left="81" w:right="293"/>
                                          <w:rPr>
                                            <w:color w:val="231F20"/>
                                            <w:sz w:val="14"/>
                                            <w:szCs w:val="14"/>
                                          </w:rPr>
                                        </w:pPr>
                                        <w:r w:rsidRPr="00002F84">
                                          <w:rPr>
                                            <w:color w:val="231F20"/>
                                            <w:sz w:val="14"/>
                                            <w:szCs w:val="14"/>
                                          </w:rPr>
                                          <w:t>4,201,334</w:t>
                                        </w:r>
                                      </w:p>
                                    </w:tc>
                                    <w:tc>
                                      <w:tcPr>
                                        <w:tcW w:w="993" w:type="dxa"/>
                                      </w:tcPr>
                                      <w:p w14:paraId="64B154FC" w14:textId="46491008" w:rsidR="00170424" w:rsidRPr="007C2E3B" w:rsidRDefault="00170424" w:rsidP="007858BE">
                                        <w:pPr>
                                          <w:pStyle w:val="TableParagraph"/>
                                          <w:kinsoku w:val="0"/>
                                          <w:overflowPunct w:val="0"/>
                                          <w:spacing w:line="203" w:lineRule="exact"/>
                                          <w:ind w:left="107" w:right="98"/>
                                          <w:rPr>
                                            <w:color w:val="231F20"/>
                                            <w:sz w:val="14"/>
                                            <w:szCs w:val="14"/>
                                          </w:rPr>
                                        </w:pPr>
                                        <w:r w:rsidRPr="007C2E3B">
                                          <w:rPr>
                                            <w:color w:val="231F20"/>
                                            <w:sz w:val="14"/>
                                            <w:szCs w:val="14"/>
                                          </w:rPr>
                                          <w:t>4.</w:t>
                                        </w:r>
                                        <w:r>
                                          <w:rPr>
                                            <w:color w:val="231F20"/>
                                            <w:sz w:val="14"/>
                                            <w:szCs w:val="14"/>
                                          </w:rPr>
                                          <w:t>12</w:t>
                                        </w:r>
                                      </w:p>
                                    </w:tc>
                                    <w:tc>
                                      <w:tcPr>
                                        <w:tcW w:w="1275" w:type="dxa"/>
                                      </w:tcPr>
                                      <w:p w14:paraId="78C16E80"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4,</w:t>
                                        </w:r>
                                        <w:r>
                                          <w:rPr>
                                            <w:color w:val="231F20"/>
                                            <w:sz w:val="14"/>
                                            <w:szCs w:val="14"/>
                                          </w:rPr>
                                          <w:t>201,334/</w:t>
                                        </w:r>
                                      </w:p>
                                      <w:p w14:paraId="0216340C" w14:textId="325818F0" w:rsidR="00170424" w:rsidRPr="007C2E3B" w:rsidRDefault="00170424">
                                        <w:pPr>
                                          <w:pStyle w:val="TableParagraph"/>
                                          <w:kinsoku w:val="0"/>
                                          <w:overflowPunct w:val="0"/>
                                          <w:spacing w:line="203" w:lineRule="exact"/>
                                          <w:ind w:left="107"/>
                                          <w:rPr>
                                            <w:color w:val="231F20"/>
                                            <w:sz w:val="14"/>
                                            <w:szCs w:val="14"/>
                                          </w:rPr>
                                        </w:pPr>
                                        <w:r>
                                          <w:rPr>
                                            <w:sz w:val="14"/>
                                            <w:szCs w:val="14"/>
                                          </w:rPr>
                                          <w:t>4,201,334</w:t>
                                        </w:r>
                                      </w:p>
                                    </w:tc>
                                    <w:tc>
                                      <w:tcPr>
                                        <w:tcW w:w="1701" w:type="dxa"/>
                                      </w:tcPr>
                                      <w:p w14:paraId="28D76470" w14:textId="341FCA38"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3.50</w:t>
                                        </w:r>
                                        <w:r>
                                          <w:rPr>
                                            <w:color w:val="231F20"/>
                                            <w:sz w:val="14"/>
                                            <w:szCs w:val="14"/>
                                          </w:rPr>
                                          <w:t>/</w:t>
                                        </w:r>
                                        <w:r>
                                          <w:rPr>
                                            <w:sz w:val="14"/>
                                            <w:szCs w:val="14"/>
                                          </w:rPr>
                                          <w:t>3.20</w:t>
                                        </w:r>
                                      </w:p>
                                    </w:tc>
                                    <w:tc>
                                      <w:tcPr>
                                        <w:tcW w:w="1418" w:type="dxa"/>
                                      </w:tcPr>
                                      <w:p w14:paraId="5AD569C8" w14:textId="61E086EE" w:rsidR="00170424" w:rsidRPr="007C2E3B" w:rsidRDefault="00170424">
                                        <w:pPr>
                                          <w:pStyle w:val="TableParagraph"/>
                                          <w:kinsoku w:val="0"/>
                                          <w:overflowPunct w:val="0"/>
                                          <w:spacing w:line="203" w:lineRule="exact"/>
                                          <w:ind w:left="107"/>
                                          <w:rPr>
                                            <w:color w:val="231F20"/>
                                            <w:sz w:val="14"/>
                                            <w:szCs w:val="14"/>
                                          </w:rPr>
                                        </w:pPr>
                                        <w:r>
                                          <w:rPr>
                                            <w:sz w:val="14"/>
                                            <w:szCs w:val="14"/>
                                          </w:rPr>
                                          <w:t>15.07/22.26</w:t>
                                        </w:r>
                                      </w:p>
                                    </w:tc>
                                  </w:tr>
                                  <w:tr w:rsidR="00170424" w14:paraId="55ECBBCF" w14:textId="4847F2D9" w:rsidTr="0047572B">
                                    <w:trPr>
                                      <w:trHeight w:hRule="exact" w:val="563"/>
                                    </w:trPr>
                                    <w:tc>
                                      <w:tcPr>
                                        <w:tcW w:w="1106" w:type="dxa"/>
                                      </w:tcPr>
                                      <w:p w14:paraId="579858B3" w14:textId="2EC60D8D" w:rsidR="00170424" w:rsidRPr="007C2E3B" w:rsidRDefault="00170424" w:rsidP="007858BE">
                                        <w:pPr>
                                          <w:pStyle w:val="TableParagraph"/>
                                          <w:kinsoku w:val="0"/>
                                          <w:overflowPunct w:val="0"/>
                                          <w:spacing w:line="259" w:lineRule="auto"/>
                                          <w:ind w:left="107" w:right="-186"/>
                                          <w:rPr>
                                            <w:color w:val="231F20"/>
                                            <w:sz w:val="14"/>
                                            <w:szCs w:val="14"/>
                                          </w:rPr>
                                        </w:pPr>
                                        <w:r>
                                          <w:rPr>
                                            <w:color w:val="231F20"/>
                                            <w:sz w:val="14"/>
                                            <w:szCs w:val="14"/>
                                          </w:rPr>
                                          <w:t>Kingfisher</w:t>
                                        </w:r>
                                      </w:p>
                                    </w:tc>
                                    <w:tc>
                                      <w:tcPr>
                                        <w:tcW w:w="1162" w:type="dxa"/>
                                      </w:tcPr>
                                      <w:p w14:paraId="0A8FA1CC" w14:textId="77777777" w:rsidR="00170424" w:rsidRPr="007C2E3B" w:rsidRDefault="00170424" w:rsidP="007858BE">
                                        <w:pPr>
                                          <w:pStyle w:val="TableParagraph"/>
                                          <w:kinsoku w:val="0"/>
                                          <w:overflowPunct w:val="0"/>
                                          <w:spacing w:line="206" w:lineRule="exact"/>
                                          <w:ind w:left="81" w:right="292"/>
                                          <w:rPr>
                                            <w:color w:val="231F20"/>
                                            <w:sz w:val="14"/>
                                            <w:szCs w:val="14"/>
                                          </w:rPr>
                                        </w:pPr>
                                        <w:r w:rsidRPr="007C2E3B">
                                          <w:rPr>
                                            <w:color w:val="231F20"/>
                                            <w:sz w:val="14"/>
                                            <w:szCs w:val="14"/>
                                          </w:rPr>
                                          <w:t>3,350,000</w:t>
                                        </w:r>
                                      </w:p>
                                    </w:tc>
                                    <w:tc>
                                      <w:tcPr>
                                        <w:tcW w:w="993" w:type="dxa"/>
                                      </w:tcPr>
                                      <w:p w14:paraId="433ECF9F" w14:textId="2029947F" w:rsidR="00170424" w:rsidRPr="007C2E3B" w:rsidRDefault="00170424" w:rsidP="007858BE">
                                        <w:pPr>
                                          <w:pStyle w:val="TableParagraph"/>
                                          <w:kinsoku w:val="0"/>
                                          <w:overflowPunct w:val="0"/>
                                          <w:spacing w:line="206" w:lineRule="exact"/>
                                          <w:ind w:left="107" w:right="98"/>
                                          <w:rPr>
                                            <w:color w:val="231F20"/>
                                            <w:sz w:val="14"/>
                                            <w:szCs w:val="14"/>
                                          </w:rPr>
                                        </w:pPr>
                                        <w:r w:rsidRPr="007C2E3B">
                                          <w:rPr>
                                            <w:color w:val="231F20"/>
                                            <w:sz w:val="14"/>
                                            <w:szCs w:val="14"/>
                                          </w:rPr>
                                          <w:t>3.29</w:t>
                                        </w:r>
                                      </w:p>
                                    </w:tc>
                                    <w:tc>
                                      <w:tcPr>
                                        <w:tcW w:w="1275" w:type="dxa"/>
                                      </w:tcPr>
                                      <w:p w14:paraId="69CDE113" w14:textId="77777777" w:rsidR="00170424" w:rsidRDefault="00170424">
                                        <w:pPr>
                                          <w:pStyle w:val="TableParagraph"/>
                                          <w:kinsoku w:val="0"/>
                                          <w:overflowPunct w:val="0"/>
                                          <w:spacing w:line="206" w:lineRule="exact"/>
                                          <w:ind w:left="107"/>
                                          <w:rPr>
                                            <w:color w:val="231F20"/>
                                            <w:sz w:val="14"/>
                                            <w:szCs w:val="14"/>
                                          </w:rPr>
                                        </w:pPr>
                                        <w:r w:rsidRPr="007C2E3B">
                                          <w:rPr>
                                            <w:color w:val="231F20"/>
                                            <w:sz w:val="14"/>
                                            <w:szCs w:val="14"/>
                                          </w:rPr>
                                          <w:t>3,350,000</w:t>
                                        </w:r>
                                        <w:r>
                                          <w:rPr>
                                            <w:color w:val="231F20"/>
                                            <w:sz w:val="14"/>
                                            <w:szCs w:val="14"/>
                                          </w:rPr>
                                          <w:t>/</w:t>
                                        </w:r>
                                      </w:p>
                                      <w:p w14:paraId="5BAFEFA9" w14:textId="2FB910FF" w:rsidR="00170424" w:rsidRPr="007C2E3B" w:rsidRDefault="00170424">
                                        <w:pPr>
                                          <w:pStyle w:val="TableParagraph"/>
                                          <w:kinsoku w:val="0"/>
                                          <w:overflowPunct w:val="0"/>
                                          <w:spacing w:line="206" w:lineRule="exact"/>
                                          <w:ind w:left="107"/>
                                          <w:rPr>
                                            <w:color w:val="231F20"/>
                                            <w:sz w:val="14"/>
                                            <w:szCs w:val="14"/>
                                          </w:rPr>
                                        </w:pPr>
                                        <w:r>
                                          <w:rPr>
                                            <w:sz w:val="14"/>
                                            <w:szCs w:val="14"/>
                                          </w:rPr>
                                          <w:t>3,350,000</w:t>
                                        </w:r>
                                      </w:p>
                                    </w:tc>
                                    <w:tc>
                                      <w:tcPr>
                                        <w:tcW w:w="1701" w:type="dxa"/>
                                      </w:tcPr>
                                      <w:p w14:paraId="078A0BA0" w14:textId="3393CAA5" w:rsidR="00170424" w:rsidRPr="007C2E3B" w:rsidRDefault="00170424" w:rsidP="001C4361">
                                        <w:pPr>
                                          <w:pStyle w:val="TableParagraph"/>
                                          <w:kinsoku w:val="0"/>
                                          <w:overflowPunct w:val="0"/>
                                          <w:spacing w:line="206" w:lineRule="exact"/>
                                          <w:ind w:left="108" w:right="129"/>
                                          <w:rPr>
                                            <w:color w:val="231F20"/>
                                            <w:sz w:val="14"/>
                                            <w:szCs w:val="14"/>
                                          </w:rPr>
                                        </w:pPr>
                                        <w:r>
                                          <w:rPr>
                                            <w:sz w:val="14"/>
                                            <w:szCs w:val="14"/>
                                          </w:rPr>
                                          <w:t>2.79</w:t>
                                        </w:r>
                                        <w:r>
                                          <w:rPr>
                                            <w:color w:val="231F20"/>
                                            <w:sz w:val="14"/>
                                            <w:szCs w:val="14"/>
                                          </w:rPr>
                                          <w:t>/</w:t>
                                        </w:r>
                                        <w:r>
                                          <w:rPr>
                                            <w:sz w:val="14"/>
                                            <w:szCs w:val="14"/>
                                          </w:rPr>
                                          <w:t>2.56</w:t>
                                        </w:r>
                                      </w:p>
                                    </w:tc>
                                    <w:tc>
                                      <w:tcPr>
                                        <w:tcW w:w="1418" w:type="dxa"/>
                                      </w:tcPr>
                                      <w:p w14:paraId="0B3C5CD5" w14:textId="29B0C37E" w:rsidR="00170424" w:rsidRPr="007C2E3B" w:rsidRDefault="00170424">
                                        <w:pPr>
                                          <w:pStyle w:val="TableParagraph"/>
                                          <w:kinsoku w:val="0"/>
                                          <w:overflowPunct w:val="0"/>
                                          <w:spacing w:line="206" w:lineRule="exact"/>
                                          <w:ind w:left="108"/>
                                          <w:rPr>
                                            <w:color w:val="231F20"/>
                                            <w:sz w:val="14"/>
                                            <w:szCs w:val="14"/>
                                          </w:rPr>
                                        </w:pPr>
                                        <w:r>
                                          <w:rPr>
                                            <w:sz w:val="14"/>
                                            <w:szCs w:val="14"/>
                                          </w:rPr>
                                          <w:t>15.07/22.26</w:t>
                                        </w:r>
                                        <w:r w:rsidRPr="004D7B87" w:rsidDel="00DE5D2A">
                                          <w:rPr>
                                            <w:sz w:val="14"/>
                                            <w:szCs w:val="14"/>
                                          </w:rPr>
                                          <w:t xml:space="preserve"> </w:t>
                                        </w:r>
                                      </w:p>
                                    </w:tc>
                                  </w:tr>
                                  <w:tr w:rsidR="00170424" w14:paraId="59A379A4" w14:textId="25C1FD5F" w:rsidTr="0047572B">
                                    <w:trPr>
                                      <w:trHeight w:hRule="exact" w:val="571"/>
                                    </w:trPr>
                                    <w:tc>
                                      <w:tcPr>
                                        <w:tcW w:w="1106" w:type="dxa"/>
                                      </w:tcPr>
                                      <w:p w14:paraId="75EDE75C" w14:textId="77777777" w:rsidR="00170424" w:rsidRPr="007C2E3B" w:rsidRDefault="00170424">
                                        <w:pPr>
                                          <w:pStyle w:val="TableParagraph"/>
                                          <w:kinsoku w:val="0"/>
                                          <w:overflowPunct w:val="0"/>
                                          <w:spacing w:line="203" w:lineRule="exact"/>
                                          <w:ind w:left="107"/>
                                          <w:rPr>
                                            <w:color w:val="231F20"/>
                                            <w:sz w:val="14"/>
                                            <w:szCs w:val="14"/>
                                          </w:rPr>
                                        </w:pPr>
                                        <w:r w:rsidRPr="007C2E3B">
                                          <w:rPr>
                                            <w:color w:val="231F20"/>
                                            <w:sz w:val="14"/>
                                            <w:szCs w:val="14"/>
                                          </w:rPr>
                                          <w:t>Martin French</w:t>
                                        </w:r>
                                      </w:p>
                                    </w:tc>
                                    <w:tc>
                                      <w:tcPr>
                                        <w:tcW w:w="1162" w:type="dxa"/>
                                      </w:tcPr>
                                      <w:p w14:paraId="42D1BB98" w14:textId="77777777" w:rsidR="00170424" w:rsidRPr="007C2E3B" w:rsidRDefault="00170424" w:rsidP="007858BE">
                                        <w:pPr>
                                          <w:pStyle w:val="TableParagraph"/>
                                          <w:kinsoku w:val="0"/>
                                          <w:overflowPunct w:val="0"/>
                                          <w:spacing w:line="203" w:lineRule="exact"/>
                                          <w:ind w:left="81" w:right="293"/>
                                          <w:rPr>
                                            <w:color w:val="231F20"/>
                                            <w:sz w:val="14"/>
                                            <w:szCs w:val="14"/>
                                          </w:rPr>
                                        </w:pPr>
                                        <w:r w:rsidRPr="00C80A99">
                                          <w:rPr>
                                            <w:color w:val="231F20"/>
                                            <w:sz w:val="14"/>
                                            <w:szCs w:val="14"/>
                                          </w:rPr>
                                          <w:t>3,175,000</w:t>
                                        </w:r>
                                      </w:p>
                                    </w:tc>
                                    <w:tc>
                                      <w:tcPr>
                                        <w:tcW w:w="993" w:type="dxa"/>
                                      </w:tcPr>
                                      <w:p w14:paraId="031683C6" w14:textId="0F7B007B" w:rsidR="00170424" w:rsidRPr="007C2E3B" w:rsidRDefault="00170424" w:rsidP="007858BE">
                                        <w:pPr>
                                          <w:pStyle w:val="TableParagraph"/>
                                          <w:kinsoku w:val="0"/>
                                          <w:overflowPunct w:val="0"/>
                                          <w:spacing w:line="203" w:lineRule="exact"/>
                                          <w:ind w:left="107" w:right="98"/>
                                          <w:rPr>
                                            <w:color w:val="231F20"/>
                                            <w:sz w:val="14"/>
                                            <w:szCs w:val="14"/>
                                          </w:rPr>
                                        </w:pPr>
                                        <w:r w:rsidRPr="007C2E3B">
                                          <w:rPr>
                                            <w:color w:val="231F20"/>
                                            <w:sz w:val="14"/>
                                            <w:szCs w:val="14"/>
                                          </w:rPr>
                                          <w:t>3.12</w:t>
                                        </w:r>
                                      </w:p>
                                    </w:tc>
                                    <w:tc>
                                      <w:tcPr>
                                        <w:tcW w:w="1275" w:type="dxa"/>
                                      </w:tcPr>
                                      <w:p w14:paraId="366D2DCA"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3,</w:t>
                                        </w:r>
                                        <w:r>
                                          <w:rPr>
                                            <w:color w:val="231F20"/>
                                            <w:sz w:val="14"/>
                                            <w:szCs w:val="14"/>
                                          </w:rPr>
                                          <w:t>175</w:t>
                                        </w:r>
                                        <w:r w:rsidRPr="007C2E3B">
                                          <w:rPr>
                                            <w:color w:val="231F20"/>
                                            <w:sz w:val="14"/>
                                            <w:szCs w:val="14"/>
                                          </w:rPr>
                                          <w:t>,000</w:t>
                                        </w:r>
                                        <w:r>
                                          <w:rPr>
                                            <w:color w:val="231F20"/>
                                            <w:sz w:val="14"/>
                                            <w:szCs w:val="14"/>
                                          </w:rPr>
                                          <w:t>/</w:t>
                                        </w:r>
                                      </w:p>
                                      <w:p w14:paraId="11C9F655" w14:textId="1A4078F6" w:rsidR="00170424" w:rsidRPr="007C2E3B" w:rsidRDefault="00170424">
                                        <w:pPr>
                                          <w:pStyle w:val="TableParagraph"/>
                                          <w:kinsoku w:val="0"/>
                                          <w:overflowPunct w:val="0"/>
                                          <w:spacing w:line="203" w:lineRule="exact"/>
                                          <w:ind w:left="107"/>
                                          <w:rPr>
                                            <w:color w:val="231F20"/>
                                            <w:sz w:val="14"/>
                                            <w:szCs w:val="14"/>
                                          </w:rPr>
                                        </w:pPr>
                                        <w:r>
                                          <w:rPr>
                                            <w:sz w:val="14"/>
                                            <w:szCs w:val="14"/>
                                          </w:rPr>
                                          <w:t>3,175,000</w:t>
                                        </w:r>
                                      </w:p>
                                    </w:tc>
                                    <w:tc>
                                      <w:tcPr>
                                        <w:tcW w:w="1701" w:type="dxa"/>
                                      </w:tcPr>
                                      <w:p w14:paraId="0BFBE597" w14:textId="6ECD7588"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2.65</w:t>
                                        </w:r>
                                        <w:r>
                                          <w:rPr>
                                            <w:color w:val="231F20"/>
                                            <w:sz w:val="14"/>
                                            <w:szCs w:val="14"/>
                                          </w:rPr>
                                          <w:t>/</w:t>
                                        </w:r>
                                        <w:r>
                                          <w:rPr>
                                            <w:sz w:val="14"/>
                                            <w:szCs w:val="14"/>
                                          </w:rPr>
                                          <w:t>2.42</w:t>
                                        </w:r>
                                      </w:p>
                                    </w:tc>
                                    <w:tc>
                                      <w:tcPr>
                                        <w:tcW w:w="1418" w:type="dxa"/>
                                      </w:tcPr>
                                      <w:p w14:paraId="1E21DC83" w14:textId="3CC04A5A" w:rsidR="00170424" w:rsidRPr="007C2E3B" w:rsidRDefault="00170424">
                                        <w:pPr>
                                          <w:pStyle w:val="TableParagraph"/>
                                          <w:kinsoku w:val="0"/>
                                          <w:overflowPunct w:val="0"/>
                                          <w:spacing w:line="203" w:lineRule="exact"/>
                                          <w:ind w:left="107"/>
                                          <w:rPr>
                                            <w:color w:val="231F20"/>
                                            <w:sz w:val="14"/>
                                            <w:szCs w:val="14"/>
                                          </w:rPr>
                                        </w:pPr>
                                        <w:r>
                                          <w:rPr>
                                            <w:sz w:val="14"/>
                                            <w:szCs w:val="14"/>
                                          </w:rPr>
                                          <w:t>15.07/22.26</w:t>
                                        </w:r>
                                        <w:r w:rsidDel="00DE5D2A">
                                          <w:rPr>
                                            <w:sz w:val="14"/>
                                            <w:szCs w:val="14"/>
                                          </w:rPr>
                                          <w:t xml:space="preserve"> </w:t>
                                        </w:r>
                                      </w:p>
                                    </w:tc>
                                  </w:tr>
                                  <w:tr w:rsidR="00170424" w14:paraId="4A7CE9F9" w14:textId="77777777" w:rsidTr="0047572B">
                                    <w:trPr>
                                      <w:trHeight w:hRule="exact" w:val="571"/>
                                    </w:trPr>
                                    <w:tc>
                                      <w:tcPr>
                                        <w:tcW w:w="1106" w:type="dxa"/>
                                      </w:tcPr>
                                      <w:p w14:paraId="42E71FE7" w14:textId="1EB39CCB"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Robert McFadden</w:t>
                                        </w:r>
                                      </w:p>
                                    </w:tc>
                                    <w:tc>
                                      <w:tcPr>
                                        <w:tcW w:w="1162" w:type="dxa"/>
                                      </w:tcPr>
                                      <w:p w14:paraId="37BFB80F" w14:textId="52D86D39" w:rsidR="00170424" w:rsidRPr="00C80A99" w:rsidRDefault="00170424" w:rsidP="007858BE">
                                        <w:pPr>
                                          <w:pStyle w:val="TableParagraph"/>
                                          <w:kinsoku w:val="0"/>
                                          <w:overflowPunct w:val="0"/>
                                          <w:spacing w:line="203" w:lineRule="exact"/>
                                          <w:ind w:left="81" w:right="293"/>
                                          <w:rPr>
                                            <w:color w:val="231F20"/>
                                            <w:sz w:val="14"/>
                                            <w:szCs w:val="14"/>
                                          </w:rPr>
                                        </w:pPr>
                                        <w:r>
                                          <w:rPr>
                                            <w:color w:val="231F20"/>
                                            <w:sz w:val="14"/>
                                            <w:szCs w:val="14"/>
                                          </w:rPr>
                                          <w:t>2,232,937</w:t>
                                        </w:r>
                                      </w:p>
                                    </w:tc>
                                    <w:tc>
                                      <w:tcPr>
                                        <w:tcW w:w="993" w:type="dxa"/>
                                      </w:tcPr>
                                      <w:p w14:paraId="5104FACE" w14:textId="37F13949" w:rsidR="00170424" w:rsidRPr="007C2E3B" w:rsidRDefault="00170424" w:rsidP="007858BE">
                                        <w:pPr>
                                          <w:pStyle w:val="TableParagraph"/>
                                          <w:kinsoku w:val="0"/>
                                          <w:overflowPunct w:val="0"/>
                                          <w:spacing w:line="203" w:lineRule="exact"/>
                                          <w:ind w:left="107" w:right="98"/>
                                          <w:rPr>
                                            <w:color w:val="231F20"/>
                                            <w:sz w:val="14"/>
                                            <w:szCs w:val="14"/>
                                          </w:rPr>
                                        </w:pPr>
                                        <w:r>
                                          <w:rPr>
                                            <w:color w:val="231F20"/>
                                            <w:sz w:val="14"/>
                                            <w:szCs w:val="14"/>
                                          </w:rPr>
                                          <w:t>2.19</w:t>
                                        </w:r>
                                      </w:p>
                                    </w:tc>
                                    <w:tc>
                                      <w:tcPr>
                                        <w:tcW w:w="1275" w:type="dxa"/>
                                      </w:tcPr>
                                      <w:p w14:paraId="48006340" w14:textId="77777777" w:rsidR="00170424" w:rsidRDefault="00170424">
                                        <w:pPr>
                                          <w:pStyle w:val="TableParagraph"/>
                                          <w:kinsoku w:val="0"/>
                                          <w:overflowPunct w:val="0"/>
                                          <w:spacing w:line="203" w:lineRule="exact"/>
                                          <w:ind w:left="107"/>
                                          <w:rPr>
                                            <w:color w:val="231F20"/>
                                            <w:sz w:val="14"/>
                                            <w:szCs w:val="14"/>
                                          </w:rPr>
                                        </w:pPr>
                                        <w:r>
                                          <w:rPr>
                                            <w:color w:val="231F20"/>
                                            <w:sz w:val="14"/>
                                            <w:szCs w:val="14"/>
                                          </w:rPr>
                                          <w:t>2,232,937/</w:t>
                                        </w:r>
                                      </w:p>
                                      <w:p w14:paraId="47168521" w14:textId="15826F9C"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2,232,937</w:t>
                                        </w:r>
                                      </w:p>
                                    </w:tc>
                                    <w:tc>
                                      <w:tcPr>
                                        <w:tcW w:w="1701" w:type="dxa"/>
                                      </w:tcPr>
                                      <w:p w14:paraId="45FE2A17" w14:textId="2EB0BDE9" w:rsidR="00170424" w:rsidRDefault="00170424" w:rsidP="001C4361">
                                        <w:pPr>
                                          <w:pStyle w:val="TableParagraph"/>
                                          <w:kinsoku w:val="0"/>
                                          <w:overflowPunct w:val="0"/>
                                          <w:spacing w:line="203" w:lineRule="exact"/>
                                          <w:ind w:left="107" w:right="129"/>
                                          <w:rPr>
                                            <w:sz w:val="14"/>
                                            <w:szCs w:val="14"/>
                                          </w:rPr>
                                        </w:pPr>
                                        <w:r>
                                          <w:rPr>
                                            <w:sz w:val="14"/>
                                            <w:szCs w:val="14"/>
                                          </w:rPr>
                                          <w:t>1.86/1.70</w:t>
                                        </w:r>
                                      </w:p>
                                    </w:tc>
                                    <w:tc>
                                      <w:tcPr>
                                        <w:tcW w:w="1418" w:type="dxa"/>
                                      </w:tcPr>
                                      <w:p w14:paraId="42A18BCC" w14:textId="3C2F7026" w:rsidR="00170424" w:rsidRPr="004D7B87" w:rsidRDefault="00170424">
                                        <w:pPr>
                                          <w:pStyle w:val="TableParagraph"/>
                                          <w:kinsoku w:val="0"/>
                                          <w:overflowPunct w:val="0"/>
                                          <w:spacing w:line="203" w:lineRule="exact"/>
                                          <w:ind w:left="107"/>
                                          <w:rPr>
                                            <w:sz w:val="14"/>
                                            <w:szCs w:val="14"/>
                                          </w:rPr>
                                        </w:pPr>
                                        <w:r>
                                          <w:rPr>
                                            <w:sz w:val="14"/>
                                            <w:szCs w:val="14"/>
                                          </w:rPr>
                                          <w:t>15.07/22.26</w:t>
                                        </w:r>
                                      </w:p>
                                    </w:tc>
                                  </w:tr>
                                  <w:tr w:rsidR="00170424" w14:paraId="50ADB916" w14:textId="14154D82" w:rsidTr="0047572B">
                                    <w:trPr>
                                      <w:trHeight w:val="61"/>
                                    </w:trPr>
                                    <w:tc>
                                      <w:tcPr>
                                        <w:tcW w:w="1106" w:type="dxa"/>
                                      </w:tcPr>
                                      <w:p w14:paraId="7E1DA572"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 xml:space="preserve">Altius </w:t>
                                        </w:r>
                                      </w:p>
                                      <w:p w14:paraId="36759BF3" w14:textId="6D30A458" w:rsidR="00170424" w:rsidRPr="007C2E3B" w:rsidRDefault="00170424" w:rsidP="007858BE">
                                        <w:pPr>
                                          <w:pStyle w:val="TableParagraph"/>
                                          <w:kinsoku w:val="0"/>
                                          <w:overflowPunct w:val="0"/>
                                          <w:spacing w:line="203" w:lineRule="exact"/>
                                          <w:rPr>
                                            <w:color w:val="231F20"/>
                                            <w:sz w:val="14"/>
                                            <w:szCs w:val="14"/>
                                          </w:rPr>
                                        </w:pPr>
                                      </w:p>
                                    </w:tc>
                                    <w:tc>
                                      <w:tcPr>
                                        <w:tcW w:w="1162" w:type="dxa"/>
                                      </w:tcPr>
                                      <w:p w14:paraId="58EC90A4" w14:textId="6607E2F7" w:rsidR="00170424" w:rsidRPr="007C2E3B" w:rsidRDefault="00170424" w:rsidP="007858BE">
                                        <w:pPr>
                                          <w:pStyle w:val="TableParagraph"/>
                                          <w:kinsoku w:val="0"/>
                                          <w:overflowPunct w:val="0"/>
                                          <w:spacing w:line="203" w:lineRule="exact"/>
                                          <w:ind w:left="81" w:right="293"/>
                                          <w:rPr>
                                            <w:color w:val="231F20"/>
                                            <w:sz w:val="14"/>
                                            <w:szCs w:val="14"/>
                                          </w:rPr>
                                        </w:pPr>
                                        <w:r w:rsidRPr="007C2E3B">
                                          <w:rPr>
                                            <w:color w:val="231F20"/>
                                            <w:sz w:val="14"/>
                                            <w:szCs w:val="14"/>
                                          </w:rPr>
                                          <w:t>0</w:t>
                                        </w:r>
                                      </w:p>
                                    </w:tc>
                                    <w:tc>
                                      <w:tcPr>
                                        <w:tcW w:w="993" w:type="dxa"/>
                                      </w:tcPr>
                                      <w:p w14:paraId="0675DBD8" w14:textId="579B0967" w:rsidR="00170424" w:rsidRPr="007C2E3B" w:rsidRDefault="00170424" w:rsidP="007858BE">
                                        <w:pPr>
                                          <w:pStyle w:val="TableParagraph"/>
                                          <w:kinsoku w:val="0"/>
                                          <w:overflowPunct w:val="0"/>
                                          <w:spacing w:line="203" w:lineRule="exact"/>
                                          <w:ind w:left="107" w:right="98"/>
                                          <w:jc w:val="both"/>
                                          <w:rPr>
                                            <w:color w:val="231F20"/>
                                            <w:sz w:val="14"/>
                                            <w:szCs w:val="14"/>
                                          </w:rPr>
                                        </w:pPr>
                                        <w:r w:rsidRPr="007C2E3B">
                                          <w:rPr>
                                            <w:color w:val="231F20"/>
                                            <w:sz w:val="14"/>
                                            <w:szCs w:val="14"/>
                                          </w:rPr>
                                          <w:t>0</w:t>
                                        </w:r>
                                      </w:p>
                                    </w:tc>
                                    <w:tc>
                                      <w:tcPr>
                                        <w:tcW w:w="1275" w:type="dxa"/>
                                      </w:tcPr>
                                      <w:p w14:paraId="727F8F09" w14:textId="38E54FFD" w:rsidR="00170424" w:rsidRPr="007C2E3B" w:rsidRDefault="00170424">
                                        <w:pPr>
                                          <w:pStyle w:val="TableParagraph"/>
                                          <w:kinsoku w:val="0"/>
                                          <w:overflowPunct w:val="0"/>
                                          <w:spacing w:line="203" w:lineRule="exact"/>
                                          <w:ind w:left="107"/>
                                          <w:rPr>
                                            <w:color w:val="231F20"/>
                                            <w:sz w:val="14"/>
                                            <w:szCs w:val="14"/>
                                          </w:rPr>
                                        </w:pPr>
                                        <w:r w:rsidRPr="007C2E3B">
                                          <w:rPr>
                                            <w:sz w:val="14"/>
                                            <w:szCs w:val="14"/>
                                          </w:rPr>
                                          <w:t>10,089,199</w:t>
                                        </w:r>
                                        <w:r>
                                          <w:rPr>
                                            <w:sz w:val="14"/>
                                            <w:szCs w:val="14"/>
                                          </w:rPr>
                                          <w:t>/</w:t>
                                        </w:r>
                                        <w:r>
                                          <w:rPr>
                                            <w:sz w:val="14"/>
                                            <w:szCs w:val="14"/>
                                          </w:rPr>
                                          <w:br/>
                                          <w:t>21,189,199</w:t>
                                        </w:r>
                                      </w:p>
                                    </w:tc>
                                    <w:tc>
                                      <w:tcPr>
                                        <w:tcW w:w="1701" w:type="dxa"/>
                                      </w:tcPr>
                                      <w:p w14:paraId="229F347F" w14:textId="49EAFF3D"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8.41</w:t>
                                        </w:r>
                                        <w:r>
                                          <w:rPr>
                                            <w:color w:val="231F20"/>
                                            <w:sz w:val="14"/>
                                            <w:szCs w:val="14"/>
                                          </w:rPr>
                                          <w:t>/16.16</w:t>
                                        </w:r>
                                      </w:p>
                                    </w:tc>
                                    <w:tc>
                                      <w:tcPr>
                                        <w:tcW w:w="1418" w:type="dxa"/>
                                      </w:tcPr>
                                      <w:p w14:paraId="104B2562" w14:textId="5655901E"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Not applicable, new Shareholder at Admission</w:t>
                                        </w:r>
                                      </w:p>
                                    </w:tc>
                                  </w:tr>
                                </w:tbl>
                                <w:p w14:paraId="6F7E73B9" w14:textId="77777777" w:rsidR="00170424" w:rsidRDefault="00170424" w:rsidP="0031766D">
                                  <w:pPr>
                                    <w:pStyle w:val="BodyText"/>
                                    <w:kinsoku w:val="0"/>
                                    <w:overflowPunct w:val="0"/>
                                    <w:rPr>
                                      <w:rFonts w:ascii="Times New Roman" w:hAnsi="Times New Roman" w:cs="Times New Roman"/>
                                      <w:sz w:val="24"/>
                                      <w:szCs w:val="24"/>
                                    </w:rPr>
                                  </w:pPr>
                                </w:p>
                                <w:p w14:paraId="612A76AB" w14:textId="77777777" w:rsidR="00170424" w:rsidRDefault="00170424" w:rsidP="0031766D">
                                  <w:pPr>
                                    <w:pStyle w:val="BodyText"/>
                                    <w:kinsoku w:val="0"/>
                                    <w:overflowPunct w:val="0"/>
                                    <w:rPr>
                                      <w:rFonts w:ascii="Times New Roman" w:hAnsi="Times New Roman" w:cs="Times New Roman"/>
                                      <w:sz w:val="24"/>
                                      <w:szCs w:val="24"/>
                                    </w:rPr>
                                  </w:pPr>
                                </w:p>
                                <w:p w14:paraId="35175EB4" w14:textId="77777777" w:rsidR="00170424" w:rsidRDefault="00170424" w:rsidP="0031766D">
                                  <w:pPr>
                                    <w:pStyle w:val="BodyText"/>
                                    <w:kinsoku w:val="0"/>
                                    <w:overflowPunct w:val="0"/>
                                    <w:rPr>
                                      <w:rFonts w:ascii="Times New Roman" w:hAnsi="Times New Roman" w:cs="Times New Roman"/>
                                      <w:sz w:val="24"/>
                                      <w:szCs w:val="24"/>
                                    </w:rPr>
                                  </w:pPr>
                                </w:p>
                                <w:p w14:paraId="5C98FE66" w14:textId="77777777" w:rsidR="00170424" w:rsidRDefault="00170424" w:rsidP="0031766D">
                                  <w:pPr>
                                    <w:pStyle w:val="BodyText"/>
                                    <w:kinsoku w:val="0"/>
                                    <w:overflowPunct w:val="0"/>
                                    <w:rPr>
                                      <w:rFonts w:ascii="Times New Roman" w:hAnsi="Times New Roman" w:cs="Times New Roman"/>
                                      <w:sz w:val="24"/>
                                      <w:szCs w:val="24"/>
                                    </w:rPr>
                                  </w:pPr>
                                </w:p>
                                <w:p w14:paraId="7464752E" w14:textId="77777777" w:rsidR="00170424" w:rsidRDefault="00170424" w:rsidP="0031766D">
                                  <w:pPr>
                                    <w:pStyle w:val="BodyText"/>
                                    <w:kinsoku w:val="0"/>
                                    <w:overflowPunct w:val="0"/>
                                    <w:rPr>
                                      <w:rFonts w:ascii="Times New Roman" w:hAnsi="Times New Roman" w:cs="Times New Roman"/>
                                      <w:sz w:val="24"/>
                                      <w:szCs w:val="24"/>
                                    </w:rPr>
                                  </w:pPr>
                                </w:p>
                                <w:p w14:paraId="4CF055A7" w14:textId="77777777" w:rsidR="00170424" w:rsidRDefault="00170424" w:rsidP="0031766D">
                                  <w:pPr>
                                    <w:pStyle w:val="BodyText"/>
                                    <w:kinsoku w:val="0"/>
                                    <w:overflowPunct w:val="0"/>
                                    <w:rPr>
                                      <w:rFonts w:ascii="Times New Roman" w:hAnsi="Times New Roman" w:cs="Times New Roman"/>
                                      <w:sz w:val="24"/>
                                      <w:szCs w:val="24"/>
                                    </w:rPr>
                                  </w:pPr>
                                </w:p>
                                <w:p w14:paraId="3B12CFE5" w14:textId="77777777" w:rsidR="00170424" w:rsidRDefault="00170424" w:rsidP="0031766D">
                                  <w:pPr>
                                    <w:pStyle w:val="BodyText"/>
                                    <w:kinsoku w:val="0"/>
                                    <w:overflowPunct w:val="0"/>
                                    <w:rPr>
                                      <w:rFonts w:ascii="Times New Roman" w:hAnsi="Times New Roman" w:cs="Times New Roman"/>
                                      <w:sz w:val="24"/>
                                      <w:szCs w:val="24"/>
                                    </w:rPr>
                                  </w:pPr>
                                </w:p>
                                <w:p w14:paraId="5BBE5111" w14:textId="77777777" w:rsidR="00170424" w:rsidRDefault="00170424" w:rsidP="0031766D">
                                  <w:pPr>
                                    <w:pStyle w:val="BodyText"/>
                                    <w:kinsoku w:val="0"/>
                                    <w:overflowPunct w:val="0"/>
                                    <w:rPr>
                                      <w:rFonts w:ascii="Times New Roman" w:hAnsi="Times New Roman" w:cs="Times New Roman"/>
                                      <w:sz w:val="24"/>
                                      <w:szCs w:val="24"/>
                                    </w:rPr>
                                  </w:pPr>
                                </w:p>
                                <w:p w14:paraId="2F38E0F4" w14:textId="77777777" w:rsidR="00170424" w:rsidRDefault="00170424" w:rsidP="0031766D">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5E6B0" id="_x0000_t202" coordsize="21600,21600" o:spt="202" path="m,l,21600r21600,l21600,xe">
                      <v:stroke joinstyle="miter"/>
                      <v:path gradientshapeok="t" o:connecttype="rect"/>
                    </v:shapetype>
                    <v:shape id="Text Box 4" o:spid="_x0000_s1027" type="#_x0000_t202" style="position:absolute;left:0;text-align:left;margin-left:5.5pt;margin-top:31pt;width:554.55pt;height:28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" o:allowincell="f" filled="f" stroked="f">
                      <v:textbox inset="0,0,0,0">
                        <w:txbxContent>
                          <w:tbl>
                            <w:tblPr>
                              <w:tblW w:w="765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1106"/>
                              <w:gridCol w:w="1162"/>
                              <w:gridCol w:w="993"/>
                              <w:gridCol w:w="1275"/>
                              <w:gridCol w:w="1701"/>
                              <w:gridCol w:w="1418"/>
                            </w:tblGrid>
                            <w:tr w:rsidR="00170424" w14:paraId="3488AAC4" w14:textId="10389B48" w:rsidTr="0047572B">
                              <w:trPr>
                                <w:trHeight w:val="1585"/>
                              </w:trPr>
                              <w:tc>
                                <w:tcPr>
                                  <w:tcW w:w="1106" w:type="dxa"/>
                                </w:tcPr>
                                <w:p w14:paraId="48F4B2A3" w14:textId="77777777" w:rsidR="00170424" w:rsidRPr="007C2E3B" w:rsidRDefault="00170424">
                                  <w:pPr>
                                    <w:pStyle w:val="TableParagraph"/>
                                    <w:kinsoku w:val="0"/>
                                    <w:overflowPunct w:val="0"/>
                                    <w:spacing w:line="201" w:lineRule="exact"/>
                                    <w:ind w:left="107"/>
                                    <w:rPr>
                                      <w:b/>
                                      <w:bCs/>
                                      <w:color w:val="231F20"/>
                                      <w:sz w:val="14"/>
                                      <w:szCs w:val="14"/>
                                    </w:rPr>
                                  </w:pPr>
                                  <w:r w:rsidRPr="007C2E3B">
                                    <w:rPr>
                                      <w:b/>
                                      <w:bCs/>
                                      <w:color w:val="231F20"/>
                                      <w:sz w:val="14"/>
                                      <w:szCs w:val="14"/>
                                    </w:rPr>
                                    <w:t>Name</w:t>
                                  </w:r>
                                </w:p>
                              </w:tc>
                              <w:tc>
                                <w:tcPr>
                                  <w:tcW w:w="1162" w:type="dxa"/>
                                </w:tcPr>
                                <w:p w14:paraId="6E75F433" w14:textId="77777777" w:rsidR="00170424" w:rsidRPr="007C2E3B" w:rsidRDefault="00170424" w:rsidP="007858BE">
                                  <w:pPr>
                                    <w:pStyle w:val="TableParagraph"/>
                                    <w:kinsoku w:val="0"/>
                                    <w:overflowPunct w:val="0"/>
                                    <w:spacing w:line="259" w:lineRule="auto"/>
                                    <w:ind w:left="81" w:right="180" w:hanging="3"/>
                                    <w:rPr>
                                      <w:b/>
                                      <w:bCs/>
                                      <w:color w:val="231F20"/>
                                      <w:sz w:val="14"/>
                                      <w:szCs w:val="14"/>
                                    </w:rPr>
                                  </w:pPr>
                                  <w:r w:rsidRPr="007C2E3B">
                                    <w:rPr>
                                      <w:b/>
                                      <w:bCs/>
                                      <w:color w:val="231F20"/>
                                      <w:sz w:val="14"/>
                                      <w:szCs w:val="14"/>
                                    </w:rPr>
                                    <w:t>Number of Ordinary Shares as at date of this Document</w:t>
                                  </w:r>
                                </w:p>
                              </w:tc>
                              <w:tc>
                                <w:tcPr>
                                  <w:tcW w:w="993" w:type="dxa"/>
                                </w:tcPr>
                                <w:p w14:paraId="3E264954" w14:textId="77777777" w:rsidR="00170424" w:rsidRPr="007C2E3B" w:rsidRDefault="00170424" w:rsidP="007858BE">
                                  <w:pPr>
                                    <w:pStyle w:val="TableParagraph"/>
                                    <w:kinsoku w:val="0"/>
                                    <w:overflowPunct w:val="0"/>
                                    <w:spacing w:line="259" w:lineRule="auto"/>
                                    <w:ind w:left="107" w:right="98" w:firstLine="3"/>
                                    <w:rPr>
                                      <w:b/>
                                      <w:bCs/>
                                      <w:color w:val="231F20"/>
                                      <w:sz w:val="14"/>
                                      <w:szCs w:val="14"/>
                                    </w:rPr>
                                  </w:pPr>
                                  <w:r w:rsidRPr="007C2E3B">
                                    <w:rPr>
                                      <w:b/>
                                      <w:bCs/>
                                      <w:color w:val="231F20"/>
                                      <w:sz w:val="14"/>
                                      <w:szCs w:val="14"/>
                                    </w:rPr>
                                    <w:t>% of Existing Ordinary Share Capital</w:t>
                                  </w:r>
                                </w:p>
                              </w:tc>
                              <w:tc>
                                <w:tcPr>
                                  <w:tcW w:w="1275" w:type="dxa"/>
                                </w:tcPr>
                                <w:p w14:paraId="5DD7FEA5" w14:textId="60F2409E" w:rsidR="00170424" w:rsidRPr="007C2E3B" w:rsidRDefault="00170424">
                                  <w:pPr>
                                    <w:pStyle w:val="TableParagraph"/>
                                    <w:kinsoku w:val="0"/>
                                    <w:overflowPunct w:val="0"/>
                                    <w:spacing w:line="259" w:lineRule="auto"/>
                                    <w:ind w:left="108" w:right="101"/>
                                    <w:rPr>
                                      <w:b/>
                                      <w:bCs/>
                                      <w:color w:val="231F20"/>
                                      <w:sz w:val="14"/>
                                      <w:szCs w:val="14"/>
                                    </w:rPr>
                                  </w:pPr>
                                  <w:r w:rsidRPr="007C2E3B">
                                    <w:rPr>
                                      <w:b/>
                                      <w:bCs/>
                                      <w:color w:val="231F20"/>
                                      <w:sz w:val="14"/>
                                      <w:szCs w:val="14"/>
                                    </w:rPr>
                                    <w:t>Number of Ordinary Shares as at Admission</w:t>
                                  </w:r>
                                  <w:r>
                                    <w:rPr>
                                      <w:b/>
                                      <w:bCs/>
                                      <w:color w:val="231F20"/>
                                      <w:sz w:val="14"/>
                                      <w:szCs w:val="14"/>
                                    </w:rPr>
                                    <w:t xml:space="preserve"> (pre/</w:t>
                                  </w:r>
                                  <w:proofErr w:type="gramStart"/>
                                  <w:r>
                                    <w:rPr>
                                      <w:b/>
                                      <w:bCs/>
                                      <w:color w:val="231F20"/>
                                      <w:sz w:val="14"/>
                                      <w:szCs w:val="14"/>
                                    </w:rPr>
                                    <w:t>post  exercise</w:t>
                                  </w:r>
                                  <w:proofErr w:type="gramEnd"/>
                                  <w:r>
                                    <w:rPr>
                                      <w:b/>
                                      <w:bCs/>
                                      <w:color w:val="231F20"/>
                                      <w:sz w:val="14"/>
                                      <w:szCs w:val="14"/>
                                    </w:rPr>
                                    <w:t xml:space="preserve"> of  Labrador Consideration Warrants)*</w:t>
                                  </w:r>
                                </w:p>
                              </w:tc>
                              <w:tc>
                                <w:tcPr>
                                  <w:tcW w:w="1701" w:type="dxa"/>
                                </w:tcPr>
                                <w:p w14:paraId="4727BEE9" w14:textId="7B605DCC" w:rsidR="00170424" w:rsidRDefault="00170424" w:rsidP="001C4361">
                                  <w:pPr>
                                    <w:pStyle w:val="TableParagraph"/>
                                    <w:kinsoku w:val="0"/>
                                    <w:overflowPunct w:val="0"/>
                                    <w:spacing w:line="259" w:lineRule="auto"/>
                                    <w:ind w:left="108" w:right="129"/>
                                    <w:rPr>
                                      <w:b/>
                                      <w:bCs/>
                                      <w:color w:val="231F20"/>
                                      <w:sz w:val="14"/>
                                      <w:szCs w:val="14"/>
                                    </w:rPr>
                                  </w:pPr>
                                  <w:r w:rsidRPr="007C2E3B">
                                    <w:rPr>
                                      <w:b/>
                                      <w:bCs/>
                                      <w:color w:val="231F20"/>
                                      <w:sz w:val="14"/>
                                      <w:szCs w:val="14"/>
                                    </w:rPr>
                                    <w:t>% of the Enlarged Ordinary Share Capital</w:t>
                                  </w:r>
                                  <w:r>
                                    <w:rPr>
                                      <w:b/>
                                      <w:bCs/>
                                      <w:color w:val="231F20"/>
                                      <w:sz w:val="14"/>
                                      <w:szCs w:val="14"/>
                                    </w:rPr>
                                    <w:t xml:space="preserve">/issued ordinary share </w:t>
                                  </w:r>
                                  <w:proofErr w:type="gramStart"/>
                                  <w:r>
                                    <w:rPr>
                                      <w:b/>
                                      <w:bCs/>
                                      <w:color w:val="231F20"/>
                                      <w:sz w:val="14"/>
                                      <w:szCs w:val="14"/>
                                    </w:rPr>
                                    <w:t>capital  post</w:t>
                                  </w:r>
                                  <w:proofErr w:type="gramEnd"/>
                                  <w:r>
                                    <w:rPr>
                                      <w:b/>
                                      <w:bCs/>
                                      <w:color w:val="231F20"/>
                                      <w:sz w:val="14"/>
                                      <w:szCs w:val="14"/>
                                    </w:rPr>
                                    <w:t xml:space="preserve">  exercise of  Labrador Consideration Warrants*</w:t>
                                  </w:r>
                                </w:p>
                                <w:p w14:paraId="4250E5B2" w14:textId="12F43854" w:rsidR="00170424" w:rsidRPr="007C2E3B" w:rsidRDefault="00170424" w:rsidP="001C4361">
                                  <w:pPr>
                                    <w:pStyle w:val="TableParagraph"/>
                                    <w:kinsoku w:val="0"/>
                                    <w:overflowPunct w:val="0"/>
                                    <w:spacing w:line="259" w:lineRule="auto"/>
                                    <w:ind w:left="108" w:right="129"/>
                                    <w:rPr>
                                      <w:b/>
                                      <w:bCs/>
                                      <w:color w:val="231F20"/>
                                      <w:sz w:val="14"/>
                                      <w:szCs w:val="14"/>
                                    </w:rPr>
                                  </w:pPr>
                                </w:p>
                              </w:tc>
                              <w:tc>
                                <w:tcPr>
                                  <w:tcW w:w="1418" w:type="dxa"/>
                                </w:tcPr>
                                <w:p w14:paraId="1E51E064" w14:textId="77777777" w:rsidR="00170424" w:rsidRDefault="00170424">
                                  <w:pPr>
                                    <w:pStyle w:val="TableParagraph"/>
                                    <w:kinsoku w:val="0"/>
                                    <w:overflowPunct w:val="0"/>
                                    <w:spacing w:line="259" w:lineRule="auto"/>
                                    <w:ind w:left="108" w:right="326"/>
                                    <w:rPr>
                                      <w:b/>
                                      <w:bCs/>
                                      <w:color w:val="231F20"/>
                                      <w:sz w:val="14"/>
                                      <w:szCs w:val="14"/>
                                    </w:rPr>
                                  </w:pPr>
                                  <w:r>
                                    <w:rPr>
                                      <w:b/>
                                      <w:bCs/>
                                      <w:color w:val="231F20"/>
                                      <w:sz w:val="14"/>
                                      <w:szCs w:val="14"/>
                                    </w:rPr>
                                    <w:t>% of Dilution</w:t>
                                  </w:r>
                                </w:p>
                                <w:p w14:paraId="66A9CF67" w14:textId="25DF72F9" w:rsidR="00170424" w:rsidRPr="007C2E3B" w:rsidRDefault="00170424">
                                  <w:pPr>
                                    <w:pStyle w:val="TableParagraph"/>
                                    <w:kinsoku w:val="0"/>
                                    <w:overflowPunct w:val="0"/>
                                    <w:spacing w:line="259" w:lineRule="auto"/>
                                    <w:ind w:left="108" w:right="326"/>
                                    <w:rPr>
                                      <w:b/>
                                      <w:bCs/>
                                      <w:color w:val="231F20"/>
                                      <w:sz w:val="14"/>
                                      <w:szCs w:val="14"/>
                                    </w:rPr>
                                  </w:pPr>
                                  <w:r w:rsidRPr="00696DC8">
                                    <w:rPr>
                                      <w:b/>
                                      <w:bCs/>
                                      <w:color w:val="231F20"/>
                                      <w:sz w:val="14"/>
                                      <w:szCs w:val="14"/>
                                    </w:rPr>
                                    <w:t>(pre/</w:t>
                                  </w:r>
                                  <w:proofErr w:type="gramStart"/>
                                  <w:r w:rsidRPr="00696DC8">
                                    <w:rPr>
                                      <w:b/>
                                      <w:bCs/>
                                      <w:color w:val="231F20"/>
                                      <w:sz w:val="14"/>
                                      <w:szCs w:val="14"/>
                                    </w:rPr>
                                    <w:t>post  exercise</w:t>
                                  </w:r>
                                  <w:proofErr w:type="gramEnd"/>
                                  <w:r w:rsidRPr="00696DC8">
                                    <w:rPr>
                                      <w:b/>
                                      <w:bCs/>
                                      <w:color w:val="231F20"/>
                                      <w:sz w:val="14"/>
                                      <w:szCs w:val="14"/>
                                    </w:rPr>
                                    <w:t xml:space="preserve"> of </w:t>
                                  </w:r>
                                  <w:r>
                                    <w:rPr>
                                      <w:b/>
                                      <w:bCs/>
                                      <w:color w:val="231F20"/>
                                      <w:sz w:val="14"/>
                                      <w:szCs w:val="14"/>
                                    </w:rPr>
                                    <w:t xml:space="preserve"> Labrador Consideration </w:t>
                                  </w:r>
                                  <w:r w:rsidRPr="00696DC8">
                                    <w:rPr>
                                      <w:b/>
                                      <w:bCs/>
                                      <w:color w:val="231F20"/>
                                      <w:sz w:val="14"/>
                                      <w:szCs w:val="14"/>
                                    </w:rPr>
                                    <w:t>Warrants)</w:t>
                                  </w:r>
                                  <w:r>
                                    <w:rPr>
                                      <w:b/>
                                      <w:bCs/>
                                      <w:color w:val="231F20"/>
                                      <w:sz w:val="14"/>
                                      <w:szCs w:val="14"/>
                                    </w:rPr>
                                    <w:t>*</w:t>
                                  </w:r>
                                </w:p>
                              </w:tc>
                            </w:tr>
                            <w:tr w:rsidR="00170424" w14:paraId="71800C6D" w14:textId="1B868FBE" w:rsidTr="0047572B">
                              <w:trPr>
                                <w:trHeight w:hRule="exact" w:val="543"/>
                              </w:trPr>
                              <w:tc>
                                <w:tcPr>
                                  <w:tcW w:w="1106" w:type="dxa"/>
                                </w:tcPr>
                                <w:p w14:paraId="38238CBF" w14:textId="7F02A034" w:rsidR="00170424" w:rsidRPr="007C2E3B" w:rsidRDefault="00170424" w:rsidP="007858BE">
                                  <w:pPr>
                                    <w:pStyle w:val="TableParagraph"/>
                                    <w:kinsoku w:val="0"/>
                                    <w:overflowPunct w:val="0"/>
                                    <w:spacing w:line="206" w:lineRule="exact"/>
                                    <w:ind w:left="107"/>
                                    <w:rPr>
                                      <w:color w:val="231F20"/>
                                      <w:sz w:val="14"/>
                                      <w:szCs w:val="14"/>
                                    </w:rPr>
                                  </w:pPr>
                                  <w:proofErr w:type="spellStart"/>
                                  <w:r w:rsidRPr="007C2E3B">
                                    <w:rPr>
                                      <w:color w:val="231F20"/>
                                      <w:sz w:val="14"/>
                                      <w:szCs w:val="14"/>
                                    </w:rPr>
                                    <w:t>Polymetal</w:t>
                                  </w:r>
                                  <w:proofErr w:type="spellEnd"/>
                                </w:p>
                              </w:tc>
                              <w:tc>
                                <w:tcPr>
                                  <w:tcW w:w="1162" w:type="dxa"/>
                                </w:tcPr>
                                <w:p w14:paraId="46DB56B9" w14:textId="77777777" w:rsidR="00170424" w:rsidRPr="007C2E3B" w:rsidRDefault="00170424" w:rsidP="007858BE">
                                  <w:pPr>
                                    <w:pStyle w:val="TableParagraph"/>
                                    <w:kinsoku w:val="0"/>
                                    <w:overflowPunct w:val="0"/>
                                    <w:spacing w:line="206" w:lineRule="exact"/>
                                    <w:ind w:left="81"/>
                                    <w:rPr>
                                      <w:color w:val="231F20"/>
                                      <w:w w:val="99"/>
                                      <w:sz w:val="14"/>
                                      <w:szCs w:val="14"/>
                                    </w:rPr>
                                  </w:pPr>
                                  <w:r w:rsidRPr="007C2E3B">
                                    <w:rPr>
                                      <w:color w:val="231F20"/>
                                      <w:w w:val="99"/>
                                      <w:sz w:val="14"/>
                                      <w:szCs w:val="14"/>
                                    </w:rPr>
                                    <w:t>23,333,334</w:t>
                                  </w:r>
                                </w:p>
                              </w:tc>
                              <w:tc>
                                <w:tcPr>
                                  <w:tcW w:w="993" w:type="dxa"/>
                                </w:tcPr>
                                <w:p w14:paraId="679AE127" w14:textId="307A4CE7" w:rsidR="00170424" w:rsidRPr="007C2E3B" w:rsidRDefault="00170424" w:rsidP="007858BE">
                                  <w:pPr>
                                    <w:pStyle w:val="TableParagraph"/>
                                    <w:kinsoku w:val="0"/>
                                    <w:overflowPunct w:val="0"/>
                                    <w:spacing w:line="206" w:lineRule="exact"/>
                                    <w:ind w:left="107" w:right="98"/>
                                    <w:rPr>
                                      <w:color w:val="231F20"/>
                                      <w:w w:val="99"/>
                                      <w:sz w:val="14"/>
                                      <w:szCs w:val="14"/>
                                    </w:rPr>
                                  </w:pPr>
                                  <w:r w:rsidRPr="007C2E3B">
                                    <w:rPr>
                                      <w:color w:val="231F20"/>
                                      <w:w w:val="99"/>
                                      <w:sz w:val="14"/>
                                      <w:szCs w:val="14"/>
                                    </w:rPr>
                                    <w:t>22.90</w:t>
                                  </w:r>
                                </w:p>
                              </w:tc>
                              <w:tc>
                                <w:tcPr>
                                  <w:tcW w:w="1275" w:type="dxa"/>
                                </w:tcPr>
                                <w:p w14:paraId="3BBC8F3A" w14:textId="6384C6BA" w:rsidR="00170424" w:rsidRPr="007C2E3B" w:rsidRDefault="00170424">
                                  <w:pPr>
                                    <w:pStyle w:val="TableParagraph"/>
                                    <w:kinsoku w:val="0"/>
                                    <w:overflowPunct w:val="0"/>
                                    <w:spacing w:line="206" w:lineRule="exact"/>
                                    <w:ind w:left="108"/>
                                    <w:rPr>
                                      <w:color w:val="231F20"/>
                                      <w:sz w:val="14"/>
                                      <w:szCs w:val="14"/>
                                    </w:rPr>
                                  </w:pPr>
                                  <w:r w:rsidRPr="007C2E3B">
                                    <w:rPr>
                                      <w:color w:val="231F20"/>
                                      <w:sz w:val="14"/>
                                      <w:szCs w:val="14"/>
                                    </w:rPr>
                                    <w:t>23,333,334</w:t>
                                  </w:r>
                                  <w:r>
                                    <w:rPr>
                                      <w:color w:val="231F20"/>
                                      <w:sz w:val="14"/>
                                      <w:szCs w:val="14"/>
                                    </w:rPr>
                                    <w:t>/</w:t>
                                  </w:r>
                                  <w:r>
                                    <w:rPr>
                                      <w:color w:val="231F20"/>
                                      <w:sz w:val="14"/>
                                      <w:szCs w:val="14"/>
                                    </w:rPr>
                                    <w:br/>
                                  </w:r>
                                  <w:r>
                                    <w:rPr>
                                      <w:sz w:val="14"/>
                                      <w:szCs w:val="14"/>
                                    </w:rPr>
                                    <w:t>23,333,334</w:t>
                                  </w:r>
                                </w:p>
                              </w:tc>
                              <w:tc>
                                <w:tcPr>
                                  <w:tcW w:w="1701" w:type="dxa"/>
                                </w:tcPr>
                                <w:p w14:paraId="4BCF79CA" w14:textId="67A01AC1" w:rsidR="00170424" w:rsidRPr="007C2E3B" w:rsidRDefault="00170424" w:rsidP="001C4361">
                                  <w:pPr>
                                    <w:pStyle w:val="TableParagraph"/>
                                    <w:kinsoku w:val="0"/>
                                    <w:overflowPunct w:val="0"/>
                                    <w:spacing w:line="206" w:lineRule="exact"/>
                                    <w:ind w:left="108" w:right="129"/>
                                    <w:rPr>
                                      <w:color w:val="231F20"/>
                                      <w:sz w:val="14"/>
                                      <w:szCs w:val="14"/>
                                    </w:rPr>
                                  </w:pPr>
                                  <w:r>
                                    <w:rPr>
                                      <w:sz w:val="14"/>
                                      <w:szCs w:val="14"/>
                                    </w:rPr>
                                    <w:t>19.44</w:t>
                                  </w:r>
                                  <w:r>
                                    <w:rPr>
                                      <w:color w:val="231F20"/>
                                      <w:sz w:val="14"/>
                                      <w:szCs w:val="14"/>
                                    </w:rPr>
                                    <w:t>/</w:t>
                                  </w:r>
                                  <w:r>
                                    <w:rPr>
                                      <w:sz w:val="14"/>
                                      <w:szCs w:val="14"/>
                                    </w:rPr>
                                    <w:t>17.80</w:t>
                                  </w:r>
                                </w:p>
                              </w:tc>
                              <w:tc>
                                <w:tcPr>
                                  <w:tcW w:w="1418" w:type="dxa"/>
                                </w:tcPr>
                                <w:p w14:paraId="14452007" w14:textId="5C67468D" w:rsidR="00170424" w:rsidRPr="007C2E3B" w:rsidRDefault="00170424">
                                  <w:pPr>
                                    <w:pStyle w:val="TableParagraph"/>
                                    <w:kinsoku w:val="0"/>
                                    <w:overflowPunct w:val="0"/>
                                    <w:spacing w:line="206" w:lineRule="exact"/>
                                    <w:ind w:left="108"/>
                                    <w:rPr>
                                      <w:color w:val="231F20"/>
                                      <w:sz w:val="14"/>
                                      <w:szCs w:val="14"/>
                                    </w:rPr>
                                  </w:pPr>
                                  <w:r>
                                    <w:rPr>
                                      <w:sz w:val="14"/>
                                      <w:szCs w:val="14"/>
                                    </w:rPr>
                                    <w:t>15.07/22.26</w:t>
                                  </w:r>
                                </w:p>
                              </w:tc>
                            </w:tr>
                            <w:tr w:rsidR="00170424" w14:paraId="4C33F07C" w14:textId="3AEA6244" w:rsidTr="0047572B">
                              <w:trPr>
                                <w:trHeight w:hRule="exact" w:val="566"/>
                              </w:trPr>
                              <w:tc>
                                <w:tcPr>
                                  <w:tcW w:w="1106" w:type="dxa"/>
                                </w:tcPr>
                                <w:p w14:paraId="5869ADD4" w14:textId="77777777" w:rsidR="00170424" w:rsidRPr="007C2E3B" w:rsidRDefault="00170424">
                                  <w:pPr>
                                    <w:pStyle w:val="TableParagraph"/>
                                    <w:kinsoku w:val="0"/>
                                    <w:overflowPunct w:val="0"/>
                                    <w:spacing w:before="1" w:line="204" w:lineRule="exact"/>
                                    <w:ind w:left="107"/>
                                    <w:rPr>
                                      <w:color w:val="231F20"/>
                                      <w:sz w:val="14"/>
                                      <w:szCs w:val="14"/>
                                    </w:rPr>
                                  </w:pPr>
                                  <w:r w:rsidRPr="007C2E3B">
                                    <w:rPr>
                                      <w:color w:val="231F20"/>
                                      <w:sz w:val="14"/>
                                      <w:szCs w:val="14"/>
                                    </w:rPr>
                                    <w:t xml:space="preserve">Claudio </w:t>
                                  </w:r>
                                  <w:proofErr w:type="spellStart"/>
                                  <w:r w:rsidRPr="007C2E3B">
                                    <w:rPr>
                                      <w:color w:val="231F20"/>
                                      <w:sz w:val="14"/>
                                      <w:szCs w:val="14"/>
                                    </w:rPr>
                                    <w:t>Ciaverella</w:t>
                                  </w:r>
                                  <w:proofErr w:type="spellEnd"/>
                                </w:p>
                              </w:tc>
                              <w:tc>
                                <w:tcPr>
                                  <w:tcW w:w="1162" w:type="dxa"/>
                                </w:tcPr>
                                <w:p w14:paraId="693E7E25" w14:textId="010A7115" w:rsidR="00170424" w:rsidRPr="007C2E3B" w:rsidRDefault="00170424" w:rsidP="007858BE">
                                  <w:pPr>
                                    <w:pStyle w:val="TableParagraph"/>
                                    <w:kinsoku w:val="0"/>
                                    <w:overflowPunct w:val="0"/>
                                    <w:spacing w:before="1" w:line="204" w:lineRule="exact"/>
                                    <w:ind w:left="81" w:right="293"/>
                                    <w:rPr>
                                      <w:color w:val="231F20"/>
                                      <w:sz w:val="14"/>
                                      <w:szCs w:val="14"/>
                                    </w:rPr>
                                  </w:pPr>
                                  <w:r>
                                    <w:rPr>
                                      <w:color w:val="231F20"/>
                                      <w:sz w:val="14"/>
                                      <w:szCs w:val="14"/>
                                    </w:rPr>
                                    <w:t>4,440,000</w:t>
                                  </w:r>
                                </w:p>
                              </w:tc>
                              <w:tc>
                                <w:tcPr>
                                  <w:tcW w:w="993" w:type="dxa"/>
                                </w:tcPr>
                                <w:p w14:paraId="1D7A535F" w14:textId="20F01CBE" w:rsidR="00170424" w:rsidRPr="007C2E3B" w:rsidRDefault="00170424" w:rsidP="007858BE">
                                  <w:pPr>
                                    <w:pStyle w:val="TableParagraph"/>
                                    <w:kinsoku w:val="0"/>
                                    <w:overflowPunct w:val="0"/>
                                    <w:spacing w:before="1" w:line="204" w:lineRule="exact"/>
                                    <w:ind w:left="107" w:right="98"/>
                                    <w:rPr>
                                      <w:color w:val="231F20"/>
                                      <w:sz w:val="14"/>
                                      <w:szCs w:val="14"/>
                                    </w:rPr>
                                  </w:pPr>
                                  <w:r w:rsidRPr="007C2E3B">
                                    <w:rPr>
                                      <w:color w:val="231F20"/>
                                      <w:sz w:val="14"/>
                                      <w:szCs w:val="14"/>
                                    </w:rPr>
                                    <w:t>4.</w:t>
                                  </w:r>
                                  <w:r>
                                    <w:rPr>
                                      <w:color w:val="231F20"/>
                                      <w:sz w:val="14"/>
                                      <w:szCs w:val="14"/>
                                    </w:rPr>
                                    <w:t>36</w:t>
                                  </w:r>
                                </w:p>
                              </w:tc>
                              <w:tc>
                                <w:tcPr>
                                  <w:tcW w:w="1275" w:type="dxa"/>
                                </w:tcPr>
                                <w:p w14:paraId="29516338" w14:textId="77777777" w:rsidR="00170424" w:rsidRDefault="00170424">
                                  <w:pPr>
                                    <w:pStyle w:val="TableParagraph"/>
                                    <w:kinsoku w:val="0"/>
                                    <w:overflowPunct w:val="0"/>
                                    <w:spacing w:before="1" w:line="204" w:lineRule="exact"/>
                                    <w:ind w:left="106"/>
                                    <w:rPr>
                                      <w:color w:val="231F20"/>
                                      <w:sz w:val="14"/>
                                      <w:szCs w:val="14"/>
                                    </w:rPr>
                                  </w:pPr>
                                  <w:r>
                                    <w:rPr>
                                      <w:color w:val="231F20"/>
                                      <w:sz w:val="14"/>
                                      <w:szCs w:val="14"/>
                                    </w:rPr>
                                    <w:t>4,440,000/</w:t>
                                  </w:r>
                                </w:p>
                                <w:p w14:paraId="78DD15A3" w14:textId="3388FCA7" w:rsidR="00170424" w:rsidRPr="007C2E3B" w:rsidRDefault="00170424">
                                  <w:pPr>
                                    <w:pStyle w:val="TableParagraph"/>
                                    <w:kinsoku w:val="0"/>
                                    <w:overflowPunct w:val="0"/>
                                    <w:spacing w:before="1" w:line="204" w:lineRule="exact"/>
                                    <w:ind w:left="106"/>
                                    <w:rPr>
                                      <w:color w:val="231F20"/>
                                      <w:sz w:val="14"/>
                                      <w:szCs w:val="14"/>
                                    </w:rPr>
                                  </w:pPr>
                                  <w:r>
                                    <w:rPr>
                                      <w:sz w:val="14"/>
                                      <w:szCs w:val="14"/>
                                    </w:rPr>
                                    <w:t>4,440,000</w:t>
                                  </w:r>
                                </w:p>
                              </w:tc>
                              <w:tc>
                                <w:tcPr>
                                  <w:tcW w:w="1701" w:type="dxa"/>
                                </w:tcPr>
                                <w:p w14:paraId="5493FBE9" w14:textId="6011F0AF" w:rsidR="00170424" w:rsidRPr="007C2E3B" w:rsidRDefault="00170424" w:rsidP="001C4361">
                                  <w:pPr>
                                    <w:pStyle w:val="TableParagraph"/>
                                    <w:kinsoku w:val="0"/>
                                    <w:overflowPunct w:val="0"/>
                                    <w:spacing w:before="1" w:line="204" w:lineRule="exact"/>
                                    <w:ind w:left="107" w:right="129"/>
                                    <w:rPr>
                                      <w:color w:val="231F20"/>
                                      <w:sz w:val="14"/>
                                      <w:szCs w:val="14"/>
                                    </w:rPr>
                                  </w:pPr>
                                  <w:r>
                                    <w:rPr>
                                      <w:sz w:val="14"/>
                                      <w:szCs w:val="14"/>
                                    </w:rPr>
                                    <w:t>3.70</w:t>
                                  </w:r>
                                  <w:r>
                                    <w:rPr>
                                      <w:color w:val="231F20"/>
                                      <w:sz w:val="14"/>
                                      <w:szCs w:val="14"/>
                                    </w:rPr>
                                    <w:t>/</w:t>
                                  </w:r>
                                  <w:r>
                                    <w:rPr>
                                      <w:sz w:val="14"/>
                                      <w:szCs w:val="14"/>
                                    </w:rPr>
                                    <w:t>3.39</w:t>
                                  </w:r>
                                </w:p>
                              </w:tc>
                              <w:tc>
                                <w:tcPr>
                                  <w:tcW w:w="1418" w:type="dxa"/>
                                </w:tcPr>
                                <w:p w14:paraId="4CC8AD9C" w14:textId="17A260F0" w:rsidR="00170424" w:rsidRPr="007C2E3B" w:rsidRDefault="00170424">
                                  <w:pPr>
                                    <w:pStyle w:val="TableParagraph"/>
                                    <w:kinsoku w:val="0"/>
                                    <w:overflowPunct w:val="0"/>
                                    <w:spacing w:before="1" w:line="204" w:lineRule="exact"/>
                                    <w:ind w:left="107"/>
                                    <w:rPr>
                                      <w:color w:val="231F20"/>
                                      <w:sz w:val="14"/>
                                      <w:szCs w:val="14"/>
                                    </w:rPr>
                                  </w:pPr>
                                  <w:r>
                                    <w:rPr>
                                      <w:sz w:val="14"/>
                                      <w:szCs w:val="14"/>
                                    </w:rPr>
                                    <w:t>15.07/22.26</w:t>
                                  </w:r>
                                </w:p>
                              </w:tc>
                            </w:tr>
                            <w:tr w:rsidR="00170424" w14:paraId="6A34D961" w14:textId="49B90A85" w:rsidTr="0047572B">
                              <w:trPr>
                                <w:trHeight w:hRule="exact" w:val="558"/>
                              </w:trPr>
                              <w:tc>
                                <w:tcPr>
                                  <w:tcW w:w="1106" w:type="dxa"/>
                                </w:tcPr>
                                <w:p w14:paraId="7F9DB2E3" w14:textId="77777777" w:rsidR="00170424" w:rsidRPr="007C2E3B" w:rsidRDefault="00170424">
                                  <w:pPr>
                                    <w:pStyle w:val="TableParagraph"/>
                                    <w:kinsoku w:val="0"/>
                                    <w:overflowPunct w:val="0"/>
                                    <w:spacing w:line="203" w:lineRule="exact"/>
                                    <w:ind w:left="107"/>
                                    <w:rPr>
                                      <w:color w:val="231F20"/>
                                      <w:sz w:val="14"/>
                                      <w:szCs w:val="14"/>
                                    </w:rPr>
                                  </w:pPr>
                                  <w:r w:rsidRPr="007C2E3B">
                                    <w:rPr>
                                      <w:color w:val="231F20"/>
                                      <w:sz w:val="14"/>
                                      <w:szCs w:val="14"/>
                                    </w:rPr>
                                    <w:t xml:space="preserve">Leo </w:t>
                                  </w:r>
                                  <w:proofErr w:type="spellStart"/>
                                  <w:r w:rsidRPr="007C2E3B">
                                    <w:rPr>
                                      <w:color w:val="231F20"/>
                                      <w:sz w:val="14"/>
                                      <w:szCs w:val="14"/>
                                    </w:rPr>
                                    <w:t>Berezan</w:t>
                                  </w:r>
                                  <w:proofErr w:type="spellEnd"/>
                                </w:p>
                              </w:tc>
                              <w:tc>
                                <w:tcPr>
                                  <w:tcW w:w="1162" w:type="dxa"/>
                                </w:tcPr>
                                <w:p w14:paraId="5FE4B99B" w14:textId="4B6D9E12" w:rsidR="00170424" w:rsidRPr="007C2E3B" w:rsidRDefault="00170424" w:rsidP="007858BE">
                                  <w:pPr>
                                    <w:pStyle w:val="TableParagraph"/>
                                    <w:kinsoku w:val="0"/>
                                    <w:overflowPunct w:val="0"/>
                                    <w:spacing w:line="203" w:lineRule="exact"/>
                                    <w:ind w:left="81" w:right="293"/>
                                    <w:rPr>
                                      <w:color w:val="231F20"/>
                                      <w:sz w:val="14"/>
                                      <w:szCs w:val="14"/>
                                    </w:rPr>
                                  </w:pPr>
                                  <w:r w:rsidRPr="00002F84">
                                    <w:rPr>
                                      <w:color w:val="231F20"/>
                                      <w:sz w:val="14"/>
                                      <w:szCs w:val="14"/>
                                    </w:rPr>
                                    <w:t>4,201,334</w:t>
                                  </w:r>
                                </w:p>
                              </w:tc>
                              <w:tc>
                                <w:tcPr>
                                  <w:tcW w:w="993" w:type="dxa"/>
                                </w:tcPr>
                                <w:p w14:paraId="64B154FC" w14:textId="46491008" w:rsidR="00170424" w:rsidRPr="007C2E3B" w:rsidRDefault="00170424" w:rsidP="007858BE">
                                  <w:pPr>
                                    <w:pStyle w:val="TableParagraph"/>
                                    <w:kinsoku w:val="0"/>
                                    <w:overflowPunct w:val="0"/>
                                    <w:spacing w:line="203" w:lineRule="exact"/>
                                    <w:ind w:left="107" w:right="98"/>
                                    <w:rPr>
                                      <w:color w:val="231F20"/>
                                      <w:sz w:val="14"/>
                                      <w:szCs w:val="14"/>
                                    </w:rPr>
                                  </w:pPr>
                                  <w:r w:rsidRPr="007C2E3B">
                                    <w:rPr>
                                      <w:color w:val="231F20"/>
                                      <w:sz w:val="14"/>
                                      <w:szCs w:val="14"/>
                                    </w:rPr>
                                    <w:t>4.</w:t>
                                  </w:r>
                                  <w:r>
                                    <w:rPr>
                                      <w:color w:val="231F20"/>
                                      <w:sz w:val="14"/>
                                      <w:szCs w:val="14"/>
                                    </w:rPr>
                                    <w:t>12</w:t>
                                  </w:r>
                                </w:p>
                              </w:tc>
                              <w:tc>
                                <w:tcPr>
                                  <w:tcW w:w="1275" w:type="dxa"/>
                                </w:tcPr>
                                <w:p w14:paraId="78C16E80"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4,</w:t>
                                  </w:r>
                                  <w:r>
                                    <w:rPr>
                                      <w:color w:val="231F20"/>
                                      <w:sz w:val="14"/>
                                      <w:szCs w:val="14"/>
                                    </w:rPr>
                                    <w:t>201,334/</w:t>
                                  </w:r>
                                </w:p>
                                <w:p w14:paraId="0216340C" w14:textId="325818F0" w:rsidR="00170424" w:rsidRPr="007C2E3B" w:rsidRDefault="00170424">
                                  <w:pPr>
                                    <w:pStyle w:val="TableParagraph"/>
                                    <w:kinsoku w:val="0"/>
                                    <w:overflowPunct w:val="0"/>
                                    <w:spacing w:line="203" w:lineRule="exact"/>
                                    <w:ind w:left="107"/>
                                    <w:rPr>
                                      <w:color w:val="231F20"/>
                                      <w:sz w:val="14"/>
                                      <w:szCs w:val="14"/>
                                    </w:rPr>
                                  </w:pPr>
                                  <w:r>
                                    <w:rPr>
                                      <w:sz w:val="14"/>
                                      <w:szCs w:val="14"/>
                                    </w:rPr>
                                    <w:t>4,201,334</w:t>
                                  </w:r>
                                </w:p>
                              </w:tc>
                              <w:tc>
                                <w:tcPr>
                                  <w:tcW w:w="1701" w:type="dxa"/>
                                </w:tcPr>
                                <w:p w14:paraId="28D76470" w14:textId="341FCA38"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3.50</w:t>
                                  </w:r>
                                  <w:r>
                                    <w:rPr>
                                      <w:color w:val="231F20"/>
                                      <w:sz w:val="14"/>
                                      <w:szCs w:val="14"/>
                                    </w:rPr>
                                    <w:t>/</w:t>
                                  </w:r>
                                  <w:r>
                                    <w:rPr>
                                      <w:sz w:val="14"/>
                                      <w:szCs w:val="14"/>
                                    </w:rPr>
                                    <w:t>3.20</w:t>
                                  </w:r>
                                </w:p>
                              </w:tc>
                              <w:tc>
                                <w:tcPr>
                                  <w:tcW w:w="1418" w:type="dxa"/>
                                </w:tcPr>
                                <w:p w14:paraId="5AD569C8" w14:textId="61E086EE" w:rsidR="00170424" w:rsidRPr="007C2E3B" w:rsidRDefault="00170424">
                                  <w:pPr>
                                    <w:pStyle w:val="TableParagraph"/>
                                    <w:kinsoku w:val="0"/>
                                    <w:overflowPunct w:val="0"/>
                                    <w:spacing w:line="203" w:lineRule="exact"/>
                                    <w:ind w:left="107"/>
                                    <w:rPr>
                                      <w:color w:val="231F20"/>
                                      <w:sz w:val="14"/>
                                      <w:szCs w:val="14"/>
                                    </w:rPr>
                                  </w:pPr>
                                  <w:r>
                                    <w:rPr>
                                      <w:sz w:val="14"/>
                                      <w:szCs w:val="14"/>
                                    </w:rPr>
                                    <w:t>15.07/22.26</w:t>
                                  </w:r>
                                </w:p>
                              </w:tc>
                            </w:tr>
                            <w:tr w:rsidR="00170424" w14:paraId="55ECBBCF" w14:textId="4847F2D9" w:rsidTr="0047572B">
                              <w:trPr>
                                <w:trHeight w:hRule="exact" w:val="563"/>
                              </w:trPr>
                              <w:tc>
                                <w:tcPr>
                                  <w:tcW w:w="1106" w:type="dxa"/>
                                </w:tcPr>
                                <w:p w14:paraId="579858B3" w14:textId="2EC60D8D" w:rsidR="00170424" w:rsidRPr="007C2E3B" w:rsidRDefault="00170424" w:rsidP="007858BE">
                                  <w:pPr>
                                    <w:pStyle w:val="TableParagraph"/>
                                    <w:kinsoku w:val="0"/>
                                    <w:overflowPunct w:val="0"/>
                                    <w:spacing w:line="259" w:lineRule="auto"/>
                                    <w:ind w:left="107" w:right="-186"/>
                                    <w:rPr>
                                      <w:color w:val="231F20"/>
                                      <w:sz w:val="14"/>
                                      <w:szCs w:val="14"/>
                                    </w:rPr>
                                  </w:pPr>
                                  <w:r>
                                    <w:rPr>
                                      <w:color w:val="231F20"/>
                                      <w:sz w:val="14"/>
                                      <w:szCs w:val="14"/>
                                    </w:rPr>
                                    <w:t>Kingfisher</w:t>
                                  </w:r>
                                </w:p>
                              </w:tc>
                              <w:tc>
                                <w:tcPr>
                                  <w:tcW w:w="1162" w:type="dxa"/>
                                </w:tcPr>
                                <w:p w14:paraId="0A8FA1CC" w14:textId="77777777" w:rsidR="00170424" w:rsidRPr="007C2E3B" w:rsidRDefault="00170424" w:rsidP="007858BE">
                                  <w:pPr>
                                    <w:pStyle w:val="TableParagraph"/>
                                    <w:kinsoku w:val="0"/>
                                    <w:overflowPunct w:val="0"/>
                                    <w:spacing w:line="206" w:lineRule="exact"/>
                                    <w:ind w:left="81" w:right="292"/>
                                    <w:rPr>
                                      <w:color w:val="231F20"/>
                                      <w:sz w:val="14"/>
                                      <w:szCs w:val="14"/>
                                    </w:rPr>
                                  </w:pPr>
                                  <w:r w:rsidRPr="007C2E3B">
                                    <w:rPr>
                                      <w:color w:val="231F20"/>
                                      <w:sz w:val="14"/>
                                      <w:szCs w:val="14"/>
                                    </w:rPr>
                                    <w:t>3,350,000</w:t>
                                  </w:r>
                                </w:p>
                              </w:tc>
                              <w:tc>
                                <w:tcPr>
                                  <w:tcW w:w="993" w:type="dxa"/>
                                </w:tcPr>
                                <w:p w14:paraId="433ECF9F" w14:textId="2029947F" w:rsidR="00170424" w:rsidRPr="007C2E3B" w:rsidRDefault="00170424" w:rsidP="007858BE">
                                  <w:pPr>
                                    <w:pStyle w:val="TableParagraph"/>
                                    <w:kinsoku w:val="0"/>
                                    <w:overflowPunct w:val="0"/>
                                    <w:spacing w:line="206" w:lineRule="exact"/>
                                    <w:ind w:left="107" w:right="98"/>
                                    <w:rPr>
                                      <w:color w:val="231F20"/>
                                      <w:sz w:val="14"/>
                                      <w:szCs w:val="14"/>
                                    </w:rPr>
                                  </w:pPr>
                                  <w:r w:rsidRPr="007C2E3B">
                                    <w:rPr>
                                      <w:color w:val="231F20"/>
                                      <w:sz w:val="14"/>
                                      <w:szCs w:val="14"/>
                                    </w:rPr>
                                    <w:t>3.29</w:t>
                                  </w:r>
                                </w:p>
                              </w:tc>
                              <w:tc>
                                <w:tcPr>
                                  <w:tcW w:w="1275" w:type="dxa"/>
                                </w:tcPr>
                                <w:p w14:paraId="69CDE113" w14:textId="77777777" w:rsidR="00170424" w:rsidRDefault="00170424">
                                  <w:pPr>
                                    <w:pStyle w:val="TableParagraph"/>
                                    <w:kinsoku w:val="0"/>
                                    <w:overflowPunct w:val="0"/>
                                    <w:spacing w:line="206" w:lineRule="exact"/>
                                    <w:ind w:left="107"/>
                                    <w:rPr>
                                      <w:color w:val="231F20"/>
                                      <w:sz w:val="14"/>
                                      <w:szCs w:val="14"/>
                                    </w:rPr>
                                  </w:pPr>
                                  <w:r w:rsidRPr="007C2E3B">
                                    <w:rPr>
                                      <w:color w:val="231F20"/>
                                      <w:sz w:val="14"/>
                                      <w:szCs w:val="14"/>
                                    </w:rPr>
                                    <w:t>3,350,000</w:t>
                                  </w:r>
                                  <w:r>
                                    <w:rPr>
                                      <w:color w:val="231F20"/>
                                      <w:sz w:val="14"/>
                                      <w:szCs w:val="14"/>
                                    </w:rPr>
                                    <w:t>/</w:t>
                                  </w:r>
                                </w:p>
                                <w:p w14:paraId="5BAFEFA9" w14:textId="2FB910FF" w:rsidR="00170424" w:rsidRPr="007C2E3B" w:rsidRDefault="00170424">
                                  <w:pPr>
                                    <w:pStyle w:val="TableParagraph"/>
                                    <w:kinsoku w:val="0"/>
                                    <w:overflowPunct w:val="0"/>
                                    <w:spacing w:line="206" w:lineRule="exact"/>
                                    <w:ind w:left="107"/>
                                    <w:rPr>
                                      <w:color w:val="231F20"/>
                                      <w:sz w:val="14"/>
                                      <w:szCs w:val="14"/>
                                    </w:rPr>
                                  </w:pPr>
                                  <w:r>
                                    <w:rPr>
                                      <w:sz w:val="14"/>
                                      <w:szCs w:val="14"/>
                                    </w:rPr>
                                    <w:t>3,350,000</w:t>
                                  </w:r>
                                </w:p>
                              </w:tc>
                              <w:tc>
                                <w:tcPr>
                                  <w:tcW w:w="1701" w:type="dxa"/>
                                </w:tcPr>
                                <w:p w14:paraId="078A0BA0" w14:textId="3393CAA5" w:rsidR="00170424" w:rsidRPr="007C2E3B" w:rsidRDefault="00170424" w:rsidP="001C4361">
                                  <w:pPr>
                                    <w:pStyle w:val="TableParagraph"/>
                                    <w:kinsoku w:val="0"/>
                                    <w:overflowPunct w:val="0"/>
                                    <w:spacing w:line="206" w:lineRule="exact"/>
                                    <w:ind w:left="108" w:right="129"/>
                                    <w:rPr>
                                      <w:color w:val="231F20"/>
                                      <w:sz w:val="14"/>
                                      <w:szCs w:val="14"/>
                                    </w:rPr>
                                  </w:pPr>
                                  <w:r>
                                    <w:rPr>
                                      <w:sz w:val="14"/>
                                      <w:szCs w:val="14"/>
                                    </w:rPr>
                                    <w:t>2.79</w:t>
                                  </w:r>
                                  <w:r>
                                    <w:rPr>
                                      <w:color w:val="231F20"/>
                                      <w:sz w:val="14"/>
                                      <w:szCs w:val="14"/>
                                    </w:rPr>
                                    <w:t>/</w:t>
                                  </w:r>
                                  <w:r>
                                    <w:rPr>
                                      <w:sz w:val="14"/>
                                      <w:szCs w:val="14"/>
                                    </w:rPr>
                                    <w:t>2.56</w:t>
                                  </w:r>
                                </w:p>
                              </w:tc>
                              <w:tc>
                                <w:tcPr>
                                  <w:tcW w:w="1418" w:type="dxa"/>
                                </w:tcPr>
                                <w:p w14:paraId="0B3C5CD5" w14:textId="29B0C37E" w:rsidR="00170424" w:rsidRPr="007C2E3B" w:rsidRDefault="00170424">
                                  <w:pPr>
                                    <w:pStyle w:val="TableParagraph"/>
                                    <w:kinsoku w:val="0"/>
                                    <w:overflowPunct w:val="0"/>
                                    <w:spacing w:line="206" w:lineRule="exact"/>
                                    <w:ind w:left="108"/>
                                    <w:rPr>
                                      <w:color w:val="231F20"/>
                                      <w:sz w:val="14"/>
                                      <w:szCs w:val="14"/>
                                    </w:rPr>
                                  </w:pPr>
                                  <w:r>
                                    <w:rPr>
                                      <w:sz w:val="14"/>
                                      <w:szCs w:val="14"/>
                                    </w:rPr>
                                    <w:t>15.07/22.26</w:t>
                                  </w:r>
                                  <w:r w:rsidRPr="004D7B87" w:rsidDel="00DE5D2A">
                                    <w:rPr>
                                      <w:sz w:val="14"/>
                                      <w:szCs w:val="14"/>
                                    </w:rPr>
                                    <w:t xml:space="preserve"> </w:t>
                                  </w:r>
                                </w:p>
                              </w:tc>
                            </w:tr>
                            <w:tr w:rsidR="00170424" w14:paraId="59A379A4" w14:textId="25C1FD5F" w:rsidTr="0047572B">
                              <w:trPr>
                                <w:trHeight w:hRule="exact" w:val="571"/>
                              </w:trPr>
                              <w:tc>
                                <w:tcPr>
                                  <w:tcW w:w="1106" w:type="dxa"/>
                                </w:tcPr>
                                <w:p w14:paraId="75EDE75C" w14:textId="77777777" w:rsidR="00170424" w:rsidRPr="007C2E3B" w:rsidRDefault="00170424">
                                  <w:pPr>
                                    <w:pStyle w:val="TableParagraph"/>
                                    <w:kinsoku w:val="0"/>
                                    <w:overflowPunct w:val="0"/>
                                    <w:spacing w:line="203" w:lineRule="exact"/>
                                    <w:ind w:left="107"/>
                                    <w:rPr>
                                      <w:color w:val="231F20"/>
                                      <w:sz w:val="14"/>
                                      <w:szCs w:val="14"/>
                                    </w:rPr>
                                  </w:pPr>
                                  <w:r w:rsidRPr="007C2E3B">
                                    <w:rPr>
                                      <w:color w:val="231F20"/>
                                      <w:sz w:val="14"/>
                                      <w:szCs w:val="14"/>
                                    </w:rPr>
                                    <w:t>Martin French</w:t>
                                  </w:r>
                                </w:p>
                              </w:tc>
                              <w:tc>
                                <w:tcPr>
                                  <w:tcW w:w="1162" w:type="dxa"/>
                                </w:tcPr>
                                <w:p w14:paraId="42D1BB98" w14:textId="77777777" w:rsidR="00170424" w:rsidRPr="007C2E3B" w:rsidRDefault="00170424" w:rsidP="007858BE">
                                  <w:pPr>
                                    <w:pStyle w:val="TableParagraph"/>
                                    <w:kinsoku w:val="0"/>
                                    <w:overflowPunct w:val="0"/>
                                    <w:spacing w:line="203" w:lineRule="exact"/>
                                    <w:ind w:left="81" w:right="293"/>
                                    <w:rPr>
                                      <w:color w:val="231F20"/>
                                      <w:sz w:val="14"/>
                                      <w:szCs w:val="14"/>
                                    </w:rPr>
                                  </w:pPr>
                                  <w:r w:rsidRPr="00C80A99">
                                    <w:rPr>
                                      <w:color w:val="231F20"/>
                                      <w:sz w:val="14"/>
                                      <w:szCs w:val="14"/>
                                    </w:rPr>
                                    <w:t>3,175,000</w:t>
                                  </w:r>
                                </w:p>
                              </w:tc>
                              <w:tc>
                                <w:tcPr>
                                  <w:tcW w:w="993" w:type="dxa"/>
                                </w:tcPr>
                                <w:p w14:paraId="031683C6" w14:textId="0F7B007B" w:rsidR="00170424" w:rsidRPr="007C2E3B" w:rsidRDefault="00170424" w:rsidP="007858BE">
                                  <w:pPr>
                                    <w:pStyle w:val="TableParagraph"/>
                                    <w:kinsoku w:val="0"/>
                                    <w:overflowPunct w:val="0"/>
                                    <w:spacing w:line="203" w:lineRule="exact"/>
                                    <w:ind w:left="107" w:right="98"/>
                                    <w:rPr>
                                      <w:color w:val="231F20"/>
                                      <w:sz w:val="14"/>
                                      <w:szCs w:val="14"/>
                                    </w:rPr>
                                  </w:pPr>
                                  <w:r w:rsidRPr="007C2E3B">
                                    <w:rPr>
                                      <w:color w:val="231F20"/>
                                      <w:sz w:val="14"/>
                                      <w:szCs w:val="14"/>
                                    </w:rPr>
                                    <w:t>3.12</w:t>
                                  </w:r>
                                </w:p>
                              </w:tc>
                              <w:tc>
                                <w:tcPr>
                                  <w:tcW w:w="1275" w:type="dxa"/>
                                </w:tcPr>
                                <w:p w14:paraId="366D2DCA"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3,</w:t>
                                  </w:r>
                                  <w:r>
                                    <w:rPr>
                                      <w:color w:val="231F20"/>
                                      <w:sz w:val="14"/>
                                      <w:szCs w:val="14"/>
                                    </w:rPr>
                                    <w:t>175</w:t>
                                  </w:r>
                                  <w:r w:rsidRPr="007C2E3B">
                                    <w:rPr>
                                      <w:color w:val="231F20"/>
                                      <w:sz w:val="14"/>
                                      <w:szCs w:val="14"/>
                                    </w:rPr>
                                    <w:t>,000</w:t>
                                  </w:r>
                                  <w:r>
                                    <w:rPr>
                                      <w:color w:val="231F20"/>
                                      <w:sz w:val="14"/>
                                      <w:szCs w:val="14"/>
                                    </w:rPr>
                                    <w:t>/</w:t>
                                  </w:r>
                                </w:p>
                                <w:p w14:paraId="11C9F655" w14:textId="1A4078F6" w:rsidR="00170424" w:rsidRPr="007C2E3B" w:rsidRDefault="00170424">
                                  <w:pPr>
                                    <w:pStyle w:val="TableParagraph"/>
                                    <w:kinsoku w:val="0"/>
                                    <w:overflowPunct w:val="0"/>
                                    <w:spacing w:line="203" w:lineRule="exact"/>
                                    <w:ind w:left="107"/>
                                    <w:rPr>
                                      <w:color w:val="231F20"/>
                                      <w:sz w:val="14"/>
                                      <w:szCs w:val="14"/>
                                    </w:rPr>
                                  </w:pPr>
                                  <w:r>
                                    <w:rPr>
                                      <w:sz w:val="14"/>
                                      <w:szCs w:val="14"/>
                                    </w:rPr>
                                    <w:t>3,175,000</w:t>
                                  </w:r>
                                </w:p>
                              </w:tc>
                              <w:tc>
                                <w:tcPr>
                                  <w:tcW w:w="1701" w:type="dxa"/>
                                </w:tcPr>
                                <w:p w14:paraId="0BFBE597" w14:textId="6ECD7588"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2.65</w:t>
                                  </w:r>
                                  <w:r>
                                    <w:rPr>
                                      <w:color w:val="231F20"/>
                                      <w:sz w:val="14"/>
                                      <w:szCs w:val="14"/>
                                    </w:rPr>
                                    <w:t>/</w:t>
                                  </w:r>
                                  <w:r>
                                    <w:rPr>
                                      <w:sz w:val="14"/>
                                      <w:szCs w:val="14"/>
                                    </w:rPr>
                                    <w:t>2.42</w:t>
                                  </w:r>
                                </w:p>
                              </w:tc>
                              <w:tc>
                                <w:tcPr>
                                  <w:tcW w:w="1418" w:type="dxa"/>
                                </w:tcPr>
                                <w:p w14:paraId="1E21DC83" w14:textId="3CC04A5A" w:rsidR="00170424" w:rsidRPr="007C2E3B" w:rsidRDefault="00170424">
                                  <w:pPr>
                                    <w:pStyle w:val="TableParagraph"/>
                                    <w:kinsoku w:val="0"/>
                                    <w:overflowPunct w:val="0"/>
                                    <w:spacing w:line="203" w:lineRule="exact"/>
                                    <w:ind w:left="107"/>
                                    <w:rPr>
                                      <w:color w:val="231F20"/>
                                      <w:sz w:val="14"/>
                                      <w:szCs w:val="14"/>
                                    </w:rPr>
                                  </w:pPr>
                                  <w:r>
                                    <w:rPr>
                                      <w:sz w:val="14"/>
                                      <w:szCs w:val="14"/>
                                    </w:rPr>
                                    <w:t>15.07/22.26</w:t>
                                  </w:r>
                                  <w:r w:rsidDel="00DE5D2A">
                                    <w:rPr>
                                      <w:sz w:val="14"/>
                                      <w:szCs w:val="14"/>
                                    </w:rPr>
                                    <w:t xml:space="preserve"> </w:t>
                                  </w:r>
                                </w:p>
                              </w:tc>
                            </w:tr>
                            <w:tr w:rsidR="00170424" w14:paraId="4A7CE9F9" w14:textId="77777777" w:rsidTr="0047572B">
                              <w:trPr>
                                <w:trHeight w:hRule="exact" w:val="571"/>
                              </w:trPr>
                              <w:tc>
                                <w:tcPr>
                                  <w:tcW w:w="1106" w:type="dxa"/>
                                </w:tcPr>
                                <w:p w14:paraId="42E71FE7" w14:textId="1EB39CCB"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Robert McFadden</w:t>
                                  </w:r>
                                </w:p>
                              </w:tc>
                              <w:tc>
                                <w:tcPr>
                                  <w:tcW w:w="1162" w:type="dxa"/>
                                </w:tcPr>
                                <w:p w14:paraId="37BFB80F" w14:textId="52D86D39" w:rsidR="00170424" w:rsidRPr="00C80A99" w:rsidRDefault="00170424" w:rsidP="007858BE">
                                  <w:pPr>
                                    <w:pStyle w:val="TableParagraph"/>
                                    <w:kinsoku w:val="0"/>
                                    <w:overflowPunct w:val="0"/>
                                    <w:spacing w:line="203" w:lineRule="exact"/>
                                    <w:ind w:left="81" w:right="293"/>
                                    <w:rPr>
                                      <w:color w:val="231F20"/>
                                      <w:sz w:val="14"/>
                                      <w:szCs w:val="14"/>
                                    </w:rPr>
                                  </w:pPr>
                                  <w:r>
                                    <w:rPr>
                                      <w:color w:val="231F20"/>
                                      <w:sz w:val="14"/>
                                      <w:szCs w:val="14"/>
                                    </w:rPr>
                                    <w:t>2,232,937</w:t>
                                  </w:r>
                                </w:p>
                              </w:tc>
                              <w:tc>
                                <w:tcPr>
                                  <w:tcW w:w="993" w:type="dxa"/>
                                </w:tcPr>
                                <w:p w14:paraId="5104FACE" w14:textId="37F13949" w:rsidR="00170424" w:rsidRPr="007C2E3B" w:rsidRDefault="00170424" w:rsidP="007858BE">
                                  <w:pPr>
                                    <w:pStyle w:val="TableParagraph"/>
                                    <w:kinsoku w:val="0"/>
                                    <w:overflowPunct w:val="0"/>
                                    <w:spacing w:line="203" w:lineRule="exact"/>
                                    <w:ind w:left="107" w:right="98"/>
                                    <w:rPr>
                                      <w:color w:val="231F20"/>
                                      <w:sz w:val="14"/>
                                      <w:szCs w:val="14"/>
                                    </w:rPr>
                                  </w:pPr>
                                  <w:r>
                                    <w:rPr>
                                      <w:color w:val="231F20"/>
                                      <w:sz w:val="14"/>
                                      <w:szCs w:val="14"/>
                                    </w:rPr>
                                    <w:t>2.19</w:t>
                                  </w:r>
                                </w:p>
                              </w:tc>
                              <w:tc>
                                <w:tcPr>
                                  <w:tcW w:w="1275" w:type="dxa"/>
                                </w:tcPr>
                                <w:p w14:paraId="48006340" w14:textId="77777777" w:rsidR="00170424" w:rsidRDefault="00170424">
                                  <w:pPr>
                                    <w:pStyle w:val="TableParagraph"/>
                                    <w:kinsoku w:val="0"/>
                                    <w:overflowPunct w:val="0"/>
                                    <w:spacing w:line="203" w:lineRule="exact"/>
                                    <w:ind w:left="107"/>
                                    <w:rPr>
                                      <w:color w:val="231F20"/>
                                      <w:sz w:val="14"/>
                                      <w:szCs w:val="14"/>
                                    </w:rPr>
                                  </w:pPr>
                                  <w:r>
                                    <w:rPr>
                                      <w:color w:val="231F20"/>
                                      <w:sz w:val="14"/>
                                      <w:szCs w:val="14"/>
                                    </w:rPr>
                                    <w:t>2,232,937/</w:t>
                                  </w:r>
                                </w:p>
                                <w:p w14:paraId="47168521" w14:textId="15826F9C"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2,232,937</w:t>
                                  </w:r>
                                </w:p>
                              </w:tc>
                              <w:tc>
                                <w:tcPr>
                                  <w:tcW w:w="1701" w:type="dxa"/>
                                </w:tcPr>
                                <w:p w14:paraId="45FE2A17" w14:textId="2EB0BDE9" w:rsidR="00170424" w:rsidRDefault="00170424" w:rsidP="001C4361">
                                  <w:pPr>
                                    <w:pStyle w:val="TableParagraph"/>
                                    <w:kinsoku w:val="0"/>
                                    <w:overflowPunct w:val="0"/>
                                    <w:spacing w:line="203" w:lineRule="exact"/>
                                    <w:ind w:left="107" w:right="129"/>
                                    <w:rPr>
                                      <w:sz w:val="14"/>
                                      <w:szCs w:val="14"/>
                                    </w:rPr>
                                  </w:pPr>
                                  <w:r>
                                    <w:rPr>
                                      <w:sz w:val="14"/>
                                      <w:szCs w:val="14"/>
                                    </w:rPr>
                                    <w:t>1.86/1.70</w:t>
                                  </w:r>
                                </w:p>
                              </w:tc>
                              <w:tc>
                                <w:tcPr>
                                  <w:tcW w:w="1418" w:type="dxa"/>
                                </w:tcPr>
                                <w:p w14:paraId="42A18BCC" w14:textId="3C2F7026" w:rsidR="00170424" w:rsidRPr="004D7B87" w:rsidRDefault="00170424">
                                  <w:pPr>
                                    <w:pStyle w:val="TableParagraph"/>
                                    <w:kinsoku w:val="0"/>
                                    <w:overflowPunct w:val="0"/>
                                    <w:spacing w:line="203" w:lineRule="exact"/>
                                    <w:ind w:left="107"/>
                                    <w:rPr>
                                      <w:sz w:val="14"/>
                                      <w:szCs w:val="14"/>
                                    </w:rPr>
                                  </w:pPr>
                                  <w:r>
                                    <w:rPr>
                                      <w:sz w:val="14"/>
                                      <w:szCs w:val="14"/>
                                    </w:rPr>
                                    <w:t>15.07/22.26</w:t>
                                  </w:r>
                                </w:p>
                              </w:tc>
                            </w:tr>
                            <w:tr w:rsidR="00170424" w14:paraId="50ADB916" w14:textId="14154D82" w:rsidTr="0047572B">
                              <w:trPr>
                                <w:trHeight w:val="61"/>
                              </w:trPr>
                              <w:tc>
                                <w:tcPr>
                                  <w:tcW w:w="1106" w:type="dxa"/>
                                </w:tcPr>
                                <w:p w14:paraId="7E1DA572" w14:textId="77777777" w:rsidR="00170424" w:rsidRDefault="00170424">
                                  <w:pPr>
                                    <w:pStyle w:val="TableParagraph"/>
                                    <w:kinsoku w:val="0"/>
                                    <w:overflowPunct w:val="0"/>
                                    <w:spacing w:line="203" w:lineRule="exact"/>
                                    <w:ind w:left="107"/>
                                    <w:rPr>
                                      <w:color w:val="231F20"/>
                                      <w:sz w:val="14"/>
                                      <w:szCs w:val="14"/>
                                    </w:rPr>
                                  </w:pPr>
                                  <w:r w:rsidRPr="007C2E3B">
                                    <w:rPr>
                                      <w:color w:val="231F20"/>
                                      <w:sz w:val="14"/>
                                      <w:szCs w:val="14"/>
                                    </w:rPr>
                                    <w:t xml:space="preserve">Altius </w:t>
                                  </w:r>
                                </w:p>
                                <w:p w14:paraId="36759BF3" w14:textId="6D30A458" w:rsidR="00170424" w:rsidRPr="007C2E3B" w:rsidRDefault="00170424" w:rsidP="007858BE">
                                  <w:pPr>
                                    <w:pStyle w:val="TableParagraph"/>
                                    <w:kinsoku w:val="0"/>
                                    <w:overflowPunct w:val="0"/>
                                    <w:spacing w:line="203" w:lineRule="exact"/>
                                    <w:rPr>
                                      <w:color w:val="231F20"/>
                                      <w:sz w:val="14"/>
                                      <w:szCs w:val="14"/>
                                    </w:rPr>
                                  </w:pPr>
                                </w:p>
                              </w:tc>
                              <w:tc>
                                <w:tcPr>
                                  <w:tcW w:w="1162" w:type="dxa"/>
                                </w:tcPr>
                                <w:p w14:paraId="58EC90A4" w14:textId="6607E2F7" w:rsidR="00170424" w:rsidRPr="007C2E3B" w:rsidRDefault="00170424" w:rsidP="007858BE">
                                  <w:pPr>
                                    <w:pStyle w:val="TableParagraph"/>
                                    <w:kinsoku w:val="0"/>
                                    <w:overflowPunct w:val="0"/>
                                    <w:spacing w:line="203" w:lineRule="exact"/>
                                    <w:ind w:left="81" w:right="293"/>
                                    <w:rPr>
                                      <w:color w:val="231F20"/>
                                      <w:sz w:val="14"/>
                                      <w:szCs w:val="14"/>
                                    </w:rPr>
                                  </w:pPr>
                                  <w:r w:rsidRPr="007C2E3B">
                                    <w:rPr>
                                      <w:color w:val="231F20"/>
                                      <w:sz w:val="14"/>
                                      <w:szCs w:val="14"/>
                                    </w:rPr>
                                    <w:t>0</w:t>
                                  </w:r>
                                </w:p>
                              </w:tc>
                              <w:tc>
                                <w:tcPr>
                                  <w:tcW w:w="993" w:type="dxa"/>
                                </w:tcPr>
                                <w:p w14:paraId="0675DBD8" w14:textId="579B0967" w:rsidR="00170424" w:rsidRPr="007C2E3B" w:rsidRDefault="00170424" w:rsidP="007858BE">
                                  <w:pPr>
                                    <w:pStyle w:val="TableParagraph"/>
                                    <w:kinsoku w:val="0"/>
                                    <w:overflowPunct w:val="0"/>
                                    <w:spacing w:line="203" w:lineRule="exact"/>
                                    <w:ind w:left="107" w:right="98"/>
                                    <w:jc w:val="both"/>
                                    <w:rPr>
                                      <w:color w:val="231F20"/>
                                      <w:sz w:val="14"/>
                                      <w:szCs w:val="14"/>
                                    </w:rPr>
                                  </w:pPr>
                                  <w:r w:rsidRPr="007C2E3B">
                                    <w:rPr>
                                      <w:color w:val="231F20"/>
                                      <w:sz w:val="14"/>
                                      <w:szCs w:val="14"/>
                                    </w:rPr>
                                    <w:t>0</w:t>
                                  </w:r>
                                </w:p>
                              </w:tc>
                              <w:tc>
                                <w:tcPr>
                                  <w:tcW w:w="1275" w:type="dxa"/>
                                </w:tcPr>
                                <w:p w14:paraId="727F8F09" w14:textId="38E54FFD" w:rsidR="00170424" w:rsidRPr="007C2E3B" w:rsidRDefault="00170424">
                                  <w:pPr>
                                    <w:pStyle w:val="TableParagraph"/>
                                    <w:kinsoku w:val="0"/>
                                    <w:overflowPunct w:val="0"/>
                                    <w:spacing w:line="203" w:lineRule="exact"/>
                                    <w:ind w:left="107"/>
                                    <w:rPr>
                                      <w:color w:val="231F20"/>
                                      <w:sz w:val="14"/>
                                      <w:szCs w:val="14"/>
                                    </w:rPr>
                                  </w:pPr>
                                  <w:r w:rsidRPr="007C2E3B">
                                    <w:rPr>
                                      <w:sz w:val="14"/>
                                      <w:szCs w:val="14"/>
                                    </w:rPr>
                                    <w:t>10,089,199</w:t>
                                  </w:r>
                                  <w:r>
                                    <w:rPr>
                                      <w:sz w:val="14"/>
                                      <w:szCs w:val="14"/>
                                    </w:rPr>
                                    <w:t>/</w:t>
                                  </w:r>
                                  <w:r>
                                    <w:rPr>
                                      <w:sz w:val="14"/>
                                      <w:szCs w:val="14"/>
                                    </w:rPr>
                                    <w:br/>
                                    <w:t>21,189,199</w:t>
                                  </w:r>
                                </w:p>
                              </w:tc>
                              <w:tc>
                                <w:tcPr>
                                  <w:tcW w:w="1701" w:type="dxa"/>
                                </w:tcPr>
                                <w:p w14:paraId="229F347F" w14:textId="49EAFF3D" w:rsidR="00170424" w:rsidRPr="007C2E3B" w:rsidRDefault="00170424" w:rsidP="001C4361">
                                  <w:pPr>
                                    <w:pStyle w:val="TableParagraph"/>
                                    <w:kinsoku w:val="0"/>
                                    <w:overflowPunct w:val="0"/>
                                    <w:spacing w:line="203" w:lineRule="exact"/>
                                    <w:ind w:left="107" w:right="129"/>
                                    <w:rPr>
                                      <w:color w:val="231F20"/>
                                      <w:sz w:val="14"/>
                                      <w:szCs w:val="14"/>
                                    </w:rPr>
                                  </w:pPr>
                                  <w:r>
                                    <w:rPr>
                                      <w:sz w:val="14"/>
                                      <w:szCs w:val="14"/>
                                    </w:rPr>
                                    <w:t>8.41</w:t>
                                  </w:r>
                                  <w:r>
                                    <w:rPr>
                                      <w:color w:val="231F20"/>
                                      <w:sz w:val="14"/>
                                      <w:szCs w:val="14"/>
                                    </w:rPr>
                                    <w:t>/16.16</w:t>
                                  </w:r>
                                </w:p>
                              </w:tc>
                              <w:tc>
                                <w:tcPr>
                                  <w:tcW w:w="1418" w:type="dxa"/>
                                </w:tcPr>
                                <w:p w14:paraId="104B2562" w14:textId="5655901E" w:rsidR="00170424" w:rsidRPr="007C2E3B" w:rsidRDefault="00170424">
                                  <w:pPr>
                                    <w:pStyle w:val="TableParagraph"/>
                                    <w:kinsoku w:val="0"/>
                                    <w:overflowPunct w:val="0"/>
                                    <w:spacing w:line="203" w:lineRule="exact"/>
                                    <w:ind w:left="107"/>
                                    <w:rPr>
                                      <w:color w:val="231F20"/>
                                      <w:sz w:val="14"/>
                                      <w:szCs w:val="14"/>
                                    </w:rPr>
                                  </w:pPr>
                                  <w:r>
                                    <w:rPr>
                                      <w:color w:val="231F20"/>
                                      <w:sz w:val="14"/>
                                      <w:szCs w:val="14"/>
                                    </w:rPr>
                                    <w:t>Not applicable, new Shareholder at Admission</w:t>
                                  </w:r>
                                </w:p>
                              </w:tc>
                            </w:tr>
                          </w:tbl>
                          <w:p w14:paraId="6F7E73B9" w14:textId="77777777" w:rsidR="00170424" w:rsidRDefault="00170424" w:rsidP="0031766D">
                            <w:pPr>
                              <w:pStyle w:val="BodyText"/>
                              <w:kinsoku w:val="0"/>
                              <w:overflowPunct w:val="0"/>
                              <w:rPr>
                                <w:rFonts w:ascii="Times New Roman" w:hAnsi="Times New Roman" w:cs="Times New Roman"/>
                                <w:sz w:val="24"/>
                                <w:szCs w:val="24"/>
                              </w:rPr>
                            </w:pPr>
                          </w:p>
                          <w:p w14:paraId="612A76AB" w14:textId="77777777" w:rsidR="00170424" w:rsidRDefault="00170424" w:rsidP="0031766D">
                            <w:pPr>
                              <w:pStyle w:val="BodyText"/>
                              <w:kinsoku w:val="0"/>
                              <w:overflowPunct w:val="0"/>
                              <w:rPr>
                                <w:rFonts w:ascii="Times New Roman" w:hAnsi="Times New Roman" w:cs="Times New Roman"/>
                                <w:sz w:val="24"/>
                                <w:szCs w:val="24"/>
                              </w:rPr>
                            </w:pPr>
                          </w:p>
                          <w:p w14:paraId="35175EB4" w14:textId="77777777" w:rsidR="00170424" w:rsidRDefault="00170424" w:rsidP="0031766D">
                            <w:pPr>
                              <w:pStyle w:val="BodyText"/>
                              <w:kinsoku w:val="0"/>
                              <w:overflowPunct w:val="0"/>
                              <w:rPr>
                                <w:rFonts w:ascii="Times New Roman" w:hAnsi="Times New Roman" w:cs="Times New Roman"/>
                                <w:sz w:val="24"/>
                                <w:szCs w:val="24"/>
                              </w:rPr>
                            </w:pPr>
                          </w:p>
                          <w:p w14:paraId="5C98FE66" w14:textId="77777777" w:rsidR="00170424" w:rsidRDefault="00170424" w:rsidP="0031766D">
                            <w:pPr>
                              <w:pStyle w:val="BodyText"/>
                              <w:kinsoku w:val="0"/>
                              <w:overflowPunct w:val="0"/>
                              <w:rPr>
                                <w:rFonts w:ascii="Times New Roman" w:hAnsi="Times New Roman" w:cs="Times New Roman"/>
                                <w:sz w:val="24"/>
                                <w:szCs w:val="24"/>
                              </w:rPr>
                            </w:pPr>
                          </w:p>
                          <w:p w14:paraId="7464752E" w14:textId="77777777" w:rsidR="00170424" w:rsidRDefault="00170424" w:rsidP="0031766D">
                            <w:pPr>
                              <w:pStyle w:val="BodyText"/>
                              <w:kinsoku w:val="0"/>
                              <w:overflowPunct w:val="0"/>
                              <w:rPr>
                                <w:rFonts w:ascii="Times New Roman" w:hAnsi="Times New Roman" w:cs="Times New Roman"/>
                                <w:sz w:val="24"/>
                                <w:szCs w:val="24"/>
                              </w:rPr>
                            </w:pPr>
                          </w:p>
                          <w:p w14:paraId="4CF055A7" w14:textId="77777777" w:rsidR="00170424" w:rsidRDefault="00170424" w:rsidP="0031766D">
                            <w:pPr>
                              <w:pStyle w:val="BodyText"/>
                              <w:kinsoku w:val="0"/>
                              <w:overflowPunct w:val="0"/>
                              <w:rPr>
                                <w:rFonts w:ascii="Times New Roman" w:hAnsi="Times New Roman" w:cs="Times New Roman"/>
                                <w:sz w:val="24"/>
                                <w:szCs w:val="24"/>
                              </w:rPr>
                            </w:pPr>
                          </w:p>
                          <w:p w14:paraId="3B12CFE5" w14:textId="77777777" w:rsidR="00170424" w:rsidRDefault="00170424" w:rsidP="0031766D">
                            <w:pPr>
                              <w:pStyle w:val="BodyText"/>
                              <w:kinsoku w:val="0"/>
                              <w:overflowPunct w:val="0"/>
                              <w:rPr>
                                <w:rFonts w:ascii="Times New Roman" w:hAnsi="Times New Roman" w:cs="Times New Roman"/>
                                <w:sz w:val="24"/>
                                <w:szCs w:val="24"/>
                              </w:rPr>
                            </w:pPr>
                          </w:p>
                          <w:p w14:paraId="5BBE5111" w14:textId="77777777" w:rsidR="00170424" w:rsidRDefault="00170424" w:rsidP="0031766D">
                            <w:pPr>
                              <w:pStyle w:val="BodyText"/>
                              <w:kinsoku w:val="0"/>
                              <w:overflowPunct w:val="0"/>
                              <w:rPr>
                                <w:rFonts w:ascii="Times New Roman" w:hAnsi="Times New Roman" w:cs="Times New Roman"/>
                                <w:sz w:val="24"/>
                                <w:szCs w:val="24"/>
                              </w:rPr>
                            </w:pPr>
                          </w:p>
                          <w:p w14:paraId="2F38E0F4" w14:textId="77777777" w:rsidR="00170424" w:rsidRDefault="00170424" w:rsidP="0031766D">
                            <w:pPr>
                              <w:pStyle w:val="BodyText"/>
                              <w:kinsoku w:val="0"/>
                              <w:overflowPunct w:val="0"/>
                              <w:rPr>
                                <w:rFonts w:ascii="Times New Roman" w:hAnsi="Times New Roman" w:cs="Times New Roman"/>
                                <w:sz w:val="24"/>
                                <w:szCs w:val="24"/>
                              </w:rPr>
                            </w:pPr>
                          </w:p>
                        </w:txbxContent>
                      </v:textbox>
                      <w10:wrap anchorx="page" anchory="page"/>
                    </v:shape>
                  </w:pict>
                </mc:Fallback>
              </mc:AlternateContent>
            </w:r>
            <w:r w:rsidR="0031766D">
              <w:rPr>
                <w:color w:val="050606"/>
                <w:sz w:val="18"/>
                <w:szCs w:val="18"/>
              </w:rPr>
              <w:t xml:space="preserve">As at </w:t>
            </w:r>
            <w:r w:rsidR="0031766D" w:rsidRPr="00EB2E04">
              <w:rPr>
                <w:color w:val="050606"/>
                <w:sz w:val="18"/>
                <w:szCs w:val="18"/>
              </w:rPr>
              <w:t>the Last Practicable Date, the Company is aware of the following persons who are interested and who, immediately following Admission</w:t>
            </w:r>
            <w:r w:rsidR="0031766D">
              <w:rPr>
                <w:color w:val="050606"/>
                <w:sz w:val="18"/>
                <w:szCs w:val="18"/>
              </w:rPr>
              <w:t xml:space="preserve">, are expected to be interested, directly or indirectly, in three per cent. or more of the Company’s capital or voting rights: </w:t>
            </w:r>
            <w:r w:rsidR="0047572B">
              <w:rPr>
                <w:b/>
                <w:i/>
                <w:color w:val="050606"/>
                <w:sz w:val="18"/>
                <w:szCs w:val="18"/>
                <w:highlight w:val="yellow"/>
              </w:rPr>
              <w:br/>
            </w:r>
          </w:p>
          <w:p w14:paraId="40E827AD" w14:textId="4C3FC17F" w:rsidR="0031766D" w:rsidRDefault="0031766D" w:rsidP="0047572B">
            <w:pPr>
              <w:pStyle w:val="TableParagraph"/>
              <w:kinsoku w:val="0"/>
              <w:overflowPunct w:val="0"/>
              <w:rPr>
                <w:b/>
                <w:bCs/>
                <w:sz w:val="20"/>
                <w:szCs w:val="20"/>
              </w:rPr>
            </w:pPr>
          </w:p>
          <w:p w14:paraId="2546DBCF" w14:textId="0EAE684C" w:rsidR="0031766D" w:rsidRPr="00C81F00" w:rsidRDefault="0031766D" w:rsidP="0047572B">
            <w:pPr>
              <w:pStyle w:val="TableParagraph"/>
              <w:kinsoku w:val="0"/>
              <w:overflowPunct w:val="0"/>
              <w:rPr>
                <w:b/>
                <w:bCs/>
                <w:i/>
                <w:sz w:val="18"/>
                <w:szCs w:val="18"/>
              </w:rPr>
            </w:pPr>
          </w:p>
          <w:p w14:paraId="2A6B6460" w14:textId="77777777" w:rsidR="0031766D" w:rsidRDefault="0031766D" w:rsidP="0047572B">
            <w:pPr>
              <w:pStyle w:val="TableParagraph"/>
              <w:kinsoku w:val="0"/>
              <w:overflowPunct w:val="0"/>
              <w:rPr>
                <w:b/>
                <w:bCs/>
                <w:sz w:val="20"/>
                <w:szCs w:val="20"/>
              </w:rPr>
            </w:pPr>
          </w:p>
          <w:p w14:paraId="74F677FC" w14:textId="77777777" w:rsidR="0031766D" w:rsidRDefault="0031766D" w:rsidP="0047572B">
            <w:pPr>
              <w:pStyle w:val="TableParagraph"/>
              <w:kinsoku w:val="0"/>
              <w:overflowPunct w:val="0"/>
              <w:rPr>
                <w:b/>
                <w:bCs/>
                <w:sz w:val="20"/>
                <w:szCs w:val="20"/>
              </w:rPr>
            </w:pPr>
          </w:p>
          <w:p w14:paraId="2E65F8D5" w14:textId="77777777" w:rsidR="0031766D" w:rsidRDefault="0031766D" w:rsidP="0047572B">
            <w:pPr>
              <w:pStyle w:val="TableParagraph"/>
              <w:kinsoku w:val="0"/>
              <w:overflowPunct w:val="0"/>
              <w:rPr>
                <w:b/>
                <w:bCs/>
                <w:sz w:val="20"/>
                <w:szCs w:val="20"/>
              </w:rPr>
            </w:pPr>
          </w:p>
          <w:p w14:paraId="1907C7A4" w14:textId="77777777" w:rsidR="0031766D" w:rsidRDefault="0031766D" w:rsidP="0047572B">
            <w:pPr>
              <w:pStyle w:val="TableParagraph"/>
              <w:kinsoku w:val="0"/>
              <w:overflowPunct w:val="0"/>
              <w:rPr>
                <w:b/>
                <w:bCs/>
                <w:sz w:val="20"/>
                <w:szCs w:val="20"/>
              </w:rPr>
            </w:pPr>
          </w:p>
          <w:p w14:paraId="5A82A443" w14:textId="77777777" w:rsidR="0031766D" w:rsidRDefault="0031766D" w:rsidP="0047572B">
            <w:pPr>
              <w:pStyle w:val="TableParagraph"/>
              <w:kinsoku w:val="0"/>
              <w:overflowPunct w:val="0"/>
              <w:rPr>
                <w:b/>
                <w:bCs/>
                <w:sz w:val="20"/>
                <w:szCs w:val="20"/>
              </w:rPr>
            </w:pPr>
          </w:p>
          <w:p w14:paraId="60E47554" w14:textId="77777777" w:rsidR="0031766D" w:rsidRDefault="0031766D" w:rsidP="0047572B">
            <w:pPr>
              <w:pStyle w:val="TableParagraph"/>
              <w:kinsoku w:val="0"/>
              <w:overflowPunct w:val="0"/>
              <w:rPr>
                <w:b/>
                <w:bCs/>
                <w:sz w:val="20"/>
                <w:szCs w:val="20"/>
              </w:rPr>
            </w:pPr>
          </w:p>
          <w:p w14:paraId="3776134C" w14:textId="77777777" w:rsidR="0031766D" w:rsidRDefault="0031766D" w:rsidP="0047572B">
            <w:pPr>
              <w:pStyle w:val="TableParagraph"/>
              <w:kinsoku w:val="0"/>
              <w:overflowPunct w:val="0"/>
              <w:rPr>
                <w:b/>
                <w:bCs/>
                <w:sz w:val="20"/>
                <w:szCs w:val="20"/>
              </w:rPr>
            </w:pPr>
          </w:p>
          <w:p w14:paraId="47CF2725" w14:textId="77777777" w:rsidR="0031766D" w:rsidRDefault="0031766D" w:rsidP="0047572B">
            <w:pPr>
              <w:pStyle w:val="TableParagraph"/>
              <w:kinsoku w:val="0"/>
              <w:overflowPunct w:val="0"/>
              <w:rPr>
                <w:b/>
                <w:bCs/>
                <w:sz w:val="20"/>
                <w:szCs w:val="20"/>
              </w:rPr>
            </w:pPr>
          </w:p>
          <w:p w14:paraId="711D9CCA" w14:textId="77777777" w:rsidR="0031766D" w:rsidRDefault="0031766D" w:rsidP="0047572B">
            <w:pPr>
              <w:pStyle w:val="TableParagraph"/>
              <w:kinsoku w:val="0"/>
              <w:overflowPunct w:val="0"/>
              <w:rPr>
                <w:b/>
                <w:bCs/>
                <w:sz w:val="20"/>
                <w:szCs w:val="20"/>
              </w:rPr>
            </w:pPr>
          </w:p>
          <w:p w14:paraId="1814F63C" w14:textId="77777777" w:rsidR="0031766D" w:rsidRDefault="0031766D" w:rsidP="0047572B">
            <w:pPr>
              <w:pStyle w:val="TableParagraph"/>
              <w:kinsoku w:val="0"/>
              <w:overflowPunct w:val="0"/>
              <w:rPr>
                <w:b/>
                <w:bCs/>
                <w:sz w:val="20"/>
                <w:szCs w:val="20"/>
              </w:rPr>
            </w:pPr>
          </w:p>
          <w:p w14:paraId="77371138" w14:textId="77777777" w:rsidR="0031766D" w:rsidRDefault="0031766D" w:rsidP="0047572B">
            <w:pPr>
              <w:pStyle w:val="TableParagraph"/>
              <w:kinsoku w:val="0"/>
              <w:overflowPunct w:val="0"/>
              <w:rPr>
                <w:b/>
                <w:bCs/>
                <w:sz w:val="20"/>
                <w:szCs w:val="20"/>
              </w:rPr>
            </w:pPr>
          </w:p>
          <w:p w14:paraId="169C7EBE" w14:textId="77777777" w:rsidR="0031766D" w:rsidRDefault="0031766D" w:rsidP="0047572B">
            <w:pPr>
              <w:pStyle w:val="TableParagraph"/>
              <w:kinsoku w:val="0"/>
              <w:overflowPunct w:val="0"/>
              <w:spacing w:before="10"/>
              <w:rPr>
                <w:b/>
                <w:bCs/>
                <w:sz w:val="28"/>
                <w:szCs w:val="28"/>
              </w:rPr>
            </w:pPr>
          </w:p>
          <w:p w14:paraId="79A56AF7" w14:textId="77777777" w:rsidR="0076141D" w:rsidRDefault="0076141D" w:rsidP="0047572B">
            <w:pPr>
              <w:pStyle w:val="TableParagraph"/>
              <w:kinsoku w:val="0"/>
              <w:overflowPunct w:val="0"/>
              <w:ind w:left="108" w:right="95"/>
              <w:jc w:val="both"/>
              <w:rPr>
                <w:color w:val="050606"/>
                <w:sz w:val="18"/>
                <w:szCs w:val="18"/>
              </w:rPr>
            </w:pPr>
          </w:p>
          <w:p w14:paraId="2109D256" w14:textId="77777777" w:rsidR="0076141D" w:rsidRDefault="0076141D" w:rsidP="0047572B">
            <w:pPr>
              <w:pStyle w:val="TableParagraph"/>
              <w:kinsoku w:val="0"/>
              <w:overflowPunct w:val="0"/>
              <w:ind w:left="108" w:right="95"/>
              <w:jc w:val="both"/>
              <w:rPr>
                <w:color w:val="050606"/>
                <w:sz w:val="18"/>
                <w:szCs w:val="18"/>
              </w:rPr>
            </w:pPr>
          </w:p>
          <w:p w14:paraId="1E976318" w14:textId="77777777" w:rsidR="0076141D" w:rsidRDefault="0076141D" w:rsidP="0047572B">
            <w:pPr>
              <w:pStyle w:val="TableParagraph"/>
              <w:kinsoku w:val="0"/>
              <w:overflowPunct w:val="0"/>
              <w:ind w:left="108" w:right="95"/>
              <w:jc w:val="both"/>
              <w:rPr>
                <w:color w:val="050606"/>
                <w:sz w:val="18"/>
                <w:szCs w:val="18"/>
              </w:rPr>
            </w:pPr>
          </w:p>
          <w:p w14:paraId="05DED16E" w14:textId="77777777" w:rsidR="0076141D" w:rsidRDefault="0076141D" w:rsidP="0047572B">
            <w:pPr>
              <w:pStyle w:val="TableParagraph"/>
              <w:kinsoku w:val="0"/>
              <w:overflowPunct w:val="0"/>
              <w:ind w:left="108" w:right="95"/>
              <w:jc w:val="both"/>
              <w:rPr>
                <w:color w:val="050606"/>
                <w:sz w:val="18"/>
                <w:szCs w:val="18"/>
              </w:rPr>
            </w:pPr>
          </w:p>
          <w:p w14:paraId="5EC38345" w14:textId="77777777" w:rsidR="00E3757A" w:rsidRDefault="00E3757A" w:rsidP="0047572B">
            <w:pPr>
              <w:pStyle w:val="TableParagraph"/>
              <w:kinsoku w:val="0"/>
              <w:overflowPunct w:val="0"/>
              <w:ind w:left="108" w:right="95"/>
              <w:jc w:val="both"/>
              <w:rPr>
                <w:color w:val="050606"/>
                <w:sz w:val="18"/>
                <w:szCs w:val="18"/>
              </w:rPr>
            </w:pPr>
          </w:p>
          <w:p w14:paraId="60763B22" w14:textId="77777777" w:rsidR="00E3757A" w:rsidRDefault="00E3757A" w:rsidP="0047572B">
            <w:pPr>
              <w:pStyle w:val="TableParagraph"/>
              <w:kinsoku w:val="0"/>
              <w:overflowPunct w:val="0"/>
              <w:ind w:left="108" w:right="95"/>
              <w:jc w:val="both"/>
              <w:rPr>
                <w:color w:val="050606"/>
                <w:sz w:val="18"/>
                <w:szCs w:val="18"/>
              </w:rPr>
            </w:pPr>
          </w:p>
          <w:p w14:paraId="26CB7C42" w14:textId="77777777" w:rsidR="00E3757A" w:rsidRDefault="00E3757A" w:rsidP="0047572B">
            <w:pPr>
              <w:pStyle w:val="TableParagraph"/>
              <w:kinsoku w:val="0"/>
              <w:overflowPunct w:val="0"/>
              <w:ind w:left="108" w:right="95"/>
              <w:jc w:val="both"/>
              <w:rPr>
                <w:color w:val="050606"/>
                <w:sz w:val="18"/>
                <w:szCs w:val="18"/>
              </w:rPr>
            </w:pPr>
          </w:p>
          <w:p w14:paraId="1B9D80FB" w14:textId="77777777" w:rsidR="005E6327" w:rsidRDefault="005E6327" w:rsidP="0047572B">
            <w:pPr>
              <w:pStyle w:val="TableParagraph"/>
              <w:kinsoku w:val="0"/>
              <w:overflowPunct w:val="0"/>
              <w:ind w:right="95"/>
              <w:jc w:val="both"/>
              <w:rPr>
                <w:color w:val="050606"/>
                <w:sz w:val="18"/>
                <w:szCs w:val="18"/>
              </w:rPr>
            </w:pPr>
          </w:p>
          <w:p w14:paraId="7B158EDB" w14:textId="77777777" w:rsidR="00002F84" w:rsidRDefault="00002F84" w:rsidP="0047572B">
            <w:pPr>
              <w:pStyle w:val="TableParagraph"/>
              <w:kinsoku w:val="0"/>
              <w:overflowPunct w:val="0"/>
              <w:ind w:left="108" w:right="95"/>
              <w:jc w:val="both"/>
              <w:rPr>
                <w:color w:val="050606"/>
                <w:sz w:val="18"/>
                <w:szCs w:val="18"/>
              </w:rPr>
            </w:pPr>
          </w:p>
          <w:p w14:paraId="60FC6CB9" w14:textId="77777777" w:rsidR="00002F84" w:rsidRDefault="00002F84" w:rsidP="0047572B">
            <w:pPr>
              <w:pStyle w:val="TableParagraph"/>
              <w:kinsoku w:val="0"/>
              <w:overflowPunct w:val="0"/>
              <w:ind w:left="108" w:right="95"/>
              <w:jc w:val="both"/>
              <w:rPr>
                <w:color w:val="050606"/>
                <w:sz w:val="18"/>
                <w:szCs w:val="18"/>
              </w:rPr>
            </w:pPr>
          </w:p>
          <w:p w14:paraId="14CA0E30" w14:textId="77777777" w:rsidR="00002F84" w:rsidRDefault="00002F84" w:rsidP="0047572B">
            <w:pPr>
              <w:pStyle w:val="TableParagraph"/>
              <w:kinsoku w:val="0"/>
              <w:overflowPunct w:val="0"/>
              <w:ind w:left="108" w:right="95"/>
              <w:jc w:val="both"/>
              <w:rPr>
                <w:color w:val="050606"/>
                <w:sz w:val="18"/>
                <w:szCs w:val="18"/>
              </w:rPr>
            </w:pPr>
          </w:p>
          <w:p w14:paraId="0CB6F9FF" w14:textId="4EE3D0B2" w:rsidR="0031766D" w:rsidRDefault="008413E0" w:rsidP="0047572B">
            <w:pPr>
              <w:pStyle w:val="TableParagraph"/>
              <w:kinsoku w:val="0"/>
              <w:overflowPunct w:val="0"/>
              <w:ind w:left="108" w:right="95"/>
              <w:jc w:val="both"/>
              <w:rPr>
                <w:color w:val="050606"/>
                <w:sz w:val="18"/>
                <w:szCs w:val="18"/>
              </w:rPr>
            </w:pPr>
            <w:r>
              <w:rPr>
                <w:color w:val="050606"/>
                <w:sz w:val="18"/>
                <w:szCs w:val="18"/>
              </w:rPr>
              <w:lastRenderedPageBreak/>
              <w:t>* Assuming full exercise of the Labrador Consideration Warrants and no exercise of any other Warrants or Options.</w:t>
            </w:r>
            <w:r w:rsidR="007858BE">
              <w:rPr>
                <w:color w:val="050606"/>
                <w:sz w:val="18"/>
                <w:szCs w:val="18"/>
              </w:rPr>
              <w:br/>
            </w:r>
            <w:r w:rsidR="0031766D">
              <w:rPr>
                <w:color w:val="050606"/>
                <w:sz w:val="18"/>
                <w:szCs w:val="18"/>
              </w:rPr>
              <w:t>The</w:t>
            </w:r>
            <w:r w:rsidR="0031766D">
              <w:rPr>
                <w:color w:val="050606"/>
                <w:spacing w:val="-9"/>
                <w:sz w:val="18"/>
                <w:szCs w:val="18"/>
              </w:rPr>
              <w:t xml:space="preserve"> </w:t>
            </w:r>
            <w:r w:rsidR="0031766D">
              <w:rPr>
                <w:color w:val="050606"/>
                <w:sz w:val="18"/>
                <w:szCs w:val="18"/>
              </w:rPr>
              <w:t>voting</w:t>
            </w:r>
            <w:r w:rsidR="0031766D">
              <w:rPr>
                <w:color w:val="050606"/>
                <w:spacing w:val="-11"/>
                <w:sz w:val="18"/>
                <w:szCs w:val="18"/>
              </w:rPr>
              <w:t xml:space="preserve"> </w:t>
            </w:r>
            <w:r w:rsidR="0031766D">
              <w:rPr>
                <w:color w:val="050606"/>
                <w:sz w:val="18"/>
                <w:szCs w:val="18"/>
              </w:rPr>
              <w:t>rights</w:t>
            </w:r>
            <w:r w:rsidR="0031766D">
              <w:rPr>
                <w:color w:val="050606"/>
                <w:spacing w:val="-10"/>
                <w:sz w:val="18"/>
                <w:szCs w:val="18"/>
              </w:rPr>
              <w:t xml:space="preserve"> </w:t>
            </w:r>
            <w:r w:rsidR="0031766D">
              <w:rPr>
                <w:color w:val="050606"/>
                <w:sz w:val="18"/>
                <w:szCs w:val="18"/>
              </w:rPr>
              <w:t>of</w:t>
            </w:r>
            <w:r w:rsidR="0031766D">
              <w:rPr>
                <w:color w:val="050606"/>
                <w:spacing w:val="-11"/>
                <w:sz w:val="18"/>
                <w:szCs w:val="18"/>
              </w:rPr>
              <w:t xml:space="preserve"> </w:t>
            </w:r>
            <w:r w:rsidR="0031766D">
              <w:rPr>
                <w:color w:val="050606"/>
                <w:sz w:val="18"/>
                <w:szCs w:val="18"/>
              </w:rPr>
              <w:t>all</w:t>
            </w:r>
            <w:r w:rsidR="0031766D">
              <w:rPr>
                <w:color w:val="050606"/>
                <w:spacing w:val="-11"/>
                <w:sz w:val="18"/>
                <w:szCs w:val="18"/>
              </w:rPr>
              <w:t xml:space="preserve"> </w:t>
            </w:r>
            <w:r w:rsidR="0031766D">
              <w:rPr>
                <w:color w:val="050606"/>
                <w:sz w:val="18"/>
                <w:szCs w:val="18"/>
              </w:rPr>
              <w:t>shareholders</w:t>
            </w:r>
            <w:r w:rsidR="0031766D">
              <w:rPr>
                <w:color w:val="050606"/>
                <w:spacing w:val="-10"/>
                <w:sz w:val="18"/>
                <w:szCs w:val="18"/>
              </w:rPr>
              <w:t xml:space="preserve"> </w:t>
            </w:r>
            <w:r w:rsidR="0031766D">
              <w:rPr>
                <w:color w:val="050606"/>
                <w:sz w:val="18"/>
                <w:szCs w:val="18"/>
              </w:rPr>
              <w:t>are</w:t>
            </w:r>
            <w:r w:rsidR="0031766D">
              <w:rPr>
                <w:color w:val="050606"/>
                <w:spacing w:val="-9"/>
                <w:sz w:val="18"/>
                <w:szCs w:val="18"/>
              </w:rPr>
              <w:t xml:space="preserve"> </w:t>
            </w:r>
            <w:r w:rsidR="0031766D">
              <w:rPr>
                <w:color w:val="050606"/>
                <w:sz w:val="18"/>
                <w:szCs w:val="18"/>
              </w:rPr>
              <w:t>the</w:t>
            </w:r>
            <w:r w:rsidR="0031766D">
              <w:rPr>
                <w:color w:val="050606"/>
                <w:spacing w:val="-11"/>
                <w:sz w:val="18"/>
                <w:szCs w:val="18"/>
              </w:rPr>
              <w:t xml:space="preserve"> </w:t>
            </w:r>
            <w:r w:rsidR="0031766D">
              <w:rPr>
                <w:color w:val="050606"/>
                <w:sz w:val="18"/>
                <w:szCs w:val="18"/>
              </w:rPr>
              <w:t>same</w:t>
            </w:r>
            <w:r w:rsidR="0031766D">
              <w:rPr>
                <w:color w:val="050606"/>
                <w:spacing w:val="-10"/>
                <w:sz w:val="18"/>
                <w:szCs w:val="18"/>
              </w:rPr>
              <w:t xml:space="preserve"> </w:t>
            </w:r>
            <w:r w:rsidR="0031766D">
              <w:rPr>
                <w:color w:val="050606"/>
                <w:sz w:val="18"/>
                <w:szCs w:val="18"/>
              </w:rPr>
              <w:t>in</w:t>
            </w:r>
            <w:r w:rsidR="0031766D">
              <w:rPr>
                <w:color w:val="050606"/>
                <w:spacing w:val="-11"/>
                <w:sz w:val="18"/>
                <w:szCs w:val="18"/>
              </w:rPr>
              <w:t xml:space="preserve"> </w:t>
            </w:r>
            <w:r w:rsidR="0031766D">
              <w:rPr>
                <w:color w:val="050606"/>
                <w:sz w:val="18"/>
                <w:szCs w:val="18"/>
              </w:rPr>
              <w:t>respect</w:t>
            </w:r>
            <w:r w:rsidR="0031766D">
              <w:rPr>
                <w:color w:val="050606"/>
                <w:spacing w:val="-11"/>
                <w:sz w:val="18"/>
                <w:szCs w:val="18"/>
              </w:rPr>
              <w:t xml:space="preserve"> </w:t>
            </w:r>
            <w:r w:rsidR="0031766D">
              <w:rPr>
                <w:color w:val="050606"/>
                <w:sz w:val="18"/>
                <w:szCs w:val="18"/>
              </w:rPr>
              <w:t>of</w:t>
            </w:r>
            <w:r w:rsidR="0031766D">
              <w:rPr>
                <w:color w:val="050606"/>
                <w:spacing w:val="-9"/>
                <w:sz w:val="18"/>
                <w:szCs w:val="18"/>
              </w:rPr>
              <w:t xml:space="preserve"> </w:t>
            </w:r>
            <w:r w:rsidR="0031766D">
              <w:rPr>
                <w:color w:val="050606"/>
                <w:sz w:val="18"/>
                <w:szCs w:val="18"/>
              </w:rPr>
              <w:t>each</w:t>
            </w:r>
            <w:r w:rsidR="0031766D">
              <w:rPr>
                <w:color w:val="050606"/>
                <w:spacing w:val="-11"/>
                <w:sz w:val="18"/>
                <w:szCs w:val="18"/>
              </w:rPr>
              <w:t xml:space="preserve"> </w:t>
            </w:r>
            <w:r w:rsidR="0031766D">
              <w:rPr>
                <w:color w:val="050606"/>
                <w:sz w:val="18"/>
                <w:szCs w:val="18"/>
              </w:rPr>
              <w:t>Ordinary</w:t>
            </w:r>
            <w:r w:rsidR="0031766D">
              <w:rPr>
                <w:color w:val="050606"/>
                <w:spacing w:val="-13"/>
                <w:sz w:val="18"/>
                <w:szCs w:val="18"/>
              </w:rPr>
              <w:t xml:space="preserve"> </w:t>
            </w:r>
            <w:r w:rsidR="0031766D">
              <w:rPr>
                <w:color w:val="050606"/>
                <w:sz w:val="18"/>
                <w:szCs w:val="18"/>
              </w:rPr>
              <w:t>Share</w:t>
            </w:r>
            <w:r w:rsidR="0031766D">
              <w:rPr>
                <w:color w:val="050606"/>
                <w:spacing w:val="-11"/>
                <w:sz w:val="18"/>
                <w:szCs w:val="18"/>
              </w:rPr>
              <w:t xml:space="preserve"> </w:t>
            </w:r>
            <w:r w:rsidR="0031766D">
              <w:rPr>
                <w:color w:val="050606"/>
                <w:sz w:val="18"/>
                <w:szCs w:val="18"/>
              </w:rPr>
              <w:t>held.</w:t>
            </w:r>
            <w:r w:rsidR="0031766D">
              <w:rPr>
                <w:color w:val="050606"/>
                <w:spacing w:val="31"/>
                <w:sz w:val="18"/>
                <w:szCs w:val="18"/>
              </w:rPr>
              <w:t xml:space="preserve"> </w:t>
            </w:r>
            <w:r w:rsidR="0031766D">
              <w:rPr>
                <w:color w:val="050606"/>
                <w:sz w:val="18"/>
                <w:szCs w:val="18"/>
              </w:rPr>
              <w:t>The Company has no controlling</w:t>
            </w:r>
            <w:r w:rsidR="0031766D">
              <w:rPr>
                <w:color w:val="050606"/>
                <w:spacing w:val="-7"/>
                <w:sz w:val="18"/>
                <w:szCs w:val="18"/>
              </w:rPr>
              <w:t xml:space="preserve"> </w:t>
            </w:r>
            <w:r w:rsidR="0031766D">
              <w:rPr>
                <w:color w:val="050606"/>
                <w:sz w:val="18"/>
                <w:szCs w:val="18"/>
              </w:rPr>
              <w:t>parties.</w:t>
            </w:r>
          </w:p>
          <w:p w14:paraId="62A15D3D" w14:textId="77777777" w:rsidR="0031766D" w:rsidRDefault="0031766D" w:rsidP="0047572B">
            <w:pPr>
              <w:pStyle w:val="TableParagraph"/>
              <w:kinsoku w:val="0"/>
              <w:overflowPunct w:val="0"/>
              <w:rPr>
                <w:b/>
                <w:bCs/>
                <w:sz w:val="18"/>
                <w:szCs w:val="18"/>
              </w:rPr>
            </w:pPr>
          </w:p>
          <w:p w14:paraId="6382D070" w14:textId="77777777" w:rsidR="0031766D" w:rsidRDefault="0031766D" w:rsidP="0047572B">
            <w:pPr>
              <w:pStyle w:val="TableParagraph"/>
              <w:kinsoku w:val="0"/>
              <w:overflowPunct w:val="0"/>
              <w:spacing w:before="1"/>
              <w:ind w:left="108" w:right="93"/>
              <w:jc w:val="both"/>
              <w:rPr>
                <w:color w:val="050606"/>
                <w:sz w:val="18"/>
                <w:szCs w:val="18"/>
              </w:rPr>
            </w:pPr>
            <w:r>
              <w:rPr>
                <w:color w:val="050606"/>
                <w:sz w:val="18"/>
                <w:szCs w:val="18"/>
              </w:rPr>
              <w:t>The</w:t>
            </w:r>
            <w:r>
              <w:rPr>
                <w:color w:val="050606"/>
                <w:spacing w:val="-7"/>
                <w:sz w:val="18"/>
                <w:szCs w:val="18"/>
              </w:rPr>
              <w:t xml:space="preserve"> </w:t>
            </w:r>
            <w:r>
              <w:rPr>
                <w:color w:val="050606"/>
                <w:sz w:val="18"/>
                <w:szCs w:val="18"/>
              </w:rPr>
              <w:t>Company</w:t>
            </w:r>
            <w:r>
              <w:rPr>
                <w:color w:val="050606"/>
                <w:spacing w:val="-8"/>
                <w:sz w:val="18"/>
                <w:szCs w:val="18"/>
              </w:rPr>
              <w:t xml:space="preserve"> </w:t>
            </w:r>
            <w:r>
              <w:rPr>
                <w:color w:val="050606"/>
                <w:sz w:val="18"/>
                <w:szCs w:val="18"/>
              </w:rPr>
              <w:t>and</w:t>
            </w:r>
            <w:r>
              <w:rPr>
                <w:color w:val="050606"/>
                <w:spacing w:val="-6"/>
                <w:sz w:val="18"/>
                <w:szCs w:val="18"/>
              </w:rPr>
              <w:t xml:space="preserve"> </w:t>
            </w:r>
            <w:r>
              <w:rPr>
                <w:color w:val="050606"/>
                <w:sz w:val="18"/>
                <w:szCs w:val="18"/>
              </w:rPr>
              <w:t>the</w:t>
            </w:r>
            <w:r>
              <w:rPr>
                <w:color w:val="050606"/>
                <w:spacing w:val="-6"/>
                <w:sz w:val="18"/>
                <w:szCs w:val="18"/>
              </w:rPr>
              <w:t xml:space="preserve"> </w:t>
            </w:r>
            <w:r>
              <w:rPr>
                <w:color w:val="050606"/>
                <w:sz w:val="18"/>
                <w:szCs w:val="18"/>
              </w:rPr>
              <w:t>Directors</w:t>
            </w:r>
            <w:r>
              <w:rPr>
                <w:color w:val="050606"/>
                <w:spacing w:val="-7"/>
                <w:sz w:val="18"/>
                <w:szCs w:val="18"/>
              </w:rPr>
              <w:t xml:space="preserve"> </w:t>
            </w:r>
            <w:r>
              <w:rPr>
                <w:color w:val="050606"/>
                <w:sz w:val="18"/>
                <w:szCs w:val="18"/>
              </w:rPr>
              <w:t>are</w:t>
            </w:r>
            <w:r>
              <w:rPr>
                <w:color w:val="050606"/>
                <w:spacing w:val="-9"/>
                <w:sz w:val="18"/>
                <w:szCs w:val="18"/>
              </w:rPr>
              <w:t xml:space="preserve"> </w:t>
            </w:r>
            <w:r>
              <w:rPr>
                <w:color w:val="050606"/>
                <w:sz w:val="18"/>
                <w:szCs w:val="18"/>
              </w:rPr>
              <w:t>not</w:t>
            </w:r>
            <w:r>
              <w:rPr>
                <w:color w:val="050606"/>
                <w:spacing w:val="-9"/>
                <w:sz w:val="18"/>
                <w:szCs w:val="18"/>
              </w:rPr>
              <w:t xml:space="preserve"> </w:t>
            </w:r>
            <w:r>
              <w:rPr>
                <w:color w:val="050606"/>
                <w:sz w:val="18"/>
                <w:szCs w:val="18"/>
              </w:rPr>
              <w:t>aware</w:t>
            </w:r>
            <w:r>
              <w:rPr>
                <w:color w:val="050606"/>
                <w:spacing w:val="-6"/>
                <w:sz w:val="18"/>
                <w:szCs w:val="18"/>
              </w:rPr>
              <w:t xml:space="preserve"> </w:t>
            </w:r>
            <w:r>
              <w:rPr>
                <w:color w:val="050606"/>
                <w:sz w:val="18"/>
                <w:szCs w:val="18"/>
              </w:rPr>
              <w:t>of</w:t>
            </w:r>
            <w:r>
              <w:rPr>
                <w:color w:val="050606"/>
                <w:spacing w:val="-6"/>
                <w:sz w:val="18"/>
                <w:szCs w:val="18"/>
              </w:rPr>
              <w:t xml:space="preserve"> </w:t>
            </w:r>
            <w:r>
              <w:rPr>
                <w:color w:val="050606"/>
                <w:sz w:val="18"/>
                <w:szCs w:val="18"/>
              </w:rPr>
              <w:t>any</w:t>
            </w:r>
            <w:r>
              <w:rPr>
                <w:color w:val="050606"/>
                <w:spacing w:val="-8"/>
                <w:sz w:val="18"/>
                <w:szCs w:val="18"/>
              </w:rPr>
              <w:t xml:space="preserve"> </w:t>
            </w:r>
            <w:r>
              <w:rPr>
                <w:color w:val="050606"/>
                <w:sz w:val="18"/>
                <w:szCs w:val="18"/>
              </w:rPr>
              <w:t>persons,</w:t>
            </w:r>
            <w:r>
              <w:rPr>
                <w:color w:val="050606"/>
                <w:spacing w:val="-6"/>
                <w:sz w:val="18"/>
                <w:szCs w:val="18"/>
              </w:rPr>
              <w:t xml:space="preserve"> </w:t>
            </w:r>
            <w:r>
              <w:rPr>
                <w:color w:val="050606"/>
                <w:sz w:val="18"/>
                <w:szCs w:val="18"/>
              </w:rPr>
              <w:t>who,</w:t>
            </w:r>
            <w:r>
              <w:rPr>
                <w:color w:val="050606"/>
                <w:spacing w:val="-7"/>
                <w:sz w:val="18"/>
                <w:szCs w:val="18"/>
              </w:rPr>
              <w:t xml:space="preserve"> </w:t>
            </w:r>
            <w:r w:rsidRPr="00EB2E04">
              <w:rPr>
                <w:color w:val="050606"/>
                <w:sz w:val="18"/>
                <w:szCs w:val="18"/>
              </w:rPr>
              <w:t>as</w:t>
            </w:r>
            <w:r w:rsidRPr="00EB2E04">
              <w:rPr>
                <w:color w:val="050606"/>
                <w:spacing w:val="-6"/>
                <w:sz w:val="18"/>
                <w:szCs w:val="18"/>
              </w:rPr>
              <w:t xml:space="preserve"> </w:t>
            </w:r>
            <w:r w:rsidRPr="00EB2E04">
              <w:rPr>
                <w:color w:val="050606"/>
                <w:sz w:val="18"/>
                <w:szCs w:val="18"/>
              </w:rPr>
              <w:t>at</w:t>
            </w:r>
            <w:r w:rsidRPr="00EB2E04">
              <w:rPr>
                <w:color w:val="050606"/>
                <w:spacing w:val="-6"/>
                <w:sz w:val="18"/>
                <w:szCs w:val="18"/>
              </w:rPr>
              <w:t xml:space="preserve"> </w:t>
            </w:r>
            <w:r w:rsidRPr="00EB2E04">
              <w:rPr>
                <w:color w:val="050606"/>
                <w:sz w:val="18"/>
                <w:szCs w:val="18"/>
              </w:rPr>
              <w:t>the</w:t>
            </w:r>
            <w:r w:rsidRPr="00EB2E04">
              <w:rPr>
                <w:color w:val="050606"/>
                <w:spacing w:val="-9"/>
                <w:sz w:val="18"/>
                <w:szCs w:val="18"/>
              </w:rPr>
              <w:t xml:space="preserve"> </w:t>
            </w:r>
            <w:r w:rsidRPr="00EB2E04">
              <w:rPr>
                <w:color w:val="050606"/>
                <w:sz w:val="18"/>
                <w:szCs w:val="18"/>
              </w:rPr>
              <w:t>Last</w:t>
            </w:r>
            <w:r w:rsidRPr="00EB2E04">
              <w:rPr>
                <w:color w:val="050606"/>
                <w:spacing w:val="-6"/>
                <w:sz w:val="18"/>
                <w:szCs w:val="18"/>
              </w:rPr>
              <w:t xml:space="preserve"> </w:t>
            </w:r>
            <w:r w:rsidRPr="00EB2E04">
              <w:rPr>
                <w:color w:val="050606"/>
                <w:sz w:val="18"/>
                <w:szCs w:val="18"/>
              </w:rPr>
              <w:t>Practicable Date,</w:t>
            </w:r>
            <w:r>
              <w:rPr>
                <w:color w:val="050606"/>
                <w:sz w:val="18"/>
                <w:szCs w:val="18"/>
              </w:rPr>
              <w:t xml:space="preserve"> directly or indirectly, jointly or severally, exercise or could exercise control over the Company</w:t>
            </w:r>
            <w:r>
              <w:rPr>
                <w:color w:val="050606"/>
                <w:spacing w:val="-15"/>
                <w:sz w:val="18"/>
                <w:szCs w:val="18"/>
              </w:rPr>
              <w:t xml:space="preserve"> </w:t>
            </w:r>
            <w:r>
              <w:rPr>
                <w:color w:val="050606"/>
                <w:sz w:val="18"/>
                <w:szCs w:val="18"/>
              </w:rPr>
              <w:t>nor</w:t>
            </w:r>
            <w:r>
              <w:rPr>
                <w:color w:val="050606"/>
                <w:spacing w:val="-12"/>
                <w:sz w:val="18"/>
                <w:szCs w:val="18"/>
              </w:rPr>
              <w:t xml:space="preserve"> </w:t>
            </w:r>
            <w:r>
              <w:rPr>
                <w:color w:val="050606"/>
                <w:sz w:val="18"/>
                <w:szCs w:val="18"/>
              </w:rPr>
              <w:t>are</w:t>
            </w:r>
            <w:r>
              <w:rPr>
                <w:color w:val="050606"/>
                <w:spacing w:val="-12"/>
                <w:sz w:val="18"/>
                <w:szCs w:val="18"/>
              </w:rPr>
              <w:t xml:space="preserve"> </w:t>
            </w:r>
            <w:r>
              <w:rPr>
                <w:color w:val="050606"/>
                <w:sz w:val="18"/>
                <w:szCs w:val="18"/>
              </w:rPr>
              <w:t>they</w:t>
            </w:r>
            <w:r>
              <w:rPr>
                <w:color w:val="050606"/>
                <w:spacing w:val="-13"/>
                <w:sz w:val="18"/>
                <w:szCs w:val="18"/>
              </w:rPr>
              <w:t xml:space="preserve"> </w:t>
            </w:r>
            <w:r>
              <w:rPr>
                <w:color w:val="050606"/>
                <w:sz w:val="18"/>
                <w:szCs w:val="18"/>
              </w:rPr>
              <w:t>aware</w:t>
            </w:r>
            <w:r>
              <w:rPr>
                <w:color w:val="050606"/>
                <w:spacing w:val="-11"/>
                <w:sz w:val="18"/>
                <w:szCs w:val="18"/>
              </w:rPr>
              <w:t xml:space="preserve"> </w:t>
            </w:r>
            <w:r>
              <w:rPr>
                <w:color w:val="050606"/>
                <w:sz w:val="18"/>
                <w:szCs w:val="18"/>
              </w:rPr>
              <w:t>of</w:t>
            </w:r>
            <w:r>
              <w:rPr>
                <w:color w:val="050606"/>
                <w:spacing w:val="-11"/>
                <w:sz w:val="18"/>
                <w:szCs w:val="18"/>
              </w:rPr>
              <w:t xml:space="preserve"> </w:t>
            </w:r>
            <w:r>
              <w:rPr>
                <w:color w:val="050606"/>
                <w:sz w:val="18"/>
                <w:szCs w:val="18"/>
              </w:rPr>
              <w:t>any</w:t>
            </w:r>
            <w:r>
              <w:rPr>
                <w:color w:val="050606"/>
                <w:spacing w:val="-13"/>
                <w:sz w:val="18"/>
                <w:szCs w:val="18"/>
              </w:rPr>
              <w:t xml:space="preserve"> </w:t>
            </w:r>
            <w:r>
              <w:rPr>
                <w:color w:val="050606"/>
                <w:sz w:val="18"/>
                <w:szCs w:val="18"/>
              </w:rPr>
              <w:t>arrangements</w:t>
            </w:r>
            <w:r>
              <w:rPr>
                <w:color w:val="050606"/>
                <w:spacing w:val="-10"/>
                <w:sz w:val="18"/>
                <w:szCs w:val="18"/>
              </w:rPr>
              <w:t xml:space="preserve"> </w:t>
            </w:r>
            <w:r>
              <w:rPr>
                <w:color w:val="050606"/>
                <w:sz w:val="18"/>
                <w:szCs w:val="18"/>
              </w:rPr>
              <w:t>the</w:t>
            </w:r>
            <w:r>
              <w:rPr>
                <w:color w:val="050606"/>
                <w:spacing w:val="-13"/>
                <w:sz w:val="18"/>
                <w:szCs w:val="18"/>
              </w:rPr>
              <w:t xml:space="preserve"> </w:t>
            </w:r>
            <w:r>
              <w:rPr>
                <w:color w:val="050606"/>
                <w:sz w:val="18"/>
                <w:szCs w:val="18"/>
              </w:rPr>
              <w:t>operation</w:t>
            </w:r>
            <w:r>
              <w:rPr>
                <w:color w:val="050606"/>
                <w:spacing w:val="-11"/>
                <w:sz w:val="18"/>
                <w:szCs w:val="18"/>
              </w:rPr>
              <w:t xml:space="preserve"> </w:t>
            </w:r>
            <w:r>
              <w:rPr>
                <w:color w:val="050606"/>
                <w:sz w:val="18"/>
                <w:szCs w:val="18"/>
              </w:rPr>
              <w:t>of</w:t>
            </w:r>
            <w:r>
              <w:rPr>
                <w:color w:val="050606"/>
                <w:spacing w:val="-12"/>
                <w:sz w:val="18"/>
                <w:szCs w:val="18"/>
              </w:rPr>
              <w:t xml:space="preserve"> </w:t>
            </w:r>
            <w:r>
              <w:rPr>
                <w:color w:val="050606"/>
                <w:sz w:val="18"/>
                <w:szCs w:val="18"/>
              </w:rPr>
              <w:t>which</w:t>
            </w:r>
            <w:r>
              <w:rPr>
                <w:color w:val="050606"/>
                <w:spacing w:val="-13"/>
                <w:sz w:val="18"/>
                <w:szCs w:val="18"/>
              </w:rPr>
              <w:t xml:space="preserve"> </w:t>
            </w:r>
            <w:r>
              <w:rPr>
                <w:color w:val="050606"/>
                <w:sz w:val="18"/>
                <w:szCs w:val="18"/>
              </w:rPr>
              <w:t>may</w:t>
            </w:r>
            <w:r>
              <w:rPr>
                <w:color w:val="050606"/>
                <w:spacing w:val="-13"/>
                <w:sz w:val="18"/>
                <w:szCs w:val="18"/>
              </w:rPr>
              <w:t xml:space="preserve"> </w:t>
            </w:r>
            <w:r>
              <w:rPr>
                <w:color w:val="050606"/>
                <w:sz w:val="18"/>
                <w:szCs w:val="18"/>
              </w:rPr>
              <w:t>at</w:t>
            </w:r>
            <w:r>
              <w:rPr>
                <w:color w:val="050606"/>
                <w:spacing w:val="-14"/>
                <w:sz w:val="18"/>
                <w:szCs w:val="18"/>
              </w:rPr>
              <w:t xml:space="preserve"> </w:t>
            </w:r>
            <w:r>
              <w:rPr>
                <w:color w:val="050606"/>
                <w:sz w:val="18"/>
                <w:szCs w:val="18"/>
              </w:rPr>
              <w:t>a</w:t>
            </w:r>
            <w:r>
              <w:rPr>
                <w:color w:val="050606"/>
                <w:spacing w:val="-11"/>
                <w:sz w:val="18"/>
                <w:szCs w:val="18"/>
              </w:rPr>
              <w:t xml:space="preserve"> </w:t>
            </w:r>
            <w:r>
              <w:rPr>
                <w:color w:val="050606"/>
                <w:sz w:val="18"/>
                <w:szCs w:val="18"/>
              </w:rPr>
              <w:t>subsequent date result in a change in control over the</w:t>
            </w:r>
            <w:r>
              <w:rPr>
                <w:color w:val="050606"/>
                <w:spacing w:val="-5"/>
                <w:sz w:val="18"/>
                <w:szCs w:val="18"/>
              </w:rPr>
              <w:t xml:space="preserve"> </w:t>
            </w:r>
            <w:r>
              <w:rPr>
                <w:color w:val="050606"/>
                <w:sz w:val="18"/>
                <w:szCs w:val="18"/>
              </w:rPr>
              <w:t>Company.</w:t>
            </w:r>
          </w:p>
        </w:tc>
      </w:tr>
      <w:tr w:rsidR="0031766D" w14:paraId="1F53C632" w14:textId="77777777" w:rsidTr="0047572B">
        <w:trPr>
          <w:trHeight w:val="898"/>
        </w:trPr>
        <w:tc>
          <w:tcPr>
            <w:tcW w:w="1395" w:type="dxa"/>
            <w:tcBorders>
              <w:top w:val="single" w:sz="4" w:space="0" w:color="231F20"/>
              <w:left w:val="single" w:sz="4" w:space="0" w:color="231F20"/>
              <w:bottom w:val="single" w:sz="4" w:space="0" w:color="231F20"/>
              <w:right w:val="single" w:sz="4" w:space="0" w:color="231F20"/>
            </w:tcBorders>
          </w:tcPr>
          <w:p w14:paraId="4415EA19" w14:textId="77777777" w:rsidR="0031766D" w:rsidRDefault="0031766D" w:rsidP="0047572B">
            <w:pPr>
              <w:pStyle w:val="TableParagraph"/>
              <w:kinsoku w:val="0"/>
              <w:overflowPunct w:val="0"/>
              <w:ind w:left="107" w:right="106"/>
              <w:rPr>
                <w:color w:val="050606"/>
                <w:sz w:val="18"/>
                <w:szCs w:val="18"/>
              </w:rPr>
            </w:pPr>
            <w:r>
              <w:rPr>
                <w:color w:val="050606"/>
                <w:sz w:val="18"/>
                <w:szCs w:val="18"/>
              </w:rPr>
              <w:lastRenderedPageBreak/>
              <w:t>Key Managing Directors</w:t>
            </w:r>
          </w:p>
        </w:tc>
        <w:tc>
          <w:tcPr>
            <w:tcW w:w="7956" w:type="dxa"/>
            <w:tcBorders>
              <w:top w:val="single" w:sz="4" w:space="0" w:color="231F20"/>
              <w:left w:val="single" w:sz="4" w:space="0" w:color="231F20"/>
              <w:bottom w:val="single" w:sz="4" w:space="0" w:color="231F20"/>
              <w:right w:val="single" w:sz="4" w:space="0" w:color="231F20"/>
            </w:tcBorders>
          </w:tcPr>
          <w:p w14:paraId="17C29827" w14:textId="20EBE229" w:rsidR="0031766D" w:rsidRDefault="0031766D" w:rsidP="0047572B">
            <w:pPr>
              <w:pStyle w:val="TableParagraph"/>
              <w:kinsoku w:val="0"/>
              <w:overflowPunct w:val="0"/>
              <w:spacing w:before="1"/>
              <w:ind w:left="108" w:right="93"/>
              <w:jc w:val="both"/>
              <w:rPr>
                <w:color w:val="050606"/>
                <w:sz w:val="18"/>
                <w:szCs w:val="18"/>
              </w:rPr>
            </w:pPr>
            <w:r>
              <w:rPr>
                <w:color w:val="050606"/>
                <w:sz w:val="18"/>
                <w:szCs w:val="18"/>
              </w:rPr>
              <w:t xml:space="preserve">The directors of the Company are Martin Stephen French (Executive Chairman), Ajay Kejriwal (Executive Director and Chief Financial Officer), David Charles Cliff (Non-Executive Director), Peter </w:t>
            </w:r>
            <w:proofErr w:type="spellStart"/>
            <w:r>
              <w:rPr>
                <w:color w:val="050606"/>
                <w:sz w:val="18"/>
                <w:szCs w:val="18"/>
              </w:rPr>
              <w:t>Damouni</w:t>
            </w:r>
            <w:proofErr w:type="spellEnd"/>
            <w:r>
              <w:rPr>
                <w:color w:val="050606"/>
                <w:sz w:val="18"/>
                <w:szCs w:val="18"/>
              </w:rPr>
              <w:t xml:space="preserve"> (Non-Executive Director), </w:t>
            </w:r>
            <w:proofErr w:type="spellStart"/>
            <w:r>
              <w:rPr>
                <w:color w:val="050606"/>
                <w:sz w:val="18"/>
                <w:szCs w:val="18"/>
              </w:rPr>
              <w:t>Evgeny</w:t>
            </w:r>
            <w:proofErr w:type="spellEnd"/>
            <w:r>
              <w:rPr>
                <w:color w:val="050606"/>
                <w:sz w:val="18"/>
                <w:szCs w:val="18"/>
              </w:rPr>
              <w:t xml:space="preserve"> </w:t>
            </w:r>
            <w:proofErr w:type="spellStart"/>
            <w:r>
              <w:rPr>
                <w:color w:val="050606"/>
                <w:sz w:val="18"/>
                <w:szCs w:val="18"/>
              </w:rPr>
              <w:t>Vrublevskiy</w:t>
            </w:r>
            <w:proofErr w:type="spellEnd"/>
            <w:r>
              <w:rPr>
                <w:color w:val="050606"/>
                <w:sz w:val="18"/>
                <w:szCs w:val="18"/>
              </w:rPr>
              <w:t xml:space="preserve"> (Non-Executive Director) and Paul Ensor (Non-Executive Director).</w:t>
            </w:r>
          </w:p>
        </w:tc>
      </w:tr>
      <w:tr w:rsidR="0031766D" w14:paraId="07EDE5D3" w14:textId="77777777" w:rsidTr="0047572B">
        <w:trPr>
          <w:trHeight w:val="744"/>
        </w:trPr>
        <w:tc>
          <w:tcPr>
            <w:tcW w:w="1395" w:type="dxa"/>
            <w:tcBorders>
              <w:top w:val="single" w:sz="4" w:space="0" w:color="231F20"/>
              <w:left w:val="single" w:sz="4" w:space="0" w:color="231F20"/>
              <w:bottom w:val="single" w:sz="4" w:space="0" w:color="231F20"/>
              <w:right w:val="single" w:sz="4" w:space="0" w:color="231F20"/>
            </w:tcBorders>
          </w:tcPr>
          <w:p w14:paraId="6BE71E37" w14:textId="77777777" w:rsidR="0031766D" w:rsidRDefault="0031766D" w:rsidP="0047572B">
            <w:pPr>
              <w:pStyle w:val="TableParagraph"/>
              <w:kinsoku w:val="0"/>
              <w:overflowPunct w:val="0"/>
              <w:ind w:left="107" w:right="536"/>
              <w:rPr>
                <w:color w:val="050606"/>
                <w:sz w:val="18"/>
                <w:szCs w:val="18"/>
              </w:rPr>
            </w:pPr>
            <w:r>
              <w:rPr>
                <w:color w:val="050606"/>
                <w:sz w:val="18"/>
                <w:szCs w:val="18"/>
              </w:rPr>
              <w:t>Statutory Auditors</w:t>
            </w:r>
          </w:p>
        </w:tc>
        <w:tc>
          <w:tcPr>
            <w:tcW w:w="7956" w:type="dxa"/>
            <w:tcBorders>
              <w:top w:val="single" w:sz="4" w:space="0" w:color="231F20"/>
              <w:left w:val="single" w:sz="4" w:space="0" w:color="231F20"/>
              <w:bottom w:val="single" w:sz="4" w:space="0" w:color="231F20"/>
              <w:right w:val="single" w:sz="4" w:space="0" w:color="231F20"/>
            </w:tcBorders>
          </w:tcPr>
          <w:p w14:paraId="50CA9CCB" w14:textId="210D087A" w:rsidR="0031766D" w:rsidRDefault="0031766D" w:rsidP="0047572B">
            <w:pPr>
              <w:pStyle w:val="TableParagraph"/>
              <w:kinsoku w:val="0"/>
              <w:overflowPunct w:val="0"/>
              <w:ind w:left="108" w:right="93"/>
              <w:jc w:val="both"/>
              <w:rPr>
                <w:color w:val="231F20"/>
                <w:sz w:val="18"/>
                <w:szCs w:val="18"/>
              </w:rPr>
            </w:pPr>
            <w:r>
              <w:rPr>
                <w:color w:val="050606"/>
                <w:sz w:val="18"/>
                <w:szCs w:val="18"/>
              </w:rPr>
              <w:t xml:space="preserve">The Company’s statutory auditors are PKF Littlejohn LLP, having its registered office at 15 </w:t>
            </w:r>
            <w:proofErr w:type="spellStart"/>
            <w:r>
              <w:rPr>
                <w:color w:val="050606"/>
                <w:sz w:val="18"/>
                <w:szCs w:val="18"/>
              </w:rPr>
              <w:t>Westferry</w:t>
            </w:r>
            <w:proofErr w:type="spellEnd"/>
            <w:r>
              <w:rPr>
                <w:color w:val="050606"/>
                <w:sz w:val="18"/>
                <w:szCs w:val="18"/>
              </w:rPr>
              <w:t xml:space="preserve"> Circus, Canary Wharf, London, United Kingdom, E14 4HD and </w:t>
            </w:r>
            <w:r>
              <w:rPr>
                <w:color w:val="020303"/>
                <w:sz w:val="18"/>
                <w:szCs w:val="18"/>
              </w:rPr>
              <w:t>being register</w:t>
            </w:r>
            <w:r>
              <w:rPr>
                <w:color w:val="161618"/>
                <w:sz w:val="18"/>
                <w:szCs w:val="18"/>
              </w:rPr>
              <w:t>e</w:t>
            </w:r>
            <w:r>
              <w:rPr>
                <w:color w:val="020303"/>
                <w:sz w:val="18"/>
                <w:szCs w:val="18"/>
              </w:rPr>
              <w:t>d under the Statutor</w:t>
            </w:r>
            <w:r>
              <w:rPr>
                <w:color w:val="161618"/>
                <w:sz w:val="18"/>
                <w:szCs w:val="18"/>
              </w:rPr>
              <w:t xml:space="preserve">y </w:t>
            </w:r>
            <w:r>
              <w:rPr>
                <w:color w:val="020303"/>
                <w:sz w:val="18"/>
                <w:szCs w:val="18"/>
              </w:rPr>
              <w:t>Audit Dire</w:t>
            </w:r>
            <w:r>
              <w:rPr>
                <w:color w:val="161618"/>
                <w:sz w:val="18"/>
                <w:szCs w:val="18"/>
              </w:rPr>
              <w:t>c</w:t>
            </w:r>
            <w:r>
              <w:rPr>
                <w:color w:val="020303"/>
                <w:sz w:val="18"/>
                <w:szCs w:val="18"/>
              </w:rPr>
              <w:t>tive, Register of Statutory Audito</w:t>
            </w:r>
            <w:r>
              <w:rPr>
                <w:color w:val="161618"/>
                <w:sz w:val="18"/>
                <w:szCs w:val="18"/>
              </w:rPr>
              <w:t>r</w:t>
            </w:r>
            <w:r>
              <w:rPr>
                <w:color w:val="020303"/>
                <w:sz w:val="18"/>
                <w:szCs w:val="18"/>
              </w:rPr>
              <w:t xml:space="preserve">s number </w:t>
            </w:r>
            <w:r>
              <w:rPr>
                <w:color w:val="231F20"/>
                <w:sz w:val="18"/>
                <w:szCs w:val="18"/>
              </w:rPr>
              <w:t>C002139029.</w:t>
            </w:r>
          </w:p>
        </w:tc>
      </w:tr>
      <w:tr w:rsidR="0031766D" w14:paraId="46BE08D0" w14:textId="77777777" w:rsidTr="0047572B">
        <w:trPr>
          <w:trHeight w:val="448"/>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4C968D78" w14:textId="77777777" w:rsidR="0031766D" w:rsidRDefault="0031766D" w:rsidP="0047572B">
            <w:pPr>
              <w:pStyle w:val="TableParagraph"/>
              <w:kinsoku w:val="0"/>
              <w:overflowPunct w:val="0"/>
              <w:spacing w:line="201" w:lineRule="exact"/>
              <w:ind w:left="1977" w:right="1967"/>
              <w:jc w:val="center"/>
              <w:rPr>
                <w:b/>
                <w:bCs/>
                <w:color w:val="050606"/>
                <w:sz w:val="18"/>
                <w:szCs w:val="18"/>
              </w:rPr>
            </w:pPr>
            <w:r>
              <w:rPr>
                <w:b/>
                <w:bCs/>
                <w:color w:val="050606"/>
                <w:sz w:val="18"/>
                <w:szCs w:val="18"/>
              </w:rPr>
              <w:t>What is the key financial information regarding the issuer?</w:t>
            </w:r>
          </w:p>
        </w:tc>
      </w:tr>
      <w:tr w:rsidR="0031766D" w14:paraId="36653BC9" w14:textId="77777777" w:rsidTr="0047572B">
        <w:trPr>
          <w:cantSplit/>
          <w:trHeight w:val="926"/>
        </w:trPr>
        <w:tc>
          <w:tcPr>
            <w:tcW w:w="1395" w:type="dxa"/>
            <w:tcBorders>
              <w:top w:val="single" w:sz="4" w:space="0" w:color="231F20"/>
              <w:left w:val="single" w:sz="4" w:space="0" w:color="231F20"/>
              <w:bottom w:val="single" w:sz="4" w:space="0" w:color="231F20"/>
              <w:right w:val="single" w:sz="4" w:space="0" w:color="231F20"/>
            </w:tcBorders>
          </w:tcPr>
          <w:p w14:paraId="0364F3B3" w14:textId="77777777" w:rsidR="0031766D" w:rsidRDefault="0031766D" w:rsidP="0047572B">
            <w:pPr>
              <w:pStyle w:val="TableParagraph"/>
              <w:kinsoku w:val="0"/>
              <w:overflowPunct w:val="0"/>
              <w:ind w:left="107" w:right="226"/>
              <w:rPr>
                <w:color w:val="050606"/>
                <w:sz w:val="18"/>
                <w:szCs w:val="18"/>
              </w:rPr>
            </w:pPr>
            <w:r>
              <w:rPr>
                <w:color w:val="050606"/>
                <w:sz w:val="18"/>
                <w:szCs w:val="18"/>
              </w:rPr>
              <w:t>Selected key historical financial</w:t>
            </w:r>
          </w:p>
          <w:p w14:paraId="52E5CF3A" w14:textId="77777777" w:rsidR="0031766D" w:rsidRDefault="0031766D" w:rsidP="0047572B">
            <w:pPr>
              <w:pStyle w:val="TableParagraph"/>
              <w:kinsoku w:val="0"/>
              <w:overflowPunct w:val="0"/>
              <w:spacing w:line="187" w:lineRule="exact"/>
              <w:ind w:left="107"/>
              <w:rPr>
                <w:color w:val="050606"/>
                <w:sz w:val="18"/>
                <w:szCs w:val="18"/>
              </w:rPr>
            </w:pPr>
            <w:r>
              <w:rPr>
                <w:color w:val="050606"/>
                <w:sz w:val="18"/>
                <w:szCs w:val="18"/>
              </w:rPr>
              <w:t>information</w:t>
            </w:r>
          </w:p>
        </w:tc>
        <w:tc>
          <w:tcPr>
            <w:tcW w:w="7956" w:type="dxa"/>
            <w:tcBorders>
              <w:top w:val="single" w:sz="4" w:space="0" w:color="231F20"/>
              <w:left w:val="single" w:sz="4" w:space="0" w:color="231F20"/>
              <w:bottom w:val="single" w:sz="4" w:space="0" w:color="231F20"/>
              <w:right w:val="single" w:sz="4" w:space="0" w:color="231F20"/>
            </w:tcBorders>
          </w:tcPr>
          <w:p w14:paraId="558DA7A5" w14:textId="0623CE2C" w:rsidR="0031766D" w:rsidRPr="007858BE" w:rsidRDefault="0031766D" w:rsidP="0047572B">
            <w:pPr>
              <w:pStyle w:val="TableParagraph"/>
              <w:kinsoku w:val="0"/>
              <w:overflowPunct w:val="0"/>
              <w:ind w:left="108" w:right="98"/>
              <w:jc w:val="both"/>
              <w:rPr>
                <w:color w:val="231F20"/>
                <w:sz w:val="18"/>
                <w:szCs w:val="18"/>
              </w:rPr>
            </w:pPr>
            <w:r>
              <w:rPr>
                <w:color w:val="050606"/>
                <w:sz w:val="18"/>
                <w:szCs w:val="18"/>
              </w:rPr>
              <w:t>Selected</w:t>
            </w:r>
            <w:r>
              <w:rPr>
                <w:color w:val="050606"/>
                <w:spacing w:val="-10"/>
                <w:sz w:val="18"/>
                <w:szCs w:val="18"/>
              </w:rPr>
              <w:t xml:space="preserve"> </w:t>
            </w:r>
            <w:r>
              <w:rPr>
                <w:color w:val="050606"/>
                <w:sz w:val="18"/>
                <w:szCs w:val="18"/>
              </w:rPr>
              <w:t>key</w:t>
            </w:r>
            <w:r>
              <w:rPr>
                <w:color w:val="050606"/>
                <w:spacing w:val="-11"/>
                <w:sz w:val="18"/>
                <w:szCs w:val="18"/>
              </w:rPr>
              <w:t xml:space="preserve"> </w:t>
            </w:r>
            <w:r>
              <w:rPr>
                <w:color w:val="050606"/>
                <w:sz w:val="18"/>
                <w:szCs w:val="18"/>
              </w:rPr>
              <w:t>historical</w:t>
            </w:r>
            <w:r>
              <w:rPr>
                <w:color w:val="050606"/>
                <w:spacing w:val="-7"/>
                <w:sz w:val="18"/>
                <w:szCs w:val="18"/>
              </w:rPr>
              <w:t xml:space="preserve"> </w:t>
            </w:r>
            <w:r>
              <w:rPr>
                <w:color w:val="050606"/>
                <w:sz w:val="18"/>
                <w:szCs w:val="18"/>
              </w:rPr>
              <w:t>financial</w:t>
            </w:r>
            <w:r>
              <w:rPr>
                <w:color w:val="050606"/>
                <w:spacing w:val="-7"/>
                <w:sz w:val="18"/>
                <w:szCs w:val="18"/>
              </w:rPr>
              <w:t xml:space="preserve"> </w:t>
            </w:r>
            <w:r>
              <w:rPr>
                <w:color w:val="050606"/>
                <w:sz w:val="18"/>
                <w:szCs w:val="18"/>
              </w:rPr>
              <w:t>information</w:t>
            </w:r>
            <w:r>
              <w:rPr>
                <w:color w:val="050606"/>
                <w:spacing w:val="-9"/>
                <w:sz w:val="18"/>
                <w:szCs w:val="18"/>
              </w:rPr>
              <w:t xml:space="preserve"> </w:t>
            </w:r>
            <w:r>
              <w:rPr>
                <w:color w:val="050606"/>
                <w:sz w:val="18"/>
                <w:szCs w:val="18"/>
              </w:rPr>
              <w:t>relating</w:t>
            </w:r>
            <w:r>
              <w:rPr>
                <w:color w:val="050606"/>
                <w:spacing w:val="-7"/>
                <w:sz w:val="18"/>
                <w:szCs w:val="18"/>
              </w:rPr>
              <w:t xml:space="preserve"> </w:t>
            </w:r>
            <w:r>
              <w:rPr>
                <w:color w:val="050606"/>
                <w:sz w:val="18"/>
                <w:szCs w:val="18"/>
              </w:rPr>
              <w:t>to</w:t>
            </w:r>
            <w:r>
              <w:rPr>
                <w:color w:val="050606"/>
                <w:spacing w:val="-7"/>
                <w:sz w:val="18"/>
                <w:szCs w:val="18"/>
              </w:rPr>
              <w:t xml:space="preserve"> </w:t>
            </w:r>
            <w:r>
              <w:rPr>
                <w:color w:val="050606"/>
                <w:sz w:val="18"/>
                <w:szCs w:val="18"/>
              </w:rPr>
              <w:t>the</w:t>
            </w:r>
            <w:r>
              <w:rPr>
                <w:color w:val="050606"/>
                <w:spacing w:val="-10"/>
                <w:sz w:val="18"/>
                <w:szCs w:val="18"/>
              </w:rPr>
              <w:t xml:space="preserve"> </w:t>
            </w:r>
            <w:r>
              <w:rPr>
                <w:color w:val="050606"/>
                <w:sz w:val="18"/>
                <w:szCs w:val="18"/>
              </w:rPr>
              <w:t>Group</w:t>
            </w:r>
            <w:r>
              <w:rPr>
                <w:color w:val="050606"/>
                <w:spacing w:val="-10"/>
                <w:sz w:val="18"/>
                <w:szCs w:val="18"/>
              </w:rPr>
              <w:t xml:space="preserve"> </w:t>
            </w:r>
            <w:r>
              <w:rPr>
                <w:color w:val="050606"/>
                <w:sz w:val="18"/>
                <w:szCs w:val="18"/>
              </w:rPr>
              <w:t>is</w:t>
            </w:r>
            <w:r>
              <w:rPr>
                <w:color w:val="050606"/>
                <w:spacing w:val="-9"/>
                <w:sz w:val="18"/>
                <w:szCs w:val="18"/>
              </w:rPr>
              <w:t xml:space="preserve"> </w:t>
            </w:r>
            <w:r>
              <w:rPr>
                <w:color w:val="050606"/>
                <w:sz w:val="18"/>
                <w:szCs w:val="18"/>
              </w:rPr>
              <w:t>set</w:t>
            </w:r>
            <w:r>
              <w:rPr>
                <w:color w:val="050606"/>
                <w:spacing w:val="-7"/>
                <w:sz w:val="18"/>
                <w:szCs w:val="18"/>
              </w:rPr>
              <w:t xml:space="preserve"> </w:t>
            </w:r>
            <w:r>
              <w:rPr>
                <w:color w:val="050606"/>
                <w:sz w:val="18"/>
                <w:szCs w:val="18"/>
              </w:rPr>
              <w:t>out</w:t>
            </w:r>
            <w:r>
              <w:rPr>
                <w:color w:val="050606"/>
                <w:spacing w:val="-9"/>
                <w:sz w:val="18"/>
                <w:szCs w:val="18"/>
              </w:rPr>
              <w:t xml:space="preserve"> </w:t>
            </w:r>
            <w:r>
              <w:rPr>
                <w:color w:val="050606"/>
                <w:sz w:val="18"/>
                <w:szCs w:val="18"/>
              </w:rPr>
              <w:t>in</w:t>
            </w:r>
            <w:r>
              <w:rPr>
                <w:color w:val="050606"/>
                <w:spacing w:val="-10"/>
                <w:sz w:val="18"/>
                <w:szCs w:val="18"/>
              </w:rPr>
              <w:t xml:space="preserve"> </w:t>
            </w:r>
            <w:r>
              <w:rPr>
                <w:color w:val="050606"/>
                <w:sz w:val="18"/>
                <w:szCs w:val="18"/>
              </w:rPr>
              <w:t>the</w:t>
            </w:r>
            <w:r>
              <w:rPr>
                <w:color w:val="050606"/>
                <w:spacing w:val="-10"/>
                <w:sz w:val="18"/>
                <w:szCs w:val="18"/>
              </w:rPr>
              <w:t xml:space="preserve"> </w:t>
            </w:r>
            <w:r>
              <w:rPr>
                <w:color w:val="050606"/>
                <w:sz w:val="18"/>
                <w:szCs w:val="18"/>
              </w:rPr>
              <w:t>tables</w:t>
            </w:r>
            <w:r>
              <w:rPr>
                <w:color w:val="050606"/>
                <w:spacing w:val="-9"/>
                <w:sz w:val="18"/>
                <w:szCs w:val="18"/>
              </w:rPr>
              <w:t xml:space="preserve"> </w:t>
            </w:r>
            <w:r>
              <w:rPr>
                <w:color w:val="050606"/>
                <w:sz w:val="18"/>
                <w:szCs w:val="18"/>
              </w:rPr>
              <w:t xml:space="preserve">below. </w:t>
            </w:r>
            <w:r>
              <w:rPr>
                <w:color w:val="231F20"/>
                <w:sz w:val="18"/>
                <w:szCs w:val="18"/>
              </w:rPr>
              <w:t>The information has been presented in accordance with Annex I of the UK version of the European Commission Delegated Regulation (EU)</w:t>
            </w:r>
            <w:r>
              <w:rPr>
                <w:color w:val="231F20"/>
                <w:spacing w:val="1"/>
                <w:sz w:val="18"/>
                <w:szCs w:val="18"/>
              </w:rPr>
              <w:t xml:space="preserve"> </w:t>
            </w:r>
            <w:r>
              <w:rPr>
                <w:color w:val="231F20"/>
                <w:sz w:val="18"/>
                <w:szCs w:val="18"/>
              </w:rPr>
              <w:t>2019/979 which is part of UK law by virtue of the European (Withdrawal) Act 2018.</w:t>
            </w:r>
          </w:p>
        </w:tc>
      </w:tr>
      <w:tr w:rsidR="0031766D" w14:paraId="74B240E9" w14:textId="77777777" w:rsidTr="0047572B">
        <w:trPr>
          <w:cantSplit/>
          <w:trHeight w:val="2204"/>
        </w:trPr>
        <w:tc>
          <w:tcPr>
            <w:tcW w:w="1395" w:type="dxa"/>
            <w:vMerge w:val="restart"/>
            <w:tcBorders>
              <w:top w:val="single" w:sz="4" w:space="0" w:color="231F20"/>
              <w:left w:val="single" w:sz="4" w:space="0" w:color="231F20"/>
              <w:bottom w:val="single" w:sz="4" w:space="0" w:color="231F20"/>
              <w:right w:val="single" w:sz="4" w:space="0" w:color="231F20"/>
            </w:tcBorders>
          </w:tcPr>
          <w:p w14:paraId="64B35580" w14:textId="77777777" w:rsidR="0031766D" w:rsidRDefault="0031766D" w:rsidP="0047572B">
            <w:pPr>
              <w:pStyle w:val="TableParagraph"/>
              <w:kinsoku w:val="0"/>
              <w:overflowPunct w:val="0"/>
              <w:rPr>
                <w:rFonts w:ascii="Times New Roman" w:hAnsi="Times New Roman" w:cs="Times New Roman"/>
                <w:sz w:val="16"/>
                <w:szCs w:val="16"/>
              </w:rPr>
            </w:pPr>
          </w:p>
        </w:tc>
        <w:tc>
          <w:tcPr>
            <w:tcW w:w="7956" w:type="dxa"/>
            <w:tcBorders>
              <w:top w:val="single" w:sz="4" w:space="0" w:color="231F20"/>
              <w:left w:val="single" w:sz="4" w:space="0" w:color="231F20"/>
              <w:bottom w:val="none" w:sz="6" w:space="0" w:color="auto"/>
              <w:right w:val="single" w:sz="4" w:space="0" w:color="231F20"/>
            </w:tcBorders>
          </w:tcPr>
          <w:p w14:paraId="4EE3F447" w14:textId="77777777" w:rsidR="0031766D" w:rsidRPr="007C2E3B" w:rsidRDefault="0031766D" w:rsidP="0047572B">
            <w:pPr>
              <w:pStyle w:val="TableParagraph"/>
              <w:kinsoku w:val="0"/>
              <w:overflowPunct w:val="0"/>
              <w:spacing w:line="204" w:lineRule="exact"/>
              <w:ind w:left="108"/>
              <w:rPr>
                <w:b/>
                <w:bCs/>
                <w:i/>
                <w:iCs/>
                <w:color w:val="231F20"/>
                <w:sz w:val="14"/>
                <w:szCs w:val="14"/>
              </w:rPr>
            </w:pPr>
            <w:r w:rsidRPr="007C2E3B">
              <w:rPr>
                <w:b/>
                <w:bCs/>
                <w:i/>
                <w:iCs/>
                <w:color w:val="231F20"/>
                <w:sz w:val="14"/>
                <w:szCs w:val="14"/>
              </w:rPr>
              <w:t>Table 1: Income statement for the Group</w:t>
            </w:r>
          </w:p>
          <w:p w14:paraId="1A1F2D66" w14:textId="77777777" w:rsidR="0031766D" w:rsidRPr="007C2E3B" w:rsidRDefault="0031766D" w:rsidP="0047572B">
            <w:pPr>
              <w:pStyle w:val="TableParagraph"/>
              <w:kinsoku w:val="0"/>
              <w:overflowPunct w:val="0"/>
              <w:spacing w:line="204" w:lineRule="exact"/>
              <w:ind w:left="108"/>
              <w:rPr>
                <w:b/>
                <w:bCs/>
                <w:i/>
                <w:iCs/>
                <w:color w:val="231F20"/>
                <w:sz w:val="14"/>
                <w:szCs w:val="14"/>
              </w:rPr>
            </w:pPr>
          </w:p>
          <w:tbl>
            <w:tblPr>
              <w:tblW w:w="0" w:type="auto"/>
              <w:tblInd w:w="300" w:type="dxa"/>
              <w:tblLayout w:type="fixed"/>
              <w:tblCellMar>
                <w:left w:w="0" w:type="dxa"/>
                <w:right w:w="0" w:type="dxa"/>
              </w:tblCellMar>
              <w:tblLook w:val="0000" w:firstRow="0" w:lastRow="0" w:firstColumn="0" w:lastColumn="0" w:noHBand="0" w:noVBand="0"/>
            </w:tblPr>
            <w:tblGrid>
              <w:gridCol w:w="1873"/>
              <w:gridCol w:w="1667"/>
              <w:gridCol w:w="1792"/>
              <w:gridCol w:w="1790"/>
            </w:tblGrid>
            <w:tr w:rsidR="0031766D" w:rsidRPr="007C2E3B" w14:paraId="1F284671" w14:textId="77777777" w:rsidTr="007858BE">
              <w:trPr>
                <w:trHeight w:val="742"/>
              </w:trPr>
              <w:tc>
                <w:tcPr>
                  <w:tcW w:w="1873" w:type="dxa"/>
                  <w:tcBorders>
                    <w:top w:val="single" w:sz="4" w:space="0" w:color="231F20"/>
                    <w:left w:val="single" w:sz="4" w:space="0" w:color="231F20"/>
                    <w:bottom w:val="single" w:sz="4" w:space="0" w:color="231F20"/>
                    <w:right w:val="single" w:sz="4" w:space="0" w:color="231F20"/>
                  </w:tcBorders>
                </w:tcPr>
                <w:p w14:paraId="391D6138" w14:textId="77777777" w:rsidR="0031766D" w:rsidRPr="007C2E3B" w:rsidRDefault="0031766D" w:rsidP="00170424">
                  <w:pPr>
                    <w:pStyle w:val="TableParagraph"/>
                    <w:framePr w:hSpace="180" w:wrap="around" w:vAnchor="text" w:hAnchor="text" w:y="1"/>
                    <w:kinsoku w:val="0"/>
                    <w:overflowPunct w:val="0"/>
                    <w:suppressOverlap/>
                    <w:jc w:val="center"/>
                    <w:rPr>
                      <w:rFonts w:ascii="Times New Roman" w:hAnsi="Times New Roman" w:cs="Times New Roman"/>
                      <w:sz w:val="14"/>
                      <w:szCs w:val="14"/>
                    </w:rPr>
                  </w:pPr>
                </w:p>
              </w:tc>
              <w:tc>
                <w:tcPr>
                  <w:tcW w:w="1667" w:type="dxa"/>
                  <w:tcBorders>
                    <w:top w:val="single" w:sz="4" w:space="0" w:color="231F20"/>
                    <w:left w:val="single" w:sz="4" w:space="0" w:color="231F20"/>
                    <w:bottom w:val="single" w:sz="4" w:space="0" w:color="231F20"/>
                    <w:right w:val="single" w:sz="4" w:space="0" w:color="231F20"/>
                  </w:tcBorders>
                </w:tcPr>
                <w:p w14:paraId="37277FE7" w14:textId="77777777" w:rsidR="0031766D" w:rsidRPr="007C2E3B" w:rsidRDefault="0031766D" w:rsidP="00170424">
                  <w:pPr>
                    <w:pStyle w:val="TableParagraph"/>
                    <w:framePr w:hSpace="180" w:wrap="around" w:vAnchor="text" w:hAnchor="text" w:y="1"/>
                    <w:kinsoku w:val="0"/>
                    <w:overflowPunct w:val="0"/>
                    <w:spacing w:before="6" w:line="199" w:lineRule="exact"/>
                    <w:ind w:right="194"/>
                    <w:suppressOverlap/>
                    <w:jc w:val="center"/>
                    <w:rPr>
                      <w:b/>
                      <w:bCs/>
                      <w:color w:val="050606"/>
                      <w:sz w:val="14"/>
                      <w:szCs w:val="14"/>
                    </w:rPr>
                  </w:pPr>
                  <w:r w:rsidRPr="007C2E3B">
                    <w:rPr>
                      <w:b/>
                      <w:bCs/>
                      <w:color w:val="050606"/>
                      <w:sz w:val="14"/>
                      <w:szCs w:val="14"/>
                    </w:rPr>
                    <w:t>Year ended 31 December 2019</w:t>
                  </w:r>
                </w:p>
                <w:p w14:paraId="0162A39A" w14:textId="77777777" w:rsidR="0031766D" w:rsidRPr="007C2E3B" w:rsidRDefault="0031766D" w:rsidP="00170424">
                  <w:pPr>
                    <w:pStyle w:val="TableParagraph"/>
                    <w:framePr w:hSpace="180" w:wrap="around" w:vAnchor="text" w:hAnchor="text" w:y="1"/>
                    <w:kinsoku w:val="0"/>
                    <w:overflowPunct w:val="0"/>
                    <w:spacing w:before="6" w:line="199" w:lineRule="exact"/>
                    <w:ind w:right="194"/>
                    <w:suppressOverlap/>
                    <w:jc w:val="center"/>
                    <w:rPr>
                      <w:b/>
                      <w:bCs/>
                      <w:color w:val="050606"/>
                      <w:w w:val="99"/>
                      <w:sz w:val="14"/>
                      <w:szCs w:val="14"/>
                    </w:rPr>
                  </w:pPr>
                  <w:r w:rsidRPr="007C2E3B">
                    <w:rPr>
                      <w:b/>
                      <w:bCs/>
                      <w:color w:val="050606"/>
                      <w:w w:val="99"/>
                      <w:sz w:val="14"/>
                      <w:szCs w:val="14"/>
                    </w:rPr>
                    <w:t>£</w:t>
                  </w:r>
                </w:p>
              </w:tc>
              <w:tc>
                <w:tcPr>
                  <w:tcW w:w="1792" w:type="dxa"/>
                  <w:tcBorders>
                    <w:top w:val="single" w:sz="4" w:space="0" w:color="231F20"/>
                    <w:left w:val="single" w:sz="4" w:space="0" w:color="231F20"/>
                    <w:bottom w:val="single" w:sz="4" w:space="0" w:color="231F20"/>
                    <w:right w:val="single" w:sz="4" w:space="0" w:color="231F20"/>
                  </w:tcBorders>
                </w:tcPr>
                <w:p w14:paraId="402B06E3"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Six months ended 30 June 2020 (unaudited)</w:t>
                  </w:r>
                </w:p>
                <w:p w14:paraId="4DB4184B"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w w:val="99"/>
                      <w:sz w:val="14"/>
                      <w:szCs w:val="14"/>
                    </w:rPr>
                  </w:pPr>
                  <w:r w:rsidRPr="007C2E3B">
                    <w:rPr>
                      <w:b/>
                      <w:bCs/>
                      <w:color w:val="050606"/>
                      <w:w w:val="99"/>
                      <w:sz w:val="14"/>
                      <w:szCs w:val="14"/>
                    </w:rPr>
                    <w:t>£</w:t>
                  </w:r>
                </w:p>
              </w:tc>
              <w:tc>
                <w:tcPr>
                  <w:tcW w:w="1790" w:type="dxa"/>
                  <w:tcBorders>
                    <w:top w:val="single" w:sz="4" w:space="0" w:color="231F20"/>
                    <w:left w:val="single" w:sz="4" w:space="0" w:color="231F20"/>
                    <w:bottom w:val="single" w:sz="4" w:space="0" w:color="231F20"/>
                    <w:right w:val="single" w:sz="4" w:space="0" w:color="231F20"/>
                  </w:tcBorders>
                </w:tcPr>
                <w:p w14:paraId="1114D4C8"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Year ended 31 December 2020 (audited)</w:t>
                  </w:r>
                </w:p>
                <w:p w14:paraId="485FD2D6" w14:textId="42871B90" w:rsidR="0031766D" w:rsidRPr="007858BE"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w:t>
                  </w:r>
                </w:p>
              </w:tc>
            </w:tr>
            <w:tr w:rsidR="0031766D" w:rsidRPr="007C2E3B" w14:paraId="1F15C9E6" w14:textId="77777777" w:rsidTr="007858BE">
              <w:trPr>
                <w:trHeight w:val="426"/>
              </w:trPr>
              <w:tc>
                <w:tcPr>
                  <w:tcW w:w="1873" w:type="dxa"/>
                  <w:tcBorders>
                    <w:top w:val="single" w:sz="4" w:space="0" w:color="231F20"/>
                    <w:left w:val="single" w:sz="4" w:space="0" w:color="231F20"/>
                    <w:bottom w:val="single" w:sz="4" w:space="0" w:color="231F20"/>
                    <w:right w:val="single" w:sz="4" w:space="0" w:color="231F20"/>
                  </w:tcBorders>
                </w:tcPr>
                <w:p w14:paraId="672329B3" w14:textId="77777777" w:rsidR="0031766D" w:rsidRPr="007C2E3B" w:rsidRDefault="0031766D" w:rsidP="00170424">
                  <w:pPr>
                    <w:pStyle w:val="TableParagraph"/>
                    <w:framePr w:hSpace="180" w:wrap="around" w:vAnchor="text" w:hAnchor="text" w:y="1"/>
                    <w:kinsoku w:val="0"/>
                    <w:overflowPunct w:val="0"/>
                    <w:suppressOverlap/>
                    <w:jc w:val="center"/>
                    <w:rPr>
                      <w:sz w:val="14"/>
                      <w:szCs w:val="14"/>
                    </w:rPr>
                  </w:pPr>
                  <w:r w:rsidRPr="007C2E3B">
                    <w:rPr>
                      <w:sz w:val="14"/>
                      <w:szCs w:val="14"/>
                    </w:rPr>
                    <w:t>Total revenue</w:t>
                  </w:r>
                </w:p>
              </w:tc>
              <w:tc>
                <w:tcPr>
                  <w:tcW w:w="1667" w:type="dxa"/>
                  <w:tcBorders>
                    <w:top w:val="single" w:sz="4" w:space="0" w:color="231F20"/>
                    <w:left w:val="single" w:sz="4" w:space="0" w:color="231F20"/>
                    <w:bottom w:val="single" w:sz="4" w:space="0" w:color="231F20"/>
                    <w:right w:val="single" w:sz="4" w:space="0" w:color="231F20"/>
                  </w:tcBorders>
                </w:tcPr>
                <w:p w14:paraId="4B03B143" w14:textId="77777777" w:rsidR="0031766D" w:rsidRPr="007C2E3B" w:rsidRDefault="0031766D" w:rsidP="00170424">
                  <w:pPr>
                    <w:pStyle w:val="TableParagraph"/>
                    <w:framePr w:hSpace="180" w:wrap="around" w:vAnchor="text" w:hAnchor="text" w:y="1"/>
                    <w:kinsoku w:val="0"/>
                    <w:overflowPunct w:val="0"/>
                    <w:spacing w:before="6" w:line="199" w:lineRule="exact"/>
                    <w:ind w:right="194"/>
                    <w:suppressOverlap/>
                    <w:jc w:val="center"/>
                    <w:rPr>
                      <w:b/>
                      <w:bCs/>
                      <w:color w:val="050606"/>
                      <w:sz w:val="14"/>
                      <w:szCs w:val="14"/>
                    </w:rPr>
                  </w:pPr>
                  <w:r w:rsidRPr="007C2E3B">
                    <w:rPr>
                      <w:b/>
                      <w:bCs/>
                      <w:color w:val="050606"/>
                      <w:sz w:val="14"/>
                      <w:szCs w:val="14"/>
                    </w:rPr>
                    <w:t>-</w:t>
                  </w:r>
                </w:p>
              </w:tc>
              <w:tc>
                <w:tcPr>
                  <w:tcW w:w="1792" w:type="dxa"/>
                  <w:tcBorders>
                    <w:top w:val="single" w:sz="4" w:space="0" w:color="231F20"/>
                    <w:left w:val="single" w:sz="4" w:space="0" w:color="231F20"/>
                    <w:bottom w:val="single" w:sz="4" w:space="0" w:color="231F20"/>
                    <w:right w:val="single" w:sz="4" w:space="0" w:color="231F20"/>
                  </w:tcBorders>
                </w:tcPr>
                <w:p w14:paraId="67B42D21"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w:t>
                  </w:r>
                </w:p>
              </w:tc>
              <w:tc>
                <w:tcPr>
                  <w:tcW w:w="1790" w:type="dxa"/>
                  <w:tcBorders>
                    <w:top w:val="single" w:sz="4" w:space="0" w:color="231F20"/>
                    <w:left w:val="single" w:sz="4" w:space="0" w:color="231F20"/>
                    <w:bottom w:val="single" w:sz="4" w:space="0" w:color="231F20"/>
                    <w:right w:val="single" w:sz="4" w:space="0" w:color="231F20"/>
                  </w:tcBorders>
                </w:tcPr>
                <w:p w14:paraId="06344A5F"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w:t>
                  </w:r>
                </w:p>
              </w:tc>
            </w:tr>
            <w:tr w:rsidR="0031766D" w:rsidRPr="007C2E3B" w14:paraId="1696EE56" w14:textId="77777777" w:rsidTr="00A976DD">
              <w:trPr>
                <w:trHeight w:val="426"/>
              </w:trPr>
              <w:tc>
                <w:tcPr>
                  <w:tcW w:w="1873" w:type="dxa"/>
                  <w:tcBorders>
                    <w:top w:val="single" w:sz="4" w:space="0" w:color="231F20"/>
                    <w:left w:val="single" w:sz="4" w:space="0" w:color="231F20"/>
                    <w:bottom w:val="single" w:sz="4" w:space="0" w:color="231F20"/>
                    <w:right w:val="single" w:sz="4" w:space="0" w:color="231F20"/>
                  </w:tcBorders>
                </w:tcPr>
                <w:p w14:paraId="21EF368D" w14:textId="77777777" w:rsidR="0031766D" w:rsidRPr="007C2E3B" w:rsidRDefault="0031766D" w:rsidP="00170424">
                  <w:pPr>
                    <w:pStyle w:val="TableParagraph"/>
                    <w:framePr w:hSpace="180" w:wrap="around" w:vAnchor="text" w:hAnchor="text" w:y="1"/>
                    <w:kinsoku w:val="0"/>
                    <w:overflowPunct w:val="0"/>
                    <w:spacing w:before="6" w:line="194" w:lineRule="exact"/>
                    <w:ind w:left="108"/>
                    <w:suppressOverlap/>
                    <w:jc w:val="center"/>
                    <w:rPr>
                      <w:color w:val="050606"/>
                      <w:sz w:val="14"/>
                      <w:szCs w:val="14"/>
                    </w:rPr>
                  </w:pPr>
                  <w:r w:rsidRPr="007C2E3B">
                    <w:rPr>
                      <w:color w:val="050606"/>
                      <w:sz w:val="14"/>
                      <w:szCs w:val="14"/>
                    </w:rPr>
                    <w:t>Operating profit / (loss)</w:t>
                  </w:r>
                </w:p>
              </w:tc>
              <w:tc>
                <w:tcPr>
                  <w:tcW w:w="1667" w:type="dxa"/>
                  <w:tcBorders>
                    <w:top w:val="single" w:sz="4" w:space="0" w:color="231F20"/>
                    <w:left w:val="single" w:sz="4" w:space="0" w:color="231F20"/>
                    <w:bottom w:val="single" w:sz="4" w:space="0" w:color="231F20"/>
                    <w:right w:val="single" w:sz="4" w:space="0" w:color="231F20"/>
                  </w:tcBorders>
                </w:tcPr>
                <w:p w14:paraId="710C8953" w14:textId="77777777" w:rsidR="0031766D" w:rsidRPr="007C2E3B" w:rsidRDefault="0031766D" w:rsidP="00170424">
                  <w:pPr>
                    <w:pStyle w:val="TableParagraph"/>
                    <w:framePr w:hSpace="180" w:wrap="around" w:vAnchor="text" w:hAnchor="text" w:y="1"/>
                    <w:kinsoku w:val="0"/>
                    <w:overflowPunct w:val="0"/>
                    <w:spacing w:line="206" w:lineRule="exact"/>
                    <w:ind w:right="191"/>
                    <w:suppressOverlap/>
                    <w:jc w:val="center"/>
                    <w:rPr>
                      <w:color w:val="050606"/>
                      <w:sz w:val="14"/>
                      <w:szCs w:val="14"/>
                    </w:rPr>
                  </w:pPr>
                  <w:r w:rsidRPr="007C2E3B">
                    <w:rPr>
                      <w:color w:val="050606"/>
                      <w:sz w:val="14"/>
                      <w:szCs w:val="14"/>
                    </w:rPr>
                    <w:t>(536,121)</w:t>
                  </w:r>
                </w:p>
              </w:tc>
              <w:tc>
                <w:tcPr>
                  <w:tcW w:w="1792" w:type="dxa"/>
                  <w:tcBorders>
                    <w:top w:val="single" w:sz="4" w:space="0" w:color="231F20"/>
                    <w:left w:val="single" w:sz="4" w:space="0" w:color="231F20"/>
                    <w:bottom w:val="single" w:sz="4" w:space="0" w:color="231F20"/>
                    <w:right w:val="single" w:sz="4" w:space="0" w:color="231F20"/>
                  </w:tcBorders>
                </w:tcPr>
                <w:p w14:paraId="08FD27A5"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sz w:val="14"/>
                      <w:szCs w:val="14"/>
                    </w:rPr>
                  </w:pPr>
                  <w:r w:rsidRPr="007C2E3B">
                    <w:rPr>
                      <w:color w:val="050606"/>
                      <w:sz w:val="14"/>
                      <w:szCs w:val="14"/>
                    </w:rPr>
                    <w:t>(257,465)</w:t>
                  </w:r>
                </w:p>
              </w:tc>
              <w:tc>
                <w:tcPr>
                  <w:tcW w:w="1790" w:type="dxa"/>
                  <w:tcBorders>
                    <w:top w:val="single" w:sz="4" w:space="0" w:color="231F20"/>
                    <w:left w:val="single" w:sz="4" w:space="0" w:color="231F20"/>
                    <w:bottom w:val="single" w:sz="4" w:space="0" w:color="231F20"/>
                    <w:right w:val="single" w:sz="4" w:space="0" w:color="231F20"/>
                  </w:tcBorders>
                </w:tcPr>
                <w:p w14:paraId="72E6AD65" w14:textId="77777777" w:rsidR="0031766D" w:rsidRPr="007C2E3B" w:rsidRDefault="0031766D" w:rsidP="00170424">
                  <w:pPr>
                    <w:pStyle w:val="TableParagraph"/>
                    <w:framePr w:hSpace="180" w:wrap="around" w:vAnchor="text" w:hAnchor="text" w:y="1"/>
                    <w:kinsoku w:val="0"/>
                    <w:overflowPunct w:val="0"/>
                    <w:spacing w:line="206" w:lineRule="exact"/>
                    <w:ind w:right="187"/>
                    <w:suppressOverlap/>
                    <w:jc w:val="center"/>
                    <w:rPr>
                      <w:color w:val="050606"/>
                      <w:sz w:val="14"/>
                      <w:szCs w:val="14"/>
                    </w:rPr>
                  </w:pPr>
                  <w:r w:rsidRPr="007C2E3B">
                    <w:rPr>
                      <w:color w:val="050606"/>
                      <w:sz w:val="14"/>
                      <w:szCs w:val="14"/>
                    </w:rPr>
                    <w:t>(871,261)</w:t>
                  </w:r>
                </w:p>
              </w:tc>
            </w:tr>
            <w:tr w:rsidR="0031766D" w:rsidRPr="007C2E3B" w14:paraId="5FBC948D" w14:textId="77777777" w:rsidTr="007858BE">
              <w:trPr>
                <w:trHeight w:val="397"/>
              </w:trPr>
              <w:tc>
                <w:tcPr>
                  <w:tcW w:w="1873" w:type="dxa"/>
                  <w:tcBorders>
                    <w:top w:val="single" w:sz="4" w:space="0" w:color="231F20"/>
                    <w:left w:val="single" w:sz="4" w:space="0" w:color="231F20"/>
                    <w:bottom w:val="single" w:sz="4" w:space="0" w:color="231F20"/>
                    <w:right w:val="single" w:sz="4" w:space="0" w:color="231F20"/>
                  </w:tcBorders>
                </w:tcPr>
                <w:p w14:paraId="3742096C" w14:textId="77777777" w:rsidR="0031766D" w:rsidRPr="007C2E3B" w:rsidRDefault="0031766D" w:rsidP="00170424">
                  <w:pPr>
                    <w:pStyle w:val="TableParagraph"/>
                    <w:framePr w:hSpace="180" w:wrap="around" w:vAnchor="text" w:hAnchor="text" w:y="1"/>
                    <w:tabs>
                      <w:tab w:val="left" w:pos="946"/>
                    </w:tabs>
                    <w:kinsoku w:val="0"/>
                    <w:overflowPunct w:val="0"/>
                    <w:spacing w:before="6" w:line="210" w:lineRule="atLeast"/>
                    <w:ind w:left="108" w:right="195"/>
                    <w:suppressOverlap/>
                    <w:jc w:val="center"/>
                    <w:rPr>
                      <w:color w:val="050606"/>
                      <w:sz w:val="14"/>
                      <w:szCs w:val="14"/>
                    </w:rPr>
                  </w:pPr>
                  <w:r w:rsidRPr="007C2E3B">
                    <w:rPr>
                      <w:color w:val="050606"/>
                      <w:sz w:val="14"/>
                      <w:szCs w:val="14"/>
                    </w:rPr>
                    <w:t>Net profit / (loss)</w:t>
                  </w:r>
                </w:p>
              </w:tc>
              <w:tc>
                <w:tcPr>
                  <w:tcW w:w="1667" w:type="dxa"/>
                  <w:tcBorders>
                    <w:top w:val="single" w:sz="4" w:space="0" w:color="231F20"/>
                    <w:left w:val="single" w:sz="4" w:space="0" w:color="231F20"/>
                    <w:bottom w:val="single" w:sz="4" w:space="0" w:color="231F20"/>
                    <w:right w:val="single" w:sz="4" w:space="0" w:color="231F20"/>
                  </w:tcBorders>
                </w:tcPr>
                <w:p w14:paraId="7B704634"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(536,121)</w:t>
                  </w:r>
                </w:p>
              </w:tc>
              <w:tc>
                <w:tcPr>
                  <w:tcW w:w="1792" w:type="dxa"/>
                  <w:tcBorders>
                    <w:top w:val="single" w:sz="4" w:space="0" w:color="231F20"/>
                    <w:left w:val="single" w:sz="4" w:space="0" w:color="231F20"/>
                    <w:bottom w:val="single" w:sz="4" w:space="0" w:color="231F20"/>
                    <w:right w:val="single" w:sz="4" w:space="0" w:color="231F20"/>
                  </w:tcBorders>
                </w:tcPr>
                <w:p w14:paraId="1D422E28"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(257,465)</w:t>
                  </w:r>
                </w:p>
              </w:tc>
              <w:tc>
                <w:tcPr>
                  <w:tcW w:w="1790" w:type="dxa"/>
                  <w:tcBorders>
                    <w:top w:val="single" w:sz="4" w:space="0" w:color="231F20"/>
                    <w:left w:val="single" w:sz="4" w:space="0" w:color="231F20"/>
                    <w:bottom w:val="single" w:sz="4" w:space="0" w:color="231F20"/>
                    <w:right w:val="single" w:sz="4" w:space="0" w:color="231F20"/>
                  </w:tcBorders>
                </w:tcPr>
                <w:p w14:paraId="0EF1725A"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w w:val="99"/>
                      <w:sz w:val="14"/>
                      <w:szCs w:val="14"/>
                    </w:rPr>
                  </w:pPr>
                  <w:r w:rsidRPr="007C2E3B">
                    <w:rPr>
                      <w:color w:val="050606"/>
                      <w:sz w:val="14"/>
                      <w:szCs w:val="14"/>
                    </w:rPr>
                    <w:t>(871,261)</w:t>
                  </w:r>
                </w:p>
              </w:tc>
            </w:tr>
            <w:tr w:rsidR="0031766D" w:rsidRPr="007C2E3B" w14:paraId="402165C2" w14:textId="77777777" w:rsidTr="007858BE">
              <w:trPr>
                <w:trHeight w:val="416"/>
              </w:trPr>
              <w:tc>
                <w:tcPr>
                  <w:tcW w:w="1873" w:type="dxa"/>
                  <w:tcBorders>
                    <w:top w:val="single" w:sz="4" w:space="0" w:color="231F20"/>
                    <w:left w:val="single" w:sz="4" w:space="0" w:color="231F20"/>
                    <w:bottom w:val="single" w:sz="4" w:space="0" w:color="231F20"/>
                    <w:right w:val="single" w:sz="4" w:space="0" w:color="231F20"/>
                  </w:tcBorders>
                </w:tcPr>
                <w:p w14:paraId="609BC55B" w14:textId="77777777" w:rsidR="0031766D" w:rsidRPr="007C2E3B" w:rsidRDefault="0031766D" w:rsidP="00170424">
                  <w:pPr>
                    <w:pStyle w:val="TableParagraph"/>
                    <w:framePr w:hSpace="180" w:wrap="around" w:vAnchor="text" w:hAnchor="text" w:y="1"/>
                    <w:tabs>
                      <w:tab w:val="left" w:pos="946"/>
                    </w:tabs>
                    <w:kinsoku w:val="0"/>
                    <w:overflowPunct w:val="0"/>
                    <w:spacing w:before="6" w:line="210" w:lineRule="atLeast"/>
                    <w:ind w:left="108" w:right="195"/>
                    <w:suppressOverlap/>
                    <w:jc w:val="center"/>
                    <w:rPr>
                      <w:color w:val="050606"/>
                      <w:sz w:val="14"/>
                      <w:szCs w:val="14"/>
                    </w:rPr>
                  </w:pPr>
                  <w:r w:rsidRPr="007C2E3B">
                    <w:rPr>
                      <w:color w:val="050606"/>
                      <w:sz w:val="14"/>
                      <w:szCs w:val="14"/>
                    </w:rPr>
                    <w:t>Operating profit margin</w:t>
                  </w:r>
                </w:p>
              </w:tc>
              <w:tc>
                <w:tcPr>
                  <w:tcW w:w="1667" w:type="dxa"/>
                  <w:tcBorders>
                    <w:top w:val="single" w:sz="4" w:space="0" w:color="231F20"/>
                    <w:left w:val="single" w:sz="4" w:space="0" w:color="231F20"/>
                    <w:bottom w:val="single" w:sz="4" w:space="0" w:color="231F20"/>
                    <w:right w:val="single" w:sz="4" w:space="0" w:color="231F20"/>
                  </w:tcBorders>
                </w:tcPr>
                <w:p w14:paraId="52EF0F9F"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N/A</w:t>
                  </w:r>
                </w:p>
              </w:tc>
              <w:tc>
                <w:tcPr>
                  <w:tcW w:w="1792" w:type="dxa"/>
                  <w:tcBorders>
                    <w:top w:val="single" w:sz="4" w:space="0" w:color="231F20"/>
                    <w:left w:val="single" w:sz="4" w:space="0" w:color="231F20"/>
                    <w:bottom w:val="single" w:sz="4" w:space="0" w:color="231F20"/>
                    <w:right w:val="single" w:sz="4" w:space="0" w:color="231F20"/>
                  </w:tcBorders>
                </w:tcPr>
                <w:p w14:paraId="38371F41"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N/A</w:t>
                  </w:r>
                </w:p>
              </w:tc>
              <w:tc>
                <w:tcPr>
                  <w:tcW w:w="1790" w:type="dxa"/>
                  <w:tcBorders>
                    <w:top w:val="single" w:sz="4" w:space="0" w:color="231F20"/>
                    <w:left w:val="single" w:sz="4" w:space="0" w:color="231F20"/>
                    <w:bottom w:val="single" w:sz="4" w:space="0" w:color="231F20"/>
                    <w:right w:val="single" w:sz="4" w:space="0" w:color="231F20"/>
                  </w:tcBorders>
                </w:tcPr>
                <w:p w14:paraId="35B6C7F2"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w w:val="99"/>
                      <w:sz w:val="14"/>
                      <w:szCs w:val="14"/>
                    </w:rPr>
                  </w:pPr>
                  <w:r w:rsidRPr="007C2E3B">
                    <w:rPr>
                      <w:color w:val="050606"/>
                      <w:sz w:val="14"/>
                      <w:szCs w:val="14"/>
                    </w:rPr>
                    <w:t>N/A</w:t>
                  </w:r>
                </w:p>
              </w:tc>
            </w:tr>
            <w:tr w:rsidR="0031766D" w:rsidRPr="007C2E3B" w14:paraId="296B376D" w14:textId="77777777" w:rsidTr="007858BE">
              <w:trPr>
                <w:trHeight w:val="408"/>
              </w:trPr>
              <w:tc>
                <w:tcPr>
                  <w:tcW w:w="1873" w:type="dxa"/>
                  <w:tcBorders>
                    <w:top w:val="single" w:sz="4" w:space="0" w:color="231F20"/>
                    <w:left w:val="single" w:sz="4" w:space="0" w:color="231F20"/>
                    <w:bottom w:val="single" w:sz="4" w:space="0" w:color="231F20"/>
                    <w:right w:val="single" w:sz="4" w:space="0" w:color="231F20"/>
                  </w:tcBorders>
                </w:tcPr>
                <w:p w14:paraId="5C498AF5" w14:textId="77777777" w:rsidR="0031766D" w:rsidRPr="007C2E3B" w:rsidRDefault="0031766D" w:rsidP="00170424">
                  <w:pPr>
                    <w:pStyle w:val="TableParagraph"/>
                    <w:framePr w:hSpace="180" w:wrap="around" w:vAnchor="text" w:hAnchor="text" w:y="1"/>
                    <w:tabs>
                      <w:tab w:val="left" w:pos="946"/>
                    </w:tabs>
                    <w:kinsoku w:val="0"/>
                    <w:overflowPunct w:val="0"/>
                    <w:spacing w:before="6" w:line="210" w:lineRule="atLeast"/>
                    <w:ind w:left="108" w:right="195"/>
                    <w:suppressOverlap/>
                    <w:jc w:val="center"/>
                    <w:rPr>
                      <w:color w:val="050606"/>
                      <w:sz w:val="14"/>
                      <w:szCs w:val="14"/>
                    </w:rPr>
                  </w:pPr>
                  <w:r w:rsidRPr="007C2E3B">
                    <w:rPr>
                      <w:color w:val="050606"/>
                      <w:sz w:val="14"/>
                      <w:szCs w:val="14"/>
                    </w:rPr>
                    <w:t>Net profit margin</w:t>
                  </w:r>
                </w:p>
              </w:tc>
              <w:tc>
                <w:tcPr>
                  <w:tcW w:w="1667" w:type="dxa"/>
                  <w:tcBorders>
                    <w:top w:val="single" w:sz="4" w:space="0" w:color="231F20"/>
                    <w:left w:val="single" w:sz="4" w:space="0" w:color="231F20"/>
                    <w:bottom w:val="single" w:sz="4" w:space="0" w:color="231F20"/>
                    <w:right w:val="single" w:sz="4" w:space="0" w:color="231F20"/>
                  </w:tcBorders>
                </w:tcPr>
                <w:p w14:paraId="0C64BDC9"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N/A</w:t>
                  </w:r>
                </w:p>
              </w:tc>
              <w:tc>
                <w:tcPr>
                  <w:tcW w:w="1792" w:type="dxa"/>
                  <w:tcBorders>
                    <w:top w:val="single" w:sz="4" w:space="0" w:color="231F20"/>
                    <w:left w:val="single" w:sz="4" w:space="0" w:color="231F20"/>
                    <w:bottom w:val="single" w:sz="4" w:space="0" w:color="231F20"/>
                    <w:right w:val="single" w:sz="4" w:space="0" w:color="231F20"/>
                  </w:tcBorders>
                </w:tcPr>
                <w:p w14:paraId="0FD18743"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N/A</w:t>
                  </w:r>
                </w:p>
              </w:tc>
              <w:tc>
                <w:tcPr>
                  <w:tcW w:w="1790" w:type="dxa"/>
                  <w:tcBorders>
                    <w:top w:val="single" w:sz="4" w:space="0" w:color="231F20"/>
                    <w:left w:val="single" w:sz="4" w:space="0" w:color="231F20"/>
                    <w:bottom w:val="single" w:sz="4" w:space="0" w:color="231F20"/>
                    <w:right w:val="single" w:sz="4" w:space="0" w:color="231F20"/>
                  </w:tcBorders>
                </w:tcPr>
                <w:p w14:paraId="743ED480"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w w:val="99"/>
                      <w:sz w:val="14"/>
                      <w:szCs w:val="14"/>
                    </w:rPr>
                  </w:pPr>
                  <w:r w:rsidRPr="007C2E3B">
                    <w:rPr>
                      <w:color w:val="050606"/>
                      <w:sz w:val="14"/>
                      <w:szCs w:val="14"/>
                    </w:rPr>
                    <w:t>N/A</w:t>
                  </w:r>
                </w:p>
              </w:tc>
            </w:tr>
            <w:tr w:rsidR="0031766D" w:rsidRPr="007C2E3B" w14:paraId="779D1B5B" w14:textId="77777777" w:rsidTr="007858BE">
              <w:trPr>
                <w:trHeight w:val="415"/>
              </w:trPr>
              <w:tc>
                <w:tcPr>
                  <w:tcW w:w="1873" w:type="dxa"/>
                  <w:tcBorders>
                    <w:top w:val="single" w:sz="4" w:space="0" w:color="231F20"/>
                    <w:left w:val="single" w:sz="4" w:space="0" w:color="231F20"/>
                    <w:bottom w:val="single" w:sz="8" w:space="0" w:color="231F20"/>
                    <w:right w:val="single" w:sz="4" w:space="0" w:color="231F20"/>
                  </w:tcBorders>
                </w:tcPr>
                <w:p w14:paraId="113A0D11" w14:textId="77777777" w:rsidR="0031766D" w:rsidRPr="007C2E3B" w:rsidRDefault="0031766D" w:rsidP="00170424">
                  <w:pPr>
                    <w:pStyle w:val="TableParagraph"/>
                    <w:framePr w:hSpace="180" w:wrap="around" w:vAnchor="text" w:hAnchor="text" w:y="1"/>
                    <w:tabs>
                      <w:tab w:val="left" w:pos="946"/>
                    </w:tabs>
                    <w:kinsoku w:val="0"/>
                    <w:overflowPunct w:val="0"/>
                    <w:spacing w:before="6" w:line="210" w:lineRule="atLeast"/>
                    <w:ind w:left="108" w:right="195"/>
                    <w:suppressOverlap/>
                    <w:jc w:val="center"/>
                    <w:rPr>
                      <w:color w:val="050606"/>
                      <w:sz w:val="14"/>
                      <w:szCs w:val="14"/>
                    </w:rPr>
                  </w:pPr>
                  <w:r w:rsidRPr="007C2E3B">
                    <w:rPr>
                      <w:color w:val="050606"/>
                      <w:sz w:val="14"/>
                      <w:szCs w:val="14"/>
                    </w:rPr>
                    <w:t>Earnings per share **</w:t>
                  </w:r>
                </w:p>
              </w:tc>
              <w:tc>
                <w:tcPr>
                  <w:tcW w:w="1667" w:type="dxa"/>
                  <w:tcBorders>
                    <w:top w:val="single" w:sz="4" w:space="0" w:color="231F20"/>
                    <w:left w:val="single" w:sz="4" w:space="0" w:color="231F20"/>
                    <w:bottom w:val="single" w:sz="8" w:space="0" w:color="231F20"/>
                    <w:right w:val="single" w:sz="4" w:space="0" w:color="231F20"/>
                  </w:tcBorders>
                </w:tcPr>
                <w:p w14:paraId="7B140F0D"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(0.866)</w:t>
                  </w:r>
                </w:p>
              </w:tc>
              <w:tc>
                <w:tcPr>
                  <w:tcW w:w="1792" w:type="dxa"/>
                  <w:tcBorders>
                    <w:top w:val="single" w:sz="4" w:space="0" w:color="231F20"/>
                    <w:left w:val="single" w:sz="4" w:space="0" w:color="231F20"/>
                    <w:bottom w:val="single" w:sz="8" w:space="0" w:color="231F20"/>
                    <w:right w:val="single" w:sz="4" w:space="0" w:color="231F20"/>
                  </w:tcBorders>
                </w:tcPr>
                <w:p w14:paraId="4B9269AC"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(0.416)</w:t>
                  </w:r>
                </w:p>
              </w:tc>
              <w:tc>
                <w:tcPr>
                  <w:tcW w:w="1790" w:type="dxa"/>
                  <w:tcBorders>
                    <w:top w:val="single" w:sz="4" w:space="0" w:color="231F20"/>
                    <w:left w:val="single" w:sz="4" w:space="0" w:color="231F20"/>
                    <w:bottom w:val="single" w:sz="8" w:space="0" w:color="231F20"/>
                    <w:right w:val="single" w:sz="4" w:space="0" w:color="231F20"/>
                  </w:tcBorders>
                </w:tcPr>
                <w:p w14:paraId="4AECC061"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w w:val="99"/>
                      <w:sz w:val="14"/>
                      <w:szCs w:val="14"/>
                    </w:rPr>
                  </w:pPr>
                  <w:r w:rsidRPr="007C2E3B">
                    <w:rPr>
                      <w:color w:val="050606"/>
                      <w:sz w:val="14"/>
                      <w:szCs w:val="14"/>
                    </w:rPr>
                    <w:t>(1,264)</w:t>
                  </w:r>
                </w:p>
              </w:tc>
            </w:tr>
          </w:tbl>
          <w:p w14:paraId="612F7542" w14:textId="77777777" w:rsidR="0031766D" w:rsidRPr="007C2E3B" w:rsidRDefault="0031766D" w:rsidP="0047572B">
            <w:pPr>
              <w:pStyle w:val="TableParagraph"/>
              <w:kinsoku w:val="0"/>
              <w:overflowPunct w:val="0"/>
              <w:spacing w:line="204" w:lineRule="exact"/>
              <w:ind w:left="108"/>
              <w:rPr>
                <w:b/>
                <w:bCs/>
                <w:i/>
                <w:iCs/>
                <w:color w:val="231F20"/>
                <w:sz w:val="14"/>
                <w:szCs w:val="14"/>
              </w:rPr>
            </w:pPr>
          </w:p>
        </w:tc>
      </w:tr>
      <w:tr w:rsidR="0031766D" w14:paraId="5AD80DD8" w14:textId="77777777" w:rsidTr="0047572B">
        <w:trPr>
          <w:trHeight w:val="2578"/>
        </w:trPr>
        <w:tc>
          <w:tcPr>
            <w:tcW w:w="1395" w:type="dxa"/>
            <w:vMerge/>
            <w:tcBorders>
              <w:top w:val="nil"/>
              <w:left w:val="single" w:sz="4" w:space="0" w:color="231F20"/>
              <w:bottom w:val="single" w:sz="4" w:space="0" w:color="231F20"/>
              <w:right w:val="single" w:sz="4" w:space="0" w:color="231F20"/>
            </w:tcBorders>
          </w:tcPr>
          <w:p w14:paraId="757125F9" w14:textId="77777777" w:rsidR="0031766D" w:rsidRDefault="0031766D" w:rsidP="0047572B">
            <w:pPr>
              <w:rPr>
                <w:b/>
                <w:bCs/>
                <w:sz w:val="2"/>
                <w:szCs w:val="2"/>
              </w:rPr>
            </w:pPr>
          </w:p>
        </w:tc>
        <w:tc>
          <w:tcPr>
            <w:tcW w:w="7956" w:type="dxa"/>
            <w:tcBorders>
              <w:top w:val="none" w:sz="6" w:space="0" w:color="auto"/>
              <w:left w:val="single" w:sz="4" w:space="0" w:color="231F20"/>
              <w:bottom w:val="none" w:sz="6" w:space="0" w:color="auto"/>
              <w:right w:val="single" w:sz="4" w:space="0" w:color="231F20"/>
            </w:tcBorders>
          </w:tcPr>
          <w:p w14:paraId="10CAC110" w14:textId="387607CF" w:rsidR="0031766D" w:rsidRPr="007C2E3B" w:rsidRDefault="007858BE" w:rsidP="0047572B">
            <w:pPr>
              <w:pStyle w:val="TableParagraph"/>
              <w:kinsoku w:val="0"/>
              <w:overflowPunct w:val="0"/>
              <w:ind w:left="108" w:right="72"/>
              <w:rPr>
                <w:color w:val="050606"/>
                <w:sz w:val="14"/>
                <w:szCs w:val="14"/>
              </w:rPr>
            </w:pPr>
            <w:r>
              <w:rPr>
                <w:color w:val="050606"/>
                <w:sz w:val="14"/>
                <w:szCs w:val="14"/>
              </w:rPr>
              <w:br/>
            </w:r>
            <w:r w:rsidR="0031766D" w:rsidRPr="007C2E3B">
              <w:rPr>
                <w:color w:val="050606"/>
                <w:sz w:val="14"/>
                <w:szCs w:val="14"/>
              </w:rPr>
              <w:t>*The Group was formed on 3 July 2018 and therefore the financial information for the period ended 31 December 2017 is that of the Company.</w:t>
            </w:r>
          </w:p>
          <w:p w14:paraId="4D5D432D" w14:textId="77777777" w:rsidR="0031766D" w:rsidRPr="007C2E3B" w:rsidRDefault="0031766D" w:rsidP="0047572B">
            <w:pPr>
              <w:pStyle w:val="TableParagraph"/>
              <w:kinsoku w:val="0"/>
              <w:overflowPunct w:val="0"/>
              <w:spacing w:line="161" w:lineRule="exact"/>
              <w:ind w:left="108"/>
              <w:rPr>
                <w:color w:val="050606"/>
                <w:sz w:val="14"/>
                <w:szCs w:val="14"/>
              </w:rPr>
            </w:pPr>
            <w:r w:rsidRPr="007C2E3B">
              <w:rPr>
                <w:color w:val="050606"/>
                <w:sz w:val="14"/>
                <w:szCs w:val="14"/>
              </w:rPr>
              <w:t>** Expressed in pence per share</w:t>
            </w:r>
          </w:p>
          <w:p w14:paraId="6F9DF42B" w14:textId="77777777" w:rsidR="0031766D" w:rsidRPr="007C2E3B" w:rsidRDefault="0031766D" w:rsidP="0047572B">
            <w:pPr>
              <w:rPr>
                <w:sz w:val="14"/>
                <w:szCs w:val="14"/>
              </w:rPr>
            </w:pPr>
          </w:p>
          <w:p w14:paraId="19ACFDED" w14:textId="77777777" w:rsidR="0031766D" w:rsidRPr="007C2E3B" w:rsidRDefault="0031766D" w:rsidP="0047572B">
            <w:pPr>
              <w:rPr>
                <w:b/>
                <w:bCs/>
                <w:i/>
                <w:iCs/>
                <w:color w:val="231F20"/>
                <w:sz w:val="14"/>
                <w:szCs w:val="14"/>
              </w:rPr>
            </w:pPr>
            <w:r w:rsidRPr="007C2E3B">
              <w:rPr>
                <w:b/>
                <w:bCs/>
                <w:i/>
                <w:iCs/>
                <w:color w:val="231F20"/>
                <w:sz w:val="14"/>
                <w:szCs w:val="14"/>
              </w:rPr>
              <w:t>Table 2: Balance sheet for the Group</w:t>
            </w:r>
          </w:p>
          <w:p w14:paraId="1C961A95" w14:textId="77777777" w:rsidR="0031766D" w:rsidRPr="007C2E3B" w:rsidRDefault="0031766D" w:rsidP="0047572B">
            <w:pPr>
              <w:rPr>
                <w:sz w:val="14"/>
                <w:szCs w:val="14"/>
              </w:rPr>
            </w:pPr>
          </w:p>
          <w:tbl>
            <w:tblPr>
              <w:tblW w:w="0" w:type="auto"/>
              <w:tblInd w:w="300" w:type="dxa"/>
              <w:tblLayout w:type="fixed"/>
              <w:tblCellMar>
                <w:left w:w="0" w:type="dxa"/>
                <w:right w:w="0" w:type="dxa"/>
              </w:tblCellMar>
              <w:tblLook w:val="0000" w:firstRow="0" w:lastRow="0" w:firstColumn="0" w:lastColumn="0" w:noHBand="0" w:noVBand="0"/>
            </w:tblPr>
            <w:tblGrid>
              <w:gridCol w:w="1873"/>
              <w:gridCol w:w="1667"/>
              <w:gridCol w:w="1792"/>
              <w:gridCol w:w="1790"/>
            </w:tblGrid>
            <w:tr w:rsidR="0031766D" w:rsidRPr="007C2E3B" w14:paraId="1683A8B8" w14:textId="77777777" w:rsidTr="007858BE">
              <w:trPr>
                <w:trHeight w:hRule="exact" w:val="713"/>
              </w:trPr>
              <w:tc>
                <w:tcPr>
                  <w:tcW w:w="1873" w:type="dxa"/>
                  <w:tcBorders>
                    <w:top w:val="single" w:sz="4" w:space="0" w:color="231F20"/>
                    <w:left w:val="single" w:sz="4" w:space="0" w:color="231F20"/>
                    <w:bottom w:val="single" w:sz="4" w:space="0" w:color="231F20"/>
                    <w:right w:val="single" w:sz="4" w:space="0" w:color="231F20"/>
                  </w:tcBorders>
                </w:tcPr>
                <w:p w14:paraId="4586836C" w14:textId="77777777" w:rsidR="0031766D" w:rsidRPr="007C2E3B" w:rsidRDefault="0031766D" w:rsidP="00170424">
                  <w:pPr>
                    <w:pStyle w:val="TableParagraph"/>
                    <w:framePr w:hSpace="180" w:wrap="around" w:vAnchor="text" w:hAnchor="text" w:y="1"/>
                    <w:kinsoku w:val="0"/>
                    <w:overflowPunct w:val="0"/>
                    <w:suppressOverlap/>
                    <w:jc w:val="center"/>
                    <w:rPr>
                      <w:rFonts w:ascii="Times New Roman" w:hAnsi="Times New Roman" w:cs="Times New Roman"/>
                      <w:sz w:val="14"/>
                      <w:szCs w:val="14"/>
                    </w:rPr>
                  </w:pPr>
                </w:p>
              </w:tc>
              <w:tc>
                <w:tcPr>
                  <w:tcW w:w="1667" w:type="dxa"/>
                  <w:tcBorders>
                    <w:top w:val="single" w:sz="4" w:space="0" w:color="231F20"/>
                    <w:left w:val="single" w:sz="4" w:space="0" w:color="231F20"/>
                    <w:bottom w:val="single" w:sz="4" w:space="0" w:color="231F20"/>
                    <w:right w:val="single" w:sz="4" w:space="0" w:color="231F20"/>
                  </w:tcBorders>
                </w:tcPr>
                <w:p w14:paraId="546C900A" w14:textId="77777777" w:rsidR="0031766D" w:rsidRPr="007C2E3B" w:rsidRDefault="0031766D" w:rsidP="00170424">
                  <w:pPr>
                    <w:pStyle w:val="TableParagraph"/>
                    <w:framePr w:hSpace="180" w:wrap="around" w:vAnchor="text" w:hAnchor="text" w:y="1"/>
                    <w:kinsoku w:val="0"/>
                    <w:overflowPunct w:val="0"/>
                    <w:spacing w:before="6" w:line="199" w:lineRule="exact"/>
                    <w:ind w:right="194"/>
                    <w:suppressOverlap/>
                    <w:jc w:val="center"/>
                    <w:rPr>
                      <w:b/>
                      <w:bCs/>
                      <w:color w:val="050606"/>
                      <w:sz w:val="14"/>
                      <w:szCs w:val="14"/>
                    </w:rPr>
                  </w:pPr>
                  <w:r w:rsidRPr="007C2E3B">
                    <w:rPr>
                      <w:b/>
                      <w:bCs/>
                      <w:color w:val="050606"/>
                      <w:sz w:val="14"/>
                      <w:szCs w:val="14"/>
                    </w:rPr>
                    <w:t>31 December 2019 (audited)</w:t>
                  </w:r>
                </w:p>
                <w:p w14:paraId="63DEA640" w14:textId="77777777" w:rsidR="0031766D" w:rsidRPr="007C2E3B" w:rsidRDefault="0031766D" w:rsidP="00170424">
                  <w:pPr>
                    <w:pStyle w:val="TableParagraph"/>
                    <w:framePr w:hSpace="180" w:wrap="around" w:vAnchor="text" w:hAnchor="text" w:y="1"/>
                    <w:kinsoku w:val="0"/>
                    <w:overflowPunct w:val="0"/>
                    <w:spacing w:before="6" w:line="199" w:lineRule="exact"/>
                    <w:ind w:right="194"/>
                    <w:suppressOverlap/>
                    <w:jc w:val="center"/>
                    <w:rPr>
                      <w:b/>
                      <w:bCs/>
                      <w:color w:val="050606"/>
                      <w:w w:val="99"/>
                      <w:sz w:val="14"/>
                      <w:szCs w:val="14"/>
                    </w:rPr>
                  </w:pPr>
                  <w:r w:rsidRPr="007C2E3B">
                    <w:rPr>
                      <w:b/>
                      <w:bCs/>
                      <w:color w:val="050606"/>
                      <w:w w:val="99"/>
                      <w:sz w:val="14"/>
                      <w:szCs w:val="14"/>
                    </w:rPr>
                    <w:t>£</w:t>
                  </w:r>
                </w:p>
              </w:tc>
              <w:tc>
                <w:tcPr>
                  <w:tcW w:w="1792" w:type="dxa"/>
                  <w:tcBorders>
                    <w:top w:val="single" w:sz="4" w:space="0" w:color="231F20"/>
                    <w:left w:val="single" w:sz="4" w:space="0" w:color="231F20"/>
                    <w:bottom w:val="single" w:sz="4" w:space="0" w:color="231F20"/>
                    <w:right w:val="single" w:sz="4" w:space="0" w:color="231F20"/>
                  </w:tcBorders>
                </w:tcPr>
                <w:p w14:paraId="6F9CBE30"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30 June 2020 (unaudited)</w:t>
                  </w:r>
                </w:p>
                <w:p w14:paraId="6B392894"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w w:val="99"/>
                      <w:sz w:val="14"/>
                      <w:szCs w:val="14"/>
                    </w:rPr>
                  </w:pPr>
                  <w:r w:rsidRPr="007C2E3B">
                    <w:rPr>
                      <w:b/>
                      <w:bCs/>
                      <w:color w:val="050606"/>
                      <w:w w:val="99"/>
                      <w:sz w:val="14"/>
                      <w:szCs w:val="14"/>
                    </w:rPr>
                    <w:t>£</w:t>
                  </w:r>
                </w:p>
              </w:tc>
              <w:tc>
                <w:tcPr>
                  <w:tcW w:w="1790" w:type="dxa"/>
                  <w:tcBorders>
                    <w:top w:val="single" w:sz="4" w:space="0" w:color="231F20"/>
                    <w:left w:val="single" w:sz="4" w:space="0" w:color="231F20"/>
                    <w:bottom w:val="single" w:sz="4" w:space="0" w:color="231F20"/>
                    <w:right w:val="single" w:sz="4" w:space="0" w:color="231F20"/>
                  </w:tcBorders>
                </w:tcPr>
                <w:p w14:paraId="0AD69A66" w14:textId="77777777" w:rsidR="0031766D" w:rsidRPr="007C2E3B"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31 December 2020 (audited)</w:t>
                  </w:r>
                </w:p>
                <w:p w14:paraId="73942CB2" w14:textId="23165C8E" w:rsidR="0031766D" w:rsidRPr="007858BE" w:rsidRDefault="0031766D" w:rsidP="00170424">
                  <w:pPr>
                    <w:pStyle w:val="TableParagraph"/>
                    <w:framePr w:hSpace="180" w:wrap="around" w:vAnchor="text" w:hAnchor="text" w:y="1"/>
                    <w:kinsoku w:val="0"/>
                    <w:overflowPunct w:val="0"/>
                    <w:spacing w:before="1"/>
                    <w:ind w:right="190"/>
                    <w:suppressOverlap/>
                    <w:jc w:val="center"/>
                    <w:rPr>
                      <w:b/>
                      <w:bCs/>
                      <w:color w:val="050606"/>
                      <w:sz w:val="14"/>
                      <w:szCs w:val="14"/>
                    </w:rPr>
                  </w:pPr>
                  <w:r w:rsidRPr="007C2E3B">
                    <w:rPr>
                      <w:b/>
                      <w:bCs/>
                      <w:color w:val="050606"/>
                      <w:sz w:val="14"/>
                      <w:szCs w:val="14"/>
                    </w:rPr>
                    <w:t>£</w:t>
                  </w:r>
                </w:p>
              </w:tc>
            </w:tr>
            <w:tr w:rsidR="0031766D" w:rsidRPr="007C2E3B" w14:paraId="7FFAA415" w14:textId="77777777" w:rsidTr="00A976DD">
              <w:trPr>
                <w:trHeight w:val="426"/>
              </w:trPr>
              <w:tc>
                <w:tcPr>
                  <w:tcW w:w="1873" w:type="dxa"/>
                  <w:tcBorders>
                    <w:top w:val="single" w:sz="4" w:space="0" w:color="231F20"/>
                    <w:left w:val="single" w:sz="4" w:space="0" w:color="231F20"/>
                    <w:bottom w:val="single" w:sz="4" w:space="0" w:color="231F20"/>
                    <w:right w:val="single" w:sz="4" w:space="0" w:color="231F20"/>
                  </w:tcBorders>
                </w:tcPr>
                <w:p w14:paraId="53EC5EA7" w14:textId="77777777" w:rsidR="0031766D" w:rsidRPr="007C2E3B" w:rsidRDefault="0031766D" w:rsidP="00170424">
                  <w:pPr>
                    <w:pStyle w:val="TableParagraph"/>
                    <w:framePr w:hSpace="180" w:wrap="around" w:vAnchor="text" w:hAnchor="text" w:y="1"/>
                    <w:kinsoku w:val="0"/>
                    <w:overflowPunct w:val="0"/>
                    <w:spacing w:before="6" w:line="194" w:lineRule="exact"/>
                    <w:ind w:left="108"/>
                    <w:suppressOverlap/>
                    <w:jc w:val="center"/>
                    <w:rPr>
                      <w:color w:val="050606"/>
                      <w:sz w:val="14"/>
                      <w:szCs w:val="14"/>
                    </w:rPr>
                  </w:pPr>
                  <w:r w:rsidRPr="007C2E3B">
                    <w:rPr>
                      <w:color w:val="050606"/>
                      <w:sz w:val="14"/>
                      <w:szCs w:val="14"/>
                    </w:rPr>
                    <w:t>Total assets</w:t>
                  </w:r>
                </w:p>
              </w:tc>
              <w:tc>
                <w:tcPr>
                  <w:tcW w:w="1667" w:type="dxa"/>
                  <w:tcBorders>
                    <w:top w:val="single" w:sz="4" w:space="0" w:color="231F20"/>
                    <w:left w:val="single" w:sz="4" w:space="0" w:color="231F20"/>
                    <w:bottom w:val="single" w:sz="4" w:space="0" w:color="231F20"/>
                    <w:right w:val="single" w:sz="4" w:space="0" w:color="231F20"/>
                  </w:tcBorders>
                </w:tcPr>
                <w:p w14:paraId="2DF81545" w14:textId="77777777" w:rsidR="0031766D" w:rsidRPr="007C2E3B" w:rsidRDefault="0031766D" w:rsidP="00170424">
                  <w:pPr>
                    <w:pStyle w:val="TableParagraph"/>
                    <w:framePr w:hSpace="180" w:wrap="around" w:vAnchor="text" w:hAnchor="text" w:y="1"/>
                    <w:kinsoku w:val="0"/>
                    <w:overflowPunct w:val="0"/>
                    <w:spacing w:line="206" w:lineRule="exact"/>
                    <w:ind w:right="191"/>
                    <w:suppressOverlap/>
                    <w:jc w:val="center"/>
                    <w:rPr>
                      <w:color w:val="050606"/>
                      <w:sz w:val="14"/>
                      <w:szCs w:val="14"/>
                    </w:rPr>
                  </w:pPr>
                  <w:r w:rsidRPr="007C2E3B">
                    <w:rPr>
                      <w:color w:val="050606"/>
                      <w:sz w:val="14"/>
                      <w:szCs w:val="14"/>
                    </w:rPr>
                    <w:t>(576,179)</w:t>
                  </w:r>
                </w:p>
              </w:tc>
              <w:tc>
                <w:tcPr>
                  <w:tcW w:w="1792" w:type="dxa"/>
                  <w:tcBorders>
                    <w:top w:val="single" w:sz="4" w:space="0" w:color="231F20"/>
                    <w:left w:val="single" w:sz="4" w:space="0" w:color="231F20"/>
                    <w:bottom w:val="single" w:sz="4" w:space="0" w:color="231F20"/>
                    <w:right w:val="single" w:sz="4" w:space="0" w:color="231F20"/>
                  </w:tcBorders>
                </w:tcPr>
                <w:p w14:paraId="2154C16C"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sz w:val="14"/>
                      <w:szCs w:val="14"/>
                    </w:rPr>
                  </w:pPr>
                  <w:r w:rsidRPr="007C2E3B">
                    <w:rPr>
                      <w:color w:val="050606"/>
                      <w:sz w:val="14"/>
                      <w:szCs w:val="14"/>
                    </w:rPr>
                    <w:t>(265,290)</w:t>
                  </w:r>
                </w:p>
              </w:tc>
              <w:tc>
                <w:tcPr>
                  <w:tcW w:w="1790" w:type="dxa"/>
                  <w:tcBorders>
                    <w:top w:val="single" w:sz="4" w:space="0" w:color="231F20"/>
                    <w:left w:val="single" w:sz="4" w:space="0" w:color="231F20"/>
                    <w:bottom w:val="single" w:sz="4" w:space="0" w:color="231F20"/>
                    <w:right w:val="single" w:sz="4" w:space="0" w:color="231F20"/>
                  </w:tcBorders>
                </w:tcPr>
                <w:p w14:paraId="4B8D1F68" w14:textId="77777777" w:rsidR="0031766D" w:rsidRPr="007C2E3B" w:rsidRDefault="0031766D" w:rsidP="00170424">
                  <w:pPr>
                    <w:pStyle w:val="TableParagraph"/>
                    <w:framePr w:hSpace="180" w:wrap="around" w:vAnchor="text" w:hAnchor="text" w:y="1"/>
                    <w:kinsoku w:val="0"/>
                    <w:overflowPunct w:val="0"/>
                    <w:spacing w:line="206" w:lineRule="exact"/>
                    <w:ind w:right="187"/>
                    <w:suppressOverlap/>
                    <w:jc w:val="center"/>
                    <w:rPr>
                      <w:color w:val="050606"/>
                      <w:sz w:val="14"/>
                      <w:szCs w:val="14"/>
                    </w:rPr>
                  </w:pPr>
                  <w:r w:rsidRPr="007C2E3B">
                    <w:rPr>
                      <w:color w:val="050606"/>
                      <w:sz w:val="14"/>
                      <w:szCs w:val="14"/>
                    </w:rPr>
                    <w:t>(595,374)</w:t>
                  </w:r>
                </w:p>
              </w:tc>
            </w:tr>
            <w:tr w:rsidR="0031766D" w:rsidRPr="007C2E3B" w14:paraId="5D33625A" w14:textId="77777777" w:rsidTr="00A976DD">
              <w:trPr>
                <w:trHeight w:val="426"/>
              </w:trPr>
              <w:tc>
                <w:tcPr>
                  <w:tcW w:w="1873" w:type="dxa"/>
                  <w:tcBorders>
                    <w:top w:val="single" w:sz="4" w:space="0" w:color="231F20"/>
                    <w:left w:val="single" w:sz="4" w:space="0" w:color="231F20"/>
                    <w:bottom w:val="single" w:sz="4" w:space="0" w:color="231F20"/>
                    <w:right w:val="single" w:sz="4" w:space="0" w:color="231F20"/>
                  </w:tcBorders>
                </w:tcPr>
                <w:p w14:paraId="4D75A886" w14:textId="77777777" w:rsidR="0031766D" w:rsidRPr="007C2E3B" w:rsidRDefault="0031766D" w:rsidP="00170424">
                  <w:pPr>
                    <w:pStyle w:val="TableParagraph"/>
                    <w:framePr w:hSpace="180" w:wrap="around" w:vAnchor="text" w:hAnchor="text" w:y="1"/>
                    <w:kinsoku w:val="0"/>
                    <w:overflowPunct w:val="0"/>
                    <w:spacing w:before="6" w:line="194" w:lineRule="exact"/>
                    <w:ind w:left="108"/>
                    <w:suppressOverlap/>
                    <w:jc w:val="center"/>
                    <w:rPr>
                      <w:color w:val="050606"/>
                      <w:sz w:val="14"/>
                      <w:szCs w:val="14"/>
                    </w:rPr>
                  </w:pPr>
                  <w:r w:rsidRPr="007C2E3B">
                    <w:rPr>
                      <w:color w:val="050606"/>
                      <w:sz w:val="14"/>
                      <w:szCs w:val="14"/>
                    </w:rPr>
                    <w:t>Total equity</w:t>
                  </w:r>
                </w:p>
              </w:tc>
              <w:tc>
                <w:tcPr>
                  <w:tcW w:w="1667" w:type="dxa"/>
                  <w:tcBorders>
                    <w:top w:val="single" w:sz="4" w:space="0" w:color="231F20"/>
                    <w:left w:val="single" w:sz="4" w:space="0" w:color="231F20"/>
                    <w:bottom w:val="single" w:sz="4" w:space="0" w:color="231F20"/>
                    <w:right w:val="single" w:sz="4" w:space="0" w:color="231F20"/>
                  </w:tcBorders>
                </w:tcPr>
                <w:p w14:paraId="35CEEFED" w14:textId="77777777" w:rsidR="0031766D" w:rsidRPr="007C2E3B" w:rsidRDefault="0031766D" w:rsidP="00170424">
                  <w:pPr>
                    <w:pStyle w:val="TableParagraph"/>
                    <w:framePr w:hSpace="180" w:wrap="around" w:vAnchor="text" w:hAnchor="text" w:y="1"/>
                    <w:kinsoku w:val="0"/>
                    <w:overflowPunct w:val="0"/>
                    <w:spacing w:line="206" w:lineRule="exact"/>
                    <w:ind w:right="191"/>
                    <w:suppressOverlap/>
                    <w:jc w:val="center"/>
                    <w:rPr>
                      <w:color w:val="050606"/>
                      <w:sz w:val="14"/>
                      <w:szCs w:val="14"/>
                    </w:rPr>
                  </w:pPr>
                  <w:r w:rsidRPr="007C2E3B">
                    <w:rPr>
                      <w:color w:val="050606"/>
                      <w:sz w:val="14"/>
                      <w:szCs w:val="14"/>
                    </w:rPr>
                    <w:t>(560,951)</w:t>
                  </w:r>
                </w:p>
              </w:tc>
              <w:tc>
                <w:tcPr>
                  <w:tcW w:w="1792" w:type="dxa"/>
                  <w:tcBorders>
                    <w:top w:val="single" w:sz="4" w:space="0" w:color="231F20"/>
                    <w:left w:val="single" w:sz="4" w:space="0" w:color="231F20"/>
                    <w:bottom w:val="single" w:sz="4" w:space="0" w:color="231F20"/>
                    <w:right w:val="single" w:sz="4" w:space="0" w:color="231F20"/>
                  </w:tcBorders>
                </w:tcPr>
                <w:p w14:paraId="5ED7295E"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sz w:val="14"/>
                      <w:szCs w:val="14"/>
                    </w:rPr>
                  </w:pPr>
                  <w:r w:rsidRPr="007C2E3B">
                    <w:rPr>
                      <w:color w:val="050606"/>
                      <w:sz w:val="14"/>
                      <w:szCs w:val="14"/>
                    </w:rPr>
                    <w:t>(166,828)</w:t>
                  </w:r>
                </w:p>
              </w:tc>
              <w:tc>
                <w:tcPr>
                  <w:tcW w:w="1790" w:type="dxa"/>
                  <w:tcBorders>
                    <w:top w:val="single" w:sz="4" w:space="0" w:color="231F20"/>
                    <w:left w:val="single" w:sz="4" w:space="0" w:color="231F20"/>
                    <w:bottom w:val="single" w:sz="4" w:space="0" w:color="231F20"/>
                    <w:right w:val="single" w:sz="4" w:space="0" w:color="231F20"/>
                  </w:tcBorders>
                </w:tcPr>
                <w:p w14:paraId="7F5AE5EB" w14:textId="77777777" w:rsidR="0031766D" w:rsidRPr="007C2E3B" w:rsidRDefault="0031766D" w:rsidP="00170424">
                  <w:pPr>
                    <w:pStyle w:val="TableParagraph"/>
                    <w:framePr w:hSpace="180" w:wrap="around" w:vAnchor="text" w:hAnchor="text" w:y="1"/>
                    <w:kinsoku w:val="0"/>
                    <w:overflowPunct w:val="0"/>
                    <w:spacing w:line="206" w:lineRule="exact"/>
                    <w:ind w:right="187"/>
                    <w:suppressOverlap/>
                    <w:jc w:val="center"/>
                    <w:rPr>
                      <w:color w:val="050606"/>
                      <w:sz w:val="14"/>
                      <w:szCs w:val="14"/>
                    </w:rPr>
                  </w:pPr>
                  <w:r w:rsidRPr="007C2E3B">
                    <w:rPr>
                      <w:color w:val="050606"/>
                      <w:sz w:val="14"/>
                      <w:szCs w:val="14"/>
                    </w:rPr>
                    <w:t>(702,478)</w:t>
                  </w:r>
                </w:p>
              </w:tc>
            </w:tr>
            <w:tr w:rsidR="0031766D" w:rsidRPr="007C2E3B" w14:paraId="548207DC" w14:textId="77777777" w:rsidTr="00A976DD">
              <w:trPr>
                <w:trHeight w:val="640"/>
              </w:trPr>
              <w:tc>
                <w:tcPr>
                  <w:tcW w:w="1873" w:type="dxa"/>
                  <w:tcBorders>
                    <w:top w:val="single" w:sz="4" w:space="0" w:color="231F20"/>
                    <w:left w:val="single" w:sz="4" w:space="0" w:color="231F20"/>
                    <w:bottom w:val="single" w:sz="8" w:space="0" w:color="231F20"/>
                    <w:right w:val="single" w:sz="4" w:space="0" w:color="231F20"/>
                  </w:tcBorders>
                </w:tcPr>
                <w:p w14:paraId="17510BD0" w14:textId="77777777" w:rsidR="0031766D" w:rsidRPr="007C2E3B" w:rsidRDefault="0031766D" w:rsidP="00170424">
                  <w:pPr>
                    <w:pStyle w:val="TableParagraph"/>
                    <w:framePr w:hSpace="180" w:wrap="around" w:vAnchor="text" w:hAnchor="text" w:y="1"/>
                    <w:tabs>
                      <w:tab w:val="left" w:pos="946"/>
                    </w:tabs>
                    <w:kinsoku w:val="0"/>
                    <w:overflowPunct w:val="0"/>
                    <w:spacing w:before="6" w:line="210" w:lineRule="atLeast"/>
                    <w:ind w:left="108" w:right="195"/>
                    <w:suppressOverlap/>
                    <w:jc w:val="center"/>
                    <w:rPr>
                      <w:color w:val="050606"/>
                      <w:sz w:val="14"/>
                      <w:szCs w:val="14"/>
                    </w:rPr>
                  </w:pPr>
                  <w:r w:rsidRPr="007C2E3B">
                    <w:rPr>
                      <w:color w:val="050606"/>
                      <w:sz w:val="14"/>
                      <w:szCs w:val="14"/>
                    </w:rPr>
                    <w:t>Net financial debt (long term debt plus short-term debt minus cash)</w:t>
                  </w:r>
                </w:p>
              </w:tc>
              <w:tc>
                <w:tcPr>
                  <w:tcW w:w="1667" w:type="dxa"/>
                  <w:tcBorders>
                    <w:top w:val="single" w:sz="4" w:space="0" w:color="231F20"/>
                    <w:left w:val="single" w:sz="4" w:space="0" w:color="231F20"/>
                    <w:bottom w:val="single" w:sz="8" w:space="0" w:color="231F20"/>
                    <w:right w:val="single" w:sz="4" w:space="0" w:color="231F20"/>
                  </w:tcBorders>
                </w:tcPr>
                <w:p w14:paraId="1B3EDA5F"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nil</w:t>
                  </w:r>
                </w:p>
              </w:tc>
              <w:tc>
                <w:tcPr>
                  <w:tcW w:w="1792" w:type="dxa"/>
                  <w:tcBorders>
                    <w:top w:val="single" w:sz="4" w:space="0" w:color="231F20"/>
                    <w:left w:val="single" w:sz="4" w:space="0" w:color="231F20"/>
                    <w:bottom w:val="single" w:sz="8" w:space="0" w:color="231F20"/>
                    <w:right w:val="single" w:sz="4" w:space="0" w:color="231F20"/>
                  </w:tcBorders>
                </w:tcPr>
                <w:p w14:paraId="554C1DA4" w14:textId="77777777" w:rsidR="0031766D" w:rsidRPr="007C2E3B" w:rsidRDefault="0031766D" w:rsidP="00170424">
                  <w:pPr>
                    <w:pStyle w:val="TableParagraph"/>
                    <w:framePr w:hSpace="180" w:wrap="around" w:vAnchor="text" w:hAnchor="text" w:y="1"/>
                    <w:kinsoku w:val="0"/>
                    <w:overflowPunct w:val="0"/>
                    <w:spacing w:line="206" w:lineRule="exact"/>
                    <w:ind w:right="193"/>
                    <w:suppressOverlap/>
                    <w:jc w:val="center"/>
                    <w:rPr>
                      <w:color w:val="050606"/>
                      <w:w w:val="99"/>
                      <w:sz w:val="14"/>
                      <w:szCs w:val="14"/>
                    </w:rPr>
                  </w:pPr>
                  <w:r w:rsidRPr="007C2E3B">
                    <w:rPr>
                      <w:color w:val="050606"/>
                      <w:sz w:val="14"/>
                      <w:szCs w:val="14"/>
                    </w:rPr>
                    <w:t>nil</w:t>
                  </w:r>
                </w:p>
              </w:tc>
              <w:tc>
                <w:tcPr>
                  <w:tcW w:w="1790" w:type="dxa"/>
                  <w:tcBorders>
                    <w:top w:val="single" w:sz="4" w:space="0" w:color="231F20"/>
                    <w:left w:val="single" w:sz="4" w:space="0" w:color="231F20"/>
                    <w:bottom w:val="single" w:sz="8" w:space="0" w:color="231F20"/>
                    <w:right w:val="single" w:sz="4" w:space="0" w:color="231F20"/>
                  </w:tcBorders>
                </w:tcPr>
                <w:p w14:paraId="641A0015" w14:textId="77777777" w:rsidR="0031766D" w:rsidRPr="007C2E3B" w:rsidRDefault="0031766D" w:rsidP="00170424">
                  <w:pPr>
                    <w:pStyle w:val="TableParagraph"/>
                    <w:framePr w:hSpace="180" w:wrap="around" w:vAnchor="text" w:hAnchor="text" w:y="1"/>
                    <w:kinsoku w:val="0"/>
                    <w:overflowPunct w:val="0"/>
                    <w:spacing w:line="206" w:lineRule="exact"/>
                    <w:ind w:right="190"/>
                    <w:suppressOverlap/>
                    <w:jc w:val="center"/>
                    <w:rPr>
                      <w:color w:val="050606"/>
                      <w:w w:val="99"/>
                      <w:sz w:val="14"/>
                      <w:szCs w:val="14"/>
                    </w:rPr>
                  </w:pPr>
                  <w:r w:rsidRPr="007C2E3B">
                    <w:rPr>
                      <w:color w:val="050606"/>
                      <w:sz w:val="14"/>
                      <w:szCs w:val="14"/>
                    </w:rPr>
                    <w:t>nil</w:t>
                  </w:r>
                </w:p>
              </w:tc>
            </w:tr>
          </w:tbl>
          <w:p w14:paraId="1B7461C9" w14:textId="77777777" w:rsidR="0031766D" w:rsidRPr="007C2E3B" w:rsidRDefault="0031766D" w:rsidP="0047572B">
            <w:pPr>
              <w:rPr>
                <w:sz w:val="14"/>
                <w:szCs w:val="14"/>
              </w:rPr>
            </w:pPr>
          </w:p>
        </w:tc>
      </w:tr>
      <w:tr w:rsidR="0031766D" w14:paraId="314BD1A3" w14:textId="77777777" w:rsidTr="0047572B">
        <w:trPr>
          <w:trHeight w:val="696"/>
        </w:trPr>
        <w:tc>
          <w:tcPr>
            <w:tcW w:w="1395" w:type="dxa"/>
            <w:vMerge/>
            <w:tcBorders>
              <w:top w:val="nil"/>
              <w:left w:val="single" w:sz="4" w:space="0" w:color="231F20"/>
              <w:bottom w:val="single" w:sz="4" w:space="0" w:color="auto"/>
              <w:right w:val="single" w:sz="4" w:space="0" w:color="231F20"/>
            </w:tcBorders>
          </w:tcPr>
          <w:p w14:paraId="2D980FA8" w14:textId="77777777" w:rsidR="0031766D" w:rsidRDefault="0031766D" w:rsidP="0047572B">
            <w:pPr>
              <w:rPr>
                <w:b/>
                <w:bCs/>
                <w:sz w:val="2"/>
                <w:szCs w:val="2"/>
              </w:rPr>
            </w:pPr>
          </w:p>
        </w:tc>
        <w:tc>
          <w:tcPr>
            <w:tcW w:w="7956" w:type="dxa"/>
            <w:tcBorders>
              <w:top w:val="none" w:sz="6" w:space="0" w:color="auto"/>
              <w:left w:val="single" w:sz="4" w:space="0" w:color="231F20"/>
              <w:bottom w:val="single" w:sz="4" w:space="0" w:color="auto"/>
              <w:right w:val="single" w:sz="4" w:space="0" w:color="231F20"/>
            </w:tcBorders>
          </w:tcPr>
          <w:p w14:paraId="3D9D60FF" w14:textId="77777777" w:rsidR="0031766D" w:rsidRPr="007C2E3B" w:rsidRDefault="0031766D" w:rsidP="0047572B">
            <w:pPr>
              <w:pStyle w:val="TableParagraph"/>
              <w:kinsoku w:val="0"/>
              <w:overflowPunct w:val="0"/>
              <w:spacing w:before="94"/>
              <w:rPr>
                <w:b/>
                <w:bCs/>
                <w:i/>
                <w:iCs/>
                <w:color w:val="231F20"/>
                <w:sz w:val="14"/>
                <w:szCs w:val="14"/>
              </w:rPr>
            </w:pPr>
          </w:p>
          <w:p w14:paraId="599EDC9E" w14:textId="77777777" w:rsidR="0031766D" w:rsidRPr="007C2E3B" w:rsidRDefault="0031766D" w:rsidP="0047572B">
            <w:pPr>
              <w:tabs>
                <w:tab w:val="left" w:pos="1995"/>
              </w:tabs>
              <w:rPr>
                <w:color w:val="050606"/>
                <w:sz w:val="14"/>
                <w:szCs w:val="14"/>
              </w:rPr>
            </w:pPr>
            <w:r w:rsidRPr="007C2E3B">
              <w:rPr>
                <w:color w:val="050606"/>
                <w:sz w:val="14"/>
                <w:szCs w:val="14"/>
              </w:rPr>
              <w:t>*The Group was formed on 3 July 2018 and therefore the financial information for 31 December 2017 is that of the Company.</w:t>
            </w:r>
          </w:p>
          <w:p w14:paraId="3E828C44" w14:textId="77777777" w:rsidR="0031766D" w:rsidRPr="007C2E3B" w:rsidRDefault="0031766D" w:rsidP="0047572B">
            <w:pPr>
              <w:tabs>
                <w:tab w:val="left" w:pos="1995"/>
              </w:tabs>
              <w:rPr>
                <w:sz w:val="14"/>
                <w:szCs w:val="14"/>
              </w:rPr>
            </w:pPr>
          </w:p>
        </w:tc>
      </w:tr>
      <w:tr w:rsidR="0031766D" w14:paraId="7F86A3FC" w14:textId="77777777" w:rsidTr="0047572B">
        <w:trPr>
          <w:trHeight w:val="2825"/>
        </w:trPr>
        <w:tc>
          <w:tcPr>
            <w:tcW w:w="1395" w:type="dxa"/>
            <w:vMerge/>
            <w:tcBorders>
              <w:top w:val="single" w:sz="4" w:space="0" w:color="auto"/>
              <w:left w:val="single" w:sz="4" w:space="0" w:color="231F20"/>
              <w:bottom w:val="single" w:sz="4" w:space="0" w:color="231F20"/>
              <w:right w:val="single" w:sz="4" w:space="0" w:color="231F20"/>
            </w:tcBorders>
          </w:tcPr>
          <w:p w14:paraId="44B63840" w14:textId="77777777" w:rsidR="0031766D" w:rsidRDefault="0031766D" w:rsidP="0047572B">
            <w:pPr>
              <w:rPr>
                <w:b/>
                <w:bCs/>
                <w:sz w:val="2"/>
                <w:szCs w:val="2"/>
              </w:rPr>
            </w:pPr>
          </w:p>
        </w:tc>
        <w:tc>
          <w:tcPr>
            <w:tcW w:w="7956" w:type="dxa"/>
            <w:tcBorders>
              <w:top w:val="single" w:sz="4" w:space="0" w:color="auto"/>
              <w:left w:val="single" w:sz="4" w:space="0" w:color="231F20"/>
              <w:bottom w:val="none" w:sz="6" w:space="0" w:color="auto"/>
              <w:right w:val="single" w:sz="4" w:space="0" w:color="231F20"/>
            </w:tcBorders>
          </w:tcPr>
          <w:p w14:paraId="1D98C785" w14:textId="77777777" w:rsidR="0031766D" w:rsidRPr="007C2E3B" w:rsidRDefault="0031766D" w:rsidP="0047572B">
            <w:pPr>
              <w:pStyle w:val="TableParagraph"/>
              <w:keepNext/>
              <w:keepLines/>
              <w:kinsoku w:val="0"/>
              <w:overflowPunct w:val="0"/>
              <w:spacing w:before="1"/>
              <w:ind w:left="108"/>
              <w:rPr>
                <w:b/>
                <w:bCs/>
                <w:i/>
                <w:iCs/>
                <w:color w:val="231F20"/>
                <w:sz w:val="14"/>
                <w:szCs w:val="14"/>
              </w:rPr>
            </w:pPr>
            <w:r w:rsidRPr="007C2E3B">
              <w:rPr>
                <w:b/>
                <w:bCs/>
                <w:i/>
                <w:iCs/>
                <w:color w:val="231F20"/>
                <w:sz w:val="14"/>
                <w:szCs w:val="14"/>
              </w:rPr>
              <w:t>Table 3: Cash flow statement for the Group</w:t>
            </w:r>
          </w:p>
          <w:p w14:paraId="092AEBBF" w14:textId="77777777" w:rsidR="0031766D" w:rsidRPr="007C2E3B" w:rsidRDefault="0031766D" w:rsidP="0047572B">
            <w:pPr>
              <w:pStyle w:val="TableParagraph"/>
              <w:keepNext/>
              <w:keepLines/>
              <w:kinsoku w:val="0"/>
              <w:overflowPunct w:val="0"/>
              <w:spacing w:before="1"/>
              <w:ind w:left="108"/>
              <w:rPr>
                <w:color w:val="050606"/>
                <w:sz w:val="14"/>
                <w:szCs w:val="14"/>
              </w:rPr>
            </w:pPr>
          </w:p>
          <w:tbl>
            <w:tblPr>
              <w:tblW w:w="0" w:type="auto"/>
              <w:tblInd w:w="300" w:type="dxa"/>
              <w:tblLayout w:type="fixed"/>
              <w:tblCellMar>
                <w:left w:w="0" w:type="dxa"/>
                <w:right w:w="0" w:type="dxa"/>
              </w:tblCellMar>
              <w:tblLook w:val="0000" w:firstRow="0" w:lastRow="0" w:firstColumn="0" w:lastColumn="0" w:noHBand="0" w:noVBand="0"/>
            </w:tblPr>
            <w:tblGrid>
              <w:gridCol w:w="1873"/>
              <w:gridCol w:w="1667"/>
              <w:gridCol w:w="1792"/>
              <w:gridCol w:w="1790"/>
            </w:tblGrid>
            <w:tr w:rsidR="0031766D" w:rsidRPr="007C2E3B" w14:paraId="0381E6B2" w14:textId="77777777" w:rsidTr="0047572B">
              <w:tc>
                <w:tcPr>
                  <w:tcW w:w="1873" w:type="dxa"/>
                  <w:tcBorders>
                    <w:top w:val="single" w:sz="4" w:space="0" w:color="231F20"/>
                    <w:left w:val="single" w:sz="4" w:space="0" w:color="231F20"/>
                    <w:bottom w:val="single" w:sz="4" w:space="0" w:color="231F20"/>
                    <w:right w:val="single" w:sz="4" w:space="0" w:color="231F20"/>
                  </w:tcBorders>
                </w:tcPr>
                <w:p w14:paraId="4EA2BB3A" w14:textId="77777777" w:rsidR="0031766D" w:rsidRPr="007C2E3B" w:rsidRDefault="0031766D" w:rsidP="00170424">
                  <w:pPr>
                    <w:pStyle w:val="TableParagraph"/>
                    <w:keepNext/>
                    <w:keepLines/>
                    <w:framePr w:hSpace="180" w:wrap="around" w:vAnchor="text" w:hAnchor="text" w:y="1"/>
                    <w:kinsoku w:val="0"/>
                    <w:overflowPunct w:val="0"/>
                    <w:suppressOverlap/>
                    <w:jc w:val="center"/>
                    <w:rPr>
                      <w:rFonts w:ascii="Times New Roman" w:hAnsi="Times New Roman" w:cs="Times New Roman"/>
                      <w:sz w:val="14"/>
                      <w:szCs w:val="14"/>
                    </w:rPr>
                  </w:pPr>
                </w:p>
              </w:tc>
              <w:tc>
                <w:tcPr>
                  <w:tcW w:w="1667" w:type="dxa"/>
                  <w:tcBorders>
                    <w:top w:val="single" w:sz="4" w:space="0" w:color="231F20"/>
                    <w:left w:val="single" w:sz="4" w:space="0" w:color="231F20"/>
                    <w:bottom w:val="single" w:sz="4" w:space="0" w:color="231F20"/>
                    <w:right w:val="single" w:sz="4" w:space="0" w:color="231F20"/>
                  </w:tcBorders>
                </w:tcPr>
                <w:p w14:paraId="0E2710BB" w14:textId="26540251" w:rsidR="0031766D" w:rsidRPr="007C2E3B" w:rsidRDefault="0031766D" w:rsidP="00170424">
                  <w:pPr>
                    <w:pStyle w:val="TableParagraph"/>
                    <w:keepNext/>
                    <w:keepLines/>
                    <w:framePr w:hSpace="180" w:wrap="around" w:vAnchor="text" w:hAnchor="text" w:y="1"/>
                    <w:kinsoku w:val="0"/>
                    <w:overflowPunct w:val="0"/>
                    <w:spacing w:line="247" w:lineRule="auto"/>
                    <w:ind w:left="101" w:right="5"/>
                    <w:suppressOverlap/>
                    <w:jc w:val="center"/>
                    <w:rPr>
                      <w:b/>
                      <w:bCs/>
                      <w:color w:val="050606"/>
                      <w:w w:val="95"/>
                      <w:sz w:val="14"/>
                      <w:szCs w:val="14"/>
                    </w:rPr>
                  </w:pPr>
                  <w:r w:rsidRPr="007C2E3B">
                    <w:rPr>
                      <w:b/>
                      <w:bCs/>
                      <w:color w:val="050606"/>
                      <w:sz w:val="14"/>
                      <w:szCs w:val="14"/>
                    </w:rPr>
                    <w:t>Year</w:t>
                  </w:r>
                  <w:r w:rsidRPr="007C2E3B">
                    <w:rPr>
                      <w:b/>
                      <w:bCs/>
                      <w:color w:val="050606"/>
                      <w:spacing w:val="4"/>
                      <w:sz w:val="14"/>
                      <w:szCs w:val="14"/>
                    </w:rPr>
                    <w:t xml:space="preserve"> </w:t>
                  </w:r>
                  <w:r w:rsidRPr="007C2E3B">
                    <w:rPr>
                      <w:b/>
                      <w:bCs/>
                      <w:color w:val="050606"/>
                      <w:spacing w:val="-4"/>
                      <w:sz w:val="14"/>
                      <w:szCs w:val="14"/>
                    </w:rPr>
                    <w:t>ended</w:t>
                  </w:r>
                  <w:r w:rsidR="0047572B">
                    <w:rPr>
                      <w:b/>
                      <w:bCs/>
                      <w:color w:val="050606"/>
                      <w:spacing w:val="-4"/>
                      <w:sz w:val="14"/>
                      <w:szCs w:val="14"/>
                    </w:rPr>
                    <w:br/>
                  </w:r>
                  <w:r w:rsidRPr="007C2E3B">
                    <w:rPr>
                      <w:b/>
                      <w:bCs/>
                      <w:color w:val="050606"/>
                      <w:sz w:val="14"/>
                      <w:szCs w:val="14"/>
                    </w:rPr>
                    <w:t>31</w:t>
                  </w:r>
                  <w:r w:rsidRPr="007C2E3B">
                    <w:rPr>
                      <w:b/>
                      <w:bCs/>
                      <w:color w:val="050606"/>
                      <w:spacing w:val="9"/>
                      <w:sz w:val="14"/>
                      <w:szCs w:val="14"/>
                    </w:rPr>
                    <w:t xml:space="preserve"> </w:t>
                  </w:r>
                  <w:r w:rsidRPr="007C2E3B">
                    <w:rPr>
                      <w:b/>
                      <w:bCs/>
                      <w:color w:val="050606"/>
                      <w:spacing w:val="-3"/>
                      <w:sz w:val="14"/>
                      <w:szCs w:val="14"/>
                    </w:rPr>
                    <w:t>December</w:t>
                  </w:r>
                  <w:r w:rsidR="0047572B">
                    <w:rPr>
                      <w:b/>
                      <w:bCs/>
                      <w:color w:val="050606"/>
                      <w:spacing w:val="-3"/>
                      <w:sz w:val="14"/>
                      <w:szCs w:val="14"/>
                    </w:rPr>
                    <w:t xml:space="preserve"> </w:t>
                  </w:r>
                  <w:r w:rsidRPr="007C2E3B">
                    <w:rPr>
                      <w:b/>
                      <w:bCs/>
                      <w:color w:val="050606"/>
                      <w:w w:val="95"/>
                      <w:sz w:val="14"/>
                      <w:szCs w:val="14"/>
                    </w:rPr>
                    <w:t>2019</w:t>
                  </w:r>
                </w:p>
                <w:p w14:paraId="0BB98644" w14:textId="77777777" w:rsidR="0031766D" w:rsidRPr="007C2E3B" w:rsidRDefault="0031766D" w:rsidP="00170424">
                  <w:pPr>
                    <w:pStyle w:val="TableParagraph"/>
                    <w:keepNext/>
                    <w:keepLines/>
                    <w:framePr w:hSpace="180" w:wrap="around" w:vAnchor="text" w:hAnchor="text" w:y="1"/>
                    <w:kinsoku w:val="0"/>
                    <w:overflowPunct w:val="0"/>
                    <w:spacing w:before="4"/>
                    <w:ind w:left="101" w:right="5"/>
                    <w:suppressOverlap/>
                    <w:jc w:val="center"/>
                    <w:rPr>
                      <w:b/>
                      <w:bCs/>
                      <w:color w:val="050606"/>
                      <w:spacing w:val="-1"/>
                      <w:sz w:val="14"/>
                      <w:szCs w:val="14"/>
                    </w:rPr>
                  </w:pPr>
                  <w:r w:rsidRPr="007C2E3B">
                    <w:rPr>
                      <w:b/>
                      <w:bCs/>
                      <w:color w:val="050606"/>
                      <w:spacing w:val="-1"/>
                      <w:sz w:val="14"/>
                      <w:szCs w:val="14"/>
                    </w:rPr>
                    <w:t>(audited)</w:t>
                  </w:r>
                </w:p>
                <w:p w14:paraId="6760983F" w14:textId="77777777" w:rsidR="0031766D" w:rsidRPr="007C2E3B" w:rsidRDefault="0031766D" w:rsidP="00170424">
                  <w:pPr>
                    <w:pStyle w:val="TableParagraph"/>
                    <w:keepNext/>
                    <w:keepLines/>
                    <w:framePr w:hSpace="180" w:wrap="around" w:vAnchor="text" w:hAnchor="text" w:y="1"/>
                    <w:kinsoku w:val="0"/>
                    <w:overflowPunct w:val="0"/>
                    <w:spacing w:before="6" w:line="199" w:lineRule="exact"/>
                    <w:ind w:left="101" w:right="5"/>
                    <w:suppressOverlap/>
                    <w:jc w:val="center"/>
                    <w:rPr>
                      <w:b/>
                      <w:bCs/>
                      <w:color w:val="050606"/>
                      <w:w w:val="99"/>
                      <w:sz w:val="14"/>
                      <w:szCs w:val="14"/>
                    </w:rPr>
                  </w:pPr>
                  <w:r w:rsidRPr="007C2E3B">
                    <w:rPr>
                      <w:b/>
                      <w:bCs/>
                      <w:color w:val="050606"/>
                      <w:w w:val="99"/>
                      <w:sz w:val="14"/>
                      <w:szCs w:val="14"/>
                    </w:rPr>
                    <w:t>£</w:t>
                  </w:r>
                </w:p>
              </w:tc>
              <w:tc>
                <w:tcPr>
                  <w:tcW w:w="1792" w:type="dxa"/>
                  <w:tcBorders>
                    <w:top w:val="single" w:sz="4" w:space="0" w:color="231F20"/>
                    <w:left w:val="single" w:sz="4" w:space="0" w:color="231F20"/>
                    <w:bottom w:val="single" w:sz="4" w:space="0" w:color="231F20"/>
                    <w:right w:val="single" w:sz="4" w:space="0" w:color="231F20"/>
                  </w:tcBorders>
                </w:tcPr>
                <w:p w14:paraId="272CCA23" w14:textId="04AEBB58" w:rsidR="0031766D" w:rsidRPr="007C2E3B" w:rsidRDefault="0031766D" w:rsidP="00170424">
                  <w:pPr>
                    <w:pStyle w:val="TableParagraph"/>
                    <w:keepNext/>
                    <w:keepLines/>
                    <w:framePr w:hSpace="180" w:wrap="around" w:vAnchor="text" w:hAnchor="text" w:y="1"/>
                    <w:kinsoku w:val="0"/>
                    <w:overflowPunct w:val="0"/>
                    <w:spacing w:line="247" w:lineRule="auto"/>
                    <w:suppressOverlap/>
                    <w:jc w:val="center"/>
                    <w:rPr>
                      <w:b/>
                      <w:bCs/>
                      <w:color w:val="050606"/>
                      <w:w w:val="95"/>
                      <w:sz w:val="14"/>
                      <w:szCs w:val="14"/>
                    </w:rPr>
                  </w:pPr>
                  <w:r w:rsidRPr="007C2E3B">
                    <w:rPr>
                      <w:b/>
                      <w:bCs/>
                      <w:color w:val="050606"/>
                      <w:sz w:val="14"/>
                      <w:szCs w:val="14"/>
                    </w:rPr>
                    <w:t>Six</w:t>
                  </w:r>
                  <w:r w:rsidRPr="007C2E3B">
                    <w:rPr>
                      <w:b/>
                      <w:bCs/>
                      <w:color w:val="050606"/>
                      <w:spacing w:val="8"/>
                      <w:sz w:val="14"/>
                      <w:szCs w:val="14"/>
                    </w:rPr>
                    <w:t xml:space="preserve"> </w:t>
                  </w:r>
                  <w:r w:rsidRPr="007C2E3B">
                    <w:rPr>
                      <w:b/>
                      <w:bCs/>
                      <w:color w:val="050606"/>
                      <w:spacing w:val="-4"/>
                      <w:sz w:val="14"/>
                      <w:szCs w:val="14"/>
                    </w:rPr>
                    <w:t>months</w:t>
                  </w:r>
                  <w:r w:rsidRPr="007C2E3B">
                    <w:rPr>
                      <w:b/>
                      <w:bCs/>
                      <w:color w:val="050606"/>
                      <w:w w:val="99"/>
                      <w:sz w:val="14"/>
                      <w:szCs w:val="14"/>
                    </w:rPr>
                    <w:t xml:space="preserve"> </w:t>
                  </w:r>
                  <w:r w:rsidRPr="007C2E3B">
                    <w:rPr>
                      <w:b/>
                      <w:bCs/>
                      <w:color w:val="050606"/>
                      <w:sz w:val="14"/>
                      <w:szCs w:val="14"/>
                    </w:rPr>
                    <w:t>ended</w:t>
                  </w:r>
                  <w:r w:rsidR="0047572B">
                    <w:rPr>
                      <w:b/>
                      <w:bCs/>
                      <w:color w:val="050606"/>
                      <w:sz w:val="14"/>
                      <w:szCs w:val="14"/>
                    </w:rPr>
                    <w:br/>
                  </w:r>
                  <w:r w:rsidRPr="007C2E3B">
                    <w:rPr>
                      <w:b/>
                      <w:bCs/>
                      <w:color w:val="050606"/>
                      <w:sz w:val="14"/>
                      <w:szCs w:val="14"/>
                    </w:rPr>
                    <w:t xml:space="preserve">30 </w:t>
                  </w:r>
                  <w:r w:rsidRPr="007C2E3B">
                    <w:rPr>
                      <w:b/>
                      <w:bCs/>
                      <w:color w:val="050606"/>
                      <w:spacing w:val="-4"/>
                      <w:sz w:val="14"/>
                      <w:szCs w:val="14"/>
                    </w:rPr>
                    <w:t>June</w:t>
                  </w:r>
                  <w:r w:rsidR="0047572B">
                    <w:rPr>
                      <w:b/>
                      <w:bCs/>
                      <w:color w:val="050606"/>
                      <w:spacing w:val="-4"/>
                      <w:sz w:val="14"/>
                      <w:szCs w:val="14"/>
                    </w:rPr>
                    <w:t xml:space="preserve"> </w:t>
                  </w:r>
                  <w:r w:rsidRPr="007C2E3B">
                    <w:rPr>
                      <w:b/>
                      <w:bCs/>
                      <w:color w:val="050606"/>
                      <w:w w:val="95"/>
                      <w:sz w:val="14"/>
                      <w:szCs w:val="14"/>
                    </w:rPr>
                    <w:t>2020</w:t>
                  </w:r>
                </w:p>
                <w:p w14:paraId="7C536712" w14:textId="77777777" w:rsidR="0031766D" w:rsidRPr="007C2E3B" w:rsidRDefault="0031766D" w:rsidP="00170424">
                  <w:pPr>
                    <w:pStyle w:val="TableParagraph"/>
                    <w:keepNext/>
                    <w:keepLines/>
                    <w:framePr w:hSpace="180" w:wrap="around" w:vAnchor="text" w:hAnchor="text" w:y="1"/>
                    <w:kinsoku w:val="0"/>
                    <w:overflowPunct w:val="0"/>
                    <w:spacing w:before="1"/>
                    <w:suppressOverlap/>
                    <w:jc w:val="center"/>
                    <w:rPr>
                      <w:b/>
                      <w:bCs/>
                      <w:color w:val="050606"/>
                      <w:spacing w:val="-1"/>
                      <w:sz w:val="14"/>
                      <w:szCs w:val="14"/>
                    </w:rPr>
                  </w:pPr>
                  <w:r w:rsidRPr="007C2E3B">
                    <w:rPr>
                      <w:b/>
                      <w:bCs/>
                      <w:color w:val="050606"/>
                      <w:spacing w:val="-1"/>
                      <w:sz w:val="14"/>
                      <w:szCs w:val="14"/>
                    </w:rPr>
                    <w:t>(unaudited)</w:t>
                  </w:r>
                </w:p>
                <w:p w14:paraId="26A60CE2" w14:textId="77777777" w:rsidR="0031766D" w:rsidRPr="007C2E3B" w:rsidRDefault="0031766D" w:rsidP="00170424">
                  <w:pPr>
                    <w:pStyle w:val="TableParagraph"/>
                    <w:keepNext/>
                    <w:keepLines/>
                    <w:framePr w:hSpace="180" w:wrap="around" w:vAnchor="text" w:hAnchor="text" w:y="1"/>
                    <w:kinsoku w:val="0"/>
                    <w:overflowPunct w:val="0"/>
                    <w:spacing w:before="7" w:line="201" w:lineRule="exact"/>
                    <w:suppressOverlap/>
                    <w:jc w:val="center"/>
                    <w:rPr>
                      <w:b/>
                      <w:bCs/>
                      <w:color w:val="050606"/>
                      <w:w w:val="99"/>
                      <w:sz w:val="14"/>
                      <w:szCs w:val="14"/>
                    </w:rPr>
                  </w:pPr>
                  <w:r w:rsidRPr="007C2E3B">
                    <w:rPr>
                      <w:b/>
                      <w:bCs/>
                      <w:color w:val="050606"/>
                      <w:w w:val="99"/>
                      <w:sz w:val="14"/>
                      <w:szCs w:val="14"/>
                    </w:rPr>
                    <w:t>£</w:t>
                  </w:r>
                </w:p>
              </w:tc>
              <w:tc>
                <w:tcPr>
                  <w:tcW w:w="1790" w:type="dxa"/>
                  <w:tcBorders>
                    <w:top w:val="single" w:sz="4" w:space="0" w:color="231F20"/>
                    <w:left w:val="single" w:sz="4" w:space="0" w:color="231F20"/>
                    <w:bottom w:val="single" w:sz="4" w:space="0" w:color="231F20"/>
                    <w:right w:val="single" w:sz="4" w:space="0" w:color="231F20"/>
                  </w:tcBorders>
                </w:tcPr>
                <w:p w14:paraId="4D1BDB65" w14:textId="1FE05E17" w:rsidR="0031766D" w:rsidRPr="007C2E3B" w:rsidRDefault="0031766D" w:rsidP="00170424">
                  <w:pPr>
                    <w:pStyle w:val="TableParagraph"/>
                    <w:keepNext/>
                    <w:keepLines/>
                    <w:framePr w:hSpace="180" w:wrap="around" w:vAnchor="text" w:hAnchor="text" w:y="1"/>
                    <w:kinsoku w:val="0"/>
                    <w:overflowPunct w:val="0"/>
                    <w:ind w:right="47"/>
                    <w:suppressOverlap/>
                    <w:jc w:val="center"/>
                    <w:rPr>
                      <w:b/>
                      <w:bCs/>
                      <w:color w:val="050606"/>
                      <w:w w:val="95"/>
                      <w:sz w:val="14"/>
                      <w:szCs w:val="14"/>
                    </w:rPr>
                  </w:pPr>
                  <w:r w:rsidRPr="007C2E3B">
                    <w:rPr>
                      <w:b/>
                      <w:bCs/>
                      <w:color w:val="050606"/>
                      <w:sz w:val="14"/>
                      <w:szCs w:val="14"/>
                    </w:rPr>
                    <w:t>Year ended</w:t>
                  </w:r>
                  <w:r w:rsidR="0047572B">
                    <w:rPr>
                      <w:b/>
                      <w:bCs/>
                      <w:color w:val="050606"/>
                      <w:sz w:val="14"/>
                      <w:szCs w:val="14"/>
                    </w:rPr>
                    <w:br/>
                  </w:r>
                  <w:r w:rsidRPr="007C2E3B">
                    <w:rPr>
                      <w:b/>
                      <w:bCs/>
                      <w:color w:val="050606"/>
                      <w:sz w:val="14"/>
                      <w:szCs w:val="14"/>
                    </w:rPr>
                    <w:t>31 December</w:t>
                  </w:r>
                  <w:r w:rsidR="0047572B">
                    <w:rPr>
                      <w:b/>
                      <w:bCs/>
                      <w:color w:val="050606"/>
                      <w:sz w:val="14"/>
                      <w:szCs w:val="14"/>
                    </w:rPr>
                    <w:t xml:space="preserve"> </w:t>
                  </w:r>
                  <w:r w:rsidRPr="007C2E3B">
                    <w:rPr>
                      <w:b/>
                      <w:bCs/>
                      <w:color w:val="050606"/>
                      <w:sz w:val="14"/>
                      <w:szCs w:val="14"/>
                    </w:rPr>
                    <w:t>2020</w:t>
                  </w:r>
                </w:p>
                <w:p w14:paraId="40BC9678" w14:textId="77777777" w:rsidR="0031766D" w:rsidRPr="007C2E3B" w:rsidRDefault="0031766D" w:rsidP="00170424">
                  <w:pPr>
                    <w:pStyle w:val="TableParagraph"/>
                    <w:keepNext/>
                    <w:keepLines/>
                    <w:framePr w:hSpace="180" w:wrap="around" w:vAnchor="text" w:hAnchor="text" w:y="1"/>
                    <w:kinsoku w:val="0"/>
                    <w:overflowPunct w:val="0"/>
                    <w:spacing w:before="1"/>
                    <w:ind w:right="47"/>
                    <w:suppressOverlap/>
                    <w:jc w:val="center"/>
                    <w:rPr>
                      <w:b/>
                      <w:bCs/>
                      <w:color w:val="050606"/>
                      <w:spacing w:val="-1"/>
                      <w:sz w:val="14"/>
                      <w:szCs w:val="14"/>
                    </w:rPr>
                  </w:pPr>
                  <w:r w:rsidRPr="007C2E3B">
                    <w:rPr>
                      <w:b/>
                      <w:bCs/>
                      <w:color w:val="050606"/>
                      <w:spacing w:val="-1"/>
                      <w:sz w:val="14"/>
                      <w:szCs w:val="14"/>
                    </w:rPr>
                    <w:t>(audited)</w:t>
                  </w:r>
                </w:p>
                <w:p w14:paraId="1DE55F33" w14:textId="77777777" w:rsidR="0031766D" w:rsidRPr="007C2E3B" w:rsidRDefault="0031766D" w:rsidP="00170424">
                  <w:pPr>
                    <w:pStyle w:val="TableParagraph"/>
                    <w:keepNext/>
                    <w:keepLines/>
                    <w:framePr w:hSpace="180" w:wrap="around" w:vAnchor="text" w:hAnchor="text" w:y="1"/>
                    <w:kinsoku w:val="0"/>
                    <w:overflowPunct w:val="0"/>
                    <w:spacing w:before="7" w:line="201" w:lineRule="exact"/>
                    <w:ind w:right="47"/>
                    <w:suppressOverlap/>
                    <w:jc w:val="center"/>
                    <w:rPr>
                      <w:b/>
                      <w:bCs/>
                      <w:color w:val="050606"/>
                      <w:w w:val="99"/>
                      <w:sz w:val="14"/>
                      <w:szCs w:val="14"/>
                    </w:rPr>
                  </w:pPr>
                  <w:r w:rsidRPr="007C2E3B">
                    <w:rPr>
                      <w:b/>
                      <w:bCs/>
                      <w:color w:val="050606"/>
                      <w:w w:val="99"/>
                      <w:sz w:val="14"/>
                      <w:szCs w:val="14"/>
                    </w:rPr>
                    <w:t>£</w:t>
                  </w:r>
                </w:p>
              </w:tc>
            </w:tr>
            <w:tr w:rsidR="0031766D" w:rsidRPr="007C2E3B" w14:paraId="199F3350" w14:textId="77777777" w:rsidTr="00A976DD">
              <w:trPr>
                <w:trHeight w:val="426"/>
              </w:trPr>
              <w:tc>
                <w:tcPr>
                  <w:tcW w:w="1873" w:type="dxa"/>
                  <w:tcBorders>
                    <w:top w:val="single" w:sz="4" w:space="0" w:color="231F20"/>
                    <w:left w:val="single" w:sz="4" w:space="0" w:color="231F20"/>
                    <w:bottom w:val="single" w:sz="4" w:space="0" w:color="231F20"/>
                    <w:right w:val="single" w:sz="4" w:space="0" w:color="231F20"/>
                  </w:tcBorders>
                </w:tcPr>
                <w:p w14:paraId="297BF2DD" w14:textId="77777777" w:rsidR="0031766D" w:rsidRPr="007C2E3B" w:rsidRDefault="0031766D" w:rsidP="00170424">
                  <w:pPr>
                    <w:pStyle w:val="TableParagraph"/>
                    <w:keepNext/>
                    <w:keepLines/>
                    <w:framePr w:hSpace="180" w:wrap="around" w:vAnchor="text" w:hAnchor="text" w:y="1"/>
                    <w:kinsoku w:val="0"/>
                    <w:overflowPunct w:val="0"/>
                    <w:spacing w:line="206" w:lineRule="exact"/>
                    <w:ind w:left="108"/>
                    <w:suppressOverlap/>
                    <w:jc w:val="center"/>
                    <w:rPr>
                      <w:color w:val="050606"/>
                      <w:sz w:val="14"/>
                      <w:szCs w:val="14"/>
                    </w:rPr>
                  </w:pPr>
                  <w:r w:rsidRPr="007C2E3B">
                    <w:rPr>
                      <w:color w:val="050606"/>
                      <w:sz w:val="14"/>
                      <w:szCs w:val="14"/>
                    </w:rPr>
                    <w:t>Net cash used in</w:t>
                  </w:r>
                </w:p>
                <w:p w14:paraId="1320C49B" w14:textId="77777777" w:rsidR="0031766D" w:rsidRPr="007C2E3B" w:rsidRDefault="0031766D" w:rsidP="00170424">
                  <w:pPr>
                    <w:pStyle w:val="TableParagraph"/>
                    <w:keepNext/>
                    <w:keepLines/>
                    <w:framePr w:hSpace="180" w:wrap="around" w:vAnchor="text" w:hAnchor="text" w:y="1"/>
                    <w:kinsoku w:val="0"/>
                    <w:overflowPunct w:val="0"/>
                    <w:spacing w:before="6" w:line="194" w:lineRule="exact"/>
                    <w:ind w:left="108"/>
                    <w:suppressOverlap/>
                    <w:jc w:val="center"/>
                    <w:rPr>
                      <w:color w:val="050606"/>
                      <w:sz w:val="14"/>
                      <w:szCs w:val="14"/>
                    </w:rPr>
                  </w:pPr>
                  <w:r w:rsidRPr="007C2E3B">
                    <w:rPr>
                      <w:color w:val="050606"/>
                      <w:sz w:val="14"/>
                      <w:szCs w:val="14"/>
                    </w:rPr>
                    <w:t>operating activities</w:t>
                  </w:r>
                </w:p>
              </w:tc>
              <w:tc>
                <w:tcPr>
                  <w:tcW w:w="1667" w:type="dxa"/>
                  <w:tcBorders>
                    <w:top w:val="single" w:sz="4" w:space="0" w:color="231F20"/>
                    <w:left w:val="single" w:sz="4" w:space="0" w:color="231F20"/>
                    <w:bottom w:val="single" w:sz="4" w:space="0" w:color="231F20"/>
                    <w:right w:val="single" w:sz="4" w:space="0" w:color="231F20"/>
                  </w:tcBorders>
                </w:tcPr>
                <w:p w14:paraId="6B232A40" w14:textId="77777777" w:rsidR="0031766D" w:rsidRPr="007C2E3B" w:rsidRDefault="0031766D" w:rsidP="00170424">
                  <w:pPr>
                    <w:pStyle w:val="TableParagraph"/>
                    <w:keepNext/>
                    <w:keepLines/>
                    <w:framePr w:hSpace="180" w:wrap="around" w:vAnchor="text" w:hAnchor="text" w:y="1"/>
                    <w:kinsoku w:val="0"/>
                    <w:overflowPunct w:val="0"/>
                    <w:spacing w:line="206" w:lineRule="exact"/>
                    <w:ind w:left="101" w:right="5"/>
                    <w:suppressOverlap/>
                    <w:jc w:val="center"/>
                    <w:rPr>
                      <w:color w:val="050606"/>
                      <w:sz w:val="14"/>
                      <w:szCs w:val="14"/>
                    </w:rPr>
                  </w:pPr>
                  <w:r w:rsidRPr="007C2E3B">
                    <w:rPr>
                      <w:color w:val="050606"/>
                      <w:sz w:val="14"/>
                      <w:szCs w:val="14"/>
                    </w:rPr>
                    <w:t>(576,179)</w:t>
                  </w:r>
                </w:p>
              </w:tc>
              <w:tc>
                <w:tcPr>
                  <w:tcW w:w="1792" w:type="dxa"/>
                  <w:tcBorders>
                    <w:top w:val="single" w:sz="4" w:space="0" w:color="231F20"/>
                    <w:left w:val="single" w:sz="4" w:space="0" w:color="231F20"/>
                    <w:bottom w:val="single" w:sz="4" w:space="0" w:color="231F20"/>
                    <w:right w:val="single" w:sz="4" w:space="0" w:color="231F20"/>
                  </w:tcBorders>
                </w:tcPr>
                <w:p w14:paraId="3F18BF14" w14:textId="77777777" w:rsidR="0031766D" w:rsidRPr="007C2E3B" w:rsidRDefault="0031766D" w:rsidP="00170424">
                  <w:pPr>
                    <w:pStyle w:val="TableParagraph"/>
                    <w:keepNext/>
                    <w:keepLines/>
                    <w:framePr w:hSpace="180" w:wrap="around" w:vAnchor="text" w:hAnchor="text" w:y="1"/>
                    <w:kinsoku w:val="0"/>
                    <w:overflowPunct w:val="0"/>
                    <w:spacing w:line="206" w:lineRule="exact"/>
                    <w:suppressOverlap/>
                    <w:jc w:val="center"/>
                    <w:rPr>
                      <w:color w:val="050606"/>
                      <w:sz w:val="14"/>
                      <w:szCs w:val="14"/>
                    </w:rPr>
                  </w:pPr>
                  <w:r w:rsidRPr="007C2E3B">
                    <w:rPr>
                      <w:color w:val="050606"/>
                      <w:sz w:val="14"/>
                      <w:szCs w:val="14"/>
                    </w:rPr>
                    <w:t>(265,290)</w:t>
                  </w:r>
                </w:p>
              </w:tc>
              <w:tc>
                <w:tcPr>
                  <w:tcW w:w="1790" w:type="dxa"/>
                  <w:tcBorders>
                    <w:top w:val="single" w:sz="4" w:space="0" w:color="231F20"/>
                    <w:left w:val="single" w:sz="4" w:space="0" w:color="231F20"/>
                    <w:bottom w:val="single" w:sz="4" w:space="0" w:color="231F20"/>
                    <w:right w:val="single" w:sz="4" w:space="0" w:color="231F20"/>
                  </w:tcBorders>
                </w:tcPr>
                <w:p w14:paraId="33673669" w14:textId="77777777" w:rsidR="0031766D" w:rsidRPr="007C2E3B" w:rsidRDefault="0031766D" w:rsidP="00170424">
                  <w:pPr>
                    <w:pStyle w:val="TableParagraph"/>
                    <w:keepNext/>
                    <w:keepLines/>
                    <w:framePr w:hSpace="180" w:wrap="around" w:vAnchor="text" w:hAnchor="text" w:y="1"/>
                    <w:kinsoku w:val="0"/>
                    <w:overflowPunct w:val="0"/>
                    <w:spacing w:line="206" w:lineRule="exact"/>
                    <w:ind w:right="47"/>
                    <w:suppressOverlap/>
                    <w:jc w:val="center"/>
                    <w:rPr>
                      <w:color w:val="050606"/>
                      <w:sz w:val="14"/>
                      <w:szCs w:val="14"/>
                    </w:rPr>
                  </w:pPr>
                  <w:r w:rsidRPr="007C2E3B">
                    <w:rPr>
                      <w:color w:val="050606"/>
                      <w:sz w:val="14"/>
                      <w:szCs w:val="14"/>
                    </w:rPr>
                    <w:t>(595,374)</w:t>
                  </w:r>
                </w:p>
              </w:tc>
            </w:tr>
            <w:tr w:rsidR="0031766D" w:rsidRPr="007C2E3B" w14:paraId="04CD1A8B" w14:textId="77777777" w:rsidTr="00A976DD">
              <w:trPr>
                <w:trHeight w:val="426"/>
              </w:trPr>
              <w:tc>
                <w:tcPr>
                  <w:tcW w:w="1873" w:type="dxa"/>
                  <w:tcBorders>
                    <w:top w:val="single" w:sz="4" w:space="0" w:color="231F20"/>
                    <w:left w:val="single" w:sz="4" w:space="0" w:color="231F20"/>
                    <w:bottom w:val="single" w:sz="4" w:space="0" w:color="231F20"/>
                    <w:right w:val="single" w:sz="4" w:space="0" w:color="231F20"/>
                  </w:tcBorders>
                </w:tcPr>
                <w:p w14:paraId="0B803D63" w14:textId="77777777" w:rsidR="0031766D" w:rsidRPr="007C2E3B" w:rsidRDefault="0031766D" w:rsidP="00170424">
                  <w:pPr>
                    <w:pStyle w:val="TableParagraph"/>
                    <w:keepNext/>
                    <w:keepLines/>
                    <w:framePr w:hSpace="180" w:wrap="around" w:vAnchor="text" w:hAnchor="text" w:y="1"/>
                    <w:kinsoku w:val="0"/>
                    <w:overflowPunct w:val="0"/>
                    <w:spacing w:line="206" w:lineRule="exact"/>
                    <w:ind w:left="108"/>
                    <w:suppressOverlap/>
                    <w:jc w:val="center"/>
                    <w:rPr>
                      <w:color w:val="050606"/>
                      <w:sz w:val="14"/>
                      <w:szCs w:val="14"/>
                    </w:rPr>
                  </w:pPr>
                  <w:r w:rsidRPr="007C2E3B">
                    <w:rPr>
                      <w:color w:val="050606"/>
                      <w:sz w:val="14"/>
                      <w:szCs w:val="14"/>
                    </w:rPr>
                    <w:t>Net cash used in</w:t>
                  </w:r>
                </w:p>
                <w:p w14:paraId="51BFB0B7" w14:textId="77777777" w:rsidR="0031766D" w:rsidRPr="007C2E3B" w:rsidRDefault="0031766D" w:rsidP="00170424">
                  <w:pPr>
                    <w:pStyle w:val="TableParagraph"/>
                    <w:keepNext/>
                    <w:keepLines/>
                    <w:framePr w:hSpace="180" w:wrap="around" w:vAnchor="text" w:hAnchor="text" w:y="1"/>
                    <w:kinsoku w:val="0"/>
                    <w:overflowPunct w:val="0"/>
                    <w:spacing w:before="6" w:line="194" w:lineRule="exact"/>
                    <w:ind w:left="108"/>
                    <w:suppressOverlap/>
                    <w:jc w:val="center"/>
                    <w:rPr>
                      <w:color w:val="050606"/>
                      <w:sz w:val="14"/>
                      <w:szCs w:val="14"/>
                    </w:rPr>
                  </w:pPr>
                  <w:r w:rsidRPr="007C2E3B">
                    <w:rPr>
                      <w:color w:val="050606"/>
                      <w:sz w:val="14"/>
                      <w:szCs w:val="14"/>
                    </w:rPr>
                    <w:t>investing activities</w:t>
                  </w:r>
                </w:p>
              </w:tc>
              <w:tc>
                <w:tcPr>
                  <w:tcW w:w="1667" w:type="dxa"/>
                  <w:tcBorders>
                    <w:top w:val="single" w:sz="4" w:space="0" w:color="231F20"/>
                    <w:left w:val="single" w:sz="4" w:space="0" w:color="231F20"/>
                    <w:bottom w:val="single" w:sz="4" w:space="0" w:color="231F20"/>
                    <w:right w:val="single" w:sz="4" w:space="0" w:color="231F20"/>
                  </w:tcBorders>
                </w:tcPr>
                <w:p w14:paraId="41EB4DB3" w14:textId="77777777" w:rsidR="0031766D" w:rsidRPr="007C2E3B" w:rsidRDefault="0031766D" w:rsidP="00170424">
                  <w:pPr>
                    <w:pStyle w:val="TableParagraph"/>
                    <w:keepNext/>
                    <w:keepLines/>
                    <w:framePr w:hSpace="180" w:wrap="around" w:vAnchor="text" w:hAnchor="text" w:y="1"/>
                    <w:kinsoku w:val="0"/>
                    <w:overflowPunct w:val="0"/>
                    <w:spacing w:line="206" w:lineRule="exact"/>
                    <w:ind w:left="101" w:right="5"/>
                    <w:suppressOverlap/>
                    <w:jc w:val="center"/>
                    <w:rPr>
                      <w:color w:val="050606"/>
                      <w:sz w:val="14"/>
                      <w:szCs w:val="14"/>
                    </w:rPr>
                  </w:pPr>
                  <w:r w:rsidRPr="007C2E3B">
                    <w:rPr>
                      <w:color w:val="050606"/>
                      <w:sz w:val="14"/>
                      <w:szCs w:val="14"/>
                    </w:rPr>
                    <w:t>(560,951)</w:t>
                  </w:r>
                </w:p>
              </w:tc>
              <w:tc>
                <w:tcPr>
                  <w:tcW w:w="1792" w:type="dxa"/>
                  <w:tcBorders>
                    <w:top w:val="single" w:sz="4" w:space="0" w:color="231F20"/>
                    <w:left w:val="single" w:sz="4" w:space="0" w:color="231F20"/>
                    <w:bottom w:val="single" w:sz="4" w:space="0" w:color="231F20"/>
                    <w:right w:val="single" w:sz="4" w:space="0" w:color="231F20"/>
                  </w:tcBorders>
                </w:tcPr>
                <w:p w14:paraId="7B10911C" w14:textId="77777777" w:rsidR="0031766D" w:rsidRPr="007C2E3B" w:rsidRDefault="0031766D" w:rsidP="00170424">
                  <w:pPr>
                    <w:pStyle w:val="TableParagraph"/>
                    <w:keepNext/>
                    <w:keepLines/>
                    <w:framePr w:hSpace="180" w:wrap="around" w:vAnchor="text" w:hAnchor="text" w:y="1"/>
                    <w:kinsoku w:val="0"/>
                    <w:overflowPunct w:val="0"/>
                    <w:spacing w:line="206" w:lineRule="exact"/>
                    <w:suppressOverlap/>
                    <w:jc w:val="center"/>
                    <w:rPr>
                      <w:color w:val="050606"/>
                      <w:sz w:val="14"/>
                      <w:szCs w:val="14"/>
                    </w:rPr>
                  </w:pPr>
                  <w:r w:rsidRPr="007C2E3B">
                    <w:rPr>
                      <w:color w:val="050606"/>
                      <w:sz w:val="14"/>
                      <w:szCs w:val="14"/>
                    </w:rPr>
                    <w:t>(166,828)</w:t>
                  </w:r>
                </w:p>
              </w:tc>
              <w:tc>
                <w:tcPr>
                  <w:tcW w:w="1790" w:type="dxa"/>
                  <w:tcBorders>
                    <w:top w:val="single" w:sz="4" w:space="0" w:color="231F20"/>
                    <w:left w:val="single" w:sz="4" w:space="0" w:color="231F20"/>
                    <w:bottom w:val="single" w:sz="4" w:space="0" w:color="231F20"/>
                    <w:right w:val="single" w:sz="4" w:space="0" w:color="231F20"/>
                  </w:tcBorders>
                </w:tcPr>
                <w:p w14:paraId="459BCB25" w14:textId="77777777" w:rsidR="0031766D" w:rsidRPr="007C2E3B" w:rsidRDefault="0031766D" w:rsidP="00170424">
                  <w:pPr>
                    <w:pStyle w:val="TableParagraph"/>
                    <w:keepNext/>
                    <w:keepLines/>
                    <w:framePr w:hSpace="180" w:wrap="around" w:vAnchor="text" w:hAnchor="text" w:y="1"/>
                    <w:kinsoku w:val="0"/>
                    <w:overflowPunct w:val="0"/>
                    <w:spacing w:line="206" w:lineRule="exact"/>
                    <w:ind w:right="47"/>
                    <w:suppressOverlap/>
                    <w:jc w:val="center"/>
                    <w:rPr>
                      <w:color w:val="050606"/>
                      <w:sz w:val="14"/>
                      <w:szCs w:val="14"/>
                    </w:rPr>
                  </w:pPr>
                  <w:r w:rsidRPr="007C2E3B">
                    <w:rPr>
                      <w:color w:val="050606"/>
                      <w:sz w:val="14"/>
                      <w:szCs w:val="14"/>
                    </w:rPr>
                    <w:t>(702,478)</w:t>
                  </w:r>
                </w:p>
              </w:tc>
            </w:tr>
            <w:tr w:rsidR="0031766D" w:rsidRPr="007C2E3B" w14:paraId="0A347F33" w14:textId="77777777" w:rsidTr="00A976DD">
              <w:trPr>
                <w:trHeight w:val="640"/>
              </w:trPr>
              <w:tc>
                <w:tcPr>
                  <w:tcW w:w="1873" w:type="dxa"/>
                  <w:tcBorders>
                    <w:top w:val="single" w:sz="4" w:space="0" w:color="231F20"/>
                    <w:left w:val="single" w:sz="4" w:space="0" w:color="231F20"/>
                    <w:bottom w:val="single" w:sz="8" w:space="0" w:color="231F20"/>
                    <w:right w:val="single" w:sz="4" w:space="0" w:color="231F20"/>
                  </w:tcBorders>
                </w:tcPr>
                <w:p w14:paraId="08A56B9F" w14:textId="6AA30F06" w:rsidR="0031766D" w:rsidRPr="007C2E3B" w:rsidRDefault="0031766D" w:rsidP="00170424">
                  <w:pPr>
                    <w:pStyle w:val="TableParagraph"/>
                    <w:keepNext/>
                    <w:keepLines/>
                    <w:framePr w:hSpace="180" w:wrap="around" w:vAnchor="text" w:hAnchor="text" w:y="1"/>
                    <w:kinsoku w:val="0"/>
                    <w:overflowPunct w:val="0"/>
                    <w:spacing w:line="206" w:lineRule="exact"/>
                    <w:ind w:left="108"/>
                    <w:suppressOverlap/>
                    <w:jc w:val="center"/>
                    <w:rPr>
                      <w:color w:val="050606"/>
                      <w:sz w:val="14"/>
                      <w:szCs w:val="14"/>
                    </w:rPr>
                  </w:pPr>
                  <w:r w:rsidRPr="007C2E3B">
                    <w:rPr>
                      <w:color w:val="050606"/>
                      <w:sz w:val="14"/>
                      <w:szCs w:val="14"/>
                    </w:rPr>
                    <w:t>Net cash inflows</w:t>
                  </w:r>
                  <w:r w:rsidR="004C6A20">
                    <w:rPr>
                      <w:color w:val="050606"/>
                      <w:sz w:val="14"/>
                      <w:szCs w:val="14"/>
                    </w:rPr>
                    <w:t xml:space="preserve"> f</w:t>
                  </w:r>
                  <w:r w:rsidRPr="007C2E3B">
                    <w:rPr>
                      <w:color w:val="050606"/>
                      <w:sz w:val="14"/>
                      <w:szCs w:val="14"/>
                    </w:rPr>
                    <w:t>rom</w:t>
                  </w:r>
                  <w:r w:rsidR="004C6A20">
                    <w:rPr>
                      <w:color w:val="050606"/>
                      <w:sz w:val="14"/>
                      <w:szCs w:val="14"/>
                    </w:rPr>
                    <w:t xml:space="preserve"> </w:t>
                  </w:r>
                  <w:r w:rsidRPr="007C2E3B">
                    <w:rPr>
                      <w:color w:val="050606"/>
                      <w:spacing w:val="-3"/>
                      <w:sz w:val="14"/>
                      <w:szCs w:val="14"/>
                    </w:rPr>
                    <w:t xml:space="preserve">financing </w:t>
                  </w:r>
                  <w:r w:rsidRPr="007C2E3B">
                    <w:rPr>
                      <w:color w:val="050606"/>
                      <w:sz w:val="14"/>
                      <w:szCs w:val="14"/>
                    </w:rPr>
                    <w:t>activities</w:t>
                  </w:r>
                </w:p>
              </w:tc>
              <w:tc>
                <w:tcPr>
                  <w:tcW w:w="1667" w:type="dxa"/>
                  <w:tcBorders>
                    <w:top w:val="single" w:sz="4" w:space="0" w:color="231F20"/>
                    <w:left w:val="single" w:sz="4" w:space="0" w:color="231F20"/>
                    <w:bottom w:val="single" w:sz="8" w:space="0" w:color="231F20"/>
                    <w:right w:val="single" w:sz="4" w:space="0" w:color="231F20"/>
                  </w:tcBorders>
                </w:tcPr>
                <w:p w14:paraId="4D1E76A5" w14:textId="77777777" w:rsidR="0031766D" w:rsidRPr="007C2E3B" w:rsidRDefault="0031766D" w:rsidP="00170424">
                  <w:pPr>
                    <w:pStyle w:val="TableParagraph"/>
                    <w:keepNext/>
                    <w:keepLines/>
                    <w:framePr w:hSpace="180" w:wrap="around" w:vAnchor="text" w:hAnchor="text" w:y="1"/>
                    <w:kinsoku w:val="0"/>
                    <w:overflowPunct w:val="0"/>
                    <w:spacing w:line="206" w:lineRule="exact"/>
                    <w:ind w:left="101" w:right="5"/>
                    <w:suppressOverlap/>
                    <w:jc w:val="center"/>
                    <w:rPr>
                      <w:color w:val="050606"/>
                      <w:w w:val="99"/>
                      <w:sz w:val="14"/>
                      <w:szCs w:val="14"/>
                    </w:rPr>
                  </w:pPr>
                  <w:r w:rsidRPr="007C2E3B">
                    <w:rPr>
                      <w:color w:val="050606"/>
                      <w:w w:val="99"/>
                      <w:sz w:val="14"/>
                      <w:szCs w:val="14"/>
                    </w:rPr>
                    <w:t>-</w:t>
                  </w:r>
                </w:p>
              </w:tc>
              <w:tc>
                <w:tcPr>
                  <w:tcW w:w="1792" w:type="dxa"/>
                  <w:tcBorders>
                    <w:top w:val="single" w:sz="4" w:space="0" w:color="231F20"/>
                    <w:left w:val="single" w:sz="4" w:space="0" w:color="231F20"/>
                    <w:bottom w:val="single" w:sz="8" w:space="0" w:color="231F20"/>
                    <w:right w:val="single" w:sz="4" w:space="0" w:color="231F20"/>
                  </w:tcBorders>
                </w:tcPr>
                <w:p w14:paraId="24BA8783" w14:textId="77777777" w:rsidR="0031766D" w:rsidRPr="007C2E3B" w:rsidRDefault="0031766D" w:rsidP="00170424">
                  <w:pPr>
                    <w:pStyle w:val="TableParagraph"/>
                    <w:keepNext/>
                    <w:keepLines/>
                    <w:framePr w:hSpace="180" w:wrap="around" w:vAnchor="text" w:hAnchor="text" w:y="1"/>
                    <w:kinsoku w:val="0"/>
                    <w:overflowPunct w:val="0"/>
                    <w:spacing w:line="206" w:lineRule="exact"/>
                    <w:suppressOverlap/>
                    <w:jc w:val="center"/>
                    <w:rPr>
                      <w:color w:val="050606"/>
                      <w:w w:val="99"/>
                      <w:sz w:val="14"/>
                      <w:szCs w:val="14"/>
                    </w:rPr>
                  </w:pPr>
                  <w:r w:rsidRPr="007C2E3B">
                    <w:rPr>
                      <w:color w:val="050606"/>
                      <w:w w:val="99"/>
                      <w:sz w:val="14"/>
                      <w:szCs w:val="14"/>
                    </w:rPr>
                    <w:t>-</w:t>
                  </w:r>
                </w:p>
              </w:tc>
              <w:tc>
                <w:tcPr>
                  <w:tcW w:w="1790" w:type="dxa"/>
                  <w:tcBorders>
                    <w:top w:val="single" w:sz="4" w:space="0" w:color="231F20"/>
                    <w:left w:val="single" w:sz="4" w:space="0" w:color="231F20"/>
                    <w:bottom w:val="single" w:sz="8" w:space="0" w:color="231F20"/>
                    <w:right w:val="single" w:sz="4" w:space="0" w:color="231F20"/>
                  </w:tcBorders>
                </w:tcPr>
                <w:p w14:paraId="22ED71D3" w14:textId="77777777" w:rsidR="0031766D" w:rsidRPr="007C2E3B" w:rsidRDefault="0031766D" w:rsidP="00170424">
                  <w:pPr>
                    <w:pStyle w:val="TableParagraph"/>
                    <w:keepNext/>
                    <w:keepLines/>
                    <w:framePr w:hSpace="180" w:wrap="around" w:vAnchor="text" w:hAnchor="text" w:y="1"/>
                    <w:kinsoku w:val="0"/>
                    <w:overflowPunct w:val="0"/>
                    <w:spacing w:line="206" w:lineRule="exact"/>
                    <w:ind w:right="47"/>
                    <w:suppressOverlap/>
                    <w:jc w:val="center"/>
                    <w:rPr>
                      <w:color w:val="050606"/>
                      <w:w w:val="99"/>
                      <w:sz w:val="14"/>
                      <w:szCs w:val="14"/>
                    </w:rPr>
                  </w:pPr>
                  <w:r w:rsidRPr="007C2E3B">
                    <w:rPr>
                      <w:color w:val="050606"/>
                      <w:w w:val="99"/>
                      <w:sz w:val="14"/>
                      <w:szCs w:val="14"/>
                    </w:rPr>
                    <w:t>2,988,112</w:t>
                  </w:r>
                </w:p>
              </w:tc>
            </w:tr>
          </w:tbl>
          <w:p w14:paraId="1B008F50" w14:textId="77777777" w:rsidR="0031766D" w:rsidRPr="007C2E3B" w:rsidRDefault="0031766D" w:rsidP="0047572B">
            <w:pPr>
              <w:pStyle w:val="TableParagraph"/>
              <w:kinsoku w:val="0"/>
              <w:overflowPunct w:val="0"/>
              <w:spacing w:before="1"/>
              <w:ind w:left="108"/>
              <w:rPr>
                <w:color w:val="050606"/>
                <w:sz w:val="14"/>
                <w:szCs w:val="14"/>
              </w:rPr>
            </w:pPr>
          </w:p>
        </w:tc>
      </w:tr>
      <w:tr w:rsidR="0031766D" w14:paraId="1E9FAA11" w14:textId="77777777" w:rsidTr="0047572B">
        <w:trPr>
          <w:trHeight w:val="620"/>
        </w:trPr>
        <w:tc>
          <w:tcPr>
            <w:tcW w:w="1395" w:type="dxa"/>
            <w:tcBorders>
              <w:top w:val="single" w:sz="4" w:space="0" w:color="231F20"/>
              <w:left w:val="single" w:sz="4" w:space="0" w:color="231F20"/>
              <w:bottom w:val="single" w:sz="4" w:space="0" w:color="231F20"/>
              <w:right w:val="single" w:sz="4" w:space="0" w:color="231F20"/>
            </w:tcBorders>
          </w:tcPr>
          <w:p w14:paraId="5953F1DA" w14:textId="77777777" w:rsidR="0031766D" w:rsidRDefault="0031766D" w:rsidP="0047572B">
            <w:pPr>
              <w:pStyle w:val="TableParagraph"/>
              <w:kinsoku w:val="0"/>
              <w:overflowPunct w:val="0"/>
              <w:spacing w:line="206" w:lineRule="exact"/>
              <w:ind w:left="107"/>
              <w:rPr>
                <w:color w:val="050606"/>
                <w:sz w:val="18"/>
                <w:szCs w:val="18"/>
              </w:rPr>
            </w:pPr>
            <w:r>
              <w:rPr>
                <w:color w:val="050606"/>
                <w:sz w:val="18"/>
                <w:szCs w:val="18"/>
              </w:rPr>
              <w:t>Pro forma</w:t>
            </w:r>
          </w:p>
          <w:p w14:paraId="047212A3" w14:textId="77777777" w:rsidR="0031766D" w:rsidRDefault="0031766D" w:rsidP="0047572B">
            <w:pPr>
              <w:pStyle w:val="TableParagraph"/>
              <w:kinsoku w:val="0"/>
              <w:overflowPunct w:val="0"/>
              <w:spacing w:before="6" w:line="206" w:lineRule="exact"/>
              <w:ind w:left="107" w:right="366"/>
              <w:rPr>
                <w:color w:val="050606"/>
                <w:sz w:val="18"/>
                <w:szCs w:val="18"/>
              </w:rPr>
            </w:pPr>
            <w:r>
              <w:rPr>
                <w:color w:val="050606"/>
                <w:sz w:val="18"/>
                <w:szCs w:val="18"/>
              </w:rPr>
              <w:t>financial information</w:t>
            </w:r>
          </w:p>
        </w:tc>
        <w:tc>
          <w:tcPr>
            <w:tcW w:w="7956" w:type="dxa"/>
            <w:tcBorders>
              <w:top w:val="single" w:sz="4" w:space="0" w:color="231F20"/>
              <w:left w:val="single" w:sz="4" w:space="0" w:color="231F20"/>
              <w:bottom w:val="single" w:sz="4" w:space="0" w:color="231F20"/>
              <w:right w:val="single" w:sz="4" w:space="0" w:color="231F20"/>
            </w:tcBorders>
          </w:tcPr>
          <w:p w14:paraId="2741B3E9" w14:textId="77777777" w:rsidR="0031766D" w:rsidRDefault="0031766D" w:rsidP="0047572B">
            <w:pPr>
              <w:pStyle w:val="TableParagraph"/>
              <w:kinsoku w:val="0"/>
              <w:overflowPunct w:val="0"/>
              <w:spacing w:line="206" w:lineRule="exact"/>
              <w:ind w:left="103"/>
              <w:rPr>
                <w:color w:val="050606"/>
                <w:sz w:val="18"/>
                <w:szCs w:val="18"/>
              </w:rPr>
            </w:pPr>
            <w:r>
              <w:rPr>
                <w:color w:val="050606"/>
                <w:sz w:val="18"/>
                <w:szCs w:val="18"/>
              </w:rPr>
              <w:t>Not applicable. No pro forma financial information is included in this prospectus.</w:t>
            </w:r>
          </w:p>
        </w:tc>
      </w:tr>
      <w:tr w:rsidR="0031766D" w14:paraId="2723204B" w14:textId="77777777" w:rsidTr="0047572B">
        <w:trPr>
          <w:trHeight w:val="411"/>
        </w:trPr>
        <w:tc>
          <w:tcPr>
            <w:tcW w:w="1395" w:type="dxa"/>
            <w:tcBorders>
              <w:top w:val="single" w:sz="4" w:space="0" w:color="231F20"/>
              <w:left w:val="single" w:sz="4" w:space="0" w:color="231F20"/>
              <w:bottom w:val="single" w:sz="4" w:space="0" w:color="231F20"/>
              <w:right w:val="single" w:sz="4" w:space="0" w:color="231F20"/>
            </w:tcBorders>
          </w:tcPr>
          <w:p w14:paraId="6E4C1F65" w14:textId="77777777" w:rsidR="0031766D" w:rsidRDefault="0031766D" w:rsidP="0047572B">
            <w:pPr>
              <w:pStyle w:val="TableParagraph"/>
              <w:kinsoku w:val="0"/>
              <w:overflowPunct w:val="0"/>
              <w:spacing w:line="203" w:lineRule="exact"/>
              <w:ind w:left="107"/>
              <w:rPr>
                <w:color w:val="050606"/>
                <w:sz w:val="18"/>
                <w:szCs w:val="18"/>
              </w:rPr>
            </w:pPr>
            <w:r>
              <w:rPr>
                <w:color w:val="050606"/>
                <w:sz w:val="18"/>
                <w:szCs w:val="18"/>
              </w:rPr>
              <w:t>Audit</w:t>
            </w:r>
          </w:p>
          <w:p w14:paraId="795D61FF" w14:textId="77777777" w:rsidR="0031766D" w:rsidRDefault="0031766D" w:rsidP="0047572B">
            <w:pPr>
              <w:pStyle w:val="TableParagraph"/>
              <w:kinsoku w:val="0"/>
              <w:overflowPunct w:val="0"/>
              <w:spacing w:before="1" w:line="187" w:lineRule="exact"/>
              <w:ind w:left="107"/>
              <w:rPr>
                <w:color w:val="050606"/>
                <w:sz w:val="18"/>
                <w:szCs w:val="18"/>
              </w:rPr>
            </w:pPr>
            <w:r>
              <w:rPr>
                <w:color w:val="050606"/>
                <w:sz w:val="18"/>
                <w:szCs w:val="18"/>
              </w:rPr>
              <w:t>Qualifications</w:t>
            </w:r>
          </w:p>
        </w:tc>
        <w:tc>
          <w:tcPr>
            <w:tcW w:w="7956" w:type="dxa"/>
            <w:tcBorders>
              <w:top w:val="single" w:sz="4" w:space="0" w:color="231F20"/>
              <w:left w:val="single" w:sz="4" w:space="0" w:color="231F20"/>
              <w:bottom w:val="single" w:sz="4" w:space="0" w:color="231F20"/>
              <w:right w:val="single" w:sz="4" w:space="0" w:color="231F20"/>
            </w:tcBorders>
          </w:tcPr>
          <w:p w14:paraId="2CF3FC4F" w14:textId="35D8292E" w:rsidR="0031766D" w:rsidRDefault="0031766D" w:rsidP="0047572B">
            <w:pPr>
              <w:pStyle w:val="TableParagraph"/>
              <w:kinsoku w:val="0"/>
              <w:overflowPunct w:val="0"/>
              <w:spacing w:line="203" w:lineRule="exact"/>
              <w:ind w:left="103"/>
              <w:rPr>
                <w:color w:val="040505"/>
                <w:sz w:val="18"/>
                <w:szCs w:val="18"/>
              </w:rPr>
            </w:pPr>
            <w:r>
              <w:rPr>
                <w:color w:val="040505"/>
                <w:sz w:val="18"/>
                <w:szCs w:val="18"/>
              </w:rPr>
              <w:t>There are no qualifications in the audit opinions on the historical financial information for the</w:t>
            </w:r>
            <w:r w:rsidR="006220A9">
              <w:rPr>
                <w:color w:val="040505"/>
                <w:sz w:val="18"/>
                <w:szCs w:val="18"/>
              </w:rPr>
              <w:t xml:space="preserve"> </w:t>
            </w:r>
            <w:r>
              <w:rPr>
                <w:color w:val="040505"/>
                <w:sz w:val="18"/>
                <w:szCs w:val="18"/>
              </w:rPr>
              <w:t>year ended on 31 December 2020, which are incorporated by reference.</w:t>
            </w:r>
          </w:p>
        </w:tc>
      </w:tr>
      <w:tr w:rsidR="0031766D" w14:paraId="0B750673" w14:textId="77777777" w:rsidTr="0047572B">
        <w:trPr>
          <w:trHeight w:val="412"/>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099A9C90" w14:textId="77777777" w:rsidR="0031766D" w:rsidRDefault="0031766D" w:rsidP="0047572B">
            <w:pPr>
              <w:pStyle w:val="TableParagraph"/>
              <w:kinsoku w:val="0"/>
              <w:overflowPunct w:val="0"/>
              <w:spacing w:line="201" w:lineRule="exact"/>
              <w:ind w:left="2210" w:right="2200"/>
              <w:jc w:val="center"/>
              <w:rPr>
                <w:b/>
                <w:bCs/>
                <w:color w:val="050606"/>
                <w:sz w:val="18"/>
                <w:szCs w:val="18"/>
              </w:rPr>
            </w:pPr>
            <w:r>
              <w:rPr>
                <w:b/>
                <w:bCs/>
                <w:color w:val="050606"/>
                <w:sz w:val="18"/>
                <w:szCs w:val="18"/>
              </w:rPr>
              <w:t>What are the key risks that are specific to the issuer?</w:t>
            </w:r>
          </w:p>
        </w:tc>
      </w:tr>
      <w:tr w:rsidR="006220A9" w14:paraId="0AA3D10A" w14:textId="77777777" w:rsidTr="0047572B">
        <w:trPr>
          <w:trHeight w:hRule="exact" w:val="3129"/>
        </w:trPr>
        <w:tc>
          <w:tcPr>
            <w:tcW w:w="1395" w:type="dxa"/>
            <w:tcBorders>
              <w:top w:val="single" w:sz="4" w:space="0" w:color="231F20"/>
              <w:left w:val="single" w:sz="4" w:space="0" w:color="231F20"/>
              <w:right w:val="single" w:sz="4" w:space="0" w:color="231F20"/>
            </w:tcBorders>
          </w:tcPr>
          <w:p w14:paraId="23851DDB" w14:textId="77777777" w:rsidR="006220A9" w:rsidRDefault="006220A9" w:rsidP="0047572B">
            <w:pPr>
              <w:pStyle w:val="TableParagraph"/>
              <w:kinsoku w:val="0"/>
              <w:overflowPunct w:val="0"/>
              <w:spacing w:before="1"/>
              <w:ind w:left="107" w:right="93"/>
              <w:rPr>
                <w:color w:val="050606"/>
                <w:sz w:val="18"/>
                <w:szCs w:val="18"/>
              </w:rPr>
            </w:pPr>
            <w:r>
              <w:rPr>
                <w:color w:val="050606"/>
                <w:sz w:val="18"/>
                <w:szCs w:val="18"/>
              </w:rPr>
              <w:t>Key risks specific to the Company or the mining industry</w:t>
            </w:r>
          </w:p>
        </w:tc>
        <w:tc>
          <w:tcPr>
            <w:tcW w:w="7956" w:type="dxa"/>
            <w:vMerge w:val="restart"/>
            <w:tcBorders>
              <w:top w:val="single" w:sz="4" w:space="0" w:color="231F20"/>
              <w:left w:val="single" w:sz="4" w:space="0" w:color="231F20"/>
              <w:right w:val="single" w:sz="4" w:space="0" w:color="231F20"/>
            </w:tcBorders>
          </w:tcPr>
          <w:p w14:paraId="1F75E2D8" w14:textId="5C5B5F3B" w:rsidR="006220A9" w:rsidRDefault="006220A9" w:rsidP="0047572B">
            <w:pPr>
              <w:pStyle w:val="TableParagraph"/>
              <w:tabs>
                <w:tab w:val="left" w:pos="448"/>
              </w:tabs>
              <w:kinsoku w:val="0"/>
              <w:overflowPunct w:val="0"/>
              <w:spacing w:before="1"/>
              <w:ind w:left="467" w:right="88" w:hanging="364"/>
              <w:jc w:val="both"/>
              <w:rPr>
                <w:color w:val="040505"/>
                <w:sz w:val="18"/>
                <w:szCs w:val="18"/>
              </w:rPr>
            </w:pPr>
            <w:r>
              <w:rPr>
                <w:color w:val="231F20"/>
                <w:sz w:val="18"/>
                <w:szCs w:val="18"/>
              </w:rPr>
              <w:t>1.</w:t>
            </w:r>
            <w:r>
              <w:rPr>
                <w:color w:val="231F20"/>
                <w:spacing w:val="11"/>
                <w:sz w:val="18"/>
                <w:szCs w:val="18"/>
              </w:rPr>
              <w:t xml:space="preserve"> </w:t>
            </w:r>
            <w:r w:rsidR="00A43090">
              <w:rPr>
                <w:color w:val="231F20"/>
                <w:spacing w:val="11"/>
                <w:sz w:val="18"/>
                <w:szCs w:val="18"/>
              </w:rPr>
              <w:tab/>
            </w:r>
            <w:r>
              <w:rPr>
                <w:color w:val="040505"/>
                <w:sz w:val="18"/>
                <w:szCs w:val="18"/>
              </w:rPr>
              <w:t>The Group had accrued losses of £812,153 as at 31 December 2020 and</w:t>
            </w:r>
            <w:r w:rsidR="00696DC8">
              <w:rPr>
                <w:color w:val="040505"/>
                <w:sz w:val="18"/>
                <w:szCs w:val="18"/>
              </w:rPr>
              <w:t>,</w:t>
            </w:r>
            <w:r>
              <w:rPr>
                <w:color w:val="040505"/>
                <w:sz w:val="18"/>
                <w:szCs w:val="18"/>
              </w:rPr>
              <w:t xml:space="preserve"> to date, has not generated any revenues. The Group will deploy capital primarily towards the exploration and development</w:t>
            </w:r>
            <w:r>
              <w:rPr>
                <w:color w:val="040505"/>
                <w:spacing w:val="24"/>
                <w:sz w:val="18"/>
                <w:szCs w:val="18"/>
              </w:rPr>
              <w:t xml:space="preserve"> </w:t>
            </w:r>
            <w:r>
              <w:rPr>
                <w:color w:val="040505"/>
                <w:sz w:val="18"/>
                <w:szCs w:val="18"/>
              </w:rPr>
              <w:t>of</w:t>
            </w:r>
            <w:r>
              <w:rPr>
                <w:color w:val="040505"/>
                <w:spacing w:val="22"/>
                <w:sz w:val="18"/>
                <w:szCs w:val="18"/>
              </w:rPr>
              <w:t xml:space="preserve"> </w:t>
            </w:r>
            <w:r>
              <w:rPr>
                <w:color w:val="040505"/>
                <w:sz w:val="18"/>
                <w:szCs w:val="18"/>
              </w:rPr>
              <w:t>copper</w:t>
            </w:r>
            <w:r>
              <w:rPr>
                <w:color w:val="040505"/>
                <w:spacing w:val="22"/>
                <w:sz w:val="18"/>
                <w:szCs w:val="18"/>
              </w:rPr>
              <w:t xml:space="preserve"> </w:t>
            </w:r>
            <w:r>
              <w:rPr>
                <w:color w:val="040505"/>
                <w:sz w:val="18"/>
                <w:szCs w:val="18"/>
              </w:rPr>
              <w:t>and</w:t>
            </w:r>
            <w:r>
              <w:rPr>
                <w:color w:val="040505"/>
                <w:spacing w:val="23"/>
                <w:sz w:val="18"/>
                <w:szCs w:val="18"/>
              </w:rPr>
              <w:t xml:space="preserve"> </w:t>
            </w:r>
            <w:r>
              <w:rPr>
                <w:color w:val="040505"/>
                <w:sz w:val="18"/>
                <w:szCs w:val="18"/>
              </w:rPr>
              <w:t>gold</w:t>
            </w:r>
            <w:r>
              <w:rPr>
                <w:color w:val="040505"/>
                <w:spacing w:val="23"/>
                <w:sz w:val="18"/>
                <w:szCs w:val="18"/>
              </w:rPr>
              <w:t xml:space="preserve"> </w:t>
            </w:r>
            <w:r>
              <w:rPr>
                <w:color w:val="040505"/>
                <w:sz w:val="18"/>
                <w:szCs w:val="18"/>
              </w:rPr>
              <w:t>mineral</w:t>
            </w:r>
            <w:r>
              <w:rPr>
                <w:color w:val="040505"/>
                <w:spacing w:val="23"/>
                <w:sz w:val="18"/>
                <w:szCs w:val="18"/>
              </w:rPr>
              <w:t xml:space="preserve"> </w:t>
            </w:r>
            <w:r>
              <w:rPr>
                <w:color w:val="040505"/>
                <w:sz w:val="18"/>
                <w:szCs w:val="18"/>
              </w:rPr>
              <w:t>resource</w:t>
            </w:r>
            <w:r>
              <w:rPr>
                <w:color w:val="040505"/>
                <w:spacing w:val="25"/>
                <w:sz w:val="18"/>
                <w:szCs w:val="18"/>
              </w:rPr>
              <w:t xml:space="preserve"> </w:t>
            </w:r>
            <w:r>
              <w:rPr>
                <w:color w:val="040505"/>
                <w:sz w:val="18"/>
                <w:szCs w:val="18"/>
              </w:rPr>
              <w:t>deposits</w:t>
            </w:r>
            <w:r>
              <w:rPr>
                <w:color w:val="040505"/>
                <w:spacing w:val="23"/>
                <w:sz w:val="18"/>
                <w:szCs w:val="18"/>
              </w:rPr>
              <w:t xml:space="preserve"> </w:t>
            </w:r>
            <w:r>
              <w:rPr>
                <w:color w:val="040505"/>
                <w:sz w:val="18"/>
                <w:szCs w:val="18"/>
              </w:rPr>
              <w:t>on</w:t>
            </w:r>
            <w:r>
              <w:rPr>
                <w:color w:val="040505"/>
                <w:spacing w:val="22"/>
                <w:sz w:val="18"/>
                <w:szCs w:val="18"/>
              </w:rPr>
              <w:t xml:space="preserve"> </w:t>
            </w:r>
            <w:r>
              <w:rPr>
                <w:color w:val="040505"/>
                <w:sz w:val="18"/>
                <w:szCs w:val="18"/>
              </w:rPr>
              <w:t>its</w:t>
            </w:r>
            <w:r>
              <w:rPr>
                <w:color w:val="040505"/>
                <w:spacing w:val="25"/>
                <w:sz w:val="18"/>
                <w:szCs w:val="18"/>
              </w:rPr>
              <w:t xml:space="preserve"> </w:t>
            </w:r>
            <w:r>
              <w:rPr>
                <w:color w:val="040505"/>
                <w:sz w:val="18"/>
                <w:szCs w:val="18"/>
              </w:rPr>
              <w:t>Portfolio</w:t>
            </w:r>
            <w:r>
              <w:rPr>
                <w:color w:val="040505"/>
                <w:spacing w:val="23"/>
                <w:sz w:val="18"/>
                <w:szCs w:val="18"/>
              </w:rPr>
              <w:t xml:space="preserve"> </w:t>
            </w:r>
            <w:r>
              <w:rPr>
                <w:color w:val="040505"/>
                <w:sz w:val="18"/>
                <w:szCs w:val="18"/>
              </w:rPr>
              <w:t>in</w:t>
            </w:r>
            <w:r>
              <w:rPr>
                <w:color w:val="040505"/>
                <w:spacing w:val="23"/>
                <w:sz w:val="18"/>
                <w:szCs w:val="18"/>
              </w:rPr>
              <w:t xml:space="preserve"> </w:t>
            </w:r>
            <w:r>
              <w:rPr>
                <w:color w:val="040505"/>
                <w:sz w:val="18"/>
                <w:szCs w:val="18"/>
              </w:rPr>
              <w:t>Cyprus. There</w:t>
            </w:r>
            <w:r>
              <w:rPr>
                <w:color w:val="040505"/>
                <w:spacing w:val="-9"/>
                <w:sz w:val="18"/>
                <w:szCs w:val="18"/>
              </w:rPr>
              <w:t xml:space="preserve"> </w:t>
            </w:r>
            <w:r>
              <w:rPr>
                <w:color w:val="040505"/>
                <w:sz w:val="18"/>
                <w:szCs w:val="18"/>
              </w:rPr>
              <w:t>can</w:t>
            </w:r>
            <w:r>
              <w:rPr>
                <w:color w:val="040505"/>
                <w:spacing w:val="-11"/>
                <w:sz w:val="18"/>
                <w:szCs w:val="18"/>
              </w:rPr>
              <w:t xml:space="preserve"> </w:t>
            </w:r>
            <w:r>
              <w:rPr>
                <w:color w:val="040505"/>
                <w:sz w:val="18"/>
                <w:szCs w:val="18"/>
              </w:rPr>
              <w:t>be</w:t>
            </w:r>
            <w:r>
              <w:rPr>
                <w:color w:val="040505"/>
                <w:spacing w:val="-9"/>
                <w:sz w:val="18"/>
                <w:szCs w:val="18"/>
              </w:rPr>
              <w:t xml:space="preserve"> </w:t>
            </w:r>
            <w:r>
              <w:rPr>
                <w:color w:val="040505"/>
                <w:sz w:val="18"/>
                <w:szCs w:val="18"/>
              </w:rPr>
              <w:t>no</w:t>
            </w:r>
            <w:r>
              <w:rPr>
                <w:color w:val="040505"/>
                <w:spacing w:val="-11"/>
                <w:sz w:val="18"/>
                <w:szCs w:val="18"/>
              </w:rPr>
              <w:t xml:space="preserve"> </w:t>
            </w:r>
            <w:r>
              <w:rPr>
                <w:color w:val="040505"/>
                <w:sz w:val="18"/>
                <w:szCs w:val="18"/>
              </w:rPr>
              <w:t>assurance</w:t>
            </w:r>
            <w:r>
              <w:rPr>
                <w:color w:val="040505"/>
                <w:spacing w:val="-11"/>
                <w:sz w:val="18"/>
                <w:szCs w:val="18"/>
              </w:rPr>
              <w:t xml:space="preserve"> </w:t>
            </w:r>
            <w:r>
              <w:rPr>
                <w:color w:val="040505"/>
                <w:sz w:val="18"/>
                <w:szCs w:val="18"/>
              </w:rPr>
              <w:t>that</w:t>
            </w:r>
            <w:r>
              <w:rPr>
                <w:color w:val="040505"/>
                <w:spacing w:val="-8"/>
                <w:sz w:val="18"/>
                <w:szCs w:val="18"/>
              </w:rPr>
              <w:t xml:space="preserve"> </w:t>
            </w:r>
            <w:r>
              <w:rPr>
                <w:color w:val="040505"/>
                <w:sz w:val="18"/>
                <w:szCs w:val="18"/>
              </w:rPr>
              <w:t>the</w:t>
            </w:r>
            <w:r>
              <w:rPr>
                <w:color w:val="040505"/>
                <w:spacing w:val="-9"/>
                <w:sz w:val="18"/>
                <w:szCs w:val="18"/>
              </w:rPr>
              <w:t xml:space="preserve"> </w:t>
            </w:r>
            <w:r>
              <w:rPr>
                <w:color w:val="040505"/>
                <w:sz w:val="18"/>
                <w:szCs w:val="18"/>
              </w:rPr>
              <w:t>Group</w:t>
            </w:r>
            <w:r>
              <w:rPr>
                <w:color w:val="040505"/>
                <w:spacing w:val="-9"/>
                <w:sz w:val="18"/>
                <w:szCs w:val="18"/>
              </w:rPr>
              <w:t xml:space="preserve"> </w:t>
            </w:r>
            <w:r>
              <w:rPr>
                <w:color w:val="040505"/>
                <w:sz w:val="18"/>
                <w:szCs w:val="18"/>
              </w:rPr>
              <w:t>will</w:t>
            </w:r>
            <w:r>
              <w:rPr>
                <w:color w:val="040505"/>
                <w:spacing w:val="-9"/>
                <w:sz w:val="18"/>
                <w:szCs w:val="18"/>
              </w:rPr>
              <w:t xml:space="preserve"> </w:t>
            </w:r>
            <w:r>
              <w:rPr>
                <w:color w:val="040505"/>
                <w:sz w:val="18"/>
                <w:szCs w:val="18"/>
              </w:rPr>
              <w:t>identify</w:t>
            </w:r>
            <w:r>
              <w:rPr>
                <w:color w:val="040505"/>
                <w:spacing w:val="-10"/>
                <w:sz w:val="18"/>
                <w:szCs w:val="18"/>
              </w:rPr>
              <w:t xml:space="preserve"> </w:t>
            </w:r>
            <w:r>
              <w:rPr>
                <w:color w:val="040505"/>
                <w:sz w:val="18"/>
                <w:szCs w:val="18"/>
              </w:rPr>
              <w:t>a</w:t>
            </w:r>
            <w:r>
              <w:rPr>
                <w:color w:val="040505"/>
                <w:spacing w:val="-9"/>
                <w:sz w:val="18"/>
                <w:szCs w:val="18"/>
              </w:rPr>
              <w:t xml:space="preserve"> </w:t>
            </w:r>
            <w:r>
              <w:rPr>
                <w:color w:val="040505"/>
                <w:sz w:val="18"/>
                <w:szCs w:val="18"/>
              </w:rPr>
              <w:t>commercially</w:t>
            </w:r>
            <w:r>
              <w:rPr>
                <w:color w:val="040505"/>
                <w:spacing w:val="-10"/>
                <w:sz w:val="18"/>
                <w:szCs w:val="18"/>
              </w:rPr>
              <w:t xml:space="preserve"> </w:t>
            </w:r>
            <w:r>
              <w:rPr>
                <w:color w:val="040505"/>
                <w:sz w:val="18"/>
                <w:szCs w:val="18"/>
              </w:rPr>
              <w:t>viable</w:t>
            </w:r>
            <w:r>
              <w:rPr>
                <w:color w:val="040505"/>
                <w:spacing w:val="-10"/>
                <w:sz w:val="18"/>
                <w:szCs w:val="18"/>
              </w:rPr>
              <w:t xml:space="preserve"> </w:t>
            </w:r>
            <w:r>
              <w:rPr>
                <w:color w:val="040505"/>
                <w:sz w:val="18"/>
                <w:szCs w:val="18"/>
              </w:rPr>
              <w:t>mining</w:t>
            </w:r>
            <w:r>
              <w:rPr>
                <w:color w:val="040505"/>
                <w:spacing w:val="-11"/>
                <w:sz w:val="18"/>
                <w:szCs w:val="18"/>
              </w:rPr>
              <w:t xml:space="preserve"> </w:t>
            </w:r>
            <w:r>
              <w:rPr>
                <w:color w:val="040505"/>
                <w:sz w:val="18"/>
                <w:szCs w:val="18"/>
              </w:rPr>
              <w:t>asset and, therefore, no assurance can be provided that the Group will become</w:t>
            </w:r>
            <w:r w:rsidR="00A43090">
              <w:rPr>
                <w:color w:val="040505"/>
                <w:sz w:val="18"/>
                <w:szCs w:val="18"/>
              </w:rPr>
              <w:t xml:space="preserve"> </w:t>
            </w:r>
            <w:r>
              <w:rPr>
                <w:color w:val="040505"/>
                <w:sz w:val="18"/>
                <w:szCs w:val="18"/>
              </w:rPr>
              <w:t>revenue generating</w:t>
            </w:r>
            <w:r>
              <w:rPr>
                <w:color w:val="040505"/>
                <w:spacing w:val="-6"/>
                <w:sz w:val="18"/>
                <w:szCs w:val="18"/>
              </w:rPr>
              <w:t xml:space="preserve"> </w:t>
            </w:r>
            <w:r>
              <w:rPr>
                <w:color w:val="040505"/>
                <w:sz w:val="18"/>
                <w:szCs w:val="18"/>
              </w:rPr>
              <w:t>and</w:t>
            </w:r>
            <w:r>
              <w:rPr>
                <w:color w:val="040505"/>
                <w:spacing w:val="-6"/>
                <w:sz w:val="18"/>
                <w:szCs w:val="18"/>
              </w:rPr>
              <w:t xml:space="preserve"> </w:t>
            </w:r>
            <w:r>
              <w:rPr>
                <w:color w:val="040505"/>
                <w:sz w:val="18"/>
                <w:szCs w:val="18"/>
              </w:rPr>
              <w:t>or</w:t>
            </w:r>
            <w:r>
              <w:rPr>
                <w:color w:val="040505"/>
                <w:spacing w:val="-9"/>
                <w:sz w:val="18"/>
                <w:szCs w:val="18"/>
              </w:rPr>
              <w:t xml:space="preserve"> </w:t>
            </w:r>
            <w:r>
              <w:rPr>
                <w:color w:val="040505"/>
                <w:sz w:val="18"/>
                <w:szCs w:val="18"/>
              </w:rPr>
              <w:t>profitable</w:t>
            </w:r>
            <w:r>
              <w:rPr>
                <w:color w:val="040505"/>
                <w:spacing w:val="-6"/>
                <w:sz w:val="18"/>
                <w:szCs w:val="18"/>
              </w:rPr>
              <w:t xml:space="preserve"> </w:t>
            </w:r>
            <w:r>
              <w:rPr>
                <w:color w:val="040505"/>
                <w:sz w:val="18"/>
                <w:szCs w:val="18"/>
              </w:rPr>
              <w:t>in</w:t>
            </w:r>
            <w:r>
              <w:rPr>
                <w:color w:val="040505"/>
                <w:spacing w:val="-11"/>
                <w:sz w:val="18"/>
                <w:szCs w:val="18"/>
              </w:rPr>
              <w:t xml:space="preserve"> </w:t>
            </w:r>
            <w:r>
              <w:rPr>
                <w:color w:val="040505"/>
                <w:sz w:val="18"/>
                <w:szCs w:val="18"/>
              </w:rPr>
              <w:t>future.</w:t>
            </w:r>
            <w:r>
              <w:rPr>
                <w:color w:val="040505"/>
                <w:spacing w:val="-9"/>
                <w:sz w:val="18"/>
                <w:szCs w:val="18"/>
              </w:rPr>
              <w:t xml:space="preserve"> </w:t>
            </w:r>
            <w:r>
              <w:rPr>
                <w:color w:val="040505"/>
                <w:sz w:val="18"/>
                <w:szCs w:val="18"/>
              </w:rPr>
              <w:t>The</w:t>
            </w:r>
            <w:r>
              <w:rPr>
                <w:color w:val="040505"/>
                <w:spacing w:val="-6"/>
                <w:sz w:val="18"/>
                <w:szCs w:val="18"/>
              </w:rPr>
              <w:t xml:space="preserve"> </w:t>
            </w:r>
            <w:r>
              <w:rPr>
                <w:color w:val="040505"/>
                <w:sz w:val="18"/>
                <w:szCs w:val="18"/>
              </w:rPr>
              <w:t>Group</w:t>
            </w:r>
            <w:r>
              <w:rPr>
                <w:color w:val="040505"/>
                <w:spacing w:val="-9"/>
                <w:sz w:val="18"/>
                <w:szCs w:val="18"/>
              </w:rPr>
              <w:t xml:space="preserve"> </w:t>
            </w:r>
            <w:r>
              <w:rPr>
                <w:color w:val="040505"/>
                <w:sz w:val="18"/>
                <w:szCs w:val="18"/>
              </w:rPr>
              <w:t>also</w:t>
            </w:r>
            <w:r>
              <w:rPr>
                <w:color w:val="040505"/>
                <w:spacing w:val="-6"/>
                <w:sz w:val="18"/>
                <w:szCs w:val="18"/>
              </w:rPr>
              <w:t xml:space="preserve"> </w:t>
            </w:r>
            <w:r>
              <w:rPr>
                <w:color w:val="040505"/>
                <w:sz w:val="18"/>
                <w:szCs w:val="18"/>
              </w:rPr>
              <w:t>has</w:t>
            </w:r>
            <w:r>
              <w:rPr>
                <w:color w:val="040505"/>
                <w:spacing w:val="-6"/>
                <w:sz w:val="18"/>
                <w:szCs w:val="18"/>
              </w:rPr>
              <w:t xml:space="preserve"> </w:t>
            </w:r>
            <w:r>
              <w:rPr>
                <w:color w:val="040505"/>
                <w:sz w:val="18"/>
                <w:szCs w:val="18"/>
              </w:rPr>
              <w:t>no</w:t>
            </w:r>
            <w:r>
              <w:rPr>
                <w:color w:val="040505"/>
                <w:spacing w:val="-9"/>
                <w:sz w:val="18"/>
                <w:szCs w:val="18"/>
              </w:rPr>
              <w:t xml:space="preserve"> </w:t>
            </w:r>
            <w:r>
              <w:rPr>
                <w:color w:val="040505"/>
                <w:sz w:val="18"/>
                <w:szCs w:val="18"/>
              </w:rPr>
              <w:t>current</w:t>
            </w:r>
            <w:r>
              <w:rPr>
                <w:color w:val="040505"/>
                <w:spacing w:val="-6"/>
                <w:sz w:val="18"/>
                <w:szCs w:val="18"/>
              </w:rPr>
              <w:t xml:space="preserve"> </w:t>
            </w:r>
            <w:r>
              <w:rPr>
                <w:color w:val="040505"/>
                <w:sz w:val="18"/>
                <w:szCs w:val="18"/>
              </w:rPr>
              <w:t>trading</w:t>
            </w:r>
            <w:r>
              <w:rPr>
                <w:color w:val="040505"/>
                <w:spacing w:val="-9"/>
                <w:sz w:val="18"/>
                <w:szCs w:val="18"/>
              </w:rPr>
              <w:t xml:space="preserve"> </w:t>
            </w:r>
            <w:r>
              <w:rPr>
                <w:color w:val="040505"/>
                <w:sz w:val="18"/>
                <w:szCs w:val="18"/>
              </w:rPr>
              <w:t>record</w:t>
            </w:r>
            <w:r>
              <w:rPr>
                <w:color w:val="040505"/>
                <w:spacing w:val="-5"/>
                <w:sz w:val="18"/>
                <w:szCs w:val="18"/>
              </w:rPr>
              <w:t xml:space="preserve"> </w:t>
            </w:r>
            <w:r>
              <w:rPr>
                <w:color w:val="040505"/>
                <w:sz w:val="18"/>
                <w:szCs w:val="18"/>
              </w:rPr>
              <w:t>which can be analysed. The current Historical Financial Information of the Group therefore provides a very limited basis on which investors may evaluate potential future</w:t>
            </w:r>
            <w:r>
              <w:rPr>
                <w:color w:val="040505"/>
                <w:spacing w:val="-12"/>
                <w:sz w:val="18"/>
                <w:szCs w:val="18"/>
              </w:rPr>
              <w:t xml:space="preserve"> </w:t>
            </w:r>
            <w:r>
              <w:rPr>
                <w:color w:val="040505"/>
                <w:sz w:val="18"/>
                <w:szCs w:val="18"/>
              </w:rPr>
              <w:t>performance.</w:t>
            </w:r>
          </w:p>
          <w:p w14:paraId="088C47AC" w14:textId="77777777" w:rsidR="006220A9" w:rsidRPr="008D29E2" w:rsidRDefault="006220A9" w:rsidP="00512495">
            <w:pPr>
              <w:pStyle w:val="TableParagraph"/>
              <w:numPr>
                <w:ilvl w:val="0"/>
                <w:numId w:val="24"/>
              </w:numPr>
              <w:tabs>
                <w:tab w:val="left" w:pos="469"/>
              </w:tabs>
              <w:kinsoku w:val="0"/>
              <w:overflowPunct w:val="0"/>
              <w:ind w:right="90" w:hanging="364"/>
              <w:jc w:val="both"/>
              <w:rPr>
                <w:color w:val="231F20"/>
                <w:sz w:val="18"/>
                <w:szCs w:val="18"/>
              </w:rPr>
            </w:pPr>
            <w:r w:rsidRPr="008D29E2">
              <w:rPr>
                <w:color w:val="040505"/>
                <w:sz w:val="18"/>
                <w:szCs w:val="18"/>
              </w:rPr>
              <w:t xml:space="preserve">The Group’s ability to undertake exploration and drilling work at its licence areas in Cyprus </w:t>
            </w:r>
            <w:r w:rsidRPr="00D54B42">
              <w:rPr>
                <w:color w:val="040505"/>
                <w:sz w:val="18"/>
                <w:szCs w:val="18"/>
              </w:rPr>
              <w:t xml:space="preserve">and Canada </w:t>
            </w:r>
            <w:r w:rsidRPr="008D29E2">
              <w:rPr>
                <w:color w:val="040505"/>
                <w:sz w:val="18"/>
                <w:szCs w:val="18"/>
              </w:rPr>
              <w:t xml:space="preserve">depends upon the maintenance </w:t>
            </w:r>
            <w:r w:rsidRPr="00D54B42">
              <w:rPr>
                <w:color w:val="040505"/>
                <w:sz w:val="18"/>
                <w:szCs w:val="18"/>
              </w:rPr>
              <w:t>and renewal of licences, which, to date, the Group has been successful in maintaining.</w:t>
            </w:r>
            <w:r w:rsidRPr="00D54B42">
              <w:rPr>
                <w:color w:val="040505"/>
                <w:spacing w:val="-5"/>
                <w:sz w:val="18"/>
                <w:szCs w:val="18"/>
              </w:rPr>
              <w:t xml:space="preserve"> </w:t>
            </w:r>
            <w:r w:rsidRPr="008D29E2">
              <w:rPr>
                <w:color w:val="070808"/>
                <w:sz w:val="18"/>
                <w:szCs w:val="18"/>
              </w:rPr>
              <w:t xml:space="preserve">The Directors are not aware of any circumstances likely to lead to the termination and or non-renewal of </w:t>
            </w:r>
            <w:r w:rsidRPr="00D54B42">
              <w:rPr>
                <w:color w:val="070808"/>
                <w:sz w:val="18"/>
                <w:szCs w:val="18"/>
              </w:rPr>
              <w:t xml:space="preserve">licences, </w:t>
            </w:r>
            <w:r w:rsidRPr="008D29E2">
              <w:rPr>
                <w:color w:val="040505"/>
                <w:sz w:val="18"/>
                <w:szCs w:val="18"/>
              </w:rPr>
              <w:t>save for the dispute with the surface rights owner detailed at Part A of the Risk Factors</w:t>
            </w:r>
            <w:r w:rsidRPr="008D29E2">
              <w:rPr>
                <w:color w:val="070808"/>
                <w:sz w:val="18"/>
                <w:szCs w:val="18"/>
              </w:rPr>
              <w:t xml:space="preserve">. However, there can be no guarantee that the Group will be able to maintain all required approvals, licences and permits relating to its exploration and development activities. If some or all of the </w:t>
            </w:r>
            <w:r w:rsidRPr="00D54B42">
              <w:rPr>
                <w:color w:val="070808"/>
                <w:sz w:val="18"/>
                <w:szCs w:val="18"/>
              </w:rPr>
              <w:t>licences</w:t>
            </w:r>
            <w:r w:rsidRPr="008D29E2">
              <w:rPr>
                <w:color w:val="070808"/>
                <w:sz w:val="18"/>
                <w:szCs w:val="18"/>
              </w:rPr>
              <w:t xml:space="preserve"> were to be revoked or otherwise not renewed or maintained, the Group would be </w:t>
            </w:r>
            <w:r w:rsidRPr="008D29E2">
              <w:rPr>
                <w:color w:val="231F20"/>
                <w:sz w:val="18"/>
                <w:szCs w:val="18"/>
              </w:rPr>
              <w:t>effectively prevented from carrying on its mineral resource operations on the affected licence areas, which could have a material adverse effect on the Portfolio’s exploration potential and its value, impacting the Group’s operational and financial</w:t>
            </w:r>
            <w:r w:rsidRPr="008D29E2">
              <w:rPr>
                <w:color w:val="231F20"/>
                <w:spacing w:val="-1"/>
                <w:sz w:val="18"/>
                <w:szCs w:val="18"/>
              </w:rPr>
              <w:t xml:space="preserve"> </w:t>
            </w:r>
            <w:r w:rsidRPr="008D29E2">
              <w:rPr>
                <w:color w:val="231F20"/>
                <w:sz w:val="18"/>
                <w:szCs w:val="18"/>
              </w:rPr>
              <w:t>performance.</w:t>
            </w:r>
          </w:p>
          <w:p w14:paraId="08A644BD" w14:textId="77777777" w:rsidR="006220A9" w:rsidRDefault="006220A9" w:rsidP="00512495">
            <w:pPr>
              <w:pStyle w:val="TableParagraph"/>
              <w:numPr>
                <w:ilvl w:val="0"/>
                <w:numId w:val="24"/>
              </w:numPr>
              <w:tabs>
                <w:tab w:val="left" w:pos="469"/>
              </w:tabs>
              <w:kinsoku w:val="0"/>
              <w:overflowPunct w:val="0"/>
              <w:ind w:right="92" w:hanging="364"/>
              <w:jc w:val="both"/>
              <w:rPr>
                <w:color w:val="040505"/>
                <w:sz w:val="18"/>
                <w:szCs w:val="18"/>
              </w:rPr>
            </w:pPr>
            <w:r>
              <w:rPr>
                <w:color w:val="040505"/>
                <w:sz w:val="18"/>
                <w:szCs w:val="18"/>
              </w:rPr>
              <w:t xml:space="preserve">Mineral exploration and development </w:t>
            </w:r>
            <w:proofErr w:type="gramStart"/>
            <w:r>
              <w:rPr>
                <w:color w:val="040505"/>
                <w:sz w:val="18"/>
                <w:szCs w:val="18"/>
              </w:rPr>
              <w:t>is</w:t>
            </w:r>
            <w:proofErr w:type="gramEnd"/>
            <w:r>
              <w:rPr>
                <w:color w:val="040505"/>
                <w:sz w:val="18"/>
                <w:szCs w:val="18"/>
              </w:rPr>
              <w:t xml:space="preserve"> a speculative and high-risk undertaking that may be impacted by circumstances and factors beyond the control of the Group. Many</w:t>
            </w:r>
            <w:r>
              <w:rPr>
                <w:color w:val="070808"/>
                <w:sz w:val="18"/>
                <w:szCs w:val="18"/>
              </w:rPr>
              <w:t xml:space="preserve"> exploration projects do not result in the discovery of commercially mineable deposits.</w:t>
            </w:r>
            <w:r>
              <w:rPr>
                <w:color w:val="040505"/>
                <w:sz w:val="18"/>
                <w:szCs w:val="18"/>
              </w:rPr>
              <w:t xml:space="preserve"> Failure to discover new resources or to enhance existing resources in sufficient amounts and in a timely manner would materially and adversely affect the Group’s results of operations, cash flows, financial </w:t>
            </w:r>
            <w:proofErr w:type="gramStart"/>
            <w:r>
              <w:rPr>
                <w:color w:val="040505"/>
                <w:sz w:val="18"/>
                <w:szCs w:val="18"/>
              </w:rPr>
              <w:t>condition</w:t>
            </w:r>
            <w:proofErr w:type="gramEnd"/>
            <w:r>
              <w:rPr>
                <w:color w:val="040505"/>
                <w:sz w:val="18"/>
                <w:szCs w:val="18"/>
              </w:rPr>
              <w:t xml:space="preserve"> and</w:t>
            </w:r>
            <w:r>
              <w:rPr>
                <w:color w:val="040505"/>
                <w:spacing w:val="-1"/>
                <w:sz w:val="18"/>
                <w:szCs w:val="18"/>
              </w:rPr>
              <w:t xml:space="preserve"> </w:t>
            </w:r>
            <w:r>
              <w:rPr>
                <w:color w:val="040505"/>
                <w:sz w:val="18"/>
                <w:szCs w:val="18"/>
              </w:rPr>
              <w:t>prospects.</w:t>
            </w:r>
          </w:p>
          <w:p w14:paraId="6DA7C36D" w14:textId="77777777" w:rsidR="006220A9" w:rsidRPr="0071285F" w:rsidRDefault="006220A9" w:rsidP="00512495">
            <w:pPr>
              <w:pStyle w:val="TableParagraph"/>
              <w:numPr>
                <w:ilvl w:val="0"/>
                <w:numId w:val="24"/>
              </w:numPr>
              <w:tabs>
                <w:tab w:val="left" w:pos="469"/>
              </w:tabs>
              <w:kinsoku w:val="0"/>
              <w:overflowPunct w:val="0"/>
              <w:ind w:right="91" w:hanging="364"/>
              <w:jc w:val="both"/>
              <w:rPr>
                <w:color w:val="040505"/>
                <w:sz w:val="18"/>
                <w:szCs w:val="18"/>
              </w:rPr>
            </w:pPr>
            <w:r>
              <w:rPr>
                <w:color w:val="231F20"/>
                <w:sz w:val="18"/>
                <w:szCs w:val="18"/>
              </w:rPr>
              <w:t>G</w:t>
            </w:r>
            <w:r w:rsidRPr="0071285F">
              <w:rPr>
                <w:color w:val="231F20"/>
                <w:sz w:val="18"/>
                <w:szCs w:val="18"/>
              </w:rPr>
              <w:t xml:space="preserve">iven the spread of </w:t>
            </w:r>
            <w:r w:rsidRPr="0071285F">
              <w:rPr>
                <w:color w:val="040505"/>
                <w:sz w:val="18"/>
                <w:szCs w:val="18"/>
              </w:rPr>
              <w:t xml:space="preserve">COVID 19 </w:t>
            </w:r>
            <w:r w:rsidRPr="0071285F">
              <w:rPr>
                <w:color w:val="231F20"/>
                <w:sz w:val="18"/>
                <w:szCs w:val="18"/>
              </w:rPr>
              <w:t xml:space="preserve">variants and notwithstanding ongoing vaccination programmes, </w:t>
            </w:r>
            <w:r w:rsidRPr="0071285F">
              <w:rPr>
                <w:color w:val="040505"/>
                <w:sz w:val="18"/>
                <w:szCs w:val="18"/>
              </w:rPr>
              <w:t>it</w:t>
            </w:r>
            <w:r w:rsidRPr="0071285F">
              <w:rPr>
                <w:color w:val="040505"/>
                <w:spacing w:val="-13"/>
                <w:sz w:val="18"/>
                <w:szCs w:val="18"/>
              </w:rPr>
              <w:t xml:space="preserve"> </w:t>
            </w:r>
            <w:r w:rsidRPr="0071285F">
              <w:rPr>
                <w:color w:val="040505"/>
                <w:sz w:val="18"/>
                <w:szCs w:val="18"/>
              </w:rPr>
              <w:t>is</w:t>
            </w:r>
            <w:r w:rsidRPr="0071285F">
              <w:rPr>
                <w:color w:val="040505"/>
                <w:spacing w:val="-13"/>
                <w:sz w:val="18"/>
                <w:szCs w:val="18"/>
              </w:rPr>
              <w:t xml:space="preserve"> </w:t>
            </w:r>
            <w:r w:rsidRPr="0071285F">
              <w:rPr>
                <w:color w:val="040505"/>
                <w:sz w:val="18"/>
                <w:szCs w:val="18"/>
              </w:rPr>
              <w:t>conceivable</w:t>
            </w:r>
            <w:r w:rsidRPr="0071285F">
              <w:rPr>
                <w:color w:val="040505"/>
                <w:spacing w:val="-13"/>
                <w:sz w:val="18"/>
                <w:szCs w:val="18"/>
              </w:rPr>
              <w:t xml:space="preserve"> </w:t>
            </w:r>
            <w:r w:rsidRPr="0071285F">
              <w:rPr>
                <w:color w:val="040505"/>
                <w:sz w:val="18"/>
                <w:szCs w:val="18"/>
              </w:rPr>
              <w:t>that</w:t>
            </w:r>
            <w:r w:rsidRPr="0071285F">
              <w:rPr>
                <w:color w:val="040505"/>
                <w:spacing w:val="-14"/>
                <w:sz w:val="18"/>
                <w:szCs w:val="18"/>
              </w:rPr>
              <w:t xml:space="preserve"> existing or </w:t>
            </w:r>
            <w:r w:rsidRPr="0071285F">
              <w:rPr>
                <w:color w:val="040505"/>
                <w:sz w:val="18"/>
                <w:szCs w:val="18"/>
              </w:rPr>
              <w:t>new</w:t>
            </w:r>
            <w:r w:rsidRPr="0071285F">
              <w:rPr>
                <w:color w:val="040505"/>
                <w:spacing w:val="-16"/>
                <w:sz w:val="18"/>
                <w:szCs w:val="18"/>
              </w:rPr>
              <w:t xml:space="preserve"> </w:t>
            </w:r>
            <w:r w:rsidRPr="0071285F">
              <w:rPr>
                <w:color w:val="040505"/>
                <w:sz w:val="18"/>
                <w:szCs w:val="18"/>
              </w:rPr>
              <w:t>lock-down</w:t>
            </w:r>
            <w:r w:rsidRPr="0071285F">
              <w:rPr>
                <w:color w:val="040505"/>
                <w:spacing w:val="-13"/>
                <w:sz w:val="18"/>
                <w:szCs w:val="18"/>
              </w:rPr>
              <w:t xml:space="preserve"> </w:t>
            </w:r>
            <w:r>
              <w:rPr>
                <w:color w:val="040505"/>
                <w:spacing w:val="-13"/>
                <w:sz w:val="18"/>
                <w:szCs w:val="18"/>
              </w:rPr>
              <w:t>restrictions</w:t>
            </w:r>
            <w:r w:rsidRPr="00742C76">
              <w:rPr>
                <w:color w:val="040505"/>
                <w:sz w:val="18"/>
                <w:szCs w:val="18"/>
              </w:rPr>
              <w:t>, including restrictions on the entry of personnel into Cyprus or Canada,</w:t>
            </w:r>
            <w:r w:rsidRPr="0071285F">
              <w:rPr>
                <w:color w:val="040505"/>
                <w:spacing w:val="-7"/>
                <w:sz w:val="18"/>
                <w:szCs w:val="18"/>
              </w:rPr>
              <w:t xml:space="preserve"> </w:t>
            </w:r>
            <w:r w:rsidRPr="0071285F">
              <w:rPr>
                <w:color w:val="040505"/>
                <w:sz w:val="18"/>
                <w:szCs w:val="18"/>
              </w:rPr>
              <w:t>could</w:t>
            </w:r>
            <w:r w:rsidRPr="0071285F">
              <w:rPr>
                <w:color w:val="040505"/>
                <w:spacing w:val="-6"/>
                <w:sz w:val="18"/>
                <w:szCs w:val="18"/>
              </w:rPr>
              <w:t xml:space="preserve"> </w:t>
            </w:r>
            <w:r w:rsidRPr="0071285F">
              <w:rPr>
                <w:color w:val="040505"/>
                <w:sz w:val="18"/>
                <w:szCs w:val="18"/>
              </w:rPr>
              <w:t>be</w:t>
            </w:r>
            <w:r w:rsidRPr="0071285F">
              <w:rPr>
                <w:color w:val="040505"/>
                <w:spacing w:val="-6"/>
                <w:sz w:val="18"/>
                <w:szCs w:val="18"/>
              </w:rPr>
              <w:t xml:space="preserve"> maintained for longer than expected, introduced or </w:t>
            </w:r>
            <w:r w:rsidRPr="0071285F">
              <w:rPr>
                <w:color w:val="040505"/>
                <w:sz w:val="18"/>
                <w:szCs w:val="18"/>
              </w:rPr>
              <w:t>re-introduced</w:t>
            </w:r>
            <w:r w:rsidRPr="0071285F">
              <w:rPr>
                <w:color w:val="040505"/>
                <w:spacing w:val="-6"/>
                <w:sz w:val="18"/>
                <w:szCs w:val="18"/>
              </w:rPr>
              <w:t xml:space="preserve"> </w:t>
            </w:r>
            <w:r w:rsidRPr="0071285F">
              <w:rPr>
                <w:color w:val="040505"/>
                <w:sz w:val="18"/>
                <w:szCs w:val="18"/>
              </w:rPr>
              <w:t>at</w:t>
            </w:r>
            <w:r w:rsidRPr="0071285F">
              <w:rPr>
                <w:color w:val="040505"/>
                <w:spacing w:val="-6"/>
                <w:sz w:val="18"/>
                <w:szCs w:val="18"/>
              </w:rPr>
              <w:t xml:space="preserve"> </w:t>
            </w:r>
            <w:r w:rsidRPr="0071285F">
              <w:rPr>
                <w:color w:val="040505"/>
                <w:sz w:val="18"/>
                <w:szCs w:val="18"/>
              </w:rPr>
              <w:t>any</w:t>
            </w:r>
            <w:r w:rsidRPr="0071285F">
              <w:rPr>
                <w:color w:val="040505"/>
                <w:spacing w:val="-8"/>
                <w:sz w:val="18"/>
                <w:szCs w:val="18"/>
              </w:rPr>
              <w:t xml:space="preserve"> </w:t>
            </w:r>
            <w:r w:rsidRPr="0071285F">
              <w:rPr>
                <w:color w:val="040505"/>
                <w:sz w:val="18"/>
                <w:szCs w:val="18"/>
              </w:rPr>
              <w:t>time</w:t>
            </w:r>
            <w:r w:rsidRPr="0071285F">
              <w:rPr>
                <w:color w:val="040505"/>
                <w:spacing w:val="-6"/>
                <w:sz w:val="18"/>
                <w:szCs w:val="18"/>
              </w:rPr>
              <w:t xml:space="preserve"> </w:t>
            </w:r>
            <w:r w:rsidRPr="0071285F">
              <w:rPr>
                <w:color w:val="040505"/>
                <w:sz w:val="18"/>
                <w:szCs w:val="18"/>
              </w:rPr>
              <w:t>in</w:t>
            </w:r>
            <w:r w:rsidRPr="0071285F">
              <w:rPr>
                <w:color w:val="040505"/>
                <w:spacing w:val="-7"/>
                <w:sz w:val="18"/>
                <w:szCs w:val="18"/>
              </w:rPr>
              <w:t xml:space="preserve"> </w:t>
            </w:r>
            <w:r w:rsidRPr="0071285F">
              <w:rPr>
                <w:color w:val="040505"/>
                <w:sz w:val="18"/>
                <w:szCs w:val="18"/>
              </w:rPr>
              <w:t>Cyprus</w:t>
            </w:r>
            <w:r>
              <w:rPr>
                <w:color w:val="040505"/>
                <w:sz w:val="18"/>
                <w:szCs w:val="18"/>
              </w:rPr>
              <w:t>, Canada</w:t>
            </w:r>
            <w:r w:rsidRPr="0071285F">
              <w:rPr>
                <w:color w:val="040505"/>
                <w:spacing w:val="-6"/>
                <w:sz w:val="18"/>
                <w:szCs w:val="18"/>
              </w:rPr>
              <w:t xml:space="preserve"> </w:t>
            </w:r>
            <w:r w:rsidRPr="0071285F">
              <w:rPr>
                <w:color w:val="040505"/>
                <w:sz w:val="18"/>
                <w:szCs w:val="18"/>
              </w:rPr>
              <w:t>and</w:t>
            </w:r>
            <w:r w:rsidRPr="0071285F">
              <w:rPr>
                <w:color w:val="040505"/>
                <w:spacing w:val="-6"/>
                <w:sz w:val="18"/>
                <w:szCs w:val="18"/>
              </w:rPr>
              <w:t xml:space="preserve"> </w:t>
            </w:r>
            <w:r w:rsidRPr="0071285F">
              <w:rPr>
                <w:color w:val="040505"/>
                <w:sz w:val="18"/>
                <w:szCs w:val="18"/>
              </w:rPr>
              <w:t>the</w:t>
            </w:r>
            <w:r w:rsidRPr="0071285F">
              <w:rPr>
                <w:color w:val="040505"/>
                <w:spacing w:val="-6"/>
                <w:sz w:val="18"/>
                <w:szCs w:val="18"/>
              </w:rPr>
              <w:t xml:space="preserve"> </w:t>
            </w:r>
            <w:r w:rsidRPr="0071285F">
              <w:rPr>
                <w:color w:val="040505"/>
                <w:sz w:val="18"/>
                <w:szCs w:val="18"/>
              </w:rPr>
              <w:t>United</w:t>
            </w:r>
            <w:r w:rsidRPr="0071285F">
              <w:rPr>
                <w:color w:val="040505"/>
                <w:spacing w:val="-6"/>
                <w:sz w:val="18"/>
                <w:szCs w:val="18"/>
              </w:rPr>
              <w:t xml:space="preserve"> </w:t>
            </w:r>
            <w:r w:rsidRPr="0071285F">
              <w:rPr>
                <w:color w:val="040505"/>
                <w:sz w:val="18"/>
                <w:szCs w:val="18"/>
              </w:rPr>
              <w:t>Kingdom (either on a semi-permanent or temporary basis</w:t>
            </w:r>
            <w:r>
              <w:rPr>
                <w:color w:val="040505"/>
                <w:sz w:val="18"/>
                <w:szCs w:val="18"/>
              </w:rPr>
              <w:t>)</w:t>
            </w:r>
            <w:r w:rsidRPr="0071285F">
              <w:rPr>
                <w:color w:val="040505"/>
                <w:sz w:val="18"/>
                <w:szCs w:val="18"/>
              </w:rPr>
              <w:t>.</w:t>
            </w:r>
            <w:r w:rsidRPr="0071285F">
              <w:rPr>
                <w:color w:val="040505"/>
                <w:spacing w:val="-6"/>
                <w:sz w:val="18"/>
                <w:szCs w:val="18"/>
              </w:rPr>
              <w:t xml:space="preserve"> </w:t>
            </w:r>
            <w:r w:rsidRPr="0071285F">
              <w:rPr>
                <w:color w:val="040505"/>
                <w:sz w:val="18"/>
                <w:szCs w:val="18"/>
              </w:rPr>
              <w:t>There</w:t>
            </w:r>
            <w:r w:rsidRPr="0071285F">
              <w:rPr>
                <w:color w:val="040505"/>
                <w:spacing w:val="-6"/>
                <w:sz w:val="18"/>
                <w:szCs w:val="18"/>
              </w:rPr>
              <w:t xml:space="preserve"> </w:t>
            </w:r>
            <w:r w:rsidRPr="0071285F">
              <w:rPr>
                <w:color w:val="040505"/>
                <w:sz w:val="18"/>
                <w:szCs w:val="18"/>
              </w:rPr>
              <w:t>is therefore a risk of potential disruption to the Group’s planned exploration activities which could delay the time by which the Group can generate revenues from the Portfolio and cause the Group to incur additional costs. However, the Group is able to mitigate the adverse impact of COVID 19 on the financial condition of the Group to an extent by deferring</w:t>
            </w:r>
            <w:r w:rsidRPr="0071285F">
              <w:rPr>
                <w:color w:val="040505"/>
                <w:spacing w:val="-13"/>
                <w:sz w:val="18"/>
                <w:szCs w:val="18"/>
              </w:rPr>
              <w:t xml:space="preserve"> </w:t>
            </w:r>
            <w:r w:rsidRPr="0071285F">
              <w:rPr>
                <w:color w:val="040505"/>
                <w:sz w:val="18"/>
                <w:szCs w:val="18"/>
              </w:rPr>
              <w:t>the</w:t>
            </w:r>
            <w:r w:rsidRPr="0071285F">
              <w:rPr>
                <w:color w:val="040505"/>
                <w:spacing w:val="-12"/>
                <w:sz w:val="18"/>
                <w:szCs w:val="18"/>
              </w:rPr>
              <w:t xml:space="preserve"> </w:t>
            </w:r>
            <w:r w:rsidRPr="0071285F">
              <w:rPr>
                <w:color w:val="040505"/>
                <w:sz w:val="18"/>
                <w:szCs w:val="18"/>
              </w:rPr>
              <w:t>deployment</w:t>
            </w:r>
            <w:r w:rsidRPr="0071285F">
              <w:rPr>
                <w:color w:val="040505"/>
                <w:spacing w:val="-12"/>
                <w:sz w:val="18"/>
                <w:szCs w:val="18"/>
              </w:rPr>
              <w:t xml:space="preserve"> </w:t>
            </w:r>
            <w:r w:rsidRPr="0071285F">
              <w:rPr>
                <w:color w:val="040505"/>
                <w:sz w:val="18"/>
                <w:szCs w:val="18"/>
              </w:rPr>
              <w:t>of</w:t>
            </w:r>
            <w:r w:rsidRPr="0071285F">
              <w:rPr>
                <w:color w:val="040505"/>
                <w:spacing w:val="-12"/>
                <w:sz w:val="18"/>
                <w:szCs w:val="18"/>
              </w:rPr>
              <w:t xml:space="preserve"> </w:t>
            </w:r>
            <w:r w:rsidRPr="0071285F">
              <w:rPr>
                <w:color w:val="040505"/>
                <w:sz w:val="18"/>
                <w:szCs w:val="18"/>
              </w:rPr>
              <w:t>capital</w:t>
            </w:r>
            <w:r w:rsidRPr="0071285F">
              <w:rPr>
                <w:color w:val="040505"/>
                <w:spacing w:val="-12"/>
                <w:sz w:val="18"/>
                <w:szCs w:val="18"/>
              </w:rPr>
              <w:t xml:space="preserve"> </w:t>
            </w:r>
            <w:r w:rsidRPr="0071285F">
              <w:rPr>
                <w:color w:val="040505"/>
                <w:sz w:val="18"/>
                <w:szCs w:val="18"/>
              </w:rPr>
              <w:t>resources</w:t>
            </w:r>
            <w:r w:rsidRPr="0071285F">
              <w:rPr>
                <w:color w:val="040505"/>
                <w:spacing w:val="-11"/>
                <w:sz w:val="18"/>
                <w:szCs w:val="18"/>
              </w:rPr>
              <w:t xml:space="preserve"> </w:t>
            </w:r>
            <w:r w:rsidRPr="0071285F">
              <w:rPr>
                <w:color w:val="040505"/>
                <w:sz w:val="18"/>
                <w:szCs w:val="18"/>
              </w:rPr>
              <w:t>on</w:t>
            </w:r>
            <w:r w:rsidRPr="0071285F">
              <w:rPr>
                <w:color w:val="040505"/>
                <w:spacing w:val="-14"/>
                <w:sz w:val="18"/>
                <w:szCs w:val="18"/>
              </w:rPr>
              <w:t xml:space="preserve"> </w:t>
            </w:r>
            <w:r w:rsidRPr="0071285F">
              <w:rPr>
                <w:color w:val="040505"/>
                <w:sz w:val="18"/>
                <w:szCs w:val="18"/>
              </w:rPr>
              <w:t>capital</w:t>
            </w:r>
            <w:r w:rsidRPr="0071285F">
              <w:rPr>
                <w:color w:val="040505"/>
                <w:spacing w:val="-12"/>
                <w:sz w:val="18"/>
                <w:szCs w:val="18"/>
              </w:rPr>
              <w:t xml:space="preserve"> </w:t>
            </w:r>
            <w:r w:rsidRPr="0071285F">
              <w:rPr>
                <w:color w:val="040505"/>
                <w:sz w:val="18"/>
                <w:szCs w:val="18"/>
              </w:rPr>
              <w:t>intensive</w:t>
            </w:r>
            <w:r w:rsidRPr="0071285F">
              <w:rPr>
                <w:color w:val="040505"/>
                <w:spacing w:val="-12"/>
                <w:sz w:val="18"/>
                <w:szCs w:val="18"/>
              </w:rPr>
              <w:t xml:space="preserve"> </w:t>
            </w:r>
            <w:r w:rsidRPr="0071285F">
              <w:rPr>
                <w:color w:val="040505"/>
                <w:sz w:val="18"/>
                <w:szCs w:val="18"/>
              </w:rPr>
              <w:t>activities</w:t>
            </w:r>
            <w:r w:rsidRPr="0071285F">
              <w:rPr>
                <w:color w:val="040505"/>
                <w:spacing w:val="-11"/>
                <w:sz w:val="18"/>
                <w:szCs w:val="18"/>
              </w:rPr>
              <w:t xml:space="preserve"> </w:t>
            </w:r>
            <w:r w:rsidRPr="0071285F">
              <w:rPr>
                <w:color w:val="040505"/>
                <w:sz w:val="18"/>
                <w:szCs w:val="18"/>
              </w:rPr>
              <w:t>until</w:t>
            </w:r>
            <w:r w:rsidRPr="0071285F">
              <w:rPr>
                <w:color w:val="040505"/>
                <w:spacing w:val="-12"/>
                <w:sz w:val="18"/>
                <w:szCs w:val="18"/>
              </w:rPr>
              <w:t xml:space="preserve"> </w:t>
            </w:r>
            <w:r w:rsidRPr="0071285F">
              <w:rPr>
                <w:color w:val="040505"/>
                <w:sz w:val="18"/>
                <w:szCs w:val="18"/>
              </w:rPr>
              <w:t>local</w:t>
            </w:r>
            <w:r w:rsidRPr="0071285F">
              <w:rPr>
                <w:color w:val="040505"/>
                <w:spacing w:val="-12"/>
                <w:sz w:val="18"/>
                <w:szCs w:val="18"/>
              </w:rPr>
              <w:t xml:space="preserve"> </w:t>
            </w:r>
            <w:r w:rsidRPr="0071285F">
              <w:rPr>
                <w:color w:val="040505"/>
                <w:sz w:val="18"/>
                <w:szCs w:val="18"/>
              </w:rPr>
              <w:t xml:space="preserve">lock- down or social distancing measures are lifted. </w:t>
            </w:r>
          </w:p>
          <w:p w14:paraId="58011259" w14:textId="77777777" w:rsidR="006220A9" w:rsidRDefault="006220A9" w:rsidP="00512495">
            <w:pPr>
              <w:pStyle w:val="TableParagraph"/>
              <w:numPr>
                <w:ilvl w:val="0"/>
                <w:numId w:val="24"/>
              </w:numPr>
              <w:tabs>
                <w:tab w:val="left" w:pos="469"/>
              </w:tabs>
              <w:kinsoku w:val="0"/>
              <w:overflowPunct w:val="0"/>
              <w:ind w:right="92" w:hanging="364"/>
              <w:jc w:val="both"/>
              <w:rPr>
                <w:color w:val="020303"/>
                <w:sz w:val="18"/>
                <w:szCs w:val="18"/>
              </w:rPr>
            </w:pPr>
            <w:r>
              <w:rPr>
                <w:color w:val="020303"/>
                <w:sz w:val="18"/>
                <w:szCs w:val="18"/>
              </w:rPr>
              <w:t>A key asset of the Group is the collective expertise and experience of its directors and technical/geological team. The Group will depend heavily upon a small number of key individuals during its early-stage development. The loss or diminution in the services of more</w:t>
            </w:r>
            <w:r>
              <w:rPr>
                <w:color w:val="020303"/>
                <w:spacing w:val="-9"/>
                <w:sz w:val="18"/>
                <w:szCs w:val="18"/>
              </w:rPr>
              <w:t xml:space="preserve"> </w:t>
            </w:r>
            <w:r>
              <w:rPr>
                <w:color w:val="020303"/>
                <w:sz w:val="18"/>
                <w:szCs w:val="18"/>
              </w:rPr>
              <w:t>than</w:t>
            </w:r>
            <w:r>
              <w:rPr>
                <w:color w:val="020303"/>
                <w:spacing w:val="-6"/>
                <w:sz w:val="18"/>
                <w:szCs w:val="18"/>
              </w:rPr>
              <w:t xml:space="preserve"> </w:t>
            </w:r>
            <w:r>
              <w:rPr>
                <w:color w:val="020303"/>
                <w:sz w:val="18"/>
                <w:szCs w:val="18"/>
              </w:rPr>
              <w:t>one</w:t>
            </w:r>
            <w:r>
              <w:rPr>
                <w:color w:val="020303"/>
                <w:spacing w:val="-9"/>
                <w:sz w:val="18"/>
                <w:szCs w:val="18"/>
              </w:rPr>
              <w:t xml:space="preserve"> </w:t>
            </w:r>
            <w:r>
              <w:rPr>
                <w:color w:val="020303"/>
                <w:sz w:val="18"/>
                <w:szCs w:val="18"/>
              </w:rPr>
              <w:t>of</w:t>
            </w:r>
            <w:r>
              <w:rPr>
                <w:color w:val="020303"/>
                <w:spacing w:val="-6"/>
                <w:sz w:val="18"/>
                <w:szCs w:val="18"/>
              </w:rPr>
              <w:t xml:space="preserve"> </w:t>
            </w:r>
            <w:r>
              <w:rPr>
                <w:color w:val="020303"/>
                <w:sz w:val="18"/>
                <w:szCs w:val="18"/>
              </w:rPr>
              <w:t>the</w:t>
            </w:r>
            <w:r>
              <w:rPr>
                <w:color w:val="020303"/>
                <w:spacing w:val="-9"/>
                <w:sz w:val="18"/>
                <w:szCs w:val="18"/>
              </w:rPr>
              <w:t xml:space="preserve"> </w:t>
            </w:r>
            <w:r>
              <w:rPr>
                <w:color w:val="020303"/>
                <w:sz w:val="18"/>
                <w:szCs w:val="18"/>
              </w:rPr>
              <w:t>Directors</w:t>
            </w:r>
            <w:r>
              <w:rPr>
                <w:color w:val="020303"/>
                <w:spacing w:val="-10"/>
                <w:sz w:val="18"/>
                <w:szCs w:val="18"/>
              </w:rPr>
              <w:t xml:space="preserve"> </w:t>
            </w:r>
            <w:r>
              <w:rPr>
                <w:color w:val="020303"/>
                <w:sz w:val="18"/>
                <w:szCs w:val="18"/>
              </w:rPr>
              <w:t>or</w:t>
            </w:r>
            <w:r>
              <w:rPr>
                <w:color w:val="020303"/>
                <w:spacing w:val="-7"/>
                <w:sz w:val="18"/>
                <w:szCs w:val="18"/>
              </w:rPr>
              <w:t xml:space="preserve"> </w:t>
            </w:r>
            <w:r>
              <w:rPr>
                <w:color w:val="020303"/>
                <w:sz w:val="18"/>
                <w:szCs w:val="18"/>
              </w:rPr>
              <w:t>members</w:t>
            </w:r>
            <w:r>
              <w:rPr>
                <w:color w:val="020303"/>
                <w:spacing w:val="-8"/>
                <w:sz w:val="18"/>
                <w:szCs w:val="18"/>
              </w:rPr>
              <w:t xml:space="preserve"> </w:t>
            </w:r>
            <w:r>
              <w:rPr>
                <w:color w:val="020303"/>
                <w:sz w:val="18"/>
                <w:szCs w:val="18"/>
              </w:rPr>
              <w:t>of</w:t>
            </w:r>
            <w:r>
              <w:rPr>
                <w:color w:val="020303"/>
                <w:spacing w:val="-9"/>
                <w:sz w:val="18"/>
                <w:szCs w:val="18"/>
              </w:rPr>
              <w:t xml:space="preserve"> </w:t>
            </w:r>
            <w:r>
              <w:rPr>
                <w:color w:val="020303"/>
                <w:sz w:val="18"/>
                <w:szCs w:val="18"/>
              </w:rPr>
              <w:t>the</w:t>
            </w:r>
            <w:r>
              <w:rPr>
                <w:color w:val="020303"/>
                <w:spacing w:val="-9"/>
                <w:sz w:val="18"/>
                <w:szCs w:val="18"/>
              </w:rPr>
              <w:t xml:space="preserve"> </w:t>
            </w:r>
            <w:r>
              <w:rPr>
                <w:color w:val="020303"/>
                <w:sz w:val="18"/>
                <w:szCs w:val="18"/>
              </w:rPr>
              <w:t>technical/geological</w:t>
            </w:r>
            <w:r>
              <w:rPr>
                <w:color w:val="020303"/>
                <w:spacing w:val="-6"/>
                <w:sz w:val="18"/>
                <w:szCs w:val="18"/>
              </w:rPr>
              <w:t xml:space="preserve"> </w:t>
            </w:r>
            <w:r>
              <w:rPr>
                <w:color w:val="020303"/>
                <w:sz w:val="18"/>
                <w:szCs w:val="18"/>
              </w:rPr>
              <w:t>team</w:t>
            </w:r>
            <w:r>
              <w:rPr>
                <w:color w:val="020303"/>
                <w:spacing w:val="-8"/>
                <w:sz w:val="18"/>
                <w:szCs w:val="18"/>
              </w:rPr>
              <w:t xml:space="preserve"> </w:t>
            </w:r>
            <w:r>
              <w:rPr>
                <w:color w:val="020303"/>
                <w:sz w:val="18"/>
                <w:szCs w:val="18"/>
              </w:rPr>
              <w:t>or</w:t>
            </w:r>
            <w:r>
              <w:rPr>
                <w:color w:val="020303"/>
                <w:spacing w:val="-8"/>
                <w:sz w:val="18"/>
                <w:szCs w:val="18"/>
              </w:rPr>
              <w:t xml:space="preserve"> </w:t>
            </w:r>
            <w:r>
              <w:rPr>
                <w:color w:val="020303"/>
                <w:sz w:val="18"/>
                <w:szCs w:val="18"/>
              </w:rPr>
              <w:t>an</w:t>
            </w:r>
            <w:r>
              <w:rPr>
                <w:color w:val="020303"/>
                <w:spacing w:val="-9"/>
                <w:sz w:val="18"/>
                <w:szCs w:val="18"/>
              </w:rPr>
              <w:t xml:space="preserve"> </w:t>
            </w:r>
            <w:r>
              <w:rPr>
                <w:color w:val="020303"/>
                <w:sz w:val="18"/>
                <w:szCs w:val="18"/>
              </w:rPr>
              <w:t>inability to recruit, train and/or retain necessary personnel could have a material and adverse effect on the Group’s business, results of operations, financial condition and</w:t>
            </w:r>
            <w:r>
              <w:rPr>
                <w:color w:val="020303"/>
                <w:spacing w:val="-30"/>
                <w:sz w:val="18"/>
                <w:szCs w:val="18"/>
              </w:rPr>
              <w:t xml:space="preserve"> </w:t>
            </w:r>
            <w:r>
              <w:rPr>
                <w:color w:val="020303"/>
                <w:sz w:val="18"/>
                <w:szCs w:val="18"/>
              </w:rPr>
              <w:t>prospects.</w:t>
            </w:r>
          </w:p>
          <w:p w14:paraId="3C29D3F2" w14:textId="75755681" w:rsidR="006220A9" w:rsidRDefault="006220A9" w:rsidP="00512495">
            <w:pPr>
              <w:pStyle w:val="TableParagraph"/>
              <w:numPr>
                <w:ilvl w:val="0"/>
                <w:numId w:val="24"/>
              </w:numPr>
              <w:tabs>
                <w:tab w:val="left" w:pos="469"/>
              </w:tabs>
              <w:kinsoku w:val="0"/>
              <w:overflowPunct w:val="0"/>
              <w:ind w:right="93" w:hanging="364"/>
              <w:jc w:val="both"/>
              <w:rPr>
                <w:color w:val="020303"/>
                <w:sz w:val="18"/>
                <w:szCs w:val="18"/>
              </w:rPr>
            </w:pPr>
            <w:r>
              <w:rPr>
                <w:color w:val="020303"/>
                <w:sz w:val="18"/>
                <w:szCs w:val="18"/>
              </w:rPr>
              <w:t>The future exploration and extraction activities of the Group may be affected by a range of</w:t>
            </w:r>
            <w:r>
              <w:rPr>
                <w:color w:val="020303"/>
                <w:spacing w:val="-11"/>
                <w:sz w:val="18"/>
                <w:szCs w:val="18"/>
              </w:rPr>
              <w:t xml:space="preserve"> </w:t>
            </w:r>
            <w:r>
              <w:rPr>
                <w:color w:val="020303"/>
                <w:sz w:val="18"/>
                <w:szCs w:val="18"/>
              </w:rPr>
              <w:t>factors</w:t>
            </w:r>
            <w:r>
              <w:rPr>
                <w:color w:val="020303"/>
                <w:spacing w:val="-11"/>
                <w:sz w:val="18"/>
                <w:szCs w:val="18"/>
              </w:rPr>
              <w:t xml:space="preserve"> </w:t>
            </w:r>
            <w:r>
              <w:rPr>
                <w:color w:val="020303"/>
                <w:sz w:val="18"/>
                <w:szCs w:val="18"/>
              </w:rPr>
              <w:t>including</w:t>
            </w:r>
            <w:r>
              <w:rPr>
                <w:color w:val="020303"/>
                <w:spacing w:val="-10"/>
                <w:sz w:val="18"/>
                <w:szCs w:val="18"/>
              </w:rPr>
              <w:t xml:space="preserve"> </w:t>
            </w:r>
            <w:r>
              <w:rPr>
                <w:color w:val="020303"/>
                <w:sz w:val="18"/>
                <w:szCs w:val="18"/>
              </w:rPr>
              <w:t>geological</w:t>
            </w:r>
            <w:r>
              <w:rPr>
                <w:color w:val="020303"/>
                <w:spacing w:val="-12"/>
                <w:sz w:val="18"/>
                <w:szCs w:val="18"/>
              </w:rPr>
              <w:t xml:space="preserve"> </w:t>
            </w:r>
            <w:r>
              <w:rPr>
                <w:color w:val="020303"/>
                <w:sz w:val="18"/>
                <w:szCs w:val="18"/>
              </w:rPr>
              <w:t>conditions,</w:t>
            </w:r>
            <w:r>
              <w:rPr>
                <w:color w:val="020303"/>
                <w:spacing w:val="-12"/>
                <w:sz w:val="18"/>
                <w:szCs w:val="18"/>
              </w:rPr>
              <w:t xml:space="preserve"> </w:t>
            </w:r>
            <w:r>
              <w:rPr>
                <w:color w:val="020303"/>
                <w:sz w:val="18"/>
                <w:szCs w:val="18"/>
              </w:rPr>
              <w:t>limitations</w:t>
            </w:r>
            <w:r>
              <w:rPr>
                <w:color w:val="020303"/>
                <w:spacing w:val="-10"/>
                <w:sz w:val="18"/>
                <w:szCs w:val="18"/>
              </w:rPr>
              <w:t xml:space="preserve"> </w:t>
            </w:r>
            <w:r>
              <w:rPr>
                <w:color w:val="020303"/>
                <w:sz w:val="18"/>
                <w:szCs w:val="18"/>
              </w:rPr>
              <w:t>on</w:t>
            </w:r>
            <w:r>
              <w:rPr>
                <w:color w:val="020303"/>
                <w:spacing w:val="-10"/>
                <w:sz w:val="18"/>
                <w:szCs w:val="18"/>
              </w:rPr>
              <w:t xml:space="preserve"> </w:t>
            </w:r>
            <w:r>
              <w:rPr>
                <w:color w:val="020303"/>
                <w:sz w:val="18"/>
                <w:szCs w:val="18"/>
              </w:rPr>
              <w:t>activities</w:t>
            </w:r>
            <w:r>
              <w:rPr>
                <w:color w:val="020303"/>
                <w:spacing w:val="-11"/>
                <w:sz w:val="18"/>
                <w:szCs w:val="18"/>
              </w:rPr>
              <w:t xml:space="preserve"> </w:t>
            </w:r>
            <w:r>
              <w:rPr>
                <w:color w:val="020303"/>
                <w:sz w:val="18"/>
                <w:szCs w:val="18"/>
              </w:rPr>
              <w:t>due</w:t>
            </w:r>
            <w:r>
              <w:rPr>
                <w:color w:val="020303"/>
                <w:spacing w:val="-10"/>
                <w:sz w:val="18"/>
                <w:szCs w:val="18"/>
              </w:rPr>
              <w:t xml:space="preserve"> </w:t>
            </w:r>
            <w:r>
              <w:rPr>
                <w:color w:val="020303"/>
                <w:sz w:val="18"/>
                <w:szCs w:val="18"/>
              </w:rPr>
              <w:t>to</w:t>
            </w:r>
            <w:r>
              <w:rPr>
                <w:color w:val="020303"/>
                <w:spacing w:val="-11"/>
                <w:sz w:val="18"/>
                <w:szCs w:val="18"/>
              </w:rPr>
              <w:t xml:space="preserve"> </w:t>
            </w:r>
            <w:r>
              <w:rPr>
                <w:color w:val="020303"/>
                <w:sz w:val="18"/>
                <w:szCs w:val="18"/>
              </w:rPr>
              <w:t>seasonal</w:t>
            </w:r>
            <w:r>
              <w:rPr>
                <w:color w:val="020303"/>
                <w:spacing w:val="-10"/>
                <w:sz w:val="18"/>
                <w:szCs w:val="18"/>
              </w:rPr>
              <w:t xml:space="preserve"> </w:t>
            </w:r>
            <w:r>
              <w:rPr>
                <w:color w:val="020303"/>
                <w:sz w:val="18"/>
                <w:szCs w:val="18"/>
              </w:rPr>
              <w:t xml:space="preserve">weather patterns, unanticipated operational and technical difficulties, insufficient or unreliable </w:t>
            </w:r>
            <w:r w:rsidR="0026107B">
              <w:rPr>
                <w:color w:val="020303"/>
                <w:sz w:val="18"/>
                <w:szCs w:val="18"/>
              </w:rPr>
              <w:t xml:space="preserve">infrastructure (such as power, water </w:t>
            </w:r>
            <w:r>
              <w:rPr>
                <w:color w:val="020303"/>
                <w:sz w:val="18"/>
                <w:szCs w:val="18"/>
              </w:rPr>
              <w:t>and</w:t>
            </w:r>
            <w:r>
              <w:rPr>
                <w:color w:val="020303"/>
                <w:spacing w:val="-6"/>
                <w:sz w:val="18"/>
                <w:szCs w:val="18"/>
              </w:rPr>
              <w:t xml:space="preserve"> </w:t>
            </w:r>
            <w:r>
              <w:rPr>
                <w:color w:val="020303"/>
                <w:sz w:val="18"/>
                <w:szCs w:val="18"/>
              </w:rPr>
              <w:t>transport),</w:t>
            </w:r>
            <w:r>
              <w:rPr>
                <w:color w:val="020303"/>
                <w:spacing w:val="-4"/>
                <w:sz w:val="18"/>
                <w:szCs w:val="18"/>
              </w:rPr>
              <w:t xml:space="preserve"> </w:t>
            </w:r>
            <w:r>
              <w:rPr>
                <w:color w:val="020303"/>
                <w:sz w:val="18"/>
                <w:szCs w:val="18"/>
              </w:rPr>
              <w:t>unanticipated</w:t>
            </w:r>
            <w:r>
              <w:rPr>
                <w:color w:val="020303"/>
                <w:spacing w:val="-6"/>
                <w:sz w:val="18"/>
                <w:szCs w:val="18"/>
              </w:rPr>
              <w:t xml:space="preserve"> </w:t>
            </w:r>
            <w:r>
              <w:rPr>
                <w:color w:val="020303"/>
                <w:sz w:val="18"/>
                <w:szCs w:val="18"/>
              </w:rPr>
              <w:t>metallurgical</w:t>
            </w:r>
            <w:r>
              <w:rPr>
                <w:color w:val="020303"/>
                <w:spacing w:val="-6"/>
                <w:sz w:val="18"/>
                <w:szCs w:val="18"/>
              </w:rPr>
              <w:t xml:space="preserve"> </w:t>
            </w:r>
            <w:r>
              <w:rPr>
                <w:color w:val="020303"/>
                <w:sz w:val="18"/>
                <w:szCs w:val="18"/>
              </w:rPr>
              <w:t>problems which may affect extraction costs, industrial and environmental accidents, changing government regulations and many other factors beyond the control of the</w:t>
            </w:r>
            <w:r>
              <w:rPr>
                <w:color w:val="020303"/>
                <w:spacing w:val="-23"/>
                <w:sz w:val="18"/>
                <w:szCs w:val="18"/>
              </w:rPr>
              <w:t xml:space="preserve"> </w:t>
            </w:r>
            <w:r>
              <w:rPr>
                <w:color w:val="020303"/>
                <w:sz w:val="18"/>
                <w:szCs w:val="18"/>
              </w:rPr>
              <w:t>Group.</w:t>
            </w:r>
          </w:p>
          <w:p w14:paraId="2BB4CF2B" w14:textId="77777777" w:rsidR="006220A9" w:rsidRPr="00DC65D3" w:rsidRDefault="006220A9" w:rsidP="00512495">
            <w:pPr>
              <w:pStyle w:val="TableParagraph"/>
              <w:numPr>
                <w:ilvl w:val="0"/>
                <w:numId w:val="24"/>
              </w:numPr>
              <w:tabs>
                <w:tab w:val="left" w:pos="469"/>
              </w:tabs>
              <w:kinsoku w:val="0"/>
              <w:overflowPunct w:val="0"/>
              <w:ind w:right="92" w:hanging="364"/>
              <w:jc w:val="both"/>
              <w:rPr>
                <w:color w:val="020303"/>
                <w:sz w:val="18"/>
                <w:szCs w:val="18"/>
              </w:rPr>
            </w:pPr>
            <w:r>
              <w:rPr>
                <w:color w:val="020303"/>
                <w:sz w:val="18"/>
                <w:szCs w:val="18"/>
              </w:rPr>
              <w:t xml:space="preserve">In relation to the Adeline Copper Project, climate change could affect exploration operations </w:t>
            </w:r>
            <w:r>
              <w:rPr>
                <w:color w:val="020303"/>
                <w:sz w:val="18"/>
                <w:szCs w:val="18"/>
              </w:rPr>
              <w:lastRenderedPageBreak/>
              <w:t xml:space="preserve">in central Labrador. The past winter has been the warmest on record in Labrador with the amount of sea-ice at record levels. For mineral exploration and mining, these warming conditions might improve working conditions by decreasing the severity of winter weather. Warming conditions could limit the ability to conduct winter drilling through ice-covered bodies of water. </w:t>
            </w:r>
          </w:p>
          <w:p w14:paraId="527C7FCF" w14:textId="77777777" w:rsidR="006220A9" w:rsidRPr="00EB491A" w:rsidRDefault="006220A9" w:rsidP="00512495">
            <w:pPr>
              <w:pStyle w:val="TableParagraph"/>
              <w:numPr>
                <w:ilvl w:val="0"/>
                <w:numId w:val="24"/>
              </w:numPr>
              <w:tabs>
                <w:tab w:val="left" w:pos="469"/>
              </w:tabs>
              <w:kinsoku w:val="0"/>
              <w:overflowPunct w:val="0"/>
              <w:ind w:right="92" w:hanging="364"/>
              <w:jc w:val="both"/>
              <w:rPr>
                <w:color w:val="020303"/>
                <w:sz w:val="18"/>
                <w:szCs w:val="18"/>
              </w:rPr>
            </w:pPr>
            <w:r>
              <w:rPr>
                <w:color w:val="020303"/>
                <w:sz w:val="18"/>
                <w:szCs w:val="18"/>
              </w:rPr>
              <w:t>In Labrador and Newfoundland, the Adeline Copper Project falls in an area where the Labrador Innu (a regional indigenous group) has asserted its traditional rights. As part of the exploration permitting process any mineral exploration approval application submitted to the provincial government for work on the Adeline Copper Project will be sent to the Labrador Innu and any other stake-holder groups which might have an interest in the area.</w:t>
            </w:r>
            <w:r w:rsidRPr="00662B85">
              <w:rPr>
                <w:color w:val="020303"/>
                <w:sz w:val="18"/>
                <w:szCs w:val="18"/>
              </w:rPr>
              <w:t xml:space="preserve"> </w:t>
            </w:r>
            <w:r>
              <w:rPr>
                <w:color w:val="020303"/>
                <w:sz w:val="18"/>
                <w:szCs w:val="18"/>
              </w:rPr>
              <w:t>T</w:t>
            </w:r>
            <w:r w:rsidRPr="00662B85">
              <w:rPr>
                <w:color w:val="020303"/>
                <w:sz w:val="18"/>
                <w:szCs w:val="18"/>
              </w:rPr>
              <w:t xml:space="preserve">here is a risk that members of the Labrador Innu </w:t>
            </w:r>
            <w:r>
              <w:rPr>
                <w:color w:val="020303"/>
                <w:sz w:val="18"/>
                <w:szCs w:val="18"/>
              </w:rPr>
              <w:t xml:space="preserve">or other groups </w:t>
            </w:r>
            <w:r w:rsidRPr="00662B85">
              <w:rPr>
                <w:color w:val="020303"/>
                <w:sz w:val="18"/>
                <w:szCs w:val="18"/>
              </w:rPr>
              <w:t>could asse</w:t>
            </w:r>
            <w:r>
              <w:rPr>
                <w:color w:val="020303"/>
                <w:sz w:val="18"/>
                <w:szCs w:val="18"/>
              </w:rPr>
              <w:t>r</w:t>
            </w:r>
            <w:r w:rsidRPr="00662B85">
              <w:rPr>
                <w:color w:val="020303"/>
                <w:sz w:val="18"/>
                <w:szCs w:val="18"/>
              </w:rPr>
              <w:t xml:space="preserve">t traditional rights </w:t>
            </w:r>
            <w:r w:rsidRPr="008550FC">
              <w:rPr>
                <w:color w:val="020303"/>
                <w:sz w:val="18"/>
                <w:szCs w:val="18"/>
              </w:rPr>
              <w:t>over the Adeline Copper Project area and, as such, title to the Ade</w:t>
            </w:r>
            <w:r w:rsidRPr="00EB491A">
              <w:rPr>
                <w:color w:val="020303"/>
                <w:sz w:val="18"/>
                <w:szCs w:val="18"/>
              </w:rPr>
              <w:t xml:space="preserve">line Copper Project area may be disputed. </w:t>
            </w:r>
          </w:p>
          <w:p w14:paraId="44D71740" w14:textId="2352064C" w:rsidR="006220A9" w:rsidRDefault="006220A9" w:rsidP="00512495">
            <w:pPr>
              <w:pStyle w:val="TableParagraph"/>
              <w:numPr>
                <w:ilvl w:val="0"/>
                <w:numId w:val="24"/>
              </w:numPr>
              <w:tabs>
                <w:tab w:val="left" w:pos="469"/>
              </w:tabs>
              <w:kinsoku w:val="0"/>
              <w:overflowPunct w:val="0"/>
              <w:ind w:right="92" w:hanging="364"/>
              <w:jc w:val="both"/>
              <w:rPr>
                <w:color w:val="040505"/>
                <w:sz w:val="18"/>
                <w:szCs w:val="18"/>
              </w:rPr>
            </w:pPr>
            <w:r>
              <w:rPr>
                <w:color w:val="020303"/>
                <w:sz w:val="18"/>
                <w:szCs w:val="18"/>
              </w:rPr>
              <w:t>Changes</w:t>
            </w:r>
            <w:r>
              <w:rPr>
                <w:color w:val="020303"/>
                <w:spacing w:val="-8"/>
                <w:sz w:val="18"/>
                <w:szCs w:val="18"/>
              </w:rPr>
              <w:t xml:space="preserve"> </w:t>
            </w:r>
            <w:r>
              <w:rPr>
                <w:color w:val="020303"/>
                <w:sz w:val="18"/>
                <w:szCs w:val="18"/>
              </w:rPr>
              <w:t>in</w:t>
            </w:r>
            <w:r>
              <w:rPr>
                <w:color w:val="020303"/>
                <w:spacing w:val="-9"/>
                <w:sz w:val="18"/>
                <w:szCs w:val="18"/>
              </w:rPr>
              <w:t xml:space="preserve"> </w:t>
            </w:r>
            <w:r>
              <w:rPr>
                <w:color w:val="020303"/>
                <w:sz w:val="18"/>
                <w:szCs w:val="18"/>
              </w:rPr>
              <w:t>global</w:t>
            </w:r>
            <w:r>
              <w:rPr>
                <w:color w:val="020303"/>
                <w:spacing w:val="-9"/>
                <w:sz w:val="18"/>
                <w:szCs w:val="18"/>
              </w:rPr>
              <w:t xml:space="preserve"> </w:t>
            </w:r>
            <w:r>
              <w:rPr>
                <w:color w:val="020303"/>
                <w:sz w:val="18"/>
                <w:szCs w:val="18"/>
              </w:rPr>
              <w:t>supply</w:t>
            </w:r>
            <w:r>
              <w:rPr>
                <w:color w:val="020303"/>
                <w:spacing w:val="-10"/>
                <w:sz w:val="18"/>
                <w:szCs w:val="18"/>
              </w:rPr>
              <w:t xml:space="preserve"> </w:t>
            </w:r>
            <w:r>
              <w:rPr>
                <w:color w:val="020303"/>
                <w:sz w:val="18"/>
                <w:szCs w:val="18"/>
              </w:rPr>
              <w:t>and</w:t>
            </w:r>
            <w:r>
              <w:rPr>
                <w:color w:val="020303"/>
                <w:spacing w:val="-10"/>
                <w:sz w:val="18"/>
                <w:szCs w:val="18"/>
              </w:rPr>
              <w:t xml:space="preserve"> </w:t>
            </w:r>
            <w:r>
              <w:rPr>
                <w:color w:val="020303"/>
                <w:sz w:val="18"/>
                <w:szCs w:val="18"/>
              </w:rPr>
              <w:t>demand</w:t>
            </w:r>
            <w:r>
              <w:rPr>
                <w:color w:val="020303"/>
                <w:spacing w:val="-9"/>
                <w:sz w:val="18"/>
                <w:szCs w:val="18"/>
              </w:rPr>
              <w:t xml:space="preserve"> </w:t>
            </w:r>
            <w:r>
              <w:rPr>
                <w:color w:val="020303"/>
                <w:sz w:val="18"/>
                <w:szCs w:val="18"/>
              </w:rPr>
              <w:t>for</w:t>
            </w:r>
            <w:r>
              <w:rPr>
                <w:color w:val="020303"/>
                <w:spacing w:val="-9"/>
                <w:sz w:val="18"/>
                <w:szCs w:val="18"/>
              </w:rPr>
              <w:t xml:space="preserve"> </w:t>
            </w:r>
            <w:r>
              <w:rPr>
                <w:color w:val="020303"/>
                <w:sz w:val="18"/>
                <w:szCs w:val="18"/>
              </w:rPr>
              <w:t>commodities</w:t>
            </w:r>
            <w:r>
              <w:rPr>
                <w:color w:val="020303"/>
                <w:spacing w:val="-8"/>
                <w:sz w:val="18"/>
                <w:szCs w:val="18"/>
              </w:rPr>
              <w:t xml:space="preserve"> </w:t>
            </w:r>
            <w:r>
              <w:rPr>
                <w:color w:val="020303"/>
                <w:sz w:val="18"/>
                <w:szCs w:val="18"/>
              </w:rPr>
              <w:t>such</w:t>
            </w:r>
            <w:r>
              <w:rPr>
                <w:color w:val="020303"/>
                <w:spacing w:val="-10"/>
                <w:sz w:val="18"/>
                <w:szCs w:val="18"/>
              </w:rPr>
              <w:t xml:space="preserve"> </w:t>
            </w:r>
            <w:r>
              <w:rPr>
                <w:color w:val="020303"/>
                <w:sz w:val="18"/>
                <w:szCs w:val="18"/>
              </w:rPr>
              <w:t>as</w:t>
            </w:r>
            <w:r>
              <w:rPr>
                <w:color w:val="020303"/>
                <w:spacing w:val="-8"/>
                <w:sz w:val="18"/>
                <w:szCs w:val="18"/>
              </w:rPr>
              <w:t xml:space="preserve"> </w:t>
            </w:r>
            <w:r>
              <w:rPr>
                <w:color w:val="020303"/>
                <w:sz w:val="18"/>
                <w:szCs w:val="18"/>
              </w:rPr>
              <w:t>gold</w:t>
            </w:r>
            <w:r>
              <w:rPr>
                <w:color w:val="020303"/>
                <w:spacing w:val="-9"/>
                <w:sz w:val="18"/>
                <w:szCs w:val="18"/>
              </w:rPr>
              <w:t xml:space="preserve"> </w:t>
            </w:r>
            <w:r>
              <w:rPr>
                <w:color w:val="020303"/>
                <w:sz w:val="18"/>
                <w:szCs w:val="18"/>
              </w:rPr>
              <w:t>and</w:t>
            </w:r>
            <w:r>
              <w:rPr>
                <w:color w:val="020303"/>
                <w:spacing w:val="-11"/>
                <w:sz w:val="18"/>
                <w:szCs w:val="18"/>
              </w:rPr>
              <w:t xml:space="preserve"> </w:t>
            </w:r>
            <w:r>
              <w:rPr>
                <w:color w:val="020303"/>
                <w:sz w:val="18"/>
                <w:szCs w:val="18"/>
              </w:rPr>
              <w:t>copper</w:t>
            </w:r>
            <w:r>
              <w:rPr>
                <w:color w:val="020303"/>
                <w:spacing w:val="-9"/>
                <w:sz w:val="18"/>
                <w:szCs w:val="18"/>
              </w:rPr>
              <w:t xml:space="preserve"> </w:t>
            </w:r>
            <w:r>
              <w:rPr>
                <w:color w:val="020303"/>
                <w:sz w:val="18"/>
                <w:szCs w:val="18"/>
              </w:rPr>
              <w:t>will</w:t>
            </w:r>
            <w:r>
              <w:rPr>
                <w:color w:val="020303"/>
                <w:spacing w:val="-8"/>
                <w:sz w:val="18"/>
                <w:szCs w:val="18"/>
              </w:rPr>
              <w:t xml:space="preserve"> </w:t>
            </w:r>
            <w:r>
              <w:rPr>
                <w:color w:val="020303"/>
                <w:sz w:val="18"/>
                <w:szCs w:val="18"/>
              </w:rPr>
              <w:t>have an impact on their price, which may adversely affect the business, results of operations, cash flows and financial condition of the Group. However, despite falls in the copper and gold price during the peak of the COVID 19 pandemic, at present the demand for copper in particular is emerging very strongly from the pandemic with prices currently exceeding</w:t>
            </w:r>
            <w:r>
              <w:rPr>
                <w:color w:val="020303"/>
                <w:spacing w:val="38"/>
                <w:sz w:val="18"/>
                <w:szCs w:val="18"/>
              </w:rPr>
              <w:t xml:space="preserve"> </w:t>
            </w:r>
            <w:r>
              <w:rPr>
                <w:color w:val="020303"/>
                <w:sz w:val="18"/>
                <w:szCs w:val="18"/>
              </w:rPr>
              <w:t xml:space="preserve">their </w:t>
            </w:r>
            <w:r w:rsidRPr="00CD7CFF">
              <w:rPr>
                <w:color w:val="020303"/>
                <w:sz w:val="18"/>
                <w:szCs w:val="18"/>
              </w:rPr>
              <w:t>prevailing market prices prior to the start of the COVID 19 pandemic. However, this situation may change in the future.</w:t>
            </w:r>
            <w:r w:rsidR="004E1F50">
              <w:rPr>
                <w:color w:val="020303"/>
                <w:sz w:val="18"/>
                <w:szCs w:val="18"/>
              </w:rPr>
              <w:br/>
            </w:r>
          </w:p>
        </w:tc>
      </w:tr>
      <w:tr w:rsidR="006220A9" w14:paraId="2BA28410" w14:textId="77777777" w:rsidTr="0047572B">
        <w:trPr>
          <w:trHeight w:val="1408"/>
        </w:trPr>
        <w:tc>
          <w:tcPr>
            <w:tcW w:w="1395" w:type="dxa"/>
            <w:tcBorders>
              <w:left w:val="single" w:sz="4" w:space="0" w:color="231F20"/>
              <w:bottom w:val="single" w:sz="4" w:space="0" w:color="231F20"/>
              <w:right w:val="single" w:sz="4" w:space="0" w:color="231F20"/>
            </w:tcBorders>
          </w:tcPr>
          <w:p w14:paraId="446D12B7" w14:textId="7BC40644" w:rsidR="006220A9" w:rsidRDefault="006220A9" w:rsidP="0047572B">
            <w:pPr>
              <w:pStyle w:val="TableParagraph"/>
              <w:kinsoku w:val="0"/>
              <w:overflowPunct w:val="0"/>
              <w:rPr>
                <w:rFonts w:ascii="Times New Roman" w:hAnsi="Times New Roman" w:cs="Times New Roman"/>
                <w:sz w:val="16"/>
                <w:szCs w:val="16"/>
              </w:rPr>
            </w:pPr>
            <w:r>
              <w:rPr>
                <w:b/>
                <w:bCs/>
                <w:sz w:val="16"/>
                <w:szCs w:val="16"/>
              </w:rPr>
              <w:br w:type="textWrapping" w:clear="all"/>
            </w:r>
          </w:p>
        </w:tc>
        <w:tc>
          <w:tcPr>
            <w:tcW w:w="7956" w:type="dxa"/>
            <w:vMerge/>
            <w:tcBorders>
              <w:left w:val="single" w:sz="4" w:space="0" w:color="231F20"/>
              <w:bottom w:val="single" w:sz="4" w:space="0" w:color="231F20"/>
              <w:right w:val="single" w:sz="4" w:space="0" w:color="231F20"/>
            </w:tcBorders>
          </w:tcPr>
          <w:p w14:paraId="77A90E9D" w14:textId="305CE3C3" w:rsidR="006220A9" w:rsidRPr="00F15D68" w:rsidRDefault="006220A9" w:rsidP="00512495">
            <w:pPr>
              <w:pStyle w:val="TableParagraph"/>
              <w:numPr>
                <w:ilvl w:val="0"/>
                <w:numId w:val="24"/>
              </w:numPr>
              <w:tabs>
                <w:tab w:val="left" w:pos="469"/>
              </w:tabs>
              <w:kinsoku w:val="0"/>
              <w:overflowPunct w:val="0"/>
              <w:ind w:right="92"/>
              <w:jc w:val="both"/>
              <w:rPr>
                <w:color w:val="020303"/>
                <w:sz w:val="18"/>
                <w:szCs w:val="18"/>
              </w:rPr>
            </w:pPr>
          </w:p>
        </w:tc>
      </w:tr>
      <w:tr w:rsidR="0031766D" w14:paraId="6BB2EF60" w14:textId="77777777" w:rsidTr="0047572B">
        <w:trPr>
          <w:trHeight w:val="414"/>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14B12A5D" w14:textId="77777777" w:rsidR="0031766D" w:rsidRDefault="0031766D" w:rsidP="0047572B">
            <w:pPr>
              <w:pStyle w:val="TableParagraph"/>
              <w:kinsoku w:val="0"/>
              <w:overflowPunct w:val="0"/>
              <w:spacing w:line="201" w:lineRule="exact"/>
              <w:ind w:left="1977" w:right="1967"/>
              <w:jc w:val="center"/>
              <w:rPr>
                <w:b/>
                <w:bCs/>
                <w:color w:val="050606"/>
                <w:sz w:val="18"/>
                <w:szCs w:val="18"/>
              </w:rPr>
            </w:pPr>
            <w:r>
              <w:rPr>
                <w:b/>
                <w:bCs/>
                <w:color w:val="050606"/>
                <w:sz w:val="18"/>
                <w:szCs w:val="18"/>
              </w:rPr>
              <w:t>KEY INFORMATION ON THE SECURITIES</w:t>
            </w:r>
          </w:p>
        </w:tc>
      </w:tr>
      <w:tr w:rsidR="0031766D" w14:paraId="7BABDCCA" w14:textId="77777777" w:rsidTr="0047572B">
        <w:trPr>
          <w:trHeight w:val="445"/>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D9DADB"/>
          </w:tcPr>
          <w:p w14:paraId="4A961B8D" w14:textId="77777777" w:rsidR="0031766D" w:rsidRDefault="0031766D" w:rsidP="0047572B">
            <w:pPr>
              <w:pStyle w:val="TableParagraph"/>
              <w:kinsoku w:val="0"/>
              <w:overflowPunct w:val="0"/>
              <w:spacing w:line="201" w:lineRule="exact"/>
              <w:ind w:left="1977" w:right="1965"/>
              <w:jc w:val="center"/>
              <w:rPr>
                <w:b/>
                <w:bCs/>
                <w:color w:val="050606"/>
                <w:sz w:val="18"/>
                <w:szCs w:val="18"/>
              </w:rPr>
            </w:pPr>
            <w:r>
              <w:rPr>
                <w:b/>
                <w:bCs/>
                <w:color w:val="050606"/>
                <w:sz w:val="18"/>
                <w:szCs w:val="18"/>
              </w:rPr>
              <w:t>What are the main features of the securities?</w:t>
            </w:r>
          </w:p>
        </w:tc>
      </w:tr>
      <w:tr w:rsidR="0031766D" w14:paraId="1E871C81" w14:textId="77777777" w:rsidTr="0047572B">
        <w:trPr>
          <w:trHeight w:hRule="exact" w:val="1198"/>
        </w:trPr>
        <w:tc>
          <w:tcPr>
            <w:tcW w:w="1395" w:type="dxa"/>
            <w:tcBorders>
              <w:top w:val="single" w:sz="4" w:space="0" w:color="231F20"/>
              <w:left w:val="single" w:sz="4" w:space="0" w:color="231F20"/>
              <w:bottom w:val="single" w:sz="4" w:space="0" w:color="231F20"/>
              <w:right w:val="single" w:sz="4" w:space="0" w:color="231F20"/>
            </w:tcBorders>
          </w:tcPr>
          <w:p w14:paraId="06976C1B" w14:textId="27E610AD" w:rsidR="0031766D" w:rsidRDefault="0031766D" w:rsidP="0047572B">
            <w:pPr>
              <w:pStyle w:val="TableParagraph"/>
              <w:tabs>
                <w:tab w:val="left" w:pos="834"/>
              </w:tabs>
              <w:kinsoku w:val="0"/>
              <w:overflowPunct w:val="0"/>
              <w:spacing w:line="206" w:lineRule="exact"/>
              <w:ind w:left="107"/>
              <w:rPr>
                <w:color w:val="050606"/>
                <w:sz w:val="18"/>
                <w:szCs w:val="18"/>
              </w:rPr>
            </w:pPr>
            <w:r>
              <w:rPr>
                <w:color w:val="050606"/>
                <w:sz w:val="18"/>
                <w:szCs w:val="18"/>
              </w:rPr>
              <w:t>Type,</w:t>
            </w:r>
            <w:r w:rsidR="004C6A20">
              <w:rPr>
                <w:color w:val="050606"/>
                <w:sz w:val="18"/>
                <w:szCs w:val="18"/>
              </w:rPr>
              <w:t xml:space="preserve"> </w:t>
            </w:r>
            <w:r>
              <w:rPr>
                <w:color w:val="050606"/>
                <w:sz w:val="18"/>
                <w:szCs w:val="18"/>
              </w:rPr>
              <w:t>Class</w:t>
            </w:r>
            <w:r w:rsidR="004C6A20">
              <w:rPr>
                <w:color w:val="050606"/>
                <w:sz w:val="18"/>
                <w:szCs w:val="18"/>
              </w:rPr>
              <w:t xml:space="preserve"> a</w:t>
            </w:r>
            <w:r>
              <w:rPr>
                <w:color w:val="050606"/>
                <w:sz w:val="18"/>
                <w:szCs w:val="18"/>
              </w:rPr>
              <w:t>nd</w:t>
            </w:r>
            <w:r w:rsidR="004C6A20">
              <w:rPr>
                <w:color w:val="050606"/>
                <w:sz w:val="18"/>
                <w:szCs w:val="18"/>
              </w:rPr>
              <w:t xml:space="preserve"> </w:t>
            </w:r>
            <w:r>
              <w:rPr>
                <w:color w:val="050606"/>
                <w:sz w:val="18"/>
                <w:szCs w:val="18"/>
              </w:rPr>
              <w:t xml:space="preserve">ISIN </w:t>
            </w:r>
            <w:r>
              <w:rPr>
                <w:color w:val="050606"/>
                <w:spacing w:val="-7"/>
                <w:sz w:val="18"/>
                <w:szCs w:val="18"/>
              </w:rPr>
              <w:t xml:space="preserve">of </w:t>
            </w:r>
            <w:r>
              <w:rPr>
                <w:color w:val="050606"/>
                <w:sz w:val="18"/>
                <w:szCs w:val="18"/>
              </w:rPr>
              <w:t>the</w:t>
            </w:r>
            <w:r>
              <w:rPr>
                <w:color w:val="050606"/>
                <w:spacing w:val="-1"/>
                <w:sz w:val="18"/>
                <w:szCs w:val="18"/>
              </w:rPr>
              <w:t xml:space="preserve"> </w:t>
            </w:r>
            <w:r>
              <w:rPr>
                <w:color w:val="050606"/>
                <w:sz w:val="18"/>
                <w:szCs w:val="18"/>
              </w:rPr>
              <w:t>securities</w:t>
            </w:r>
          </w:p>
        </w:tc>
        <w:tc>
          <w:tcPr>
            <w:tcW w:w="7956" w:type="dxa"/>
            <w:tcBorders>
              <w:top w:val="single" w:sz="4" w:space="0" w:color="231F20"/>
              <w:left w:val="single" w:sz="4" w:space="0" w:color="231F20"/>
              <w:bottom w:val="single" w:sz="4" w:space="0" w:color="231F20"/>
              <w:right w:val="single" w:sz="4" w:space="0" w:color="231F20"/>
            </w:tcBorders>
          </w:tcPr>
          <w:p w14:paraId="78F30802" w14:textId="4AC76DFD" w:rsidR="0031766D" w:rsidRDefault="0031766D" w:rsidP="0047572B">
            <w:pPr>
              <w:pStyle w:val="TableParagraph"/>
              <w:kinsoku w:val="0"/>
              <w:overflowPunct w:val="0"/>
              <w:ind w:left="108" w:right="93"/>
              <w:jc w:val="both"/>
              <w:rPr>
                <w:color w:val="050606"/>
                <w:sz w:val="18"/>
                <w:szCs w:val="18"/>
              </w:rPr>
            </w:pPr>
            <w:r>
              <w:rPr>
                <w:color w:val="050606"/>
                <w:sz w:val="18"/>
                <w:szCs w:val="18"/>
              </w:rPr>
              <w:t>The Company has two classes of share, being Ordinary Shares and Deferred Shares. Applications will be made for the Ordinary Shares issued pursuant to the Placing</w:t>
            </w:r>
            <w:r w:rsidR="00423387">
              <w:rPr>
                <w:color w:val="050606"/>
                <w:sz w:val="18"/>
                <w:szCs w:val="18"/>
              </w:rPr>
              <w:t xml:space="preserve"> and the Labrador Acquisition</w:t>
            </w:r>
            <w:r>
              <w:rPr>
                <w:color w:val="050606"/>
                <w:sz w:val="18"/>
                <w:szCs w:val="18"/>
              </w:rPr>
              <w:t xml:space="preserve"> to be admitted to the Official List of the FCA with a Standard Listing and to trading on the Main</w:t>
            </w:r>
            <w:r w:rsidR="00423387">
              <w:rPr>
                <w:color w:val="050606"/>
                <w:sz w:val="18"/>
                <w:szCs w:val="18"/>
              </w:rPr>
              <w:t xml:space="preserve"> </w:t>
            </w:r>
            <w:r>
              <w:rPr>
                <w:color w:val="050606"/>
                <w:sz w:val="18"/>
                <w:szCs w:val="18"/>
              </w:rPr>
              <w:t>Market of the London Stock Exchange. The Ordinary Shares are registered within ISIN GB00BF2F1X78, SEDOL code BF2F1X7 and TIDM CHF.</w:t>
            </w:r>
          </w:p>
        </w:tc>
      </w:tr>
      <w:tr w:rsidR="0031766D" w14:paraId="35A8240B" w14:textId="77777777" w:rsidTr="0047572B">
        <w:trPr>
          <w:trHeight w:val="1339"/>
        </w:trPr>
        <w:tc>
          <w:tcPr>
            <w:tcW w:w="1395" w:type="dxa"/>
            <w:tcBorders>
              <w:top w:val="single" w:sz="4" w:space="0" w:color="231F20"/>
              <w:left w:val="single" w:sz="4" w:space="0" w:color="231F20"/>
              <w:bottom w:val="single" w:sz="4" w:space="0" w:color="231F20"/>
              <w:right w:val="single" w:sz="4" w:space="0" w:color="231F20"/>
            </w:tcBorders>
          </w:tcPr>
          <w:p w14:paraId="405D4A5E" w14:textId="77777777" w:rsidR="0031766D" w:rsidRDefault="0031766D" w:rsidP="0047572B">
            <w:pPr>
              <w:pStyle w:val="TableParagraph"/>
              <w:kinsoku w:val="0"/>
              <w:overflowPunct w:val="0"/>
              <w:ind w:left="107" w:right="126"/>
              <w:rPr>
                <w:color w:val="050606"/>
                <w:sz w:val="18"/>
                <w:szCs w:val="18"/>
              </w:rPr>
            </w:pPr>
            <w:r>
              <w:rPr>
                <w:color w:val="050606"/>
                <w:sz w:val="18"/>
                <w:szCs w:val="18"/>
              </w:rPr>
              <w:t>Currency denomination, par value number and term of the securities.</w:t>
            </w:r>
          </w:p>
        </w:tc>
        <w:tc>
          <w:tcPr>
            <w:tcW w:w="7956" w:type="dxa"/>
            <w:tcBorders>
              <w:top w:val="single" w:sz="4" w:space="0" w:color="231F20"/>
              <w:left w:val="single" w:sz="4" w:space="0" w:color="231F20"/>
              <w:bottom w:val="single" w:sz="4" w:space="0" w:color="231F20"/>
              <w:right w:val="single" w:sz="4" w:space="0" w:color="231F20"/>
            </w:tcBorders>
          </w:tcPr>
          <w:p w14:paraId="136D7C0A" w14:textId="31848402" w:rsidR="0031766D" w:rsidRDefault="0031766D" w:rsidP="0047572B">
            <w:pPr>
              <w:pStyle w:val="TableParagraph"/>
              <w:kinsoku w:val="0"/>
              <w:overflowPunct w:val="0"/>
              <w:ind w:left="108" w:right="93"/>
              <w:jc w:val="both"/>
              <w:rPr>
                <w:color w:val="020303"/>
                <w:sz w:val="18"/>
                <w:szCs w:val="18"/>
              </w:rPr>
            </w:pPr>
            <w:r w:rsidRPr="008728CC">
              <w:rPr>
                <w:color w:val="020303"/>
                <w:sz w:val="18"/>
                <w:szCs w:val="18"/>
              </w:rPr>
              <w:t>The Ordinary Shares are denominated into UK pounds sterling and th</w:t>
            </w:r>
            <w:r w:rsidRPr="008728CC">
              <w:rPr>
                <w:color w:val="161618"/>
                <w:sz w:val="18"/>
                <w:szCs w:val="18"/>
              </w:rPr>
              <w:t xml:space="preserve">e </w:t>
            </w:r>
            <w:r>
              <w:rPr>
                <w:color w:val="161618"/>
                <w:sz w:val="18"/>
                <w:szCs w:val="18"/>
              </w:rPr>
              <w:t>Placing</w:t>
            </w:r>
            <w:r w:rsidRPr="008728CC">
              <w:rPr>
                <w:color w:val="161618"/>
                <w:sz w:val="18"/>
                <w:szCs w:val="18"/>
              </w:rPr>
              <w:t xml:space="preserve"> Price </w:t>
            </w:r>
            <w:r w:rsidRPr="008728CC">
              <w:rPr>
                <w:color w:val="020303"/>
                <w:sz w:val="18"/>
                <w:szCs w:val="18"/>
              </w:rPr>
              <w:t xml:space="preserve">of the </w:t>
            </w:r>
            <w:r>
              <w:rPr>
                <w:color w:val="020303"/>
                <w:sz w:val="18"/>
                <w:szCs w:val="18"/>
              </w:rPr>
              <w:t>Placing</w:t>
            </w:r>
            <w:r w:rsidRPr="008728CC">
              <w:rPr>
                <w:color w:val="020303"/>
                <w:sz w:val="18"/>
                <w:szCs w:val="18"/>
              </w:rPr>
              <w:t xml:space="preserve"> Shares is </w:t>
            </w:r>
            <w:r w:rsidRPr="00A43090">
              <w:rPr>
                <w:color w:val="050606"/>
                <w:sz w:val="18"/>
                <w:szCs w:val="18"/>
              </w:rPr>
              <w:t>payable</w:t>
            </w:r>
            <w:r w:rsidRPr="008728CC">
              <w:rPr>
                <w:color w:val="020303"/>
                <w:sz w:val="18"/>
                <w:szCs w:val="18"/>
              </w:rPr>
              <w:t xml:space="preserve"> in sterlin</w:t>
            </w:r>
            <w:r w:rsidRPr="008728CC">
              <w:rPr>
                <w:color w:val="161618"/>
                <w:sz w:val="18"/>
                <w:szCs w:val="18"/>
              </w:rPr>
              <w:t>g</w:t>
            </w:r>
            <w:r w:rsidRPr="008728CC">
              <w:rPr>
                <w:color w:val="020303"/>
                <w:sz w:val="18"/>
                <w:szCs w:val="18"/>
              </w:rPr>
              <w:t>. The nominal value of the Ordinary Shares is £0.001.</w:t>
            </w:r>
          </w:p>
          <w:p w14:paraId="43C8FEFE" w14:textId="77777777" w:rsidR="0026107B" w:rsidRPr="008728CC" w:rsidRDefault="0026107B" w:rsidP="0047572B">
            <w:pPr>
              <w:pStyle w:val="TableParagraph"/>
              <w:kinsoku w:val="0"/>
              <w:overflowPunct w:val="0"/>
              <w:ind w:left="108"/>
              <w:jc w:val="both"/>
              <w:rPr>
                <w:b/>
                <w:bCs/>
                <w:sz w:val="17"/>
                <w:szCs w:val="17"/>
              </w:rPr>
            </w:pPr>
          </w:p>
          <w:p w14:paraId="27926136" w14:textId="7DEB4B46" w:rsidR="0031766D" w:rsidRPr="008728CC" w:rsidRDefault="0031766D" w:rsidP="0047572B">
            <w:pPr>
              <w:pStyle w:val="TableParagraph"/>
              <w:kinsoku w:val="0"/>
              <w:overflowPunct w:val="0"/>
              <w:ind w:left="108" w:right="93"/>
              <w:jc w:val="both"/>
              <w:rPr>
                <w:color w:val="020303"/>
                <w:sz w:val="18"/>
                <w:szCs w:val="18"/>
              </w:rPr>
            </w:pPr>
            <w:r w:rsidRPr="008728CC">
              <w:rPr>
                <w:color w:val="020303"/>
                <w:sz w:val="18"/>
                <w:szCs w:val="18"/>
              </w:rPr>
              <w:t xml:space="preserve">As at </w:t>
            </w:r>
            <w:r w:rsidRPr="00A43090">
              <w:rPr>
                <w:color w:val="020303"/>
                <w:sz w:val="18"/>
                <w:szCs w:val="18"/>
              </w:rPr>
              <w:t>the</w:t>
            </w:r>
            <w:r w:rsidRPr="008728CC">
              <w:rPr>
                <w:color w:val="020303"/>
                <w:sz w:val="18"/>
                <w:szCs w:val="18"/>
              </w:rPr>
              <w:t xml:space="preserve"> date of this Document, the aggregate nominal share capital of the Company is</w:t>
            </w:r>
            <w:r w:rsidR="00A43090">
              <w:rPr>
                <w:color w:val="020303"/>
                <w:sz w:val="18"/>
                <w:szCs w:val="18"/>
              </w:rPr>
              <w:t xml:space="preserve"> </w:t>
            </w:r>
            <w:r w:rsidRPr="008728CC">
              <w:rPr>
                <w:color w:val="020303"/>
                <w:sz w:val="18"/>
                <w:szCs w:val="18"/>
              </w:rPr>
              <w:t>£</w:t>
            </w:r>
            <w:r w:rsidRPr="00496201">
              <w:rPr>
                <w:color w:val="020303"/>
                <w:sz w:val="18"/>
                <w:szCs w:val="18"/>
              </w:rPr>
              <w:t>1</w:t>
            </w:r>
            <w:r w:rsidRPr="000A1164">
              <w:rPr>
                <w:color w:val="020303"/>
                <w:sz w:val="18"/>
                <w:szCs w:val="18"/>
              </w:rPr>
              <w:t>99</w:t>
            </w:r>
            <w:r w:rsidRPr="00496201">
              <w:rPr>
                <w:color w:val="020303"/>
                <w:sz w:val="18"/>
                <w:szCs w:val="18"/>
              </w:rPr>
              <w:t>,9</w:t>
            </w:r>
            <w:r w:rsidRPr="000A1164">
              <w:rPr>
                <w:color w:val="020303"/>
                <w:sz w:val="18"/>
                <w:szCs w:val="18"/>
              </w:rPr>
              <w:t>11</w:t>
            </w:r>
            <w:r w:rsidRPr="00496201">
              <w:rPr>
                <w:color w:val="020303"/>
                <w:sz w:val="18"/>
                <w:szCs w:val="18"/>
              </w:rPr>
              <w:t>.</w:t>
            </w:r>
            <w:r w:rsidRPr="000A1164">
              <w:rPr>
                <w:color w:val="020303"/>
                <w:sz w:val="18"/>
                <w:szCs w:val="18"/>
              </w:rPr>
              <w:t>11</w:t>
            </w:r>
            <w:r w:rsidRPr="008728CC">
              <w:rPr>
                <w:color w:val="020303"/>
                <w:sz w:val="18"/>
                <w:szCs w:val="18"/>
              </w:rPr>
              <w:t xml:space="preserve"> divided into </w:t>
            </w:r>
            <w:r w:rsidRPr="000A1164">
              <w:rPr>
                <w:color w:val="020303"/>
                <w:sz w:val="18"/>
                <w:szCs w:val="18"/>
              </w:rPr>
              <w:t>101,911,112</w:t>
            </w:r>
            <w:r w:rsidRPr="008728CC">
              <w:rPr>
                <w:color w:val="020303"/>
                <w:sz w:val="18"/>
                <w:szCs w:val="18"/>
              </w:rPr>
              <w:t xml:space="preserve"> Ordinary Shares of £0.001 and 2,000,000 Deferred Shares of £0.049, such shares being fully paid up. The term of the securities is perpetual.</w:t>
            </w:r>
          </w:p>
        </w:tc>
      </w:tr>
      <w:tr w:rsidR="0031766D" w14:paraId="2CF7FC45" w14:textId="77777777" w:rsidTr="0047572B">
        <w:trPr>
          <w:trHeight w:val="4760"/>
        </w:trPr>
        <w:tc>
          <w:tcPr>
            <w:tcW w:w="1395" w:type="dxa"/>
            <w:tcBorders>
              <w:top w:val="single" w:sz="4" w:space="0" w:color="231F20"/>
              <w:left w:val="single" w:sz="4" w:space="0" w:color="231F20"/>
              <w:bottom w:val="single" w:sz="4" w:space="0" w:color="231F20"/>
              <w:right w:val="single" w:sz="4" w:space="0" w:color="231F20"/>
            </w:tcBorders>
          </w:tcPr>
          <w:p w14:paraId="0E7B8228" w14:textId="77777777" w:rsidR="0031766D" w:rsidRDefault="0031766D" w:rsidP="0047572B">
            <w:pPr>
              <w:pStyle w:val="TableParagraph"/>
              <w:kinsoku w:val="0"/>
              <w:overflowPunct w:val="0"/>
              <w:ind w:left="107" w:right="196"/>
              <w:rPr>
                <w:color w:val="050606"/>
                <w:sz w:val="18"/>
                <w:szCs w:val="18"/>
              </w:rPr>
            </w:pPr>
            <w:r>
              <w:rPr>
                <w:color w:val="050606"/>
                <w:sz w:val="18"/>
                <w:szCs w:val="18"/>
              </w:rPr>
              <w:t>Rights attaching to the securities</w:t>
            </w:r>
          </w:p>
        </w:tc>
        <w:tc>
          <w:tcPr>
            <w:tcW w:w="7956" w:type="dxa"/>
            <w:tcBorders>
              <w:top w:val="single" w:sz="4" w:space="0" w:color="231F20"/>
              <w:left w:val="single" w:sz="4" w:space="0" w:color="231F20"/>
              <w:bottom w:val="single" w:sz="4" w:space="0" w:color="231F20"/>
              <w:right w:val="single" w:sz="4" w:space="0" w:color="231F20"/>
            </w:tcBorders>
          </w:tcPr>
          <w:p w14:paraId="333CE8F0" w14:textId="77777777" w:rsidR="0031766D" w:rsidRDefault="0031766D" w:rsidP="0047572B">
            <w:pPr>
              <w:pStyle w:val="TableParagraph"/>
              <w:kinsoku w:val="0"/>
              <w:overflowPunct w:val="0"/>
              <w:ind w:left="108" w:right="93"/>
              <w:jc w:val="both"/>
              <w:rPr>
                <w:color w:val="050707"/>
                <w:sz w:val="18"/>
                <w:szCs w:val="18"/>
              </w:rPr>
            </w:pPr>
            <w:r>
              <w:rPr>
                <w:color w:val="060707"/>
                <w:sz w:val="18"/>
                <w:szCs w:val="18"/>
              </w:rPr>
              <w:t>Subject to any special terms as to voting on which any shares may have been issued, on a show of hands every member who being an individual is present in person or by proxy or, being</w:t>
            </w:r>
            <w:r>
              <w:rPr>
                <w:color w:val="060707"/>
                <w:spacing w:val="-10"/>
                <w:sz w:val="18"/>
                <w:szCs w:val="18"/>
              </w:rPr>
              <w:t xml:space="preserve"> </w:t>
            </w:r>
            <w:r>
              <w:rPr>
                <w:color w:val="060707"/>
                <w:sz w:val="18"/>
                <w:szCs w:val="18"/>
              </w:rPr>
              <w:t>a</w:t>
            </w:r>
            <w:r>
              <w:rPr>
                <w:color w:val="060707"/>
                <w:spacing w:val="-9"/>
                <w:sz w:val="18"/>
                <w:szCs w:val="18"/>
              </w:rPr>
              <w:t xml:space="preserve"> </w:t>
            </w:r>
            <w:r>
              <w:rPr>
                <w:color w:val="060707"/>
                <w:sz w:val="18"/>
                <w:szCs w:val="18"/>
              </w:rPr>
              <w:t>corporation</w:t>
            </w:r>
            <w:r>
              <w:rPr>
                <w:color w:val="060707"/>
                <w:spacing w:val="-6"/>
                <w:sz w:val="18"/>
                <w:szCs w:val="18"/>
              </w:rPr>
              <w:t xml:space="preserve"> </w:t>
            </w:r>
            <w:r>
              <w:rPr>
                <w:color w:val="060707"/>
                <w:sz w:val="18"/>
                <w:szCs w:val="18"/>
              </w:rPr>
              <w:t>is</w:t>
            </w:r>
            <w:r>
              <w:rPr>
                <w:color w:val="060707"/>
                <w:spacing w:val="-6"/>
                <w:sz w:val="18"/>
                <w:szCs w:val="18"/>
              </w:rPr>
              <w:t xml:space="preserve"> </w:t>
            </w:r>
            <w:r>
              <w:rPr>
                <w:color w:val="060707"/>
                <w:sz w:val="18"/>
                <w:szCs w:val="18"/>
              </w:rPr>
              <w:t>present</w:t>
            </w:r>
            <w:r>
              <w:rPr>
                <w:color w:val="060707"/>
                <w:spacing w:val="-9"/>
                <w:sz w:val="18"/>
                <w:szCs w:val="18"/>
              </w:rPr>
              <w:t xml:space="preserve"> </w:t>
            </w:r>
            <w:r>
              <w:rPr>
                <w:color w:val="060707"/>
                <w:sz w:val="18"/>
                <w:szCs w:val="18"/>
              </w:rPr>
              <w:t>by</w:t>
            </w:r>
            <w:r>
              <w:rPr>
                <w:color w:val="060707"/>
                <w:spacing w:val="-9"/>
                <w:sz w:val="18"/>
                <w:szCs w:val="18"/>
              </w:rPr>
              <w:t xml:space="preserve"> </w:t>
            </w:r>
            <w:r>
              <w:rPr>
                <w:color w:val="060707"/>
                <w:sz w:val="18"/>
                <w:szCs w:val="18"/>
              </w:rPr>
              <w:t>a</w:t>
            </w:r>
            <w:r>
              <w:rPr>
                <w:color w:val="060707"/>
                <w:spacing w:val="-6"/>
                <w:sz w:val="18"/>
                <w:szCs w:val="18"/>
              </w:rPr>
              <w:t xml:space="preserve"> </w:t>
            </w:r>
            <w:r>
              <w:rPr>
                <w:color w:val="060707"/>
                <w:sz w:val="18"/>
                <w:szCs w:val="18"/>
              </w:rPr>
              <w:t>duly</w:t>
            </w:r>
            <w:r>
              <w:rPr>
                <w:color w:val="060707"/>
                <w:spacing w:val="-8"/>
                <w:sz w:val="18"/>
                <w:szCs w:val="18"/>
              </w:rPr>
              <w:t xml:space="preserve"> </w:t>
            </w:r>
            <w:r>
              <w:rPr>
                <w:color w:val="060707"/>
                <w:sz w:val="18"/>
                <w:szCs w:val="18"/>
              </w:rPr>
              <w:t>authorised</w:t>
            </w:r>
            <w:r>
              <w:rPr>
                <w:color w:val="060707"/>
                <w:spacing w:val="-6"/>
                <w:sz w:val="18"/>
                <w:szCs w:val="18"/>
              </w:rPr>
              <w:t xml:space="preserve"> </w:t>
            </w:r>
            <w:r>
              <w:rPr>
                <w:color w:val="060707"/>
                <w:sz w:val="18"/>
                <w:szCs w:val="18"/>
              </w:rPr>
              <w:t>representative,</w:t>
            </w:r>
            <w:r>
              <w:rPr>
                <w:color w:val="060707"/>
                <w:spacing w:val="-7"/>
                <w:sz w:val="18"/>
                <w:szCs w:val="18"/>
              </w:rPr>
              <w:t xml:space="preserve"> </w:t>
            </w:r>
            <w:r>
              <w:rPr>
                <w:color w:val="060707"/>
                <w:sz w:val="18"/>
                <w:szCs w:val="18"/>
              </w:rPr>
              <w:t>has</w:t>
            </w:r>
            <w:r>
              <w:rPr>
                <w:color w:val="060707"/>
                <w:spacing w:val="-8"/>
                <w:sz w:val="18"/>
                <w:szCs w:val="18"/>
              </w:rPr>
              <w:t xml:space="preserve"> </w:t>
            </w:r>
            <w:r>
              <w:rPr>
                <w:color w:val="060707"/>
                <w:sz w:val="18"/>
                <w:szCs w:val="18"/>
              </w:rPr>
              <w:t>one</w:t>
            </w:r>
            <w:r>
              <w:rPr>
                <w:color w:val="060707"/>
                <w:spacing w:val="-6"/>
                <w:sz w:val="18"/>
                <w:szCs w:val="18"/>
              </w:rPr>
              <w:t xml:space="preserve"> </w:t>
            </w:r>
            <w:r>
              <w:rPr>
                <w:color w:val="060707"/>
                <w:sz w:val="18"/>
                <w:szCs w:val="18"/>
              </w:rPr>
              <w:t>vote,</w:t>
            </w:r>
            <w:r>
              <w:rPr>
                <w:color w:val="060707"/>
                <w:spacing w:val="-6"/>
                <w:sz w:val="18"/>
                <w:szCs w:val="18"/>
              </w:rPr>
              <w:t xml:space="preserve"> </w:t>
            </w:r>
            <w:r>
              <w:rPr>
                <w:color w:val="060707"/>
                <w:sz w:val="18"/>
                <w:szCs w:val="18"/>
              </w:rPr>
              <w:t>and</w:t>
            </w:r>
            <w:r>
              <w:rPr>
                <w:color w:val="060707"/>
                <w:spacing w:val="-7"/>
                <w:sz w:val="18"/>
                <w:szCs w:val="18"/>
              </w:rPr>
              <w:t xml:space="preserve"> </w:t>
            </w:r>
            <w:r>
              <w:rPr>
                <w:color w:val="060707"/>
                <w:sz w:val="18"/>
                <w:szCs w:val="18"/>
              </w:rPr>
              <w:t>on</w:t>
            </w:r>
            <w:r>
              <w:rPr>
                <w:color w:val="060707"/>
                <w:spacing w:val="-6"/>
                <w:sz w:val="18"/>
                <w:szCs w:val="18"/>
              </w:rPr>
              <w:t xml:space="preserve"> </w:t>
            </w:r>
            <w:r>
              <w:rPr>
                <w:color w:val="060707"/>
                <w:sz w:val="18"/>
                <w:szCs w:val="18"/>
              </w:rPr>
              <w:t>a</w:t>
            </w:r>
            <w:r>
              <w:rPr>
                <w:color w:val="060707"/>
                <w:spacing w:val="-9"/>
                <w:sz w:val="18"/>
                <w:szCs w:val="18"/>
              </w:rPr>
              <w:t xml:space="preserve"> </w:t>
            </w:r>
            <w:r>
              <w:rPr>
                <w:color w:val="060707"/>
                <w:sz w:val="18"/>
                <w:szCs w:val="18"/>
              </w:rPr>
              <w:t>poll every</w:t>
            </w:r>
            <w:r>
              <w:rPr>
                <w:color w:val="060707"/>
                <w:spacing w:val="-11"/>
                <w:sz w:val="18"/>
                <w:szCs w:val="18"/>
              </w:rPr>
              <w:t xml:space="preserve"> </w:t>
            </w:r>
            <w:r>
              <w:rPr>
                <w:color w:val="060707"/>
                <w:sz w:val="18"/>
                <w:szCs w:val="18"/>
              </w:rPr>
              <w:t>member</w:t>
            </w:r>
            <w:r>
              <w:rPr>
                <w:color w:val="060707"/>
                <w:spacing w:val="-9"/>
                <w:sz w:val="18"/>
                <w:szCs w:val="18"/>
              </w:rPr>
              <w:t xml:space="preserve"> </w:t>
            </w:r>
            <w:r>
              <w:rPr>
                <w:color w:val="060707"/>
                <w:sz w:val="18"/>
                <w:szCs w:val="18"/>
              </w:rPr>
              <w:t>has</w:t>
            </w:r>
            <w:r>
              <w:rPr>
                <w:color w:val="060707"/>
                <w:spacing w:val="-10"/>
                <w:sz w:val="18"/>
                <w:szCs w:val="18"/>
              </w:rPr>
              <w:t xml:space="preserve"> </w:t>
            </w:r>
            <w:r>
              <w:rPr>
                <w:color w:val="060707"/>
                <w:sz w:val="18"/>
                <w:szCs w:val="18"/>
              </w:rPr>
              <w:t>one</w:t>
            </w:r>
            <w:r>
              <w:rPr>
                <w:color w:val="060707"/>
                <w:spacing w:val="-11"/>
                <w:sz w:val="18"/>
                <w:szCs w:val="18"/>
              </w:rPr>
              <w:t xml:space="preserve"> </w:t>
            </w:r>
            <w:r>
              <w:rPr>
                <w:color w:val="060707"/>
                <w:sz w:val="18"/>
                <w:szCs w:val="18"/>
              </w:rPr>
              <w:t>vote</w:t>
            </w:r>
            <w:r>
              <w:rPr>
                <w:color w:val="060707"/>
                <w:spacing w:val="-10"/>
                <w:sz w:val="18"/>
                <w:szCs w:val="18"/>
              </w:rPr>
              <w:t xml:space="preserve"> </w:t>
            </w:r>
            <w:r>
              <w:rPr>
                <w:color w:val="060707"/>
                <w:sz w:val="18"/>
                <w:szCs w:val="18"/>
              </w:rPr>
              <w:t>for</w:t>
            </w:r>
            <w:r>
              <w:rPr>
                <w:color w:val="060707"/>
                <w:spacing w:val="-12"/>
                <w:sz w:val="18"/>
                <w:szCs w:val="18"/>
              </w:rPr>
              <w:t xml:space="preserve"> </w:t>
            </w:r>
            <w:r>
              <w:rPr>
                <w:color w:val="060707"/>
                <w:sz w:val="18"/>
                <w:szCs w:val="18"/>
              </w:rPr>
              <w:t>every</w:t>
            </w:r>
            <w:r>
              <w:rPr>
                <w:color w:val="060707"/>
                <w:spacing w:val="-10"/>
                <w:sz w:val="18"/>
                <w:szCs w:val="18"/>
              </w:rPr>
              <w:t xml:space="preserve"> </w:t>
            </w:r>
            <w:r>
              <w:rPr>
                <w:color w:val="060707"/>
                <w:sz w:val="18"/>
                <w:szCs w:val="18"/>
              </w:rPr>
              <w:t>share</w:t>
            </w:r>
            <w:r>
              <w:rPr>
                <w:color w:val="060707"/>
                <w:spacing w:val="-9"/>
                <w:sz w:val="18"/>
                <w:szCs w:val="18"/>
              </w:rPr>
              <w:t xml:space="preserve"> </w:t>
            </w:r>
            <w:r>
              <w:rPr>
                <w:color w:val="060707"/>
                <w:sz w:val="18"/>
                <w:szCs w:val="18"/>
              </w:rPr>
              <w:t>of</w:t>
            </w:r>
            <w:r>
              <w:rPr>
                <w:color w:val="060707"/>
                <w:spacing w:val="-12"/>
                <w:sz w:val="18"/>
                <w:szCs w:val="18"/>
              </w:rPr>
              <w:t xml:space="preserve"> </w:t>
            </w:r>
            <w:r>
              <w:rPr>
                <w:color w:val="060707"/>
                <w:sz w:val="18"/>
                <w:szCs w:val="18"/>
              </w:rPr>
              <w:t>which</w:t>
            </w:r>
            <w:r>
              <w:rPr>
                <w:color w:val="060707"/>
                <w:spacing w:val="-9"/>
                <w:sz w:val="18"/>
                <w:szCs w:val="18"/>
              </w:rPr>
              <w:t xml:space="preserve"> </w:t>
            </w:r>
            <w:r>
              <w:rPr>
                <w:color w:val="060707"/>
                <w:sz w:val="18"/>
                <w:szCs w:val="18"/>
              </w:rPr>
              <w:t>he</w:t>
            </w:r>
            <w:r>
              <w:rPr>
                <w:color w:val="060707"/>
                <w:spacing w:val="-9"/>
                <w:sz w:val="18"/>
                <w:szCs w:val="18"/>
              </w:rPr>
              <w:t xml:space="preserve"> </w:t>
            </w:r>
            <w:r>
              <w:rPr>
                <w:color w:val="060707"/>
                <w:sz w:val="18"/>
                <w:szCs w:val="18"/>
              </w:rPr>
              <w:t>is</w:t>
            </w:r>
            <w:r>
              <w:rPr>
                <w:color w:val="060707"/>
                <w:spacing w:val="-9"/>
                <w:sz w:val="18"/>
                <w:szCs w:val="18"/>
              </w:rPr>
              <w:t xml:space="preserve"> </w:t>
            </w:r>
            <w:r>
              <w:rPr>
                <w:color w:val="060707"/>
                <w:sz w:val="18"/>
                <w:szCs w:val="18"/>
              </w:rPr>
              <w:t>the</w:t>
            </w:r>
            <w:r>
              <w:rPr>
                <w:color w:val="060707"/>
                <w:spacing w:val="-11"/>
                <w:sz w:val="18"/>
                <w:szCs w:val="18"/>
              </w:rPr>
              <w:t xml:space="preserve"> </w:t>
            </w:r>
            <w:r>
              <w:rPr>
                <w:color w:val="060707"/>
                <w:sz w:val="18"/>
                <w:szCs w:val="18"/>
              </w:rPr>
              <w:t>holder.</w:t>
            </w:r>
            <w:r>
              <w:rPr>
                <w:color w:val="060707"/>
                <w:spacing w:val="-9"/>
                <w:sz w:val="18"/>
                <w:szCs w:val="18"/>
              </w:rPr>
              <w:t xml:space="preserve"> </w:t>
            </w:r>
            <w:r>
              <w:rPr>
                <w:color w:val="060707"/>
                <w:sz w:val="18"/>
                <w:szCs w:val="18"/>
              </w:rPr>
              <w:t>Subject</w:t>
            </w:r>
            <w:r>
              <w:rPr>
                <w:color w:val="060707"/>
                <w:spacing w:val="-9"/>
                <w:sz w:val="18"/>
                <w:szCs w:val="18"/>
              </w:rPr>
              <w:t xml:space="preserve"> </w:t>
            </w:r>
            <w:r>
              <w:rPr>
                <w:color w:val="060707"/>
                <w:sz w:val="18"/>
                <w:szCs w:val="18"/>
              </w:rPr>
              <w:t>to</w:t>
            </w:r>
            <w:r>
              <w:rPr>
                <w:color w:val="060707"/>
                <w:spacing w:val="-10"/>
                <w:sz w:val="18"/>
                <w:szCs w:val="18"/>
              </w:rPr>
              <w:t xml:space="preserve"> </w:t>
            </w:r>
            <w:r>
              <w:rPr>
                <w:color w:val="060707"/>
                <w:sz w:val="18"/>
                <w:szCs w:val="18"/>
              </w:rPr>
              <w:t>the</w:t>
            </w:r>
            <w:r>
              <w:rPr>
                <w:color w:val="060707"/>
                <w:spacing w:val="-9"/>
                <w:sz w:val="18"/>
                <w:szCs w:val="18"/>
              </w:rPr>
              <w:t xml:space="preserve"> </w:t>
            </w:r>
            <w:r>
              <w:rPr>
                <w:color w:val="060707"/>
                <w:sz w:val="18"/>
                <w:szCs w:val="18"/>
              </w:rPr>
              <w:t xml:space="preserve">provisions of the Companies Act and to any special rights attaching to any shares, the Shareholders are to distribute amongst themselves the profits of the Company according to their respective rights and priorities, provided that no dividend will be declared in excess of the amount recommended by the Directors. Interim dividends may be paid if profits are available for distribution and if the Board so resolves. Any dividend unclaimed after a period of 12 years from the date of its declaration will be forfeited and will revert to the Company. On a winding- up of the Company, the balance of the assets available for distribution will, subject to any sanction required by the Companies Act, be divided amongst the members. </w:t>
            </w:r>
            <w:r>
              <w:rPr>
                <w:color w:val="050707"/>
                <w:sz w:val="18"/>
                <w:szCs w:val="18"/>
              </w:rPr>
              <w:t>The Ordinary Shares are not</w:t>
            </w:r>
            <w:r>
              <w:rPr>
                <w:color w:val="050707"/>
                <w:spacing w:val="-4"/>
                <w:sz w:val="18"/>
                <w:szCs w:val="18"/>
              </w:rPr>
              <w:t xml:space="preserve"> </w:t>
            </w:r>
            <w:r>
              <w:rPr>
                <w:color w:val="050707"/>
                <w:sz w:val="18"/>
                <w:szCs w:val="18"/>
              </w:rPr>
              <w:t>redeemable.</w:t>
            </w:r>
          </w:p>
          <w:p w14:paraId="42C0FFB3" w14:textId="77777777" w:rsidR="0031766D" w:rsidRDefault="0031766D" w:rsidP="0047572B">
            <w:pPr>
              <w:pStyle w:val="TableParagraph"/>
              <w:kinsoku w:val="0"/>
              <w:overflowPunct w:val="0"/>
              <w:ind w:left="108"/>
              <w:rPr>
                <w:b/>
                <w:bCs/>
                <w:sz w:val="18"/>
                <w:szCs w:val="18"/>
              </w:rPr>
            </w:pPr>
          </w:p>
          <w:p w14:paraId="011E5EEE" w14:textId="77777777" w:rsidR="0031766D" w:rsidRDefault="0031766D" w:rsidP="0047572B">
            <w:pPr>
              <w:pStyle w:val="TableParagraph"/>
              <w:kinsoku w:val="0"/>
              <w:overflowPunct w:val="0"/>
              <w:ind w:left="108" w:right="93"/>
              <w:jc w:val="both"/>
              <w:rPr>
                <w:color w:val="050606"/>
                <w:sz w:val="18"/>
                <w:szCs w:val="18"/>
              </w:rPr>
            </w:pPr>
            <w:r>
              <w:rPr>
                <w:color w:val="050606"/>
                <w:sz w:val="18"/>
                <w:szCs w:val="18"/>
              </w:rPr>
              <w:t>The provisions of section 561(1) of the Companies Act (to the extent not dis-applied pursuant to sections 570-571 of the Companies Act) confer on shareholders certain rights of pre- emption in respect of the allotment of equity securities (as defined in section 560 of the Companies Act) which are, or are to be, paid up in cash.</w:t>
            </w:r>
          </w:p>
          <w:p w14:paraId="052C8F54" w14:textId="77777777" w:rsidR="0031766D" w:rsidRDefault="0031766D" w:rsidP="0047572B">
            <w:pPr>
              <w:pStyle w:val="TableParagraph"/>
              <w:kinsoku w:val="0"/>
              <w:overflowPunct w:val="0"/>
              <w:spacing w:before="10"/>
              <w:ind w:left="108"/>
              <w:rPr>
                <w:b/>
                <w:bCs/>
                <w:sz w:val="17"/>
                <w:szCs w:val="17"/>
              </w:rPr>
            </w:pPr>
          </w:p>
          <w:p w14:paraId="19834C35" w14:textId="77777777" w:rsidR="0031766D" w:rsidRDefault="0031766D" w:rsidP="0047572B">
            <w:pPr>
              <w:pStyle w:val="TableParagraph"/>
              <w:kinsoku w:val="0"/>
              <w:overflowPunct w:val="0"/>
              <w:spacing w:before="1"/>
              <w:ind w:left="108" w:right="93"/>
              <w:jc w:val="both"/>
              <w:rPr>
                <w:color w:val="050606"/>
                <w:sz w:val="18"/>
                <w:szCs w:val="18"/>
              </w:rPr>
            </w:pPr>
            <w:r>
              <w:rPr>
                <w:color w:val="050606"/>
                <w:sz w:val="18"/>
                <w:szCs w:val="18"/>
              </w:rPr>
              <w:t>The</w:t>
            </w:r>
            <w:r>
              <w:rPr>
                <w:color w:val="050606"/>
                <w:spacing w:val="-12"/>
                <w:sz w:val="18"/>
                <w:szCs w:val="18"/>
              </w:rPr>
              <w:t xml:space="preserve"> </w:t>
            </w:r>
            <w:r>
              <w:rPr>
                <w:color w:val="050606"/>
                <w:sz w:val="18"/>
                <w:szCs w:val="18"/>
              </w:rPr>
              <w:t>Company</w:t>
            </w:r>
            <w:r>
              <w:rPr>
                <w:color w:val="050606"/>
                <w:spacing w:val="-14"/>
                <w:sz w:val="18"/>
                <w:szCs w:val="18"/>
              </w:rPr>
              <w:t xml:space="preserve"> </w:t>
            </w:r>
            <w:r>
              <w:rPr>
                <w:color w:val="050606"/>
                <w:sz w:val="18"/>
                <w:szCs w:val="18"/>
              </w:rPr>
              <w:t>also</w:t>
            </w:r>
            <w:r>
              <w:rPr>
                <w:color w:val="050606"/>
                <w:spacing w:val="-11"/>
                <w:sz w:val="18"/>
                <w:szCs w:val="18"/>
              </w:rPr>
              <w:t xml:space="preserve"> </w:t>
            </w:r>
            <w:r>
              <w:rPr>
                <w:color w:val="050606"/>
                <w:sz w:val="18"/>
                <w:szCs w:val="18"/>
              </w:rPr>
              <w:t>has</w:t>
            </w:r>
            <w:r>
              <w:rPr>
                <w:color w:val="050606"/>
                <w:spacing w:val="-14"/>
                <w:sz w:val="18"/>
                <w:szCs w:val="18"/>
              </w:rPr>
              <w:t xml:space="preserve"> </w:t>
            </w:r>
            <w:r>
              <w:rPr>
                <w:color w:val="050606"/>
                <w:sz w:val="18"/>
                <w:szCs w:val="18"/>
              </w:rPr>
              <w:t>2,000,000</w:t>
            </w:r>
            <w:r>
              <w:rPr>
                <w:color w:val="050606"/>
                <w:spacing w:val="-11"/>
                <w:sz w:val="18"/>
                <w:szCs w:val="18"/>
              </w:rPr>
              <w:t xml:space="preserve"> </w:t>
            </w:r>
            <w:r>
              <w:rPr>
                <w:color w:val="050606"/>
                <w:sz w:val="18"/>
                <w:szCs w:val="18"/>
              </w:rPr>
              <w:t>Deferred</w:t>
            </w:r>
            <w:r>
              <w:rPr>
                <w:color w:val="050606"/>
                <w:spacing w:val="-14"/>
                <w:sz w:val="18"/>
                <w:szCs w:val="18"/>
              </w:rPr>
              <w:t xml:space="preserve"> </w:t>
            </w:r>
            <w:r>
              <w:rPr>
                <w:color w:val="050606"/>
                <w:sz w:val="18"/>
                <w:szCs w:val="18"/>
              </w:rPr>
              <w:t>Shares</w:t>
            </w:r>
            <w:r>
              <w:rPr>
                <w:color w:val="050606"/>
                <w:spacing w:val="-13"/>
                <w:sz w:val="18"/>
                <w:szCs w:val="18"/>
              </w:rPr>
              <w:t xml:space="preserve"> </w:t>
            </w:r>
            <w:r>
              <w:rPr>
                <w:color w:val="050606"/>
                <w:sz w:val="18"/>
                <w:szCs w:val="18"/>
              </w:rPr>
              <w:t>in</w:t>
            </w:r>
            <w:r>
              <w:rPr>
                <w:color w:val="050606"/>
                <w:spacing w:val="-12"/>
                <w:sz w:val="18"/>
                <w:szCs w:val="18"/>
              </w:rPr>
              <w:t xml:space="preserve"> </w:t>
            </w:r>
            <w:r>
              <w:rPr>
                <w:color w:val="050606"/>
                <w:sz w:val="18"/>
                <w:szCs w:val="18"/>
              </w:rPr>
              <w:t>issue</w:t>
            </w:r>
            <w:r>
              <w:rPr>
                <w:color w:val="050606"/>
                <w:spacing w:val="-12"/>
                <w:sz w:val="18"/>
                <w:szCs w:val="18"/>
              </w:rPr>
              <w:t xml:space="preserve"> </w:t>
            </w:r>
            <w:r>
              <w:rPr>
                <w:color w:val="050606"/>
                <w:sz w:val="18"/>
                <w:szCs w:val="18"/>
              </w:rPr>
              <w:t>(but</w:t>
            </w:r>
            <w:r>
              <w:rPr>
                <w:color w:val="050606"/>
                <w:spacing w:val="-11"/>
                <w:sz w:val="18"/>
                <w:szCs w:val="18"/>
              </w:rPr>
              <w:t xml:space="preserve"> </w:t>
            </w:r>
            <w:r>
              <w:rPr>
                <w:color w:val="050606"/>
                <w:sz w:val="18"/>
                <w:szCs w:val="18"/>
              </w:rPr>
              <w:t>no</w:t>
            </w:r>
            <w:r>
              <w:rPr>
                <w:color w:val="050606"/>
                <w:spacing w:val="-10"/>
                <w:sz w:val="18"/>
                <w:szCs w:val="18"/>
              </w:rPr>
              <w:t xml:space="preserve"> </w:t>
            </w:r>
            <w:r>
              <w:rPr>
                <w:color w:val="050606"/>
                <w:sz w:val="18"/>
                <w:szCs w:val="18"/>
              </w:rPr>
              <w:t>application</w:t>
            </w:r>
            <w:r>
              <w:rPr>
                <w:color w:val="050606"/>
                <w:spacing w:val="-14"/>
                <w:sz w:val="18"/>
                <w:szCs w:val="18"/>
              </w:rPr>
              <w:t xml:space="preserve"> </w:t>
            </w:r>
            <w:r>
              <w:rPr>
                <w:color w:val="050606"/>
                <w:sz w:val="18"/>
                <w:szCs w:val="18"/>
              </w:rPr>
              <w:t>has</w:t>
            </w:r>
            <w:r>
              <w:rPr>
                <w:color w:val="050606"/>
                <w:spacing w:val="-10"/>
                <w:sz w:val="18"/>
                <w:szCs w:val="18"/>
              </w:rPr>
              <w:t xml:space="preserve"> </w:t>
            </w:r>
            <w:r>
              <w:rPr>
                <w:color w:val="050606"/>
                <w:sz w:val="18"/>
                <w:szCs w:val="18"/>
              </w:rPr>
              <w:t>been</w:t>
            </w:r>
            <w:r>
              <w:rPr>
                <w:color w:val="050606"/>
                <w:spacing w:val="-14"/>
                <w:sz w:val="18"/>
                <w:szCs w:val="18"/>
              </w:rPr>
              <w:t xml:space="preserve"> </w:t>
            </w:r>
            <w:r>
              <w:rPr>
                <w:color w:val="050606"/>
                <w:sz w:val="18"/>
                <w:szCs w:val="18"/>
              </w:rPr>
              <w:t>made or</w:t>
            </w:r>
            <w:r>
              <w:rPr>
                <w:color w:val="050606"/>
                <w:spacing w:val="-7"/>
                <w:sz w:val="18"/>
                <w:szCs w:val="18"/>
              </w:rPr>
              <w:t xml:space="preserve"> </w:t>
            </w:r>
            <w:r>
              <w:rPr>
                <w:color w:val="050606"/>
                <w:sz w:val="18"/>
                <w:szCs w:val="18"/>
              </w:rPr>
              <w:t>will</w:t>
            </w:r>
            <w:r>
              <w:rPr>
                <w:color w:val="050606"/>
                <w:spacing w:val="-5"/>
                <w:sz w:val="18"/>
                <w:szCs w:val="18"/>
              </w:rPr>
              <w:t xml:space="preserve"> </w:t>
            </w:r>
            <w:r>
              <w:rPr>
                <w:color w:val="050606"/>
                <w:sz w:val="18"/>
                <w:szCs w:val="18"/>
              </w:rPr>
              <w:t>be</w:t>
            </w:r>
            <w:r>
              <w:rPr>
                <w:color w:val="050606"/>
                <w:spacing w:val="-6"/>
                <w:sz w:val="18"/>
                <w:szCs w:val="18"/>
              </w:rPr>
              <w:t xml:space="preserve"> </w:t>
            </w:r>
            <w:r>
              <w:rPr>
                <w:color w:val="050606"/>
                <w:sz w:val="18"/>
                <w:szCs w:val="18"/>
              </w:rPr>
              <w:t>made</w:t>
            </w:r>
            <w:r>
              <w:rPr>
                <w:color w:val="050606"/>
                <w:spacing w:val="-5"/>
                <w:sz w:val="18"/>
                <w:szCs w:val="18"/>
              </w:rPr>
              <w:t xml:space="preserve"> </w:t>
            </w:r>
            <w:r>
              <w:rPr>
                <w:color w:val="050606"/>
                <w:sz w:val="18"/>
                <w:szCs w:val="18"/>
              </w:rPr>
              <w:t>for</w:t>
            </w:r>
            <w:r>
              <w:rPr>
                <w:color w:val="050606"/>
                <w:spacing w:val="-7"/>
                <w:sz w:val="18"/>
                <w:szCs w:val="18"/>
              </w:rPr>
              <w:t xml:space="preserve"> </w:t>
            </w:r>
            <w:r>
              <w:rPr>
                <w:color w:val="050606"/>
                <w:sz w:val="18"/>
                <w:szCs w:val="18"/>
              </w:rPr>
              <w:t>these</w:t>
            </w:r>
            <w:r>
              <w:rPr>
                <w:color w:val="050606"/>
                <w:spacing w:val="-5"/>
                <w:sz w:val="18"/>
                <w:szCs w:val="18"/>
              </w:rPr>
              <w:t xml:space="preserve"> </w:t>
            </w:r>
            <w:r>
              <w:rPr>
                <w:color w:val="050606"/>
                <w:sz w:val="18"/>
                <w:szCs w:val="18"/>
              </w:rPr>
              <w:t>to</w:t>
            </w:r>
            <w:r>
              <w:rPr>
                <w:color w:val="050606"/>
                <w:spacing w:val="-5"/>
                <w:sz w:val="18"/>
                <w:szCs w:val="18"/>
              </w:rPr>
              <w:t xml:space="preserve"> </w:t>
            </w:r>
            <w:r>
              <w:rPr>
                <w:color w:val="050606"/>
                <w:sz w:val="18"/>
                <w:szCs w:val="18"/>
              </w:rPr>
              <w:t>be</w:t>
            </w:r>
            <w:r>
              <w:rPr>
                <w:color w:val="050606"/>
                <w:spacing w:val="-9"/>
                <w:sz w:val="18"/>
                <w:szCs w:val="18"/>
              </w:rPr>
              <w:t xml:space="preserve"> </w:t>
            </w:r>
            <w:r>
              <w:rPr>
                <w:color w:val="050606"/>
                <w:sz w:val="18"/>
                <w:szCs w:val="18"/>
              </w:rPr>
              <w:t>admitted</w:t>
            </w:r>
            <w:r>
              <w:rPr>
                <w:color w:val="050606"/>
                <w:spacing w:val="-5"/>
                <w:sz w:val="18"/>
                <w:szCs w:val="18"/>
              </w:rPr>
              <w:t xml:space="preserve"> </w:t>
            </w:r>
            <w:r>
              <w:rPr>
                <w:color w:val="050606"/>
                <w:sz w:val="18"/>
                <w:szCs w:val="18"/>
              </w:rPr>
              <w:t>to</w:t>
            </w:r>
            <w:r>
              <w:rPr>
                <w:color w:val="050606"/>
                <w:spacing w:val="-6"/>
                <w:sz w:val="18"/>
                <w:szCs w:val="18"/>
              </w:rPr>
              <w:t xml:space="preserve"> </w:t>
            </w:r>
            <w:r>
              <w:rPr>
                <w:color w:val="050606"/>
                <w:sz w:val="18"/>
                <w:szCs w:val="18"/>
              </w:rPr>
              <w:t>the</w:t>
            </w:r>
            <w:r>
              <w:rPr>
                <w:color w:val="050606"/>
                <w:spacing w:val="-5"/>
                <w:sz w:val="18"/>
                <w:szCs w:val="18"/>
              </w:rPr>
              <w:t xml:space="preserve"> </w:t>
            </w:r>
            <w:r>
              <w:rPr>
                <w:color w:val="050606"/>
                <w:sz w:val="18"/>
                <w:szCs w:val="18"/>
              </w:rPr>
              <w:t>Official</w:t>
            </w:r>
            <w:r>
              <w:rPr>
                <w:color w:val="050606"/>
                <w:spacing w:val="-5"/>
                <w:sz w:val="18"/>
                <w:szCs w:val="18"/>
              </w:rPr>
              <w:t xml:space="preserve"> </w:t>
            </w:r>
            <w:r>
              <w:rPr>
                <w:color w:val="050606"/>
                <w:sz w:val="18"/>
                <w:szCs w:val="18"/>
              </w:rPr>
              <w:t>List</w:t>
            </w:r>
            <w:r>
              <w:rPr>
                <w:color w:val="050606"/>
                <w:spacing w:val="-6"/>
                <w:sz w:val="18"/>
                <w:szCs w:val="18"/>
              </w:rPr>
              <w:t xml:space="preserve"> </w:t>
            </w:r>
            <w:r>
              <w:rPr>
                <w:color w:val="050606"/>
                <w:sz w:val="18"/>
                <w:szCs w:val="18"/>
              </w:rPr>
              <w:t>of</w:t>
            </w:r>
            <w:r>
              <w:rPr>
                <w:color w:val="050606"/>
                <w:spacing w:val="-5"/>
                <w:sz w:val="18"/>
                <w:szCs w:val="18"/>
              </w:rPr>
              <w:t xml:space="preserve"> </w:t>
            </w:r>
            <w:r>
              <w:rPr>
                <w:color w:val="050606"/>
                <w:sz w:val="18"/>
                <w:szCs w:val="18"/>
              </w:rPr>
              <w:t>the</w:t>
            </w:r>
            <w:r>
              <w:rPr>
                <w:color w:val="050606"/>
                <w:spacing w:val="-6"/>
                <w:sz w:val="18"/>
                <w:szCs w:val="18"/>
              </w:rPr>
              <w:t xml:space="preserve"> </w:t>
            </w:r>
            <w:r>
              <w:rPr>
                <w:color w:val="050606"/>
                <w:sz w:val="18"/>
                <w:szCs w:val="18"/>
              </w:rPr>
              <w:t>FCA</w:t>
            </w:r>
            <w:r>
              <w:rPr>
                <w:color w:val="050606"/>
                <w:spacing w:val="-6"/>
                <w:sz w:val="18"/>
                <w:szCs w:val="18"/>
              </w:rPr>
              <w:t xml:space="preserve"> </w:t>
            </w:r>
            <w:r>
              <w:rPr>
                <w:color w:val="050606"/>
                <w:sz w:val="18"/>
                <w:szCs w:val="18"/>
              </w:rPr>
              <w:t>or</w:t>
            </w:r>
            <w:r>
              <w:rPr>
                <w:color w:val="050606"/>
                <w:spacing w:val="-6"/>
                <w:sz w:val="18"/>
                <w:szCs w:val="18"/>
              </w:rPr>
              <w:t xml:space="preserve"> </w:t>
            </w:r>
            <w:r>
              <w:rPr>
                <w:color w:val="050606"/>
                <w:sz w:val="18"/>
                <w:szCs w:val="18"/>
              </w:rPr>
              <w:t>to</w:t>
            </w:r>
            <w:r>
              <w:rPr>
                <w:color w:val="050606"/>
                <w:spacing w:val="-6"/>
                <w:sz w:val="18"/>
                <w:szCs w:val="18"/>
              </w:rPr>
              <w:t xml:space="preserve"> </w:t>
            </w:r>
            <w:r>
              <w:rPr>
                <w:color w:val="050606"/>
                <w:sz w:val="18"/>
                <w:szCs w:val="18"/>
              </w:rPr>
              <w:t>trading</w:t>
            </w:r>
            <w:r>
              <w:rPr>
                <w:color w:val="050606"/>
                <w:spacing w:val="-5"/>
                <w:sz w:val="18"/>
                <w:szCs w:val="18"/>
              </w:rPr>
              <w:t xml:space="preserve"> </w:t>
            </w:r>
            <w:r>
              <w:rPr>
                <w:color w:val="050606"/>
                <w:sz w:val="18"/>
                <w:szCs w:val="18"/>
              </w:rPr>
              <w:t>on</w:t>
            </w:r>
            <w:r>
              <w:rPr>
                <w:color w:val="050606"/>
                <w:spacing w:val="-6"/>
                <w:sz w:val="18"/>
                <w:szCs w:val="18"/>
              </w:rPr>
              <w:t xml:space="preserve"> </w:t>
            </w:r>
            <w:r>
              <w:rPr>
                <w:color w:val="050606"/>
                <w:sz w:val="18"/>
                <w:szCs w:val="18"/>
              </w:rPr>
              <w:t>the</w:t>
            </w:r>
            <w:r>
              <w:rPr>
                <w:color w:val="050606"/>
                <w:spacing w:val="-5"/>
                <w:sz w:val="18"/>
                <w:szCs w:val="18"/>
              </w:rPr>
              <w:t xml:space="preserve"> </w:t>
            </w:r>
            <w:r>
              <w:rPr>
                <w:color w:val="050606"/>
                <w:sz w:val="18"/>
                <w:szCs w:val="18"/>
              </w:rPr>
              <w:t>Main Market).</w:t>
            </w:r>
            <w:r>
              <w:rPr>
                <w:color w:val="050606"/>
                <w:spacing w:val="5"/>
                <w:sz w:val="18"/>
                <w:szCs w:val="18"/>
              </w:rPr>
              <w:t xml:space="preserve"> </w:t>
            </w:r>
            <w:r>
              <w:rPr>
                <w:color w:val="050606"/>
                <w:sz w:val="18"/>
                <w:szCs w:val="18"/>
              </w:rPr>
              <w:t>The</w:t>
            </w:r>
            <w:r>
              <w:rPr>
                <w:color w:val="050606"/>
                <w:spacing w:val="4"/>
                <w:sz w:val="18"/>
                <w:szCs w:val="18"/>
              </w:rPr>
              <w:t xml:space="preserve"> </w:t>
            </w:r>
            <w:r>
              <w:rPr>
                <w:color w:val="050606"/>
                <w:sz w:val="18"/>
                <w:szCs w:val="18"/>
              </w:rPr>
              <w:t>Deferred</w:t>
            </w:r>
            <w:r>
              <w:rPr>
                <w:color w:val="050606"/>
                <w:spacing w:val="5"/>
                <w:sz w:val="18"/>
                <w:szCs w:val="18"/>
              </w:rPr>
              <w:t xml:space="preserve"> </w:t>
            </w:r>
            <w:r>
              <w:rPr>
                <w:color w:val="050606"/>
                <w:sz w:val="18"/>
                <w:szCs w:val="18"/>
              </w:rPr>
              <w:t>Shares</w:t>
            </w:r>
            <w:r>
              <w:rPr>
                <w:color w:val="050606"/>
                <w:spacing w:val="4"/>
                <w:sz w:val="18"/>
                <w:szCs w:val="18"/>
              </w:rPr>
              <w:t xml:space="preserve"> </w:t>
            </w:r>
            <w:r>
              <w:rPr>
                <w:color w:val="050606"/>
                <w:sz w:val="18"/>
                <w:szCs w:val="18"/>
              </w:rPr>
              <w:t>have</w:t>
            </w:r>
            <w:r>
              <w:rPr>
                <w:color w:val="050606"/>
                <w:spacing w:val="5"/>
                <w:sz w:val="18"/>
                <w:szCs w:val="18"/>
              </w:rPr>
              <w:t xml:space="preserve"> </w:t>
            </w:r>
            <w:r>
              <w:rPr>
                <w:color w:val="050606"/>
                <w:sz w:val="18"/>
                <w:szCs w:val="18"/>
              </w:rPr>
              <w:t>no</w:t>
            </w:r>
            <w:r>
              <w:rPr>
                <w:color w:val="050606"/>
                <w:spacing w:val="5"/>
                <w:sz w:val="18"/>
                <w:szCs w:val="18"/>
              </w:rPr>
              <w:t xml:space="preserve"> </w:t>
            </w:r>
            <w:r>
              <w:rPr>
                <w:color w:val="050606"/>
                <w:sz w:val="18"/>
                <w:szCs w:val="18"/>
              </w:rPr>
              <w:t>voting</w:t>
            </w:r>
            <w:r>
              <w:rPr>
                <w:color w:val="050606"/>
                <w:spacing w:val="5"/>
                <w:sz w:val="18"/>
                <w:szCs w:val="18"/>
              </w:rPr>
              <w:t xml:space="preserve"> </w:t>
            </w:r>
            <w:r>
              <w:rPr>
                <w:color w:val="050606"/>
                <w:sz w:val="18"/>
                <w:szCs w:val="18"/>
              </w:rPr>
              <w:t>rights</w:t>
            </w:r>
            <w:r>
              <w:rPr>
                <w:color w:val="050606"/>
                <w:spacing w:val="5"/>
                <w:sz w:val="18"/>
                <w:szCs w:val="18"/>
              </w:rPr>
              <w:t xml:space="preserve"> </w:t>
            </w:r>
            <w:r>
              <w:rPr>
                <w:color w:val="050606"/>
                <w:sz w:val="18"/>
                <w:szCs w:val="18"/>
              </w:rPr>
              <w:t>and</w:t>
            </w:r>
            <w:r>
              <w:rPr>
                <w:color w:val="050606"/>
                <w:spacing w:val="5"/>
                <w:sz w:val="18"/>
                <w:szCs w:val="18"/>
              </w:rPr>
              <w:t xml:space="preserve"> </w:t>
            </w:r>
            <w:r>
              <w:rPr>
                <w:color w:val="050606"/>
                <w:sz w:val="18"/>
                <w:szCs w:val="18"/>
              </w:rPr>
              <w:t>no</w:t>
            </w:r>
            <w:r>
              <w:rPr>
                <w:color w:val="050606"/>
                <w:spacing w:val="2"/>
                <w:sz w:val="18"/>
                <w:szCs w:val="18"/>
              </w:rPr>
              <w:t xml:space="preserve"> </w:t>
            </w:r>
            <w:r>
              <w:rPr>
                <w:color w:val="050606"/>
                <w:sz w:val="18"/>
                <w:szCs w:val="18"/>
              </w:rPr>
              <w:t>rights</w:t>
            </w:r>
            <w:r>
              <w:rPr>
                <w:color w:val="050606"/>
                <w:spacing w:val="5"/>
                <w:sz w:val="18"/>
                <w:szCs w:val="18"/>
              </w:rPr>
              <w:t xml:space="preserve"> </w:t>
            </w:r>
            <w:r>
              <w:rPr>
                <w:color w:val="050606"/>
                <w:sz w:val="18"/>
                <w:szCs w:val="18"/>
              </w:rPr>
              <w:t>to</w:t>
            </w:r>
            <w:r>
              <w:rPr>
                <w:color w:val="050606"/>
                <w:spacing w:val="2"/>
                <w:sz w:val="18"/>
                <w:szCs w:val="18"/>
              </w:rPr>
              <w:t xml:space="preserve"> </w:t>
            </w:r>
            <w:r>
              <w:rPr>
                <w:color w:val="050606"/>
                <w:sz w:val="18"/>
                <w:szCs w:val="18"/>
              </w:rPr>
              <w:t>participate</w:t>
            </w:r>
            <w:r>
              <w:rPr>
                <w:color w:val="050606"/>
                <w:spacing w:val="5"/>
                <w:sz w:val="18"/>
                <w:szCs w:val="18"/>
              </w:rPr>
              <w:t xml:space="preserve"> </w:t>
            </w:r>
            <w:r>
              <w:rPr>
                <w:color w:val="050606"/>
                <w:sz w:val="18"/>
                <w:szCs w:val="18"/>
              </w:rPr>
              <w:t>in</w:t>
            </w:r>
            <w:r>
              <w:rPr>
                <w:color w:val="050606"/>
                <w:spacing w:val="5"/>
                <w:sz w:val="18"/>
                <w:szCs w:val="18"/>
              </w:rPr>
              <w:t xml:space="preserve"> </w:t>
            </w:r>
            <w:r>
              <w:rPr>
                <w:color w:val="050606"/>
                <w:sz w:val="18"/>
                <w:szCs w:val="18"/>
              </w:rPr>
              <w:t>the</w:t>
            </w:r>
            <w:r>
              <w:rPr>
                <w:color w:val="050606"/>
                <w:spacing w:val="5"/>
                <w:sz w:val="18"/>
                <w:szCs w:val="18"/>
              </w:rPr>
              <w:t xml:space="preserve"> </w:t>
            </w:r>
            <w:r>
              <w:rPr>
                <w:color w:val="050606"/>
                <w:sz w:val="18"/>
                <w:szCs w:val="18"/>
              </w:rPr>
              <w:t>profits</w:t>
            </w:r>
          </w:p>
          <w:p w14:paraId="5D0F3F30" w14:textId="77777777" w:rsidR="0031766D" w:rsidRDefault="0031766D" w:rsidP="0047572B">
            <w:pPr>
              <w:pStyle w:val="TableParagraph"/>
              <w:kinsoku w:val="0"/>
              <w:overflowPunct w:val="0"/>
              <w:spacing w:line="187" w:lineRule="exact"/>
              <w:ind w:left="108"/>
              <w:jc w:val="both"/>
              <w:rPr>
                <w:color w:val="050606"/>
                <w:sz w:val="18"/>
                <w:szCs w:val="18"/>
              </w:rPr>
            </w:pPr>
            <w:r>
              <w:rPr>
                <w:color w:val="050606"/>
                <w:sz w:val="18"/>
                <w:szCs w:val="18"/>
              </w:rPr>
              <w:t>of the Company and do no confer any rights of redemption.</w:t>
            </w:r>
          </w:p>
        </w:tc>
      </w:tr>
      <w:tr w:rsidR="0031766D" w14:paraId="62A497DF" w14:textId="77777777" w:rsidTr="0047572B">
        <w:trPr>
          <w:trHeight w:val="550"/>
        </w:trPr>
        <w:tc>
          <w:tcPr>
            <w:tcW w:w="1395" w:type="dxa"/>
            <w:tcBorders>
              <w:top w:val="single" w:sz="4" w:space="0" w:color="231F20"/>
              <w:left w:val="single" w:sz="4" w:space="0" w:color="231F20"/>
              <w:bottom w:val="single" w:sz="4" w:space="0" w:color="231F20"/>
              <w:right w:val="single" w:sz="4" w:space="0" w:color="231F20"/>
            </w:tcBorders>
          </w:tcPr>
          <w:p w14:paraId="4095BB55" w14:textId="77777777" w:rsidR="0031766D" w:rsidRDefault="0031766D" w:rsidP="0047572B">
            <w:pPr>
              <w:pStyle w:val="TableParagraph"/>
              <w:kinsoku w:val="0"/>
              <w:overflowPunct w:val="0"/>
              <w:ind w:left="107" w:right="86"/>
              <w:rPr>
                <w:color w:val="050606"/>
                <w:sz w:val="18"/>
                <w:szCs w:val="18"/>
              </w:rPr>
            </w:pPr>
            <w:r>
              <w:rPr>
                <w:color w:val="050606"/>
                <w:sz w:val="18"/>
                <w:szCs w:val="18"/>
              </w:rPr>
              <w:t>The relative seniority of the</w:t>
            </w:r>
          </w:p>
          <w:p w14:paraId="4B4084AB" w14:textId="77777777" w:rsidR="0031766D" w:rsidRDefault="0031766D" w:rsidP="0047572B">
            <w:pPr>
              <w:pStyle w:val="TableParagraph"/>
              <w:kinsoku w:val="0"/>
              <w:overflowPunct w:val="0"/>
              <w:spacing w:line="187" w:lineRule="exact"/>
              <w:ind w:left="107"/>
              <w:rPr>
                <w:color w:val="050606"/>
                <w:sz w:val="18"/>
                <w:szCs w:val="18"/>
              </w:rPr>
            </w:pPr>
            <w:r>
              <w:rPr>
                <w:color w:val="050606"/>
                <w:sz w:val="18"/>
                <w:szCs w:val="18"/>
              </w:rPr>
              <w:t>securities.</w:t>
            </w:r>
          </w:p>
        </w:tc>
        <w:tc>
          <w:tcPr>
            <w:tcW w:w="7956" w:type="dxa"/>
            <w:tcBorders>
              <w:top w:val="single" w:sz="4" w:space="0" w:color="231F20"/>
              <w:left w:val="single" w:sz="4" w:space="0" w:color="231F20"/>
              <w:bottom w:val="single" w:sz="4" w:space="0" w:color="231F20"/>
              <w:right w:val="single" w:sz="4" w:space="0" w:color="231F20"/>
            </w:tcBorders>
          </w:tcPr>
          <w:p w14:paraId="052E7754" w14:textId="77777777" w:rsidR="0031766D" w:rsidRDefault="0031766D" w:rsidP="0047572B">
            <w:pPr>
              <w:pStyle w:val="TableParagraph"/>
              <w:kinsoku w:val="0"/>
              <w:overflowPunct w:val="0"/>
              <w:ind w:left="108"/>
              <w:rPr>
                <w:color w:val="030404"/>
                <w:sz w:val="18"/>
                <w:szCs w:val="18"/>
              </w:rPr>
            </w:pPr>
            <w:r>
              <w:rPr>
                <w:color w:val="030404"/>
                <w:sz w:val="18"/>
                <w:szCs w:val="18"/>
              </w:rPr>
              <w:t>The Ordinary Shares have seniority over the Deferred Shares in the event of an insolvency or winding up of the Company.</w:t>
            </w:r>
          </w:p>
        </w:tc>
      </w:tr>
      <w:tr w:rsidR="0031766D" w14:paraId="46E7B0DD" w14:textId="77777777" w:rsidTr="009A2801">
        <w:trPr>
          <w:trHeight w:val="3393"/>
        </w:trPr>
        <w:tc>
          <w:tcPr>
            <w:tcW w:w="1395" w:type="dxa"/>
            <w:tcBorders>
              <w:top w:val="single" w:sz="4" w:space="0" w:color="231F20"/>
              <w:left w:val="single" w:sz="4" w:space="0" w:color="231F20"/>
              <w:bottom w:val="single" w:sz="4" w:space="0" w:color="231F20"/>
              <w:right w:val="single" w:sz="4" w:space="0" w:color="231F20"/>
            </w:tcBorders>
          </w:tcPr>
          <w:p w14:paraId="5F63355B" w14:textId="77777777" w:rsidR="0031766D" w:rsidRDefault="0031766D" w:rsidP="0047572B">
            <w:pPr>
              <w:pStyle w:val="TableParagraph"/>
              <w:kinsoku w:val="0"/>
              <w:overflowPunct w:val="0"/>
              <w:ind w:left="107" w:right="186"/>
              <w:rPr>
                <w:color w:val="050606"/>
                <w:sz w:val="18"/>
                <w:szCs w:val="18"/>
              </w:rPr>
            </w:pPr>
            <w:r>
              <w:rPr>
                <w:color w:val="050606"/>
                <w:sz w:val="18"/>
                <w:szCs w:val="18"/>
              </w:rPr>
              <w:lastRenderedPageBreak/>
              <w:t>Restrictions on free transferability</w:t>
            </w:r>
          </w:p>
        </w:tc>
        <w:tc>
          <w:tcPr>
            <w:tcW w:w="7956" w:type="dxa"/>
            <w:tcBorders>
              <w:top w:val="single" w:sz="4" w:space="0" w:color="231F20"/>
              <w:left w:val="single" w:sz="4" w:space="0" w:color="231F20"/>
              <w:bottom w:val="single" w:sz="4" w:space="0" w:color="231F20"/>
              <w:right w:val="single" w:sz="4" w:space="0" w:color="231F20"/>
            </w:tcBorders>
          </w:tcPr>
          <w:p w14:paraId="4F3B150D" w14:textId="1420FAFA" w:rsidR="0031766D" w:rsidRDefault="0031766D" w:rsidP="0047572B">
            <w:pPr>
              <w:pStyle w:val="TableParagraph"/>
              <w:kinsoku w:val="0"/>
              <w:overflowPunct w:val="0"/>
              <w:ind w:left="108" w:right="92"/>
              <w:jc w:val="both"/>
              <w:rPr>
                <w:color w:val="060707"/>
                <w:sz w:val="18"/>
                <w:szCs w:val="18"/>
              </w:rPr>
            </w:pPr>
            <w:r>
              <w:rPr>
                <w:color w:val="060707"/>
                <w:sz w:val="18"/>
                <w:szCs w:val="18"/>
              </w:rPr>
              <w:t>Subject to the provisions of the Articles below, the Ordinary Shares are freely transferrable and there are no restrictions on transfers. Each shareholder may transfer all or any of their Ordinary</w:t>
            </w:r>
            <w:r>
              <w:rPr>
                <w:color w:val="060707"/>
                <w:spacing w:val="-8"/>
                <w:sz w:val="18"/>
                <w:szCs w:val="18"/>
              </w:rPr>
              <w:t xml:space="preserve"> </w:t>
            </w:r>
            <w:r>
              <w:rPr>
                <w:color w:val="060707"/>
                <w:sz w:val="18"/>
                <w:szCs w:val="18"/>
              </w:rPr>
              <w:t>Shares</w:t>
            </w:r>
            <w:r>
              <w:rPr>
                <w:color w:val="060707"/>
                <w:spacing w:val="-8"/>
                <w:sz w:val="18"/>
                <w:szCs w:val="18"/>
              </w:rPr>
              <w:t xml:space="preserve"> </w:t>
            </w:r>
            <w:r>
              <w:rPr>
                <w:color w:val="060707"/>
                <w:sz w:val="18"/>
                <w:szCs w:val="18"/>
              </w:rPr>
              <w:t>held</w:t>
            </w:r>
            <w:r>
              <w:rPr>
                <w:color w:val="060707"/>
                <w:spacing w:val="-9"/>
                <w:sz w:val="18"/>
                <w:szCs w:val="18"/>
              </w:rPr>
              <w:t xml:space="preserve"> </w:t>
            </w:r>
            <w:r>
              <w:rPr>
                <w:color w:val="060707"/>
                <w:sz w:val="18"/>
                <w:szCs w:val="18"/>
              </w:rPr>
              <w:t>in</w:t>
            </w:r>
            <w:r>
              <w:rPr>
                <w:color w:val="060707"/>
                <w:spacing w:val="-8"/>
                <w:sz w:val="18"/>
                <w:szCs w:val="18"/>
              </w:rPr>
              <w:t xml:space="preserve"> </w:t>
            </w:r>
            <w:r>
              <w:rPr>
                <w:color w:val="060707"/>
                <w:sz w:val="18"/>
                <w:szCs w:val="18"/>
              </w:rPr>
              <w:t>certificated</w:t>
            </w:r>
            <w:r>
              <w:rPr>
                <w:color w:val="060707"/>
                <w:spacing w:val="-9"/>
                <w:sz w:val="18"/>
                <w:szCs w:val="18"/>
              </w:rPr>
              <w:t xml:space="preserve"> </w:t>
            </w:r>
            <w:r>
              <w:rPr>
                <w:color w:val="060707"/>
                <w:sz w:val="18"/>
                <w:szCs w:val="18"/>
              </w:rPr>
              <w:t>form</w:t>
            </w:r>
            <w:r>
              <w:rPr>
                <w:color w:val="060707"/>
                <w:spacing w:val="-8"/>
                <w:sz w:val="18"/>
                <w:szCs w:val="18"/>
              </w:rPr>
              <w:t xml:space="preserve"> </w:t>
            </w:r>
            <w:r>
              <w:rPr>
                <w:color w:val="060707"/>
                <w:sz w:val="18"/>
                <w:szCs w:val="18"/>
              </w:rPr>
              <w:t>by</w:t>
            </w:r>
            <w:r>
              <w:rPr>
                <w:color w:val="060707"/>
                <w:spacing w:val="-10"/>
                <w:sz w:val="18"/>
                <w:szCs w:val="18"/>
              </w:rPr>
              <w:t xml:space="preserve"> </w:t>
            </w:r>
            <w:r>
              <w:rPr>
                <w:color w:val="060707"/>
                <w:sz w:val="18"/>
                <w:szCs w:val="18"/>
              </w:rPr>
              <w:t>means</w:t>
            </w:r>
            <w:r>
              <w:rPr>
                <w:color w:val="060707"/>
                <w:spacing w:val="-7"/>
                <w:sz w:val="18"/>
                <w:szCs w:val="18"/>
              </w:rPr>
              <w:t xml:space="preserve"> </w:t>
            </w:r>
            <w:r>
              <w:rPr>
                <w:color w:val="060707"/>
                <w:sz w:val="18"/>
                <w:szCs w:val="18"/>
              </w:rPr>
              <w:t>of</w:t>
            </w:r>
            <w:r>
              <w:rPr>
                <w:color w:val="060707"/>
                <w:spacing w:val="-9"/>
                <w:sz w:val="18"/>
                <w:szCs w:val="18"/>
              </w:rPr>
              <w:t xml:space="preserve"> </w:t>
            </w:r>
            <w:r>
              <w:rPr>
                <w:color w:val="060707"/>
                <w:sz w:val="18"/>
                <w:szCs w:val="18"/>
              </w:rPr>
              <w:t>an</w:t>
            </w:r>
            <w:r>
              <w:rPr>
                <w:color w:val="060707"/>
                <w:spacing w:val="-9"/>
                <w:sz w:val="18"/>
                <w:szCs w:val="18"/>
              </w:rPr>
              <w:t xml:space="preserve"> </w:t>
            </w:r>
            <w:r>
              <w:rPr>
                <w:color w:val="060707"/>
                <w:sz w:val="18"/>
                <w:szCs w:val="18"/>
              </w:rPr>
              <w:t>instrument</w:t>
            </w:r>
            <w:r>
              <w:rPr>
                <w:color w:val="060707"/>
                <w:spacing w:val="-6"/>
                <w:sz w:val="18"/>
                <w:szCs w:val="18"/>
              </w:rPr>
              <w:t xml:space="preserve"> </w:t>
            </w:r>
            <w:r>
              <w:rPr>
                <w:color w:val="060707"/>
                <w:sz w:val="18"/>
                <w:szCs w:val="18"/>
              </w:rPr>
              <w:t>of</w:t>
            </w:r>
            <w:r>
              <w:rPr>
                <w:color w:val="060707"/>
                <w:spacing w:val="-8"/>
                <w:sz w:val="18"/>
                <w:szCs w:val="18"/>
              </w:rPr>
              <w:t xml:space="preserve"> </w:t>
            </w:r>
            <w:r>
              <w:rPr>
                <w:color w:val="060707"/>
                <w:sz w:val="18"/>
                <w:szCs w:val="18"/>
              </w:rPr>
              <w:t>transfer</w:t>
            </w:r>
            <w:r>
              <w:rPr>
                <w:color w:val="060707"/>
                <w:spacing w:val="-7"/>
                <w:sz w:val="18"/>
                <w:szCs w:val="18"/>
              </w:rPr>
              <w:t xml:space="preserve"> </w:t>
            </w:r>
            <w:r>
              <w:rPr>
                <w:color w:val="060707"/>
                <w:sz w:val="18"/>
                <w:szCs w:val="18"/>
              </w:rPr>
              <w:t>(in</w:t>
            </w:r>
            <w:r>
              <w:rPr>
                <w:color w:val="060707"/>
                <w:spacing w:val="-9"/>
                <w:sz w:val="18"/>
                <w:szCs w:val="18"/>
              </w:rPr>
              <w:t xml:space="preserve"> </w:t>
            </w:r>
            <w:r>
              <w:rPr>
                <w:color w:val="060707"/>
                <w:sz w:val="18"/>
                <w:szCs w:val="18"/>
              </w:rPr>
              <w:t>such</w:t>
            </w:r>
            <w:r>
              <w:rPr>
                <w:color w:val="060707"/>
                <w:spacing w:val="-6"/>
                <w:sz w:val="18"/>
                <w:szCs w:val="18"/>
              </w:rPr>
              <w:t xml:space="preserve"> </w:t>
            </w:r>
            <w:r>
              <w:rPr>
                <w:color w:val="060707"/>
                <w:sz w:val="18"/>
                <w:szCs w:val="18"/>
              </w:rPr>
              <w:t>a</w:t>
            </w:r>
            <w:r>
              <w:rPr>
                <w:color w:val="060707"/>
                <w:spacing w:val="-8"/>
                <w:sz w:val="18"/>
                <w:szCs w:val="18"/>
              </w:rPr>
              <w:t xml:space="preserve"> </w:t>
            </w:r>
            <w:r>
              <w:rPr>
                <w:color w:val="060707"/>
                <w:sz w:val="18"/>
                <w:szCs w:val="18"/>
              </w:rPr>
              <w:t>form approved by the</w:t>
            </w:r>
            <w:r>
              <w:rPr>
                <w:color w:val="060707"/>
                <w:spacing w:val="-3"/>
                <w:sz w:val="18"/>
                <w:szCs w:val="18"/>
              </w:rPr>
              <w:t xml:space="preserve"> </w:t>
            </w:r>
            <w:r>
              <w:rPr>
                <w:color w:val="060707"/>
                <w:sz w:val="18"/>
                <w:szCs w:val="18"/>
              </w:rPr>
              <w:t>Directors).The</w:t>
            </w:r>
            <w:r>
              <w:rPr>
                <w:color w:val="060707"/>
                <w:spacing w:val="-9"/>
                <w:sz w:val="18"/>
                <w:szCs w:val="18"/>
              </w:rPr>
              <w:t xml:space="preserve"> </w:t>
            </w:r>
            <w:r>
              <w:rPr>
                <w:color w:val="060707"/>
                <w:sz w:val="18"/>
                <w:szCs w:val="18"/>
              </w:rPr>
              <w:t>Directors</w:t>
            </w:r>
            <w:r>
              <w:rPr>
                <w:color w:val="060707"/>
                <w:spacing w:val="-8"/>
                <w:sz w:val="18"/>
                <w:szCs w:val="18"/>
              </w:rPr>
              <w:t xml:space="preserve"> </w:t>
            </w:r>
            <w:r>
              <w:rPr>
                <w:color w:val="060707"/>
                <w:sz w:val="18"/>
                <w:szCs w:val="18"/>
              </w:rPr>
              <w:t>may</w:t>
            </w:r>
            <w:r>
              <w:rPr>
                <w:color w:val="060707"/>
                <w:spacing w:val="-10"/>
                <w:sz w:val="18"/>
                <w:szCs w:val="18"/>
              </w:rPr>
              <w:t xml:space="preserve"> </w:t>
            </w:r>
            <w:r>
              <w:rPr>
                <w:color w:val="060707"/>
                <w:sz w:val="18"/>
                <w:szCs w:val="18"/>
              </w:rPr>
              <w:t>refuse</w:t>
            </w:r>
            <w:r>
              <w:rPr>
                <w:color w:val="060707"/>
                <w:spacing w:val="-9"/>
                <w:sz w:val="18"/>
                <w:szCs w:val="18"/>
              </w:rPr>
              <w:t xml:space="preserve"> </w:t>
            </w:r>
            <w:r>
              <w:rPr>
                <w:color w:val="060707"/>
                <w:sz w:val="18"/>
                <w:szCs w:val="18"/>
              </w:rPr>
              <w:t>to</w:t>
            </w:r>
            <w:r>
              <w:rPr>
                <w:color w:val="060707"/>
                <w:spacing w:val="-9"/>
                <w:sz w:val="18"/>
                <w:szCs w:val="18"/>
              </w:rPr>
              <w:t xml:space="preserve"> </w:t>
            </w:r>
            <w:r>
              <w:rPr>
                <w:color w:val="060707"/>
                <w:sz w:val="18"/>
                <w:szCs w:val="18"/>
              </w:rPr>
              <w:t>register</w:t>
            </w:r>
            <w:r>
              <w:rPr>
                <w:color w:val="060707"/>
                <w:spacing w:val="-9"/>
                <w:sz w:val="18"/>
                <w:szCs w:val="18"/>
              </w:rPr>
              <w:t xml:space="preserve"> </w:t>
            </w:r>
            <w:r>
              <w:rPr>
                <w:color w:val="060707"/>
                <w:sz w:val="18"/>
                <w:szCs w:val="18"/>
              </w:rPr>
              <w:t>a</w:t>
            </w:r>
            <w:r>
              <w:rPr>
                <w:color w:val="060707"/>
                <w:spacing w:val="-9"/>
                <w:sz w:val="18"/>
                <w:szCs w:val="18"/>
              </w:rPr>
              <w:t xml:space="preserve"> </w:t>
            </w:r>
            <w:r>
              <w:rPr>
                <w:color w:val="060707"/>
                <w:sz w:val="18"/>
                <w:szCs w:val="18"/>
              </w:rPr>
              <w:t>transfer</w:t>
            </w:r>
            <w:r>
              <w:rPr>
                <w:color w:val="060707"/>
                <w:spacing w:val="-9"/>
                <w:sz w:val="18"/>
                <w:szCs w:val="18"/>
              </w:rPr>
              <w:t xml:space="preserve"> </w:t>
            </w:r>
            <w:r>
              <w:rPr>
                <w:color w:val="060707"/>
                <w:sz w:val="18"/>
                <w:szCs w:val="18"/>
              </w:rPr>
              <w:t>of</w:t>
            </w:r>
            <w:r>
              <w:rPr>
                <w:color w:val="060707"/>
                <w:spacing w:val="-9"/>
                <w:sz w:val="18"/>
                <w:szCs w:val="18"/>
              </w:rPr>
              <w:t xml:space="preserve"> </w:t>
            </w:r>
            <w:r>
              <w:rPr>
                <w:color w:val="060707"/>
                <w:sz w:val="18"/>
                <w:szCs w:val="18"/>
              </w:rPr>
              <w:t>Ordinary</w:t>
            </w:r>
            <w:r>
              <w:rPr>
                <w:color w:val="060707"/>
                <w:spacing w:val="-10"/>
                <w:sz w:val="18"/>
                <w:szCs w:val="18"/>
              </w:rPr>
              <w:t xml:space="preserve"> </w:t>
            </w:r>
            <w:r>
              <w:rPr>
                <w:color w:val="060707"/>
                <w:sz w:val="18"/>
                <w:szCs w:val="18"/>
              </w:rPr>
              <w:t>Shares</w:t>
            </w:r>
            <w:r>
              <w:rPr>
                <w:color w:val="060707"/>
                <w:spacing w:val="-8"/>
                <w:sz w:val="18"/>
                <w:szCs w:val="18"/>
              </w:rPr>
              <w:t xml:space="preserve"> </w:t>
            </w:r>
            <w:r>
              <w:rPr>
                <w:color w:val="060707"/>
                <w:sz w:val="18"/>
                <w:szCs w:val="18"/>
              </w:rPr>
              <w:t>which</w:t>
            </w:r>
            <w:r>
              <w:rPr>
                <w:color w:val="060707"/>
                <w:spacing w:val="-9"/>
                <w:sz w:val="18"/>
                <w:szCs w:val="18"/>
              </w:rPr>
              <w:t xml:space="preserve"> </w:t>
            </w:r>
            <w:r>
              <w:rPr>
                <w:color w:val="060707"/>
                <w:sz w:val="18"/>
                <w:szCs w:val="18"/>
              </w:rPr>
              <w:t>is</w:t>
            </w:r>
            <w:r>
              <w:rPr>
                <w:color w:val="060707"/>
                <w:spacing w:val="-8"/>
                <w:sz w:val="18"/>
                <w:szCs w:val="18"/>
              </w:rPr>
              <w:t xml:space="preserve"> </w:t>
            </w:r>
            <w:r>
              <w:rPr>
                <w:color w:val="060707"/>
                <w:sz w:val="18"/>
                <w:szCs w:val="18"/>
              </w:rPr>
              <w:t>in</w:t>
            </w:r>
            <w:r>
              <w:rPr>
                <w:color w:val="060707"/>
                <w:spacing w:val="-10"/>
                <w:sz w:val="18"/>
                <w:szCs w:val="18"/>
              </w:rPr>
              <w:t xml:space="preserve"> </w:t>
            </w:r>
            <w:r>
              <w:rPr>
                <w:color w:val="060707"/>
                <w:sz w:val="18"/>
                <w:szCs w:val="18"/>
              </w:rPr>
              <w:t>certificated</w:t>
            </w:r>
            <w:r>
              <w:rPr>
                <w:color w:val="060707"/>
                <w:spacing w:val="-9"/>
                <w:sz w:val="18"/>
                <w:szCs w:val="18"/>
              </w:rPr>
              <w:t xml:space="preserve"> </w:t>
            </w:r>
            <w:r>
              <w:rPr>
                <w:color w:val="060707"/>
                <w:sz w:val="18"/>
                <w:szCs w:val="18"/>
              </w:rPr>
              <w:t>form, unless the instrument of transfer (</w:t>
            </w:r>
            <w:proofErr w:type="spellStart"/>
            <w:r>
              <w:rPr>
                <w:color w:val="060707"/>
                <w:sz w:val="18"/>
                <w:szCs w:val="18"/>
              </w:rPr>
              <w:t>i</w:t>
            </w:r>
            <w:proofErr w:type="spellEnd"/>
            <w:r>
              <w:rPr>
                <w:color w:val="060707"/>
                <w:sz w:val="18"/>
                <w:szCs w:val="18"/>
              </w:rPr>
              <w:t>) is in respect of only one class of share; (ii) is in favour of not more than four joint transferees; (iii) is duly stamped (if required); and (iv) is lodged at the Company’s</w:t>
            </w:r>
            <w:r>
              <w:rPr>
                <w:color w:val="060707"/>
                <w:spacing w:val="-8"/>
                <w:sz w:val="18"/>
                <w:szCs w:val="18"/>
              </w:rPr>
              <w:t xml:space="preserve"> </w:t>
            </w:r>
            <w:r>
              <w:rPr>
                <w:color w:val="060707"/>
                <w:sz w:val="18"/>
                <w:szCs w:val="18"/>
              </w:rPr>
              <w:t>registered</w:t>
            </w:r>
            <w:r>
              <w:rPr>
                <w:color w:val="060707"/>
                <w:spacing w:val="-9"/>
                <w:sz w:val="18"/>
                <w:szCs w:val="18"/>
              </w:rPr>
              <w:t xml:space="preserve"> </w:t>
            </w:r>
            <w:r>
              <w:rPr>
                <w:color w:val="060707"/>
                <w:sz w:val="18"/>
                <w:szCs w:val="18"/>
              </w:rPr>
              <w:t>office</w:t>
            </w:r>
            <w:r>
              <w:rPr>
                <w:color w:val="060707"/>
                <w:spacing w:val="-9"/>
                <w:sz w:val="18"/>
                <w:szCs w:val="18"/>
              </w:rPr>
              <w:t xml:space="preserve"> </w:t>
            </w:r>
            <w:r>
              <w:rPr>
                <w:color w:val="060707"/>
                <w:sz w:val="18"/>
                <w:szCs w:val="18"/>
              </w:rPr>
              <w:t>or</w:t>
            </w:r>
            <w:r>
              <w:rPr>
                <w:color w:val="060707"/>
                <w:spacing w:val="-12"/>
                <w:sz w:val="18"/>
                <w:szCs w:val="18"/>
              </w:rPr>
              <w:t xml:space="preserve"> </w:t>
            </w:r>
            <w:r>
              <w:rPr>
                <w:color w:val="060707"/>
                <w:sz w:val="18"/>
                <w:szCs w:val="18"/>
              </w:rPr>
              <w:t>such</w:t>
            </w:r>
            <w:r>
              <w:rPr>
                <w:color w:val="060707"/>
                <w:spacing w:val="-9"/>
                <w:sz w:val="18"/>
                <w:szCs w:val="18"/>
              </w:rPr>
              <w:t xml:space="preserve"> </w:t>
            </w:r>
            <w:r>
              <w:rPr>
                <w:color w:val="060707"/>
                <w:sz w:val="18"/>
                <w:szCs w:val="18"/>
              </w:rPr>
              <w:t>other</w:t>
            </w:r>
            <w:r>
              <w:rPr>
                <w:color w:val="060707"/>
                <w:spacing w:val="-9"/>
                <w:sz w:val="18"/>
                <w:szCs w:val="18"/>
              </w:rPr>
              <w:t xml:space="preserve"> </w:t>
            </w:r>
            <w:r>
              <w:rPr>
                <w:color w:val="060707"/>
                <w:sz w:val="18"/>
                <w:szCs w:val="18"/>
              </w:rPr>
              <w:t>place</w:t>
            </w:r>
            <w:r>
              <w:rPr>
                <w:color w:val="060707"/>
                <w:spacing w:val="-8"/>
                <w:sz w:val="18"/>
                <w:szCs w:val="18"/>
              </w:rPr>
              <w:t xml:space="preserve"> </w:t>
            </w:r>
            <w:r>
              <w:rPr>
                <w:color w:val="060707"/>
                <w:sz w:val="18"/>
                <w:szCs w:val="18"/>
              </w:rPr>
              <w:t>as</w:t>
            </w:r>
            <w:r>
              <w:rPr>
                <w:color w:val="060707"/>
                <w:spacing w:val="-8"/>
                <w:sz w:val="18"/>
                <w:szCs w:val="18"/>
              </w:rPr>
              <w:t xml:space="preserve"> </w:t>
            </w:r>
            <w:r>
              <w:rPr>
                <w:color w:val="060707"/>
                <w:sz w:val="18"/>
                <w:szCs w:val="18"/>
              </w:rPr>
              <w:t>the</w:t>
            </w:r>
            <w:r>
              <w:rPr>
                <w:color w:val="060707"/>
                <w:spacing w:val="-9"/>
                <w:sz w:val="18"/>
                <w:szCs w:val="18"/>
              </w:rPr>
              <w:t xml:space="preserve"> </w:t>
            </w:r>
            <w:r>
              <w:rPr>
                <w:color w:val="060707"/>
                <w:sz w:val="18"/>
                <w:szCs w:val="18"/>
              </w:rPr>
              <w:t>board</w:t>
            </w:r>
            <w:r>
              <w:rPr>
                <w:color w:val="060707"/>
                <w:spacing w:val="-9"/>
                <w:sz w:val="18"/>
                <w:szCs w:val="18"/>
              </w:rPr>
              <w:t xml:space="preserve"> </w:t>
            </w:r>
            <w:r>
              <w:rPr>
                <w:color w:val="060707"/>
                <w:sz w:val="18"/>
                <w:szCs w:val="18"/>
              </w:rPr>
              <w:t>may</w:t>
            </w:r>
            <w:r>
              <w:rPr>
                <w:color w:val="060707"/>
                <w:spacing w:val="-10"/>
                <w:sz w:val="18"/>
                <w:szCs w:val="18"/>
              </w:rPr>
              <w:t xml:space="preserve"> </w:t>
            </w:r>
            <w:r>
              <w:rPr>
                <w:color w:val="060707"/>
                <w:sz w:val="18"/>
                <w:szCs w:val="18"/>
              </w:rPr>
              <w:t>decide</w:t>
            </w:r>
            <w:r>
              <w:rPr>
                <w:color w:val="060707"/>
                <w:spacing w:val="-9"/>
                <w:sz w:val="18"/>
                <w:szCs w:val="18"/>
              </w:rPr>
              <w:t xml:space="preserve"> </w:t>
            </w:r>
            <w:r>
              <w:rPr>
                <w:color w:val="060707"/>
                <w:sz w:val="18"/>
                <w:szCs w:val="18"/>
              </w:rPr>
              <w:t>accompanied</w:t>
            </w:r>
            <w:r>
              <w:rPr>
                <w:color w:val="060707"/>
                <w:spacing w:val="-9"/>
                <w:sz w:val="18"/>
                <w:szCs w:val="18"/>
              </w:rPr>
              <w:t xml:space="preserve"> </w:t>
            </w:r>
            <w:r>
              <w:rPr>
                <w:color w:val="060707"/>
                <w:sz w:val="18"/>
                <w:szCs w:val="18"/>
              </w:rPr>
              <w:t>by</w:t>
            </w:r>
            <w:r>
              <w:rPr>
                <w:color w:val="060707"/>
                <w:spacing w:val="-9"/>
                <w:sz w:val="18"/>
                <w:szCs w:val="18"/>
              </w:rPr>
              <w:t xml:space="preserve"> </w:t>
            </w:r>
            <w:r>
              <w:rPr>
                <w:color w:val="060707"/>
                <w:sz w:val="18"/>
                <w:szCs w:val="18"/>
              </w:rPr>
              <w:t>the certificate for the shares to which it relates (except in the case of a transfer by a recognised person</w:t>
            </w:r>
            <w:r>
              <w:rPr>
                <w:color w:val="060707"/>
                <w:spacing w:val="-12"/>
                <w:sz w:val="18"/>
                <w:szCs w:val="18"/>
              </w:rPr>
              <w:t xml:space="preserve"> </w:t>
            </w:r>
            <w:r>
              <w:rPr>
                <w:color w:val="060707"/>
                <w:sz w:val="18"/>
                <w:szCs w:val="18"/>
              </w:rPr>
              <w:t>to</w:t>
            </w:r>
            <w:r>
              <w:rPr>
                <w:color w:val="060707"/>
                <w:spacing w:val="-11"/>
                <w:sz w:val="18"/>
                <w:szCs w:val="18"/>
              </w:rPr>
              <w:t xml:space="preserve"> </w:t>
            </w:r>
            <w:r>
              <w:rPr>
                <w:color w:val="060707"/>
                <w:sz w:val="18"/>
                <w:szCs w:val="18"/>
              </w:rPr>
              <w:t>whom</w:t>
            </w:r>
            <w:r>
              <w:rPr>
                <w:color w:val="060707"/>
                <w:spacing w:val="-10"/>
                <w:sz w:val="18"/>
                <w:szCs w:val="18"/>
              </w:rPr>
              <w:t xml:space="preserve"> </w:t>
            </w:r>
            <w:r>
              <w:rPr>
                <w:color w:val="060707"/>
                <w:sz w:val="18"/>
                <w:szCs w:val="18"/>
              </w:rPr>
              <w:t>no</w:t>
            </w:r>
            <w:r>
              <w:rPr>
                <w:color w:val="060707"/>
                <w:spacing w:val="-12"/>
                <w:sz w:val="18"/>
                <w:szCs w:val="18"/>
              </w:rPr>
              <w:t xml:space="preserve"> </w:t>
            </w:r>
            <w:r>
              <w:rPr>
                <w:color w:val="060707"/>
                <w:sz w:val="18"/>
                <w:szCs w:val="18"/>
              </w:rPr>
              <w:t>certificate</w:t>
            </w:r>
            <w:r>
              <w:rPr>
                <w:color w:val="060707"/>
                <w:spacing w:val="-13"/>
                <w:sz w:val="18"/>
                <w:szCs w:val="18"/>
              </w:rPr>
              <w:t xml:space="preserve"> </w:t>
            </w:r>
            <w:r>
              <w:rPr>
                <w:color w:val="060707"/>
                <w:sz w:val="18"/>
                <w:szCs w:val="18"/>
              </w:rPr>
              <w:t>was</w:t>
            </w:r>
            <w:r>
              <w:rPr>
                <w:color w:val="060707"/>
                <w:spacing w:val="-10"/>
                <w:sz w:val="18"/>
                <w:szCs w:val="18"/>
              </w:rPr>
              <w:t xml:space="preserve"> </w:t>
            </w:r>
            <w:r>
              <w:rPr>
                <w:color w:val="060707"/>
                <w:sz w:val="18"/>
                <w:szCs w:val="18"/>
              </w:rPr>
              <w:t>issued)</w:t>
            </w:r>
            <w:r>
              <w:rPr>
                <w:color w:val="060707"/>
                <w:spacing w:val="-12"/>
                <w:sz w:val="18"/>
                <w:szCs w:val="18"/>
              </w:rPr>
              <w:t xml:space="preserve"> </w:t>
            </w:r>
            <w:r>
              <w:rPr>
                <w:color w:val="060707"/>
                <w:sz w:val="18"/>
                <w:szCs w:val="18"/>
              </w:rPr>
              <w:t>and</w:t>
            </w:r>
            <w:r>
              <w:rPr>
                <w:color w:val="060707"/>
                <w:spacing w:val="-11"/>
                <w:sz w:val="18"/>
                <w:szCs w:val="18"/>
              </w:rPr>
              <w:t xml:space="preserve"> </w:t>
            </w:r>
            <w:r>
              <w:rPr>
                <w:color w:val="060707"/>
                <w:sz w:val="18"/>
                <w:szCs w:val="18"/>
              </w:rPr>
              <w:t>such</w:t>
            </w:r>
            <w:r>
              <w:rPr>
                <w:color w:val="060707"/>
                <w:spacing w:val="-13"/>
                <w:sz w:val="18"/>
                <w:szCs w:val="18"/>
              </w:rPr>
              <w:t xml:space="preserve"> </w:t>
            </w:r>
            <w:r>
              <w:rPr>
                <w:color w:val="060707"/>
                <w:sz w:val="18"/>
                <w:szCs w:val="18"/>
              </w:rPr>
              <w:t>evidence</w:t>
            </w:r>
            <w:r>
              <w:rPr>
                <w:color w:val="060707"/>
                <w:spacing w:val="-12"/>
                <w:sz w:val="18"/>
                <w:szCs w:val="18"/>
              </w:rPr>
              <w:t xml:space="preserve"> </w:t>
            </w:r>
            <w:r>
              <w:rPr>
                <w:color w:val="060707"/>
                <w:sz w:val="18"/>
                <w:szCs w:val="18"/>
              </w:rPr>
              <w:t>to</w:t>
            </w:r>
            <w:r>
              <w:rPr>
                <w:color w:val="060707"/>
                <w:spacing w:val="-10"/>
                <w:sz w:val="18"/>
                <w:szCs w:val="18"/>
              </w:rPr>
              <w:t xml:space="preserve"> </w:t>
            </w:r>
            <w:r>
              <w:rPr>
                <w:color w:val="060707"/>
                <w:sz w:val="18"/>
                <w:szCs w:val="18"/>
              </w:rPr>
              <w:t>prove</w:t>
            </w:r>
            <w:r>
              <w:rPr>
                <w:color w:val="060707"/>
                <w:spacing w:val="-11"/>
                <w:sz w:val="18"/>
                <w:szCs w:val="18"/>
              </w:rPr>
              <w:t xml:space="preserve"> </w:t>
            </w:r>
            <w:r>
              <w:rPr>
                <w:color w:val="060707"/>
                <w:sz w:val="18"/>
                <w:szCs w:val="18"/>
              </w:rPr>
              <w:t>the</w:t>
            </w:r>
            <w:r>
              <w:rPr>
                <w:color w:val="060707"/>
                <w:spacing w:val="-12"/>
                <w:sz w:val="18"/>
                <w:szCs w:val="18"/>
              </w:rPr>
              <w:t xml:space="preserve"> </w:t>
            </w:r>
            <w:r>
              <w:rPr>
                <w:color w:val="060707"/>
                <w:sz w:val="18"/>
                <w:szCs w:val="18"/>
              </w:rPr>
              <w:t>title</w:t>
            </w:r>
            <w:r>
              <w:rPr>
                <w:color w:val="060707"/>
                <w:spacing w:val="-11"/>
                <w:sz w:val="18"/>
                <w:szCs w:val="18"/>
              </w:rPr>
              <w:t xml:space="preserve"> </w:t>
            </w:r>
            <w:r>
              <w:rPr>
                <w:color w:val="060707"/>
                <w:sz w:val="18"/>
                <w:szCs w:val="18"/>
              </w:rPr>
              <w:t>of</w:t>
            </w:r>
            <w:r>
              <w:rPr>
                <w:color w:val="060707"/>
                <w:spacing w:val="-11"/>
                <w:sz w:val="18"/>
                <w:szCs w:val="18"/>
              </w:rPr>
              <w:t xml:space="preserve"> </w:t>
            </w:r>
            <w:r>
              <w:rPr>
                <w:color w:val="060707"/>
                <w:sz w:val="18"/>
                <w:szCs w:val="18"/>
              </w:rPr>
              <w:t>the</w:t>
            </w:r>
            <w:r>
              <w:rPr>
                <w:color w:val="060707"/>
                <w:spacing w:val="-13"/>
                <w:sz w:val="18"/>
                <w:szCs w:val="18"/>
              </w:rPr>
              <w:t xml:space="preserve"> </w:t>
            </w:r>
            <w:r>
              <w:rPr>
                <w:color w:val="060707"/>
                <w:sz w:val="18"/>
                <w:szCs w:val="18"/>
              </w:rPr>
              <w:t>transferor to the shares and the due execution by them of the</w:t>
            </w:r>
            <w:r>
              <w:rPr>
                <w:color w:val="060707"/>
                <w:spacing w:val="-11"/>
                <w:sz w:val="18"/>
                <w:szCs w:val="18"/>
              </w:rPr>
              <w:t xml:space="preserve"> </w:t>
            </w:r>
            <w:r>
              <w:rPr>
                <w:color w:val="060707"/>
                <w:sz w:val="18"/>
                <w:szCs w:val="18"/>
              </w:rPr>
              <w:t>transfer.</w:t>
            </w:r>
          </w:p>
          <w:p w14:paraId="28A37894" w14:textId="77777777" w:rsidR="0031766D" w:rsidRDefault="0031766D" w:rsidP="0047572B">
            <w:pPr>
              <w:pStyle w:val="TableParagraph"/>
              <w:kinsoku w:val="0"/>
              <w:overflowPunct w:val="0"/>
              <w:ind w:left="108" w:right="92"/>
              <w:jc w:val="both"/>
              <w:rPr>
                <w:b/>
                <w:bCs/>
                <w:sz w:val="17"/>
                <w:szCs w:val="17"/>
              </w:rPr>
            </w:pPr>
          </w:p>
          <w:p w14:paraId="22558BFA" w14:textId="179920A9" w:rsidR="0031766D" w:rsidRDefault="0031766D" w:rsidP="0047572B">
            <w:pPr>
              <w:pStyle w:val="TableParagraph"/>
              <w:kinsoku w:val="0"/>
              <w:overflowPunct w:val="0"/>
              <w:ind w:left="108" w:right="93"/>
              <w:jc w:val="both"/>
              <w:rPr>
                <w:color w:val="060707"/>
                <w:sz w:val="18"/>
                <w:szCs w:val="18"/>
              </w:rPr>
            </w:pPr>
            <w:r>
              <w:rPr>
                <w:color w:val="060707"/>
                <w:sz w:val="18"/>
                <w:szCs w:val="18"/>
              </w:rPr>
              <w:t>Shareholders may transfer all or any of their Ordinary Shares which are in uncertificated form by means of a ‘relevant system’ (i.e. the CREST System) in such manner provided for, and subject</w:t>
            </w:r>
            <w:r>
              <w:rPr>
                <w:color w:val="060707"/>
                <w:spacing w:val="-6"/>
                <w:sz w:val="18"/>
                <w:szCs w:val="18"/>
              </w:rPr>
              <w:t xml:space="preserve"> </w:t>
            </w:r>
            <w:r>
              <w:rPr>
                <w:color w:val="060707"/>
                <w:sz w:val="18"/>
                <w:szCs w:val="18"/>
              </w:rPr>
              <w:t>as</w:t>
            </w:r>
            <w:r>
              <w:rPr>
                <w:color w:val="060707"/>
                <w:spacing w:val="-6"/>
                <w:sz w:val="18"/>
                <w:szCs w:val="18"/>
              </w:rPr>
              <w:t xml:space="preserve"> </w:t>
            </w:r>
            <w:r>
              <w:rPr>
                <w:color w:val="060707"/>
                <w:sz w:val="18"/>
                <w:szCs w:val="18"/>
              </w:rPr>
              <w:t>provided</w:t>
            </w:r>
            <w:r>
              <w:rPr>
                <w:color w:val="060707"/>
                <w:spacing w:val="-3"/>
                <w:sz w:val="18"/>
                <w:szCs w:val="18"/>
              </w:rPr>
              <w:t xml:space="preserve"> </w:t>
            </w:r>
            <w:r>
              <w:rPr>
                <w:color w:val="060707"/>
                <w:sz w:val="18"/>
                <w:szCs w:val="18"/>
              </w:rPr>
              <w:t>in</w:t>
            </w:r>
            <w:r>
              <w:rPr>
                <w:color w:val="060707"/>
                <w:spacing w:val="-4"/>
                <w:sz w:val="18"/>
                <w:szCs w:val="18"/>
              </w:rPr>
              <w:t xml:space="preserve"> </w:t>
            </w:r>
            <w:r>
              <w:rPr>
                <w:color w:val="060707"/>
                <w:sz w:val="18"/>
                <w:szCs w:val="18"/>
              </w:rPr>
              <w:t>the</w:t>
            </w:r>
            <w:r>
              <w:rPr>
                <w:color w:val="060707"/>
                <w:spacing w:val="-3"/>
                <w:sz w:val="18"/>
                <w:szCs w:val="18"/>
              </w:rPr>
              <w:t xml:space="preserve"> </w:t>
            </w:r>
            <w:r>
              <w:rPr>
                <w:color w:val="060707"/>
                <w:sz w:val="18"/>
                <w:szCs w:val="18"/>
              </w:rPr>
              <w:t>CREST</w:t>
            </w:r>
            <w:r>
              <w:rPr>
                <w:color w:val="060707"/>
                <w:spacing w:val="-6"/>
                <w:sz w:val="18"/>
                <w:szCs w:val="18"/>
              </w:rPr>
              <w:t xml:space="preserve"> </w:t>
            </w:r>
            <w:r>
              <w:rPr>
                <w:color w:val="060707"/>
                <w:sz w:val="18"/>
                <w:szCs w:val="18"/>
              </w:rPr>
              <w:t>Regulations.</w:t>
            </w:r>
            <w:r>
              <w:rPr>
                <w:color w:val="060707"/>
                <w:spacing w:val="-6"/>
                <w:sz w:val="18"/>
                <w:szCs w:val="18"/>
              </w:rPr>
              <w:t xml:space="preserve"> </w:t>
            </w:r>
            <w:r>
              <w:rPr>
                <w:color w:val="060707"/>
                <w:sz w:val="18"/>
                <w:szCs w:val="18"/>
              </w:rPr>
              <w:t>The</w:t>
            </w:r>
            <w:r>
              <w:rPr>
                <w:color w:val="060707"/>
                <w:spacing w:val="-3"/>
                <w:sz w:val="18"/>
                <w:szCs w:val="18"/>
              </w:rPr>
              <w:t xml:space="preserve"> </w:t>
            </w:r>
            <w:r>
              <w:rPr>
                <w:color w:val="060707"/>
                <w:sz w:val="18"/>
                <w:szCs w:val="18"/>
              </w:rPr>
              <w:t>Board</w:t>
            </w:r>
            <w:r>
              <w:rPr>
                <w:color w:val="060707"/>
                <w:spacing w:val="-9"/>
                <w:sz w:val="18"/>
                <w:szCs w:val="18"/>
              </w:rPr>
              <w:t xml:space="preserve"> </w:t>
            </w:r>
            <w:r>
              <w:rPr>
                <w:color w:val="060707"/>
                <w:sz w:val="18"/>
                <w:szCs w:val="18"/>
              </w:rPr>
              <w:t>may</w:t>
            </w:r>
            <w:r>
              <w:rPr>
                <w:color w:val="060707"/>
                <w:spacing w:val="-5"/>
                <w:sz w:val="18"/>
                <w:szCs w:val="18"/>
              </w:rPr>
              <w:t xml:space="preserve"> </w:t>
            </w:r>
            <w:r>
              <w:rPr>
                <w:color w:val="060707"/>
                <w:sz w:val="18"/>
                <w:szCs w:val="18"/>
              </w:rPr>
              <w:t>refuse</w:t>
            </w:r>
            <w:r>
              <w:rPr>
                <w:color w:val="060707"/>
                <w:spacing w:val="-4"/>
                <w:sz w:val="18"/>
                <w:szCs w:val="18"/>
              </w:rPr>
              <w:t xml:space="preserve"> </w:t>
            </w:r>
            <w:r>
              <w:rPr>
                <w:color w:val="060707"/>
                <w:sz w:val="18"/>
                <w:szCs w:val="18"/>
              </w:rPr>
              <w:t>to</w:t>
            </w:r>
            <w:r>
              <w:rPr>
                <w:color w:val="060707"/>
                <w:spacing w:val="-3"/>
                <w:sz w:val="18"/>
                <w:szCs w:val="18"/>
              </w:rPr>
              <w:t xml:space="preserve"> </w:t>
            </w:r>
            <w:r>
              <w:rPr>
                <w:color w:val="060707"/>
                <w:sz w:val="18"/>
                <w:szCs w:val="18"/>
              </w:rPr>
              <w:t>register</w:t>
            </w:r>
            <w:r>
              <w:rPr>
                <w:color w:val="060707"/>
                <w:spacing w:val="-4"/>
                <w:sz w:val="18"/>
                <w:szCs w:val="18"/>
              </w:rPr>
              <w:t xml:space="preserve"> </w:t>
            </w:r>
            <w:r>
              <w:rPr>
                <w:color w:val="060707"/>
                <w:sz w:val="18"/>
                <w:szCs w:val="18"/>
              </w:rPr>
              <w:t>a</w:t>
            </w:r>
            <w:r>
              <w:rPr>
                <w:color w:val="060707"/>
                <w:spacing w:val="-5"/>
                <w:sz w:val="18"/>
                <w:szCs w:val="18"/>
              </w:rPr>
              <w:t xml:space="preserve"> </w:t>
            </w:r>
            <w:r>
              <w:rPr>
                <w:color w:val="060707"/>
                <w:sz w:val="18"/>
                <w:szCs w:val="18"/>
              </w:rPr>
              <w:t>transfer</w:t>
            </w:r>
            <w:r>
              <w:rPr>
                <w:color w:val="060707"/>
                <w:spacing w:val="-4"/>
                <w:sz w:val="18"/>
                <w:szCs w:val="18"/>
              </w:rPr>
              <w:t xml:space="preserve"> </w:t>
            </w:r>
            <w:r>
              <w:rPr>
                <w:color w:val="060707"/>
                <w:sz w:val="18"/>
                <w:szCs w:val="18"/>
              </w:rPr>
              <w:t>of an uncertificated share in any circumstances permitted by the London Stock Exchange or the CREST Regulations if the exercise of such power does not disturb the market in the</w:t>
            </w:r>
            <w:r>
              <w:rPr>
                <w:color w:val="060707"/>
                <w:spacing w:val="-33"/>
                <w:sz w:val="18"/>
                <w:szCs w:val="18"/>
              </w:rPr>
              <w:t xml:space="preserve"> </w:t>
            </w:r>
            <w:r>
              <w:rPr>
                <w:color w:val="060707"/>
                <w:sz w:val="18"/>
                <w:szCs w:val="18"/>
              </w:rPr>
              <w:t>shares.</w:t>
            </w:r>
          </w:p>
        </w:tc>
      </w:tr>
      <w:tr w:rsidR="0031766D" w14:paraId="1BB68E91" w14:textId="77777777" w:rsidTr="009A2801">
        <w:trPr>
          <w:trHeight w:val="974"/>
        </w:trPr>
        <w:tc>
          <w:tcPr>
            <w:tcW w:w="1395" w:type="dxa"/>
            <w:tcBorders>
              <w:top w:val="single" w:sz="4" w:space="0" w:color="231F20"/>
              <w:left w:val="single" w:sz="4" w:space="0" w:color="231F20"/>
              <w:bottom w:val="single" w:sz="4" w:space="0" w:color="231F20"/>
              <w:right w:val="single" w:sz="4" w:space="0" w:color="231F20"/>
            </w:tcBorders>
          </w:tcPr>
          <w:p w14:paraId="4178ED38" w14:textId="77777777" w:rsidR="0031766D" w:rsidRDefault="0031766D" w:rsidP="0047572B">
            <w:pPr>
              <w:pStyle w:val="TableParagraph"/>
              <w:kinsoku w:val="0"/>
              <w:overflowPunct w:val="0"/>
              <w:ind w:left="107" w:right="556"/>
              <w:rPr>
                <w:color w:val="050606"/>
                <w:sz w:val="18"/>
                <w:szCs w:val="18"/>
              </w:rPr>
            </w:pPr>
            <w:r>
              <w:rPr>
                <w:color w:val="050606"/>
                <w:sz w:val="18"/>
                <w:szCs w:val="18"/>
              </w:rPr>
              <w:t>Dividend Policy</w:t>
            </w:r>
          </w:p>
        </w:tc>
        <w:tc>
          <w:tcPr>
            <w:tcW w:w="7956" w:type="dxa"/>
            <w:tcBorders>
              <w:top w:val="single" w:sz="4" w:space="0" w:color="231F20"/>
              <w:left w:val="single" w:sz="4" w:space="0" w:color="231F20"/>
              <w:bottom w:val="single" w:sz="4" w:space="0" w:color="231F20"/>
              <w:right w:val="single" w:sz="4" w:space="0" w:color="231F20"/>
            </w:tcBorders>
          </w:tcPr>
          <w:p w14:paraId="57315C80" w14:textId="77777777" w:rsidR="0031766D" w:rsidRDefault="0031766D" w:rsidP="0047572B">
            <w:pPr>
              <w:pStyle w:val="TableParagraph"/>
              <w:kinsoku w:val="0"/>
              <w:overflowPunct w:val="0"/>
              <w:ind w:left="108" w:right="94"/>
              <w:jc w:val="both"/>
              <w:rPr>
                <w:color w:val="232224"/>
                <w:sz w:val="18"/>
                <w:szCs w:val="18"/>
              </w:rPr>
            </w:pPr>
            <w:r>
              <w:rPr>
                <w:color w:val="0C0D0D"/>
                <w:sz w:val="18"/>
                <w:szCs w:val="18"/>
              </w:rPr>
              <w:t>Th</w:t>
            </w:r>
            <w:r>
              <w:rPr>
                <w:color w:val="232224"/>
                <w:sz w:val="18"/>
                <w:szCs w:val="18"/>
              </w:rPr>
              <w:t>e</w:t>
            </w:r>
            <w:r>
              <w:rPr>
                <w:color w:val="232224"/>
                <w:spacing w:val="-5"/>
                <w:sz w:val="18"/>
                <w:szCs w:val="18"/>
              </w:rPr>
              <w:t xml:space="preserve"> </w:t>
            </w:r>
            <w:r>
              <w:rPr>
                <w:color w:val="0C0D0D"/>
                <w:sz w:val="18"/>
                <w:szCs w:val="18"/>
              </w:rPr>
              <w:t>Directors’</w:t>
            </w:r>
            <w:r>
              <w:rPr>
                <w:color w:val="0C0D0D"/>
                <w:spacing w:val="-4"/>
                <w:sz w:val="18"/>
                <w:szCs w:val="18"/>
              </w:rPr>
              <w:t xml:space="preserve"> </w:t>
            </w:r>
            <w:r>
              <w:rPr>
                <w:color w:val="0C0D0D"/>
                <w:sz w:val="18"/>
                <w:szCs w:val="18"/>
              </w:rPr>
              <w:t>curr</w:t>
            </w:r>
            <w:r>
              <w:rPr>
                <w:color w:val="232224"/>
                <w:sz w:val="18"/>
                <w:szCs w:val="18"/>
              </w:rPr>
              <w:t>e</w:t>
            </w:r>
            <w:r>
              <w:rPr>
                <w:color w:val="0C0D0D"/>
                <w:sz w:val="18"/>
                <w:szCs w:val="18"/>
              </w:rPr>
              <w:t>nt</w:t>
            </w:r>
            <w:r>
              <w:rPr>
                <w:color w:val="0C0D0D"/>
                <w:spacing w:val="-6"/>
                <w:sz w:val="18"/>
                <w:szCs w:val="18"/>
              </w:rPr>
              <w:t xml:space="preserve"> </w:t>
            </w:r>
            <w:r>
              <w:rPr>
                <w:color w:val="0C0D0D"/>
                <w:sz w:val="18"/>
                <w:szCs w:val="18"/>
              </w:rPr>
              <w:t>intention</w:t>
            </w:r>
            <w:r>
              <w:rPr>
                <w:color w:val="0C0D0D"/>
                <w:spacing w:val="-6"/>
                <w:sz w:val="18"/>
                <w:szCs w:val="18"/>
              </w:rPr>
              <w:t xml:space="preserve"> </w:t>
            </w:r>
            <w:r>
              <w:rPr>
                <w:color w:val="0C0D0D"/>
                <w:sz w:val="18"/>
                <w:szCs w:val="18"/>
              </w:rPr>
              <w:t>i</w:t>
            </w:r>
            <w:r>
              <w:rPr>
                <w:color w:val="232224"/>
                <w:sz w:val="18"/>
                <w:szCs w:val="18"/>
              </w:rPr>
              <w:t>s</w:t>
            </w:r>
            <w:r>
              <w:rPr>
                <w:color w:val="232224"/>
                <w:spacing w:val="-3"/>
                <w:sz w:val="18"/>
                <w:szCs w:val="18"/>
              </w:rPr>
              <w:t xml:space="preserve"> </w:t>
            </w:r>
            <w:r>
              <w:rPr>
                <w:color w:val="232224"/>
                <w:sz w:val="18"/>
                <w:szCs w:val="18"/>
              </w:rPr>
              <w:t>t</w:t>
            </w:r>
            <w:r>
              <w:rPr>
                <w:color w:val="0C0D0D"/>
                <w:sz w:val="18"/>
                <w:szCs w:val="18"/>
              </w:rPr>
              <w:t>o</w:t>
            </w:r>
            <w:r>
              <w:rPr>
                <w:color w:val="0C0D0D"/>
                <w:spacing w:val="-5"/>
                <w:sz w:val="18"/>
                <w:szCs w:val="18"/>
              </w:rPr>
              <w:t xml:space="preserve"> </w:t>
            </w:r>
            <w:r>
              <w:rPr>
                <w:color w:val="0C0D0D"/>
                <w:sz w:val="18"/>
                <w:szCs w:val="18"/>
              </w:rPr>
              <w:t>r</w:t>
            </w:r>
            <w:r>
              <w:rPr>
                <w:color w:val="232224"/>
                <w:sz w:val="18"/>
                <w:szCs w:val="18"/>
              </w:rPr>
              <w:t>eta</w:t>
            </w:r>
            <w:r>
              <w:rPr>
                <w:color w:val="0C0D0D"/>
                <w:sz w:val="18"/>
                <w:szCs w:val="18"/>
              </w:rPr>
              <w:t>in</w:t>
            </w:r>
            <w:r>
              <w:rPr>
                <w:color w:val="0C0D0D"/>
                <w:spacing w:val="-6"/>
                <w:sz w:val="18"/>
                <w:szCs w:val="18"/>
              </w:rPr>
              <w:t xml:space="preserve"> </w:t>
            </w:r>
            <w:r>
              <w:rPr>
                <w:color w:val="232224"/>
                <w:sz w:val="18"/>
                <w:szCs w:val="18"/>
              </w:rPr>
              <w:t>a</w:t>
            </w:r>
            <w:r>
              <w:rPr>
                <w:color w:val="0C0D0D"/>
                <w:sz w:val="18"/>
                <w:szCs w:val="18"/>
              </w:rPr>
              <w:t>n</w:t>
            </w:r>
            <w:r>
              <w:rPr>
                <w:color w:val="232224"/>
                <w:sz w:val="18"/>
                <w:szCs w:val="18"/>
              </w:rPr>
              <w:t>y</w:t>
            </w:r>
            <w:r>
              <w:rPr>
                <w:color w:val="232224"/>
                <w:spacing w:val="-6"/>
                <w:sz w:val="18"/>
                <w:szCs w:val="18"/>
              </w:rPr>
              <w:t xml:space="preserve"> </w:t>
            </w:r>
            <w:r>
              <w:rPr>
                <w:color w:val="0C0D0D"/>
                <w:sz w:val="18"/>
                <w:szCs w:val="18"/>
              </w:rPr>
              <w:t>earnin</w:t>
            </w:r>
            <w:r>
              <w:rPr>
                <w:color w:val="232224"/>
                <w:sz w:val="18"/>
                <w:szCs w:val="18"/>
              </w:rPr>
              <w:t>gs</w:t>
            </w:r>
            <w:r>
              <w:rPr>
                <w:color w:val="232224"/>
                <w:spacing w:val="-3"/>
                <w:sz w:val="18"/>
                <w:szCs w:val="18"/>
              </w:rPr>
              <w:t xml:space="preserve"> </w:t>
            </w:r>
            <w:r>
              <w:rPr>
                <w:color w:val="0C0D0D"/>
                <w:sz w:val="18"/>
                <w:szCs w:val="18"/>
              </w:rPr>
              <w:t>f</w:t>
            </w:r>
            <w:r>
              <w:rPr>
                <w:color w:val="232224"/>
                <w:sz w:val="18"/>
                <w:szCs w:val="18"/>
              </w:rPr>
              <w:t>o</w:t>
            </w:r>
            <w:r>
              <w:rPr>
                <w:color w:val="0C0D0D"/>
                <w:sz w:val="18"/>
                <w:szCs w:val="18"/>
              </w:rPr>
              <w:t>r</w:t>
            </w:r>
            <w:r>
              <w:rPr>
                <w:color w:val="0C0D0D"/>
                <w:spacing w:val="-4"/>
                <w:sz w:val="18"/>
                <w:szCs w:val="18"/>
              </w:rPr>
              <w:t xml:space="preserve"> </w:t>
            </w:r>
            <w:r>
              <w:rPr>
                <w:color w:val="232224"/>
                <w:sz w:val="18"/>
                <w:szCs w:val="18"/>
              </w:rPr>
              <w:t>use</w:t>
            </w:r>
            <w:r>
              <w:rPr>
                <w:color w:val="232224"/>
                <w:spacing w:val="-4"/>
                <w:sz w:val="18"/>
                <w:szCs w:val="18"/>
              </w:rPr>
              <w:t xml:space="preserve"> </w:t>
            </w:r>
            <w:r>
              <w:rPr>
                <w:color w:val="0C0D0D"/>
                <w:sz w:val="18"/>
                <w:szCs w:val="18"/>
              </w:rPr>
              <w:t>in</w:t>
            </w:r>
            <w:r>
              <w:rPr>
                <w:color w:val="0C0D0D"/>
                <w:spacing w:val="-5"/>
                <w:sz w:val="18"/>
                <w:szCs w:val="18"/>
              </w:rPr>
              <w:t xml:space="preserve"> </w:t>
            </w:r>
            <w:r>
              <w:rPr>
                <w:color w:val="232224"/>
                <w:sz w:val="18"/>
                <w:szCs w:val="18"/>
              </w:rPr>
              <w:t>the</w:t>
            </w:r>
            <w:r>
              <w:rPr>
                <w:color w:val="232224"/>
                <w:spacing w:val="-4"/>
                <w:sz w:val="18"/>
                <w:szCs w:val="18"/>
              </w:rPr>
              <w:t xml:space="preserve"> </w:t>
            </w:r>
            <w:r>
              <w:rPr>
                <w:color w:val="232224"/>
                <w:sz w:val="18"/>
                <w:szCs w:val="18"/>
              </w:rPr>
              <w:t>Group’s</w:t>
            </w:r>
            <w:r>
              <w:rPr>
                <w:color w:val="232224"/>
                <w:spacing w:val="-3"/>
                <w:sz w:val="18"/>
                <w:szCs w:val="18"/>
              </w:rPr>
              <w:t xml:space="preserve"> </w:t>
            </w:r>
            <w:r>
              <w:rPr>
                <w:color w:val="232224"/>
                <w:sz w:val="18"/>
                <w:szCs w:val="18"/>
              </w:rPr>
              <w:t>o</w:t>
            </w:r>
            <w:r>
              <w:rPr>
                <w:color w:val="0C0D0D"/>
                <w:sz w:val="18"/>
                <w:szCs w:val="18"/>
              </w:rPr>
              <w:t>p</w:t>
            </w:r>
            <w:r>
              <w:rPr>
                <w:color w:val="232224"/>
                <w:sz w:val="18"/>
                <w:szCs w:val="18"/>
              </w:rPr>
              <w:t>e</w:t>
            </w:r>
            <w:r>
              <w:rPr>
                <w:color w:val="0C0D0D"/>
                <w:sz w:val="18"/>
                <w:szCs w:val="18"/>
              </w:rPr>
              <w:t>r</w:t>
            </w:r>
            <w:r>
              <w:rPr>
                <w:color w:val="232224"/>
                <w:sz w:val="18"/>
                <w:szCs w:val="18"/>
              </w:rPr>
              <w:t>a</w:t>
            </w:r>
            <w:r>
              <w:rPr>
                <w:color w:val="0C0D0D"/>
                <w:sz w:val="18"/>
                <w:szCs w:val="18"/>
              </w:rPr>
              <w:t>ti</w:t>
            </w:r>
            <w:r>
              <w:rPr>
                <w:color w:val="232224"/>
                <w:sz w:val="18"/>
                <w:szCs w:val="18"/>
              </w:rPr>
              <w:t>o</w:t>
            </w:r>
            <w:r>
              <w:rPr>
                <w:color w:val="0C0D0D"/>
                <w:sz w:val="18"/>
                <w:szCs w:val="18"/>
              </w:rPr>
              <w:t>n</w:t>
            </w:r>
            <w:r>
              <w:rPr>
                <w:color w:val="232224"/>
                <w:sz w:val="18"/>
                <w:szCs w:val="18"/>
              </w:rPr>
              <w:t>s</w:t>
            </w:r>
            <w:r>
              <w:rPr>
                <w:color w:val="232224"/>
                <w:spacing w:val="-6"/>
                <w:sz w:val="18"/>
                <w:szCs w:val="18"/>
              </w:rPr>
              <w:t xml:space="preserve"> </w:t>
            </w:r>
            <w:r>
              <w:rPr>
                <w:color w:val="232224"/>
                <w:sz w:val="18"/>
                <w:szCs w:val="18"/>
              </w:rPr>
              <w:t>a</w:t>
            </w:r>
            <w:r>
              <w:rPr>
                <w:color w:val="0C0D0D"/>
                <w:sz w:val="18"/>
                <w:szCs w:val="18"/>
              </w:rPr>
              <w:t>nd th</w:t>
            </w:r>
            <w:r>
              <w:rPr>
                <w:color w:val="232224"/>
                <w:sz w:val="18"/>
                <w:szCs w:val="18"/>
              </w:rPr>
              <w:t>e</w:t>
            </w:r>
            <w:r>
              <w:rPr>
                <w:color w:val="232224"/>
                <w:spacing w:val="-12"/>
                <w:sz w:val="18"/>
                <w:szCs w:val="18"/>
              </w:rPr>
              <w:t xml:space="preserve"> </w:t>
            </w:r>
            <w:r>
              <w:rPr>
                <w:color w:val="232224"/>
                <w:sz w:val="18"/>
                <w:szCs w:val="18"/>
              </w:rPr>
              <w:t>Directors</w:t>
            </w:r>
            <w:r>
              <w:rPr>
                <w:color w:val="232224"/>
                <w:spacing w:val="-14"/>
                <w:sz w:val="18"/>
                <w:szCs w:val="18"/>
              </w:rPr>
              <w:t xml:space="preserve"> </w:t>
            </w:r>
            <w:r>
              <w:rPr>
                <w:color w:val="0C0D0D"/>
                <w:sz w:val="18"/>
                <w:szCs w:val="18"/>
              </w:rPr>
              <w:t>d</w:t>
            </w:r>
            <w:r>
              <w:rPr>
                <w:color w:val="232224"/>
                <w:sz w:val="18"/>
                <w:szCs w:val="18"/>
              </w:rPr>
              <w:t>o</w:t>
            </w:r>
            <w:r>
              <w:rPr>
                <w:color w:val="232224"/>
                <w:spacing w:val="-14"/>
                <w:sz w:val="18"/>
                <w:szCs w:val="18"/>
              </w:rPr>
              <w:t xml:space="preserve"> </w:t>
            </w:r>
            <w:r>
              <w:rPr>
                <w:color w:val="0C0D0D"/>
                <w:sz w:val="18"/>
                <w:szCs w:val="18"/>
              </w:rPr>
              <w:t>n</w:t>
            </w:r>
            <w:r>
              <w:rPr>
                <w:color w:val="232224"/>
                <w:sz w:val="18"/>
                <w:szCs w:val="18"/>
              </w:rPr>
              <w:t>ot</w:t>
            </w:r>
            <w:r>
              <w:rPr>
                <w:color w:val="232224"/>
                <w:spacing w:val="-15"/>
                <w:sz w:val="18"/>
                <w:szCs w:val="18"/>
              </w:rPr>
              <w:t xml:space="preserve"> </w:t>
            </w:r>
            <w:r>
              <w:rPr>
                <w:color w:val="232224"/>
                <w:sz w:val="18"/>
                <w:szCs w:val="18"/>
              </w:rPr>
              <w:t>a</w:t>
            </w:r>
            <w:r>
              <w:rPr>
                <w:color w:val="0C0D0D"/>
                <w:sz w:val="18"/>
                <w:szCs w:val="18"/>
              </w:rPr>
              <w:t>nti</w:t>
            </w:r>
            <w:r>
              <w:rPr>
                <w:color w:val="232224"/>
                <w:sz w:val="18"/>
                <w:szCs w:val="18"/>
              </w:rPr>
              <w:t>ci</w:t>
            </w:r>
            <w:r>
              <w:rPr>
                <w:color w:val="0C0D0D"/>
                <w:sz w:val="18"/>
                <w:szCs w:val="18"/>
              </w:rPr>
              <w:t>p</w:t>
            </w:r>
            <w:r>
              <w:rPr>
                <w:color w:val="232224"/>
                <w:sz w:val="18"/>
                <w:szCs w:val="18"/>
              </w:rPr>
              <w:t>ate</w:t>
            </w:r>
            <w:r>
              <w:rPr>
                <w:color w:val="232224"/>
                <w:spacing w:val="-16"/>
                <w:sz w:val="18"/>
                <w:szCs w:val="18"/>
              </w:rPr>
              <w:t xml:space="preserve"> </w:t>
            </w:r>
            <w:r>
              <w:rPr>
                <w:color w:val="0C0D0D"/>
                <w:sz w:val="18"/>
                <w:szCs w:val="18"/>
              </w:rPr>
              <w:t>d</w:t>
            </w:r>
            <w:r>
              <w:rPr>
                <w:color w:val="232224"/>
                <w:sz w:val="18"/>
                <w:szCs w:val="18"/>
              </w:rPr>
              <w:t>ec</w:t>
            </w:r>
            <w:r>
              <w:rPr>
                <w:color w:val="0C0D0D"/>
                <w:sz w:val="18"/>
                <w:szCs w:val="18"/>
              </w:rPr>
              <w:t>l</w:t>
            </w:r>
            <w:r>
              <w:rPr>
                <w:color w:val="232224"/>
                <w:sz w:val="18"/>
                <w:szCs w:val="18"/>
              </w:rPr>
              <w:t>a</w:t>
            </w:r>
            <w:r>
              <w:rPr>
                <w:color w:val="0C0D0D"/>
                <w:sz w:val="18"/>
                <w:szCs w:val="18"/>
              </w:rPr>
              <w:t>ring</w:t>
            </w:r>
            <w:r>
              <w:rPr>
                <w:color w:val="0C0D0D"/>
                <w:spacing w:val="-14"/>
                <w:sz w:val="18"/>
                <w:szCs w:val="18"/>
              </w:rPr>
              <w:t xml:space="preserve"> </w:t>
            </w:r>
            <w:r>
              <w:rPr>
                <w:color w:val="232224"/>
                <w:sz w:val="18"/>
                <w:szCs w:val="18"/>
              </w:rPr>
              <w:t>a</w:t>
            </w:r>
            <w:r>
              <w:rPr>
                <w:color w:val="0C0D0D"/>
                <w:sz w:val="18"/>
                <w:szCs w:val="18"/>
              </w:rPr>
              <w:t>n</w:t>
            </w:r>
            <w:r>
              <w:rPr>
                <w:color w:val="232224"/>
                <w:sz w:val="18"/>
                <w:szCs w:val="18"/>
              </w:rPr>
              <w:t>y</w:t>
            </w:r>
            <w:r>
              <w:rPr>
                <w:color w:val="232224"/>
                <w:spacing w:val="-14"/>
                <w:sz w:val="18"/>
                <w:szCs w:val="18"/>
              </w:rPr>
              <w:t xml:space="preserve"> </w:t>
            </w:r>
            <w:r>
              <w:rPr>
                <w:color w:val="0C0D0D"/>
                <w:sz w:val="18"/>
                <w:szCs w:val="18"/>
              </w:rPr>
              <w:t>d</w:t>
            </w:r>
            <w:r>
              <w:rPr>
                <w:color w:val="232224"/>
                <w:sz w:val="18"/>
                <w:szCs w:val="18"/>
              </w:rPr>
              <w:t>i</w:t>
            </w:r>
            <w:r>
              <w:rPr>
                <w:color w:val="0C0D0D"/>
                <w:sz w:val="18"/>
                <w:szCs w:val="18"/>
              </w:rPr>
              <w:t>vid</w:t>
            </w:r>
            <w:r>
              <w:rPr>
                <w:color w:val="232224"/>
                <w:sz w:val="18"/>
                <w:szCs w:val="18"/>
              </w:rPr>
              <w:t>en</w:t>
            </w:r>
            <w:r>
              <w:rPr>
                <w:color w:val="0C0D0D"/>
                <w:sz w:val="18"/>
                <w:szCs w:val="18"/>
              </w:rPr>
              <w:t>d</w:t>
            </w:r>
            <w:r>
              <w:rPr>
                <w:color w:val="232224"/>
                <w:sz w:val="18"/>
                <w:szCs w:val="18"/>
              </w:rPr>
              <w:t>s</w:t>
            </w:r>
            <w:r>
              <w:rPr>
                <w:color w:val="232224"/>
                <w:spacing w:val="-13"/>
                <w:sz w:val="18"/>
                <w:szCs w:val="18"/>
              </w:rPr>
              <w:t xml:space="preserve"> </w:t>
            </w:r>
            <w:r>
              <w:rPr>
                <w:color w:val="0C0D0D"/>
                <w:sz w:val="18"/>
                <w:szCs w:val="18"/>
              </w:rPr>
              <w:t>i</w:t>
            </w:r>
            <w:r>
              <w:rPr>
                <w:color w:val="232224"/>
                <w:sz w:val="18"/>
                <w:szCs w:val="18"/>
              </w:rPr>
              <w:t>n</w:t>
            </w:r>
            <w:r>
              <w:rPr>
                <w:color w:val="232224"/>
                <w:spacing w:val="-14"/>
                <w:sz w:val="18"/>
                <w:szCs w:val="18"/>
              </w:rPr>
              <w:t xml:space="preserve"> </w:t>
            </w:r>
            <w:r>
              <w:rPr>
                <w:color w:val="0C0D0D"/>
                <w:sz w:val="18"/>
                <w:szCs w:val="18"/>
              </w:rPr>
              <w:t>th</w:t>
            </w:r>
            <w:r>
              <w:rPr>
                <w:color w:val="232224"/>
                <w:sz w:val="18"/>
                <w:szCs w:val="18"/>
              </w:rPr>
              <w:t>e</w:t>
            </w:r>
            <w:r>
              <w:rPr>
                <w:color w:val="232224"/>
                <w:spacing w:val="-12"/>
                <w:sz w:val="18"/>
                <w:szCs w:val="18"/>
              </w:rPr>
              <w:t xml:space="preserve"> </w:t>
            </w:r>
            <w:r>
              <w:rPr>
                <w:color w:val="0C0D0D"/>
                <w:sz w:val="18"/>
                <w:szCs w:val="18"/>
              </w:rPr>
              <w:t>f</w:t>
            </w:r>
            <w:r>
              <w:rPr>
                <w:color w:val="232224"/>
                <w:sz w:val="18"/>
                <w:szCs w:val="18"/>
              </w:rPr>
              <w:t>o</w:t>
            </w:r>
            <w:r>
              <w:rPr>
                <w:color w:val="0C0D0D"/>
                <w:sz w:val="18"/>
                <w:szCs w:val="18"/>
              </w:rPr>
              <w:t>r</w:t>
            </w:r>
            <w:r>
              <w:rPr>
                <w:color w:val="232224"/>
                <w:sz w:val="18"/>
                <w:szCs w:val="18"/>
              </w:rPr>
              <w:t>eseea</w:t>
            </w:r>
            <w:r>
              <w:rPr>
                <w:color w:val="0C0D0D"/>
                <w:sz w:val="18"/>
                <w:szCs w:val="18"/>
              </w:rPr>
              <w:t>bl</w:t>
            </w:r>
            <w:r>
              <w:rPr>
                <w:color w:val="232224"/>
                <w:sz w:val="18"/>
                <w:szCs w:val="18"/>
              </w:rPr>
              <w:t>e</w:t>
            </w:r>
            <w:r>
              <w:rPr>
                <w:color w:val="232224"/>
                <w:spacing w:val="-14"/>
                <w:sz w:val="18"/>
                <w:szCs w:val="18"/>
              </w:rPr>
              <w:t xml:space="preserve"> </w:t>
            </w:r>
            <w:r>
              <w:rPr>
                <w:color w:val="0C0D0D"/>
                <w:sz w:val="18"/>
                <w:szCs w:val="18"/>
              </w:rPr>
              <w:t>futur</w:t>
            </w:r>
            <w:r>
              <w:rPr>
                <w:color w:val="232224"/>
                <w:sz w:val="18"/>
                <w:szCs w:val="18"/>
              </w:rPr>
              <w:t>e</w:t>
            </w:r>
            <w:r>
              <w:rPr>
                <w:color w:val="414143"/>
                <w:sz w:val="18"/>
                <w:szCs w:val="18"/>
              </w:rPr>
              <w:t>.</w:t>
            </w:r>
            <w:r>
              <w:rPr>
                <w:color w:val="414143"/>
                <w:spacing w:val="-12"/>
                <w:sz w:val="18"/>
                <w:szCs w:val="18"/>
              </w:rPr>
              <w:t xml:space="preserve"> </w:t>
            </w:r>
            <w:r>
              <w:rPr>
                <w:color w:val="0C0D0D"/>
                <w:sz w:val="18"/>
                <w:szCs w:val="18"/>
              </w:rPr>
              <w:t>Th</w:t>
            </w:r>
            <w:r>
              <w:rPr>
                <w:color w:val="232224"/>
                <w:sz w:val="18"/>
                <w:szCs w:val="18"/>
              </w:rPr>
              <w:t>e</w:t>
            </w:r>
            <w:r>
              <w:rPr>
                <w:color w:val="232224"/>
                <w:spacing w:val="-13"/>
                <w:sz w:val="18"/>
                <w:szCs w:val="18"/>
              </w:rPr>
              <w:t xml:space="preserve"> </w:t>
            </w:r>
            <w:r>
              <w:rPr>
                <w:color w:val="0C0D0D"/>
                <w:sz w:val="18"/>
                <w:szCs w:val="18"/>
              </w:rPr>
              <w:t>C</w:t>
            </w:r>
            <w:r>
              <w:rPr>
                <w:color w:val="232224"/>
                <w:sz w:val="18"/>
                <w:szCs w:val="18"/>
              </w:rPr>
              <w:t>o</w:t>
            </w:r>
            <w:r>
              <w:rPr>
                <w:color w:val="0C0D0D"/>
                <w:sz w:val="18"/>
                <w:szCs w:val="18"/>
              </w:rPr>
              <w:t>m</w:t>
            </w:r>
            <w:r>
              <w:rPr>
                <w:color w:val="232224"/>
                <w:sz w:val="18"/>
                <w:szCs w:val="18"/>
              </w:rPr>
              <w:t>pa</w:t>
            </w:r>
            <w:r>
              <w:rPr>
                <w:color w:val="0C0D0D"/>
                <w:sz w:val="18"/>
                <w:szCs w:val="18"/>
              </w:rPr>
              <w:t>n</w:t>
            </w:r>
            <w:r>
              <w:rPr>
                <w:color w:val="232224"/>
                <w:sz w:val="18"/>
                <w:szCs w:val="18"/>
              </w:rPr>
              <w:t>y w</w:t>
            </w:r>
            <w:r>
              <w:rPr>
                <w:color w:val="0C0D0D"/>
                <w:sz w:val="18"/>
                <w:szCs w:val="18"/>
              </w:rPr>
              <w:t xml:space="preserve">ill </w:t>
            </w:r>
            <w:r>
              <w:rPr>
                <w:color w:val="232224"/>
                <w:sz w:val="18"/>
                <w:szCs w:val="18"/>
              </w:rPr>
              <w:t>o</w:t>
            </w:r>
            <w:r>
              <w:rPr>
                <w:color w:val="0C0D0D"/>
                <w:sz w:val="18"/>
                <w:szCs w:val="18"/>
              </w:rPr>
              <w:t>nl</w:t>
            </w:r>
            <w:r>
              <w:rPr>
                <w:color w:val="232224"/>
                <w:sz w:val="18"/>
                <w:szCs w:val="18"/>
              </w:rPr>
              <w:t xml:space="preserve">y </w:t>
            </w:r>
            <w:r>
              <w:rPr>
                <w:color w:val="0C0D0D"/>
                <w:sz w:val="18"/>
                <w:szCs w:val="18"/>
              </w:rPr>
              <w:t>pa</w:t>
            </w:r>
            <w:r>
              <w:rPr>
                <w:color w:val="232224"/>
                <w:sz w:val="18"/>
                <w:szCs w:val="18"/>
              </w:rPr>
              <w:t xml:space="preserve">y </w:t>
            </w:r>
            <w:r>
              <w:rPr>
                <w:color w:val="0C0D0D"/>
                <w:sz w:val="18"/>
                <w:szCs w:val="18"/>
              </w:rPr>
              <w:t>di</w:t>
            </w:r>
            <w:r>
              <w:rPr>
                <w:color w:val="232224"/>
                <w:sz w:val="18"/>
                <w:szCs w:val="18"/>
              </w:rPr>
              <w:t>v</w:t>
            </w:r>
            <w:r>
              <w:rPr>
                <w:color w:val="0C0D0D"/>
                <w:sz w:val="18"/>
                <w:szCs w:val="18"/>
              </w:rPr>
              <w:t>i</w:t>
            </w:r>
            <w:r>
              <w:rPr>
                <w:color w:val="232224"/>
                <w:sz w:val="18"/>
                <w:szCs w:val="18"/>
              </w:rPr>
              <w:t>de</w:t>
            </w:r>
            <w:r>
              <w:rPr>
                <w:color w:val="0C0D0D"/>
                <w:sz w:val="18"/>
                <w:szCs w:val="18"/>
              </w:rPr>
              <w:t>nd</w:t>
            </w:r>
            <w:r>
              <w:rPr>
                <w:color w:val="232224"/>
                <w:sz w:val="18"/>
                <w:szCs w:val="18"/>
              </w:rPr>
              <w:t>s a</w:t>
            </w:r>
            <w:r>
              <w:rPr>
                <w:color w:val="0C0D0D"/>
                <w:sz w:val="18"/>
                <w:szCs w:val="18"/>
              </w:rPr>
              <w:t xml:space="preserve">t </w:t>
            </w:r>
            <w:r>
              <w:rPr>
                <w:color w:val="232224"/>
                <w:sz w:val="18"/>
                <w:szCs w:val="18"/>
              </w:rPr>
              <w:t>s</w:t>
            </w:r>
            <w:r>
              <w:rPr>
                <w:color w:val="0C0D0D"/>
                <w:sz w:val="18"/>
                <w:szCs w:val="18"/>
              </w:rPr>
              <w:t>u</w:t>
            </w:r>
            <w:r>
              <w:rPr>
                <w:color w:val="232224"/>
                <w:sz w:val="18"/>
                <w:szCs w:val="18"/>
              </w:rPr>
              <w:t>c</w:t>
            </w:r>
            <w:r>
              <w:rPr>
                <w:color w:val="0C0D0D"/>
                <w:sz w:val="18"/>
                <w:szCs w:val="18"/>
              </w:rPr>
              <w:t>h t</w:t>
            </w:r>
            <w:r>
              <w:rPr>
                <w:color w:val="232224"/>
                <w:sz w:val="18"/>
                <w:szCs w:val="18"/>
              </w:rPr>
              <w:t>i</w:t>
            </w:r>
            <w:r>
              <w:rPr>
                <w:color w:val="0C0D0D"/>
                <w:sz w:val="18"/>
                <w:szCs w:val="18"/>
              </w:rPr>
              <w:t>m</w:t>
            </w:r>
            <w:r>
              <w:rPr>
                <w:color w:val="232224"/>
                <w:sz w:val="18"/>
                <w:szCs w:val="18"/>
              </w:rPr>
              <w:t xml:space="preserve">es </w:t>
            </w:r>
            <w:r>
              <w:rPr>
                <w:color w:val="0C0D0D"/>
                <w:sz w:val="18"/>
                <w:szCs w:val="18"/>
              </w:rPr>
              <w:t xml:space="preserve">(if </w:t>
            </w:r>
            <w:r>
              <w:rPr>
                <w:color w:val="232224"/>
                <w:sz w:val="18"/>
                <w:szCs w:val="18"/>
              </w:rPr>
              <w:t>a</w:t>
            </w:r>
            <w:r>
              <w:rPr>
                <w:color w:val="0C0D0D"/>
                <w:sz w:val="18"/>
                <w:szCs w:val="18"/>
              </w:rPr>
              <w:t>n</w:t>
            </w:r>
            <w:r>
              <w:rPr>
                <w:color w:val="232224"/>
                <w:sz w:val="18"/>
                <w:szCs w:val="18"/>
              </w:rPr>
              <w:t>y) a</w:t>
            </w:r>
            <w:r>
              <w:rPr>
                <w:color w:val="0C0D0D"/>
                <w:sz w:val="18"/>
                <w:szCs w:val="18"/>
              </w:rPr>
              <w:t xml:space="preserve">nd </w:t>
            </w:r>
            <w:r>
              <w:rPr>
                <w:color w:val="232224"/>
                <w:sz w:val="18"/>
                <w:szCs w:val="18"/>
              </w:rPr>
              <w:t>i</w:t>
            </w:r>
            <w:r>
              <w:rPr>
                <w:color w:val="0C0D0D"/>
                <w:sz w:val="18"/>
                <w:szCs w:val="18"/>
              </w:rPr>
              <w:t xml:space="preserve">n </w:t>
            </w:r>
            <w:r>
              <w:rPr>
                <w:color w:val="232224"/>
                <w:sz w:val="18"/>
                <w:szCs w:val="18"/>
              </w:rPr>
              <w:t>s</w:t>
            </w:r>
            <w:r>
              <w:rPr>
                <w:color w:val="0C0D0D"/>
                <w:sz w:val="18"/>
                <w:szCs w:val="18"/>
              </w:rPr>
              <w:t>u</w:t>
            </w:r>
            <w:r>
              <w:rPr>
                <w:color w:val="232224"/>
                <w:sz w:val="18"/>
                <w:szCs w:val="18"/>
              </w:rPr>
              <w:t>c</w:t>
            </w:r>
            <w:r>
              <w:rPr>
                <w:color w:val="0C0D0D"/>
                <w:sz w:val="18"/>
                <w:szCs w:val="18"/>
              </w:rPr>
              <w:t xml:space="preserve">h </w:t>
            </w:r>
            <w:r>
              <w:rPr>
                <w:color w:val="232224"/>
                <w:sz w:val="18"/>
                <w:szCs w:val="18"/>
              </w:rPr>
              <w:t>a</w:t>
            </w:r>
            <w:r>
              <w:rPr>
                <w:color w:val="0C0D0D"/>
                <w:sz w:val="18"/>
                <w:szCs w:val="18"/>
              </w:rPr>
              <w:t>m</w:t>
            </w:r>
            <w:r>
              <w:rPr>
                <w:color w:val="232224"/>
                <w:sz w:val="18"/>
                <w:szCs w:val="18"/>
              </w:rPr>
              <w:t>o</w:t>
            </w:r>
            <w:r>
              <w:rPr>
                <w:color w:val="0C0D0D"/>
                <w:sz w:val="18"/>
                <w:szCs w:val="18"/>
              </w:rPr>
              <w:t>unt</w:t>
            </w:r>
            <w:r>
              <w:rPr>
                <w:color w:val="232224"/>
                <w:sz w:val="18"/>
                <w:szCs w:val="18"/>
              </w:rPr>
              <w:t xml:space="preserve">s </w:t>
            </w:r>
            <w:r>
              <w:rPr>
                <w:color w:val="0C0D0D"/>
                <w:sz w:val="18"/>
                <w:szCs w:val="18"/>
              </w:rPr>
              <w:t xml:space="preserve">(if </w:t>
            </w:r>
            <w:r>
              <w:rPr>
                <w:color w:val="232224"/>
                <w:sz w:val="18"/>
                <w:szCs w:val="18"/>
              </w:rPr>
              <w:t>any</w:t>
            </w:r>
            <w:r>
              <w:rPr>
                <w:color w:val="0C0D0D"/>
                <w:sz w:val="18"/>
                <w:szCs w:val="18"/>
              </w:rPr>
              <w:t xml:space="preserve">) </w:t>
            </w:r>
            <w:r>
              <w:rPr>
                <w:color w:val="414143"/>
                <w:sz w:val="18"/>
                <w:szCs w:val="18"/>
              </w:rPr>
              <w:t>a</w:t>
            </w:r>
            <w:r>
              <w:rPr>
                <w:color w:val="232224"/>
                <w:sz w:val="18"/>
                <w:szCs w:val="18"/>
              </w:rPr>
              <w:t xml:space="preserve">s </w:t>
            </w:r>
            <w:r>
              <w:rPr>
                <w:color w:val="0C0D0D"/>
                <w:sz w:val="18"/>
                <w:szCs w:val="18"/>
              </w:rPr>
              <w:t>th</w:t>
            </w:r>
            <w:r>
              <w:rPr>
                <w:color w:val="232224"/>
                <w:sz w:val="18"/>
                <w:szCs w:val="18"/>
              </w:rPr>
              <w:t xml:space="preserve">e </w:t>
            </w:r>
            <w:r>
              <w:rPr>
                <w:color w:val="0C0D0D"/>
                <w:sz w:val="18"/>
                <w:szCs w:val="18"/>
              </w:rPr>
              <w:t>B</w:t>
            </w:r>
            <w:r>
              <w:rPr>
                <w:color w:val="232224"/>
                <w:sz w:val="18"/>
                <w:szCs w:val="18"/>
              </w:rPr>
              <w:t>oa</w:t>
            </w:r>
            <w:r>
              <w:rPr>
                <w:color w:val="0C0D0D"/>
                <w:sz w:val="18"/>
                <w:szCs w:val="18"/>
              </w:rPr>
              <w:t>rd dete</w:t>
            </w:r>
            <w:r>
              <w:rPr>
                <w:color w:val="232224"/>
                <w:sz w:val="18"/>
                <w:szCs w:val="18"/>
              </w:rPr>
              <w:t>r</w:t>
            </w:r>
            <w:r>
              <w:rPr>
                <w:color w:val="0C0D0D"/>
                <w:sz w:val="18"/>
                <w:szCs w:val="18"/>
              </w:rPr>
              <w:t>min</w:t>
            </w:r>
            <w:r>
              <w:rPr>
                <w:color w:val="232224"/>
                <w:sz w:val="18"/>
                <w:szCs w:val="18"/>
              </w:rPr>
              <w:t>es</w:t>
            </w:r>
            <w:r>
              <w:rPr>
                <w:color w:val="232224"/>
                <w:spacing w:val="-11"/>
                <w:sz w:val="18"/>
                <w:szCs w:val="18"/>
              </w:rPr>
              <w:t xml:space="preserve"> </w:t>
            </w:r>
            <w:r>
              <w:rPr>
                <w:color w:val="232224"/>
                <w:sz w:val="18"/>
                <w:szCs w:val="18"/>
              </w:rPr>
              <w:t>a</w:t>
            </w:r>
            <w:r>
              <w:rPr>
                <w:color w:val="0C0D0D"/>
                <w:sz w:val="18"/>
                <w:szCs w:val="18"/>
              </w:rPr>
              <w:t>ppropri</w:t>
            </w:r>
            <w:r>
              <w:rPr>
                <w:color w:val="232224"/>
                <w:sz w:val="18"/>
                <w:szCs w:val="18"/>
              </w:rPr>
              <w:t>a</w:t>
            </w:r>
            <w:r>
              <w:rPr>
                <w:color w:val="0C0D0D"/>
                <w:sz w:val="18"/>
                <w:szCs w:val="18"/>
              </w:rPr>
              <w:t>te</w:t>
            </w:r>
            <w:r>
              <w:rPr>
                <w:color w:val="0C0D0D"/>
                <w:spacing w:val="-11"/>
                <w:sz w:val="18"/>
                <w:szCs w:val="18"/>
              </w:rPr>
              <w:t xml:space="preserve"> </w:t>
            </w:r>
            <w:r>
              <w:rPr>
                <w:color w:val="0C0D0D"/>
                <w:sz w:val="18"/>
                <w:szCs w:val="18"/>
              </w:rPr>
              <w:t>and</w:t>
            </w:r>
            <w:r>
              <w:rPr>
                <w:color w:val="0C0D0D"/>
                <w:spacing w:val="-13"/>
                <w:sz w:val="18"/>
                <w:szCs w:val="18"/>
              </w:rPr>
              <w:t xml:space="preserve"> </w:t>
            </w:r>
            <w:r>
              <w:rPr>
                <w:color w:val="0C0D0D"/>
                <w:sz w:val="18"/>
                <w:szCs w:val="18"/>
              </w:rPr>
              <w:t>to</w:t>
            </w:r>
            <w:r>
              <w:rPr>
                <w:color w:val="0C0D0D"/>
                <w:spacing w:val="-13"/>
                <w:sz w:val="18"/>
                <w:szCs w:val="18"/>
              </w:rPr>
              <w:t xml:space="preserve"> </w:t>
            </w:r>
            <w:r>
              <w:rPr>
                <w:color w:val="0C0D0D"/>
                <w:sz w:val="18"/>
                <w:szCs w:val="18"/>
              </w:rPr>
              <w:t>th</w:t>
            </w:r>
            <w:r>
              <w:rPr>
                <w:color w:val="232224"/>
                <w:sz w:val="18"/>
                <w:szCs w:val="18"/>
              </w:rPr>
              <w:t>e</w:t>
            </w:r>
            <w:r>
              <w:rPr>
                <w:color w:val="232224"/>
                <w:spacing w:val="-11"/>
                <w:sz w:val="18"/>
                <w:szCs w:val="18"/>
              </w:rPr>
              <w:t xml:space="preserve"> </w:t>
            </w:r>
            <w:r>
              <w:rPr>
                <w:color w:val="232224"/>
                <w:sz w:val="18"/>
                <w:szCs w:val="18"/>
              </w:rPr>
              <w:t>e</w:t>
            </w:r>
            <w:r>
              <w:rPr>
                <w:color w:val="414143"/>
                <w:sz w:val="18"/>
                <w:szCs w:val="18"/>
              </w:rPr>
              <w:t>x</w:t>
            </w:r>
            <w:r>
              <w:rPr>
                <w:color w:val="232224"/>
                <w:sz w:val="18"/>
                <w:szCs w:val="18"/>
              </w:rPr>
              <w:t>te</w:t>
            </w:r>
            <w:r>
              <w:rPr>
                <w:color w:val="0C0D0D"/>
                <w:sz w:val="18"/>
                <w:szCs w:val="18"/>
              </w:rPr>
              <w:t>nt</w:t>
            </w:r>
            <w:r>
              <w:rPr>
                <w:color w:val="0C0D0D"/>
                <w:spacing w:val="-11"/>
                <w:sz w:val="18"/>
                <w:szCs w:val="18"/>
              </w:rPr>
              <w:t xml:space="preserve"> </w:t>
            </w:r>
            <w:r>
              <w:rPr>
                <w:color w:val="0C0D0D"/>
                <w:sz w:val="18"/>
                <w:szCs w:val="18"/>
              </w:rPr>
              <w:t>th</w:t>
            </w:r>
            <w:r>
              <w:rPr>
                <w:color w:val="232224"/>
                <w:sz w:val="18"/>
                <w:szCs w:val="18"/>
              </w:rPr>
              <w:t>at</w:t>
            </w:r>
            <w:r>
              <w:rPr>
                <w:color w:val="232224"/>
                <w:spacing w:val="-14"/>
                <w:sz w:val="18"/>
                <w:szCs w:val="18"/>
              </w:rPr>
              <w:t xml:space="preserve"> </w:t>
            </w:r>
            <w:r>
              <w:rPr>
                <w:color w:val="0C0D0D"/>
                <w:sz w:val="18"/>
                <w:szCs w:val="18"/>
              </w:rPr>
              <w:t>t</w:t>
            </w:r>
            <w:r>
              <w:rPr>
                <w:color w:val="232224"/>
                <w:sz w:val="18"/>
                <w:szCs w:val="18"/>
              </w:rPr>
              <w:t>o</w:t>
            </w:r>
            <w:r>
              <w:rPr>
                <w:color w:val="232224"/>
                <w:spacing w:val="-12"/>
                <w:sz w:val="18"/>
                <w:szCs w:val="18"/>
              </w:rPr>
              <w:t xml:space="preserve"> </w:t>
            </w:r>
            <w:r>
              <w:rPr>
                <w:color w:val="0C0D0D"/>
                <w:sz w:val="18"/>
                <w:szCs w:val="18"/>
              </w:rPr>
              <w:t>d</w:t>
            </w:r>
            <w:r>
              <w:rPr>
                <w:color w:val="232224"/>
                <w:sz w:val="18"/>
                <w:szCs w:val="18"/>
              </w:rPr>
              <w:t>o</w:t>
            </w:r>
            <w:r>
              <w:rPr>
                <w:color w:val="232224"/>
                <w:spacing w:val="-13"/>
                <w:sz w:val="18"/>
                <w:szCs w:val="18"/>
              </w:rPr>
              <w:t xml:space="preserve"> </w:t>
            </w:r>
            <w:r>
              <w:rPr>
                <w:color w:val="232224"/>
                <w:sz w:val="18"/>
                <w:szCs w:val="18"/>
              </w:rPr>
              <w:t>so</w:t>
            </w:r>
            <w:r>
              <w:rPr>
                <w:color w:val="232224"/>
                <w:spacing w:val="-13"/>
                <w:sz w:val="18"/>
                <w:szCs w:val="18"/>
              </w:rPr>
              <w:t xml:space="preserve"> </w:t>
            </w:r>
            <w:r>
              <w:rPr>
                <w:color w:val="0C0D0D"/>
                <w:sz w:val="18"/>
                <w:szCs w:val="18"/>
              </w:rPr>
              <w:t>is</w:t>
            </w:r>
            <w:r>
              <w:rPr>
                <w:color w:val="0C0D0D"/>
                <w:spacing w:val="-10"/>
                <w:sz w:val="18"/>
                <w:szCs w:val="18"/>
              </w:rPr>
              <w:t xml:space="preserve"> </w:t>
            </w:r>
            <w:r>
              <w:rPr>
                <w:color w:val="0C0D0D"/>
                <w:sz w:val="18"/>
                <w:szCs w:val="18"/>
              </w:rPr>
              <w:t>in</w:t>
            </w:r>
            <w:r>
              <w:rPr>
                <w:color w:val="0C0D0D"/>
                <w:spacing w:val="-11"/>
                <w:sz w:val="18"/>
                <w:szCs w:val="18"/>
              </w:rPr>
              <w:t xml:space="preserve"> </w:t>
            </w:r>
            <w:r>
              <w:rPr>
                <w:color w:val="0C0D0D"/>
                <w:sz w:val="18"/>
                <w:szCs w:val="18"/>
              </w:rPr>
              <w:t>a</w:t>
            </w:r>
            <w:r>
              <w:rPr>
                <w:color w:val="232224"/>
                <w:sz w:val="18"/>
                <w:szCs w:val="18"/>
              </w:rPr>
              <w:t>cc</w:t>
            </w:r>
            <w:r>
              <w:rPr>
                <w:color w:val="0C0D0D"/>
                <w:sz w:val="18"/>
                <w:szCs w:val="18"/>
              </w:rPr>
              <w:t>ordan</w:t>
            </w:r>
            <w:r>
              <w:rPr>
                <w:color w:val="232224"/>
                <w:sz w:val="18"/>
                <w:szCs w:val="18"/>
              </w:rPr>
              <w:t>ce</w:t>
            </w:r>
            <w:r>
              <w:rPr>
                <w:color w:val="232224"/>
                <w:spacing w:val="-11"/>
                <w:sz w:val="18"/>
                <w:szCs w:val="18"/>
              </w:rPr>
              <w:t xml:space="preserve"> </w:t>
            </w:r>
            <w:r>
              <w:rPr>
                <w:color w:val="232224"/>
                <w:sz w:val="18"/>
                <w:szCs w:val="18"/>
              </w:rPr>
              <w:t>w</w:t>
            </w:r>
            <w:r>
              <w:rPr>
                <w:color w:val="0C0D0D"/>
                <w:sz w:val="18"/>
                <w:szCs w:val="18"/>
              </w:rPr>
              <w:t>ith</w:t>
            </w:r>
            <w:r>
              <w:rPr>
                <w:color w:val="0C0D0D"/>
                <w:spacing w:val="-12"/>
                <w:sz w:val="18"/>
                <w:szCs w:val="18"/>
              </w:rPr>
              <w:t xml:space="preserve"> </w:t>
            </w:r>
            <w:r>
              <w:rPr>
                <w:color w:val="232224"/>
                <w:sz w:val="18"/>
                <w:szCs w:val="18"/>
              </w:rPr>
              <w:t>a</w:t>
            </w:r>
            <w:r>
              <w:rPr>
                <w:color w:val="0C0D0D"/>
                <w:sz w:val="18"/>
                <w:szCs w:val="18"/>
              </w:rPr>
              <w:t>ll</w:t>
            </w:r>
            <w:r>
              <w:rPr>
                <w:color w:val="0C0D0D"/>
                <w:spacing w:val="-11"/>
                <w:sz w:val="18"/>
                <w:szCs w:val="18"/>
              </w:rPr>
              <w:t xml:space="preserve"> </w:t>
            </w:r>
            <w:r>
              <w:rPr>
                <w:color w:val="0C0D0D"/>
                <w:sz w:val="18"/>
                <w:szCs w:val="18"/>
              </w:rPr>
              <w:t>applic</w:t>
            </w:r>
            <w:r>
              <w:rPr>
                <w:color w:val="232224"/>
                <w:sz w:val="18"/>
                <w:szCs w:val="18"/>
              </w:rPr>
              <w:t>a</w:t>
            </w:r>
            <w:r>
              <w:rPr>
                <w:color w:val="0C0D0D"/>
                <w:sz w:val="18"/>
                <w:szCs w:val="18"/>
              </w:rPr>
              <w:t>bl</w:t>
            </w:r>
            <w:r>
              <w:rPr>
                <w:color w:val="232224"/>
                <w:sz w:val="18"/>
                <w:szCs w:val="18"/>
              </w:rPr>
              <w:t>e</w:t>
            </w:r>
            <w:r>
              <w:rPr>
                <w:color w:val="232224"/>
                <w:spacing w:val="-13"/>
                <w:sz w:val="18"/>
                <w:szCs w:val="18"/>
              </w:rPr>
              <w:t xml:space="preserve"> </w:t>
            </w:r>
            <w:r>
              <w:rPr>
                <w:color w:val="0C0D0D"/>
                <w:sz w:val="18"/>
                <w:szCs w:val="18"/>
              </w:rPr>
              <w:t>l</w:t>
            </w:r>
            <w:r>
              <w:rPr>
                <w:color w:val="232224"/>
                <w:sz w:val="18"/>
                <w:szCs w:val="18"/>
              </w:rPr>
              <w:t>aws.</w:t>
            </w:r>
          </w:p>
        </w:tc>
      </w:tr>
      <w:tr w:rsidR="0031766D" w14:paraId="65AC2044" w14:textId="77777777" w:rsidTr="009A2801">
        <w:trPr>
          <w:trHeight w:val="293"/>
        </w:trPr>
        <w:tc>
          <w:tcPr>
            <w:tcW w:w="1395" w:type="dxa"/>
            <w:tcBorders>
              <w:top w:val="single" w:sz="4" w:space="0" w:color="231F20"/>
              <w:left w:val="single" w:sz="4" w:space="0" w:color="231F20"/>
              <w:bottom w:val="single" w:sz="4" w:space="0" w:color="231F20"/>
              <w:right w:val="single" w:sz="4" w:space="0" w:color="231F20"/>
            </w:tcBorders>
          </w:tcPr>
          <w:p w14:paraId="45881203" w14:textId="77777777" w:rsidR="0031766D" w:rsidRDefault="0031766D" w:rsidP="0047572B">
            <w:pPr>
              <w:pStyle w:val="TableParagraph"/>
              <w:kinsoku w:val="0"/>
              <w:overflowPunct w:val="0"/>
              <w:spacing w:line="186" w:lineRule="exact"/>
              <w:ind w:left="107"/>
              <w:rPr>
                <w:color w:val="050606"/>
                <w:sz w:val="18"/>
                <w:szCs w:val="18"/>
              </w:rPr>
            </w:pPr>
            <w:r>
              <w:rPr>
                <w:color w:val="050606"/>
                <w:sz w:val="18"/>
                <w:szCs w:val="18"/>
              </w:rPr>
              <w:t>Guarantee</w:t>
            </w:r>
          </w:p>
        </w:tc>
        <w:tc>
          <w:tcPr>
            <w:tcW w:w="7956" w:type="dxa"/>
            <w:tcBorders>
              <w:top w:val="single" w:sz="4" w:space="0" w:color="231F20"/>
              <w:left w:val="single" w:sz="4" w:space="0" w:color="231F20"/>
              <w:bottom w:val="single" w:sz="4" w:space="0" w:color="231F20"/>
              <w:right w:val="single" w:sz="4" w:space="0" w:color="231F20"/>
            </w:tcBorders>
          </w:tcPr>
          <w:p w14:paraId="1027E5EB" w14:textId="77777777" w:rsidR="0031766D" w:rsidRDefault="0031766D" w:rsidP="0047572B">
            <w:pPr>
              <w:pStyle w:val="TableParagraph"/>
              <w:kinsoku w:val="0"/>
              <w:overflowPunct w:val="0"/>
              <w:spacing w:line="186" w:lineRule="exact"/>
              <w:ind w:left="108"/>
              <w:rPr>
                <w:color w:val="020303"/>
                <w:sz w:val="18"/>
                <w:szCs w:val="18"/>
              </w:rPr>
            </w:pPr>
            <w:r>
              <w:rPr>
                <w:color w:val="020303"/>
                <w:sz w:val="18"/>
                <w:szCs w:val="18"/>
              </w:rPr>
              <w:t>Not Applicable. There is no guarantee attached to the securities.</w:t>
            </w:r>
          </w:p>
        </w:tc>
      </w:tr>
      <w:tr w:rsidR="0031766D" w14:paraId="28A706CE" w14:textId="77777777" w:rsidTr="0047572B">
        <w:trPr>
          <w:trHeight w:val="365"/>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175EBDE0" w14:textId="77777777" w:rsidR="0031766D" w:rsidRDefault="0031766D" w:rsidP="0047572B">
            <w:pPr>
              <w:pStyle w:val="TableParagraph"/>
              <w:kinsoku w:val="0"/>
              <w:overflowPunct w:val="0"/>
              <w:spacing w:line="204" w:lineRule="exact"/>
              <w:ind w:left="1630" w:right="1615"/>
              <w:jc w:val="center"/>
              <w:rPr>
                <w:b/>
                <w:bCs/>
                <w:color w:val="050606"/>
                <w:sz w:val="18"/>
                <w:szCs w:val="18"/>
              </w:rPr>
            </w:pPr>
            <w:r>
              <w:rPr>
                <w:b/>
                <w:bCs/>
                <w:color w:val="050606"/>
                <w:sz w:val="18"/>
                <w:szCs w:val="18"/>
              </w:rPr>
              <w:t>Where will the securities be traded?</w:t>
            </w:r>
          </w:p>
        </w:tc>
      </w:tr>
      <w:tr w:rsidR="0031766D" w14:paraId="18348462" w14:textId="77777777" w:rsidTr="0047572B">
        <w:trPr>
          <w:trHeight w:val="408"/>
        </w:trPr>
        <w:tc>
          <w:tcPr>
            <w:tcW w:w="1395" w:type="dxa"/>
            <w:tcBorders>
              <w:top w:val="single" w:sz="4" w:space="0" w:color="231F20"/>
              <w:left w:val="single" w:sz="4" w:space="0" w:color="231F20"/>
              <w:bottom w:val="single" w:sz="4" w:space="0" w:color="231F20"/>
              <w:right w:val="single" w:sz="4" w:space="0" w:color="231F20"/>
            </w:tcBorders>
          </w:tcPr>
          <w:p w14:paraId="2ABCCACE" w14:textId="77777777" w:rsidR="0031766D" w:rsidRDefault="0031766D" w:rsidP="0047572B">
            <w:pPr>
              <w:pStyle w:val="TableParagraph"/>
              <w:kinsoku w:val="0"/>
              <w:overflowPunct w:val="0"/>
              <w:spacing w:before="3" w:line="206" w:lineRule="exact"/>
              <w:ind w:left="107" w:right="126"/>
              <w:rPr>
                <w:color w:val="050606"/>
                <w:sz w:val="18"/>
                <w:szCs w:val="18"/>
              </w:rPr>
            </w:pPr>
            <w:r>
              <w:rPr>
                <w:color w:val="050606"/>
                <w:sz w:val="18"/>
                <w:szCs w:val="18"/>
              </w:rPr>
              <w:t>Where will the securities be traded</w:t>
            </w:r>
          </w:p>
        </w:tc>
        <w:tc>
          <w:tcPr>
            <w:tcW w:w="7956" w:type="dxa"/>
            <w:tcBorders>
              <w:top w:val="single" w:sz="4" w:space="0" w:color="231F20"/>
              <w:left w:val="single" w:sz="4" w:space="0" w:color="231F20"/>
              <w:bottom w:val="single" w:sz="4" w:space="0" w:color="231F20"/>
              <w:right w:val="single" w:sz="4" w:space="0" w:color="231F20"/>
            </w:tcBorders>
          </w:tcPr>
          <w:p w14:paraId="27BCFCA1" w14:textId="0D5BE949" w:rsidR="0031766D" w:rsidRDefault="0031766D" w:rsidP="0047572B">
            <w:pPr>
              <w:pStyle w:val="TableParagraph"/>
              <w:kinsoku w:val="0"/>
              <w:overflowPunct w:val="0"/>
              <w:ind w:left="108"/>
              <w:rPr>
                <w:color w:val="050606"/>
                <w:sz w:val="18"/>
                <w:szCs w:val="18"/>
              </w:rPr>
            </w:pPr>
            <w:r>
              <w:rPr>
                <w:color w:val="050606"/>
                <w:sz w:val="18"/>
                <w:szCs w:val="18"/>
              </w:rPr>
              <w:t>Application will be made for the Ordinary Shares issued pursuant to the Placing</w:t>
            </w:r>
            <w:r w:rsidR="00423387">
              <w:rPr>
                <w:color w:val="050606"/>
                <w:sz w:val="18"/>
                <w:szCs w:val="18"/>
              </w:rPr>
              <w:t xml:space="preserve"> and the Labrador Acquisition</w:t>
            </w:r>
            <w:r>
              <w:rPr>
                <w:color w:val="050606"/>
                <w:sz w:val="18"/>
                <w:szCs w:val="18"/>
              </w:rPr>
              <w:t xml:space="preserve"> to be admitted to trading on the Main Market of the London Stock exchange.</w:t>
            </w:r>
          </w:p>
        </w:tc>
      </w:tr>
      <w:tr w:rsidR="0031766D" w14:paraId="47C347AB" w14:textId="77777777" w:rsidTr="0047572B">
        <w:trPr>
          <w:trHeight w:val="362"/>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31C7598D" w14:textId="77777777" w:rsidR="0031766D" w:rsidRDefault="0031766D" w:rsidP="0047572B">
            <w:pPr>
              <w:pStyle w:val="TableParagraph"/>
              <w:kinsoku w:val="0"/>
              <w:overflowPunct w:val="0"/>
              <w:spacing w:line="201" w:lineRule="exact"/>
              <w:ind w:left="1630" w:right="1616"/>
              <w:jc w:val="center"/>
              <w:rPr>
                <w:b/>
                <w:bCs/>
                <w:color w:val="020303"/>
                <w:sz w:val="18"/>
                <w:szCs w:val="18"/>
              </w:rPr>
            </w:pPr>
            <w:r>
              <w:rPr>
                <w:b/>
                <w:bCs/>
                <w:color w:val="020303"/>
                <w:sz w:val="18"/>
                <w:szCs w:val="18"/>
              </w:rPr>
              <w:t>What are the key risks that are specific to the securities?</w:t>
            </w:r>
          </w:p>
        </w:tc>
      </w:tr>
      <w:tr w:rsidR="0031766D" w14:paraId="6FA0E26E" w14:textId="77777777" w:rsidTr="009A2801">
        <w:trPr>
          <w:trHeight w:val="1140"/>
        </w:trPr>
        <w:tc>
          <w:tcPr>
            <w:tcW w:w="1395" w:type="dxa"/>
            <w:tcBorders>
              <w:top w:val="single" w:sz="4" w:space="0" w:color="231F20"/>
              <w:left w:val="single" w:sz="4" w:space="0" w:color="231F20"/>
              <w:bottom w:val="single" w:sz="4" w:space="0" w:color="231F20"/>
              <w:right w:val="single" w:sz="4" w:space="0" w:color="231F20"/>
            </w:tcBorders>
          </w:tcPr>
          <w:p w14:paraId="29A155F8" w14:textId="77777777" w:rsidR="0031766D" w:rsidRDefault="0031766D" w:rsidP="0047572B">
            <w:pPr>
              <w:pStyle w:val="TableParagraph"/>
              <w:kinsoku w:val="0"/>
              <w:overflowPunct w:val="0"/>
              <w:ind w:left="107" w:right="146"/>
              <w:rPr>
                <w:color w:val="050606"/>
                <w:sz w:val="18"/>
                <w:szCs w:val="18"/>
              </w:rPr>
            </w:pPr>
            <w:r>
              <w:rPr>
                <w:color w:val="050606"/>
                <w:sz w:val="18"/>
                <w:szCs w:val="18"/>
              </w:rPr>
              <w:t>What are the key risks that are specific to the securities</w:t>
            </w:r>
          </w:p>
        </w:tc>
        <w:tc>
          <w:tcPr>
            <w:tcW w:w="7956" w:type="dxa"/>
            <w:tcBorders>
              <w:top w:val="single" w:sz="4" w:space="0" w:color="231F20"/>
              <w:left w:val="single" w:sz="4" w:space="0" w:color="231F20"/>
              <w:bottom w:val="single" w:sz="4" w:space="0" w:color="231F20"/>
              <w:right w:val="single" w:sz="4" w:space="0" w:color="231F20"/>
            </w:tcBorders>
          </w:tcPr>
          <w:p w14:paraId="2D6BE5AF" w14:textId="77777777" w:rsidR="0031766D" w:rsidRPr="00296057" w:rsidRDefault="0031766D" w:rsidP="00512495">
            <w:pPr>
              <w:pStyle w:val="TableParagraph"/>
              <w:numPr>
                <w:ilvl w:val="0"/>
                <w:numId w:val="23"/>
              </w:numPr>
              <w:kinsoku w:val="0"/>
              <w:overflowPunct w:val="0"/>
              <w:ind w:right="93"/>
              <w:jc w:val="both"/>
              <w:rPr>
                <w:b/>
                <w:bCs/>
                <w:sz w:val="18"/>
                <w:szCs w:val="18"/>
              </w:rPr>
            </w:pPr>
            <w:r>
              <w:rPr>
                <w:color w:val="171718"/>
                <w:sz w:val="18"/>
                <w:szCs w:val="18"/>
              </w:rPr>
              <w:t>The Group’s operations remain at an early stage and such early stage exploration activities are inherently high-risk. Consequently, shareholders may not be able to realise a return on their investment (at all) or within a timeframe they would consider to be reasonable.</w:t>
            </w:r>
          </w:p>
          <w:p w14:paraId="1F573535" w14:textId="480B4211" w:rsidR="0031766D" w:rsidRDefault="0031766D" w:rsidP="00512495">
            <w:pPr>
              <w:pStyle w:val="TableParagraph"/>
              <w:numPr>
                <w:ilvl w:val="0"/>
                <w:numId w:val="23"/>
              </w:numPr>
              <w:tabs>
                <w:tab w:val="left" w:pos="469"/>
              </w:tabs>
              <w:kinsoku w:val="0"/>
              <w:overflowPunct w:val="0"/>
              <w:ind w:right="93"/>
              <w:jc w:val="both"/>
              <w:rPr>
                <w:color w:val="171718"/>
                <w:sz w:val="18"/>
                <w:szCs w:val="18"/>
              </w:rPr>
            </w:pPr>
            <w:r>
              <w:rPr>
                <w:color w:val="171718"/>
                <w:sz w:val="18"/>
                <w:szCs w:val="18"/>
              </w:rPr>
              <w:t>The</w:t>
            </w:r>
            <w:r>
              <w:rPr>
                <w:color w:val="171718"/>
                <w:spacing w:val="-13"/>
                <w:sz w:val="18"/>
                <w:szCs w:val="18"/>
              </w:rPr>
              <w:t xml:space="preserve"> </w:t>
            </w:r>
            <w:r>
              <w:rPr>
                <w:color w:val="171718"/>
                <w:sz w:val="18"/>
                <w:szCs w:val="18"/>
              </w:rPr>
              <w:t>market</w:t>
            </w:r>
            <w:r>
              <w:rPr>
                <w:color w:val="171718"/>
                <w:spacing w:val="-16"/>
                <w:sz w:val="18"/>
                <w:szCs w:val="18"/>
              </w:rPr>
              <w:t xml:space="preserve"> </w:t>
            </w:r>
            <w:r>
              <w:rPr>
                <w:color w:val="171718"/>
                <w:sz w:val="18"/>
                <w:szCs w:val="18"/>
              </w:rPr>
              <w:t>price</w:t>
            </w:r>
            <w:r>
              <w:rPr>
                <w:color w:val="171718"/>
                <w:spacing w:val="-13"/>
                <w:sz w:val="18"/>
                <w:szCs w:val="18"/>
              </w:rPr>
              <w:t xml:space="preserve"> </w:t>
            </w:r>
            <w:r>
              <w:rPr>
                <w:color w:val="171718"/>
                <w:sz w:val="18"/>
                <w:szCs w:val="18"/>
              </w:rPr>
              <w:t>of</w:t>
            </w:r>
            <w:r>
              <w:rPr>
                <w:color w:val="171718"/>
                <w:spacing w:val="-14"/>
                <w:sz w:val="18"/>
                <w:szCs w:val="18"/>
              </w:rPr>
              <w:t xml:space="preserve"> </w:t>
            </w:r>
            <w:r>
              <w:rPr>
                <w:color w:val="171718"/>
                <w:sz w:val="18"/>
                <w:szCs w:val="18"/>
              </w:rPr>
              <w:t>the</w:t>
            </w:r>
            <w:r>
              <w:rPr>
                <w:color w:val="171718"/>
                <w:spacing w:val="-13"/>
                <w:sz w:val="18"/>
                <w:szCs w:val="18"/>
              </w:rPr>
              <w:t xml:space="preserve"> </w:t>
            </w:r>
            <w:r>
              <w:rPr>
                <w:color w:val="171718"/>
                <w:sz w:val="18"/>
                <w:szCs w:val="18"/>
              </w:rPr>
              <w:t>Ordinary</w:t>
            </w:r>
            <w:r>
              <w:rPr>
                <w:color w:val="171718"/>
                <w:spacing w:val="-15"/>
                <w:sz w:val="18"/>
                <w:szCs w:val="18"/>
              </w:rPr>
              <w:t xml:space="preserve"> </w:t>
            </w:r>
            <w:r>
              <w:rPr>
                <w:color w:val="171718"/>
                <w:sz w:val="18"/>
                <w:szCs w:val="18"/>
              </w:rPr>
              <w:t>Shares,</w:t>
            </w:r>
            <w:r>
              <w:rPr>
                <w:color w:val="171718"/>
                <w:spacing w:val="-13"/>
                <w:sz w:val="18"/>
                <w:szCs w:val="18"/>
              </w:rPr>
              <w:t xml:space="preserve"> </w:t>
            </w:r>
            <w:r>
              <w:rPr>
                <w:color w:val="171718"/>
                <w:sz w:val="18"/>
                <w:szCs w:val="18"/>
              </w:rPr>
              <w:t>including</w:t>
            </w:r>
            <w:r>
              <w:rPr>
                <w:color w:val="171718"/>
                <w:spacing w:val="-13"/>
                <w:sz w:val="18"/>
                <w:szCs w:val="18"/>
              </w:rPr>
              <w:t xml:space="preserve"> </w:t>
            </w:r>
            <w:r>
              <w:rPr>
                <w:color w:val="171718"/>
                <w:sz w:val="18"/>
                <w:szCs w:val="18"/>
              </w:rPr>
              <w:t>the</w:t>
            </w:r>
            <w:r>
              <w:rPr>
                <w:color w:val="171718"/>
                <w:spacing w:val="-13"/>
                <w:sz w:val="18"/>
                <w:szCs w:val="18"/>
              </w:rPr>
              <w:t xml:space="preserve"> </w:t>
            </w:r>
            <w:r>
              <w:rPr>
                <w:color w:val="171718"/>
                <w:sz w:val="18"/>
                <w:szCs w:val="18"/>
              </w:rPr>
              <w:t>Placing</w:t>
            </w:r>
            <w:r>
              <w:rPr>
                <w:color w:val="171718"/>
                <w:spacing w:val="-13"/>
                <w:sz w:val="18"/>
                <w:szCs w:val="18"/>
              </w:rPr>
              <w:t xml:space="preserve"> </w:t>
            </w:r>
            <w:r>
              <w:rPr>
                <w:color w:val="171718"/>
                <w:sz w:val="18"/>
                <w:szCs w:val="18"/>
              </w:rPr>
              <w:t>Shares</w:t>
            </w:r>
            <w:r w:rsidR="00423387">
              <w:rPr>
                <w:color w:val="171718"/>
                <w:sz w:val="18"/>
                <w:szCs w:val="18"/>
              </w:rPr>
              <w:t xml:space="preserve"> and the Labrador Consideration Shares</w:t>
            </w:r>
            <w:r>
              <w:rPr>
                <w:color w:val="171718"/>
                <w:sz w:val="18"/>
                <w:szCs w:val="18"/>
              </w:rPr>
              <w:t>,</w:t>
            </w:r>
            <w:r>
              <w:rPr>
                <w:color w:val="171718"/>
                <w:spacing w:val="-16"/>
                <w:sz w:val="18"/>
                <w:szCs w:val="18"/>
              </w:rPr>
              <w:t xml:space="preserve"> </w:t>
            </w:r>
            <w:r>
              <w:rPr>
                <w:color w:val="171718"/>
                <w:sz w:val="18"/>
                <w:szCs w:val="18"/>
              </w:rPr>
              <w:t>could</w:t>
            </w:r>
            <w:r>
              <w:rPr>
                <w:color w:val="171718"/>
                <w:spacing w:val="-13"/>
                <w:sz w:val="18"/>
                <w:szCs w:val="18"/>
              </w:rPr>
              <w:t xml:space="preserve"> </w:t>
            </w:r>
            <w:r>
              <w:rPr>
                <w:color w:val="171718"/>
                <w:sz w:val="18"/>
                <w:szCs w:val="18"/>
              </w:rPr>
              <w:t>be</w:t>
            </w:r>
            <w:r>
              <w:rPr>
                <w:color w:val="171718"/>
                <w:spacing w:val="-16"/>
                <w:sz w:val="18"/>
                <w:szCs w:val="18"/>
              </w:rPr>
              <w:t xml:space="preserve"> </w:t>
            </w:r>
            <w:r>
              <w:rPr>
                <w:color w:val="171718"/>
                <w:sz w:val="18"/>
                <w:szCs w:val="18"/>
              </w:rPr>
              <w:t>subject to significant fluctuations.</w:t>
            </w:r>
          </w:p>
        </w:tc>
      </w:tr>
      <w:tr w:rsidR="0031766D" w14:paraId="5E2EC8A8" w14:textId="77777777" w:rsidTr="0047572B">
        <w:trPr>
          <w:trHeight w:val="365"/>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0A1B8E4D" w14:textId="6BF1AD08" w:rsidR="0031766D" w:rsidRDefault="0031766D" w:rsidP="0047572B">
            <w:pPr>
              <w:pStyle w:val="TableParagraph"/>
              <w:kinsoku w:val="0"/>
              <w:overflowPunct w:val="0"/>
              <w:spacing w:line="201" w:lineRule="exact"/>
              <w:ind w:left="906"/>
              <w:rPr>
                <w:b/>
                <w:bCs/>
                <w:color w:val="050606"/>
                <w:sz w:val="18"/>
                <w:szCs w:val="18"/>
              </w:rPr>
            </w:pPr>
            <w:r>
              <w:rPr>
                <w:b/>
                <w:bCs/>
                <w:color w:val="050606"/>
                <w:sz w:val="18"/>
                <w:szCs w:val="18"/>
              </w:rPr>
              <w:t>Key information on the offer of securities to the public and the admission to trading.</w:t>
            </w:r>
          </w:p>
        </w:tc>
      </w:tr>
      <w:tr w:rsidR="0031766D" w14:paraId="54E5E8E9" w14:textId="77777777" w:rsidTr="0047572B">
        <w:trPr>
          <w:trHeight w:val="336"/>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D9DADB"/>
          </w:tcPr>
          <w:p w14:paraId="43D4C712" w14:textId="77777777" w:rsidR="0031766D" w:rsidRDefault="0031766D" w:rsidP="0047572B">
            <w:pPr>
              <w:pStyle w:val="TableParagraph"/>
              <w:kinsoku w:val="0"/>
              <w:overflowPunct w:val="0"/>
              <w:spacing w:line="201" w:lineRule="exact"/>
              <w:ind w:left="1630" w:right="1619"/>
              <w:jc w:val="center"/>
              <w:rPr>
                <w:b/>
                <w:bCs/>
                <w:color w:val="050606"/>
                <w:sz w:val="18"/>
                <w:szCs w:val="18"/>
              </w:rPr>
            </w:pPr>
            <w:r>
              <w:rPr>
                <w:b/>
                <w:bCs/>
                <w:color w:val="050606"/>
                <w:sz w:val="18"/>
                <w:szCs w:val="18"/>
              </w:rPr>
              <w:t>Under which conditions and timetable can I invest in this security?</w:t>
            </w:r>
          </w:p>
        </w:tc>
      </w:tr>
      <w:tr w:rsidR="0031766D" w14:paraId="3C10E467" w14:textId="77777777" w:rsidTr="0047572B">
        <w:trPr>
          <w:trHeight w:val="5849"/>
        </w:trPr>
        <w:tc>
          <w:tcPr>
            <w:tcW w:w="1395" w:type="dxa"/>
            <w:tcBorders>
              <w:top w:val="single" w:sz="4" w:space="0" w:color="231F20"/>
              <w:left w:val="single" w:sz="4" w:space="0" w:color="231F20"/>
              <w:bottom w:val="single" w:sz="4" w:space="0" w:color="231F20"/>
              <w:right w:val="single" w:sz="4" w:space="0" w:color="231F20"/>
            </w:tcBorders>
          </w:tcPr>
          <w:p w14:paraId="132517A7" w14:textId="039AA528" w:rsidR="0031766D" w:rsidRDefault="0031766D" w:rsidP="0047572B">
            <w:pPr>
              <w:pStyle w:val="TableParagraph"/>
              <w:kinsoku w:val="0"/>
              <w:overflowPunct w:val="0"/>
              <w:ind w:left="107" w:right="93"/>
              <w:rPr>
                <w:color w:val="050606"/>
                <w:sz w:val="18"/>
                <w:szCs w:val="18"/>
              </w:rPr>
            </w:pPr>
            <w:r>
              <w:rPr>
                <w:color w:val="050606"/>
                <w:sz w:val="18"/>
                <w:szCs w:val="18"/>
              </w:rPr>
              <w:t>Terms and Conditions of the Offer</w:t>
            </w:r>
          </w:p>
        </w:tc>
        <w:tc>
          <w:tcPr>
            <w:tcW w:w="7956" w:type="dxa"/>
            <w:tcBorders>
              <w:top w:val="single" w:sz="4" w:space="0" w:color="231F20"/>
              <w:left w:val="single" w:sz="4" w:space="0" w:color="231F20"/>
              <w:bottom w:val="single" w:sz="4" w:space="0" w:color="231F20"/>
              <w:right w:val="single" w:sz="4" w:space="0" w:color="231F20"/>
            </w:tcBorders>
          </w:tcPr>
          <w:p w14:paraId="2D46083C" w14:textId="5AFB9565" w:rsidR="0031766D" w:rsidRDefault="008D29E2" w:rsidP="0047572B">
            <w:pPr>
              <w:pStyle w:val="TableParagraph"/>
              <w:kinsoku w:val="0"/>
              <w:overflowPunct w:val="0"/>
              <w:spacing w:line="237" w:lineRule="auto"/>
              <w:ind w:left="108" w:right="88"/>
              <w:jc w:val="both"/>
              <w:rPr>
                <w:color w:val="020303"/>
                <w:sz w:val="18"/>
                <w:szCs w:val="18"/>
              </w:rPr>
            </w:pPr>
            <w:r>
              <w:rPr>
                <w:color w:val="020303"/>
                <w:sz w:val="18"/>
                <w:szCs w:val="18"/>
              </w:rPr>
              <w:t xml:space="preserve">This Prospectus does not constitute an offer or an invitation to any person to subscribe for or purchase any shares in the Company. The new Ordinary Shares are not being offered to the public. </w:t>
            </w:r>
            <w:r w:rsidR="0031766D">
              <w:rPr>
                <w:color w:val="020303"/>
                <w:sz w:val="18"/>
                <w:szCs w:val="18"/>
              </w:rPr>
              <w:t xml:space="preserve">Subject to and conditional upon Admission occurring by 8.00 a.m. on or before </w:t>
            </w:r>
            <w:r w:rsidR="00EB2E04">
              <w:rPr>
                <w:sz w:val="18"/>
                <w:szCs w:val="18"/>
              </w:rPr>
              <w:t>12 July</w:t>
            </w:r>
            <w:r w:rsidR="0031766D">
              <w:rPr>
                <w:color w:val="020303"/>
                <w:sz w:val="18"/>
                <w:szCs w:val="18"/>
              </w:rPr>
              <w:t xml:space="preserve"> 2021(or</w:t>
            </w:r>
            <w:r w:rsidR="0031766D">
              <w:rPr>
                <w:color w:val="020303"/>
                <w:spacing w:val="-10"/>
                <w:sz w:val="18"/>
                <w:szCs w:val="18"/>
              </w:rPr>
              <w:t xml:space="preserve"> </w:t>
            </w:r>
            <w:r w:rsidR="0031766D">
              <w:rPr>
                <w:color w:val="020303"/>
                <w:sz w:val="18"/>
                <w:szCs w:val="18"/>
              </w:rPr>
              <w:t>such</w:t>
            </w:r>
            <w:r w:rsidR="0031766D">
              <w:rPr>
                <w:color w:val="020303"/>
                <w:spacing w:val="-10"/>
                <w:sz w:val="18"/>
                <w:szCs w:val="18"/>
              </w:rPr>
              <w:t xml:space="preserve"> </w:t>
            </w:r>
            <w:r w:rsidR="0031766D">
              <w:rPr>
                <w:color w:val="020303"/>
                <w:sz w:val="18"/>
                <w:szCs w:val="18"/>
              </w:rPr>
              <w:t>later</w:t>
            </w:r>
            <w:r w:rsidR="0031766D">
              <w:rPr>
                <w:color w:val="020303"/>
                <w:spacing w:val="-10"/>
                <w:sz w:val="18"/>
                <w:szCs w:val="18"/>
              </w:rPr>
              <w:t xml:space="preserve"> </w:t>
            </w:r>
            <w:r w:rsidR="0031766D">
              <w:rPr>
                <w:color w:val="020303"/>
                <w:sz w:val="18"/>
                <w:szCs w:val="18"/>
              </w:rPr>
              <w:t>date</w:t>
            </w:r>
            <w:r w:rsidR="0031766D">
              <w:rPr>
                <w:color w:val="020303"/>
                <w:spacing w:val="-12"/>
                <w:sz w:val="18"/>
                <w:szCs w:val="18"/>
              </w:rPr>
              <w:t xml:space="preserve"> </w:t>
            </w:r>
            <w:r w:rsidR="0031766D">
              <w:rPr>
                <w:color w:val="020303"/>
                <w:sz w:val="18"/>
                <w:szCs w:val="18"/>
              </w:rPr>
              <w:t>agreed</w:t>
            </w:r>
            <w:r w:rsidR="0031766D">
              <w:rPr>
                <w:color w:val="020303"/>
                <w:spacing w:val="-10"/>
                <w:sz w:val="18"/>
                <w:szCs w:val="18"/>
              </w:rPr>
              <w:t xml:space="preserve"> </w:t>
            </w:r>
            <w:r w:rsidR="0031766D">
              <w:rPr>
                <w:color w:val="020303"/>
                <w:sz w:val="18"/>
                <w:szCs w:val="18"/>
              </w:rPr>
              <w:t>between</w:t>
            </w:r>
            <w:r w:rsidR="0031766D">
              <w:rPr>
                <w:color w:val="020303"/>
                <w:spacing w:val="-10"/>
                <w:sz w:val="18"/>
                <w:szCs w:val="18"/>
              </w:rPr>
              <w:t xml:space="preserve"> </w:t>
            </w:r>
            <w:r w:rsidR="0031766D">
              <w:rPr>
                <w:color w:val="020303"/>
                <w:sz w:val="18"/>
                <w:szCs w:val="18"/>
              </w:rPr>
              <w:t>the Company and the</w:t>
            </w:r>
            <w:r w:rsidR="0031766D">
              <w:rPr>
                <w:color w:val="020303"/>
                <w:spacing w:val="-10"/>
                <w:sz w:val="18"/>
                <w:szCs w:val="18"/>
              </w:rPr>
              <w:t xml:space="preserve"> relevant parties</w:t>
            </w:r>
            <w:r w:rsidR="0031766D">
              <w:rPr>
                <w:color w:val="020303"/>
                <w:spacing w:val="-9"/>
                <w:sz w:val="18"/>
                <w:szCs w:val="18"/>
              </w:rPr>
              <w:t xml:space="preserve"> </w:t>
            </w:r>
            <w:r w:rsidR="0031766D">
              <w:rPr>
                <w:color w:val="020303"/>
                <w:sz w:val="18"/>
                <w:szCs w:val="18"/>
              </w:rPr>
              <w:t>provided</w:t>
            </w:r>
            <w:r w:rsidR="0031766D">
              <w:rPr>
                <w:color w:val="020303"/>
                <w:spacing w:val="-8"/>
                <w:sz w:val="18"/>
                <w:szCs w:val="18"/>
              </w:rPr>
              <w:t xml:space="preserve"> </w:t>
            </w:r>
            <w:r w:rsidR="0031766D">
              <w:rPr>
                <w:color w:val="020303"/>
                <w:sz w:val="18"/>
                <w:szCs w:val="18"/>
              </w:rPr>
              <w:t>that</w:t>
            </w:r>
            <w:r w:rsidR="0031766D">
              <w:rPr>
                <w:color w:val="020303"/>
                <w:spacing w:val="-10"/>
                <w:sz w:val="18"/>
                <w:szCs w:val="18"/>
              </w:rPr>
              <w:t xml:space="preserve"> </w:t>
            </w:r>
            <w:r w:rsidR="0031766D">
              <w:rPr>
                <w:color w:val="020303"/>
                <w:sz w:val="18"/>
                <w:szCs w:val="18"/>
              </w:rPr>
              <w:t>such</w:t>
            </w:r>
            <w:r w:rsidR="0031766D">
              <w:rPr>
                <w:color w:val="020303"/>
                <w:spacing w:val="-10"/>
                <w:sz w:val="18"/>
                <w:szCs w:val="18"/>
              </w:rPr>
              <w:t xml:space="preserve"> </w:t>
            </w:r>
            <w:r w:rsidR="0031766D">
              <w:rPr>
                <w:color w:val="020303"/>
                <w:sz w:val="18"/>
                <w:szCs w:val="18"/>
              </w:rPr>
              <w:t>date</w:t>
            </w:r>
            <w:r w:rsidR="0031766D">
              <w:rPr>
                <w:color w:val="020303"/>
                <w:spacing w:val="-11"/>
                <w:sz w:val="18"/>
                <w:szCs w:val="18"/>
              </w:rPr>
              <w:t xml:space="preserve"> </w:t>
            </w:r>
            <w:r w:rsidR="0031766D">
              <w:rPr>
                <w:color w:val="020303"/>
                <w:sz w:val="18"/>
                <w:szCs w:val="18"/>
              </w:rPr>
              <w:t>is</w:t>
            </w:r>
            <w:r w:rsidR="0031766D">
              <w:rPr>
                <w:color w:val="020303"/>
                <w:spacing w:val="-9"/>
                <w:sz w:val="18"/>
                <w:szCs w:val="18"/>
              </w:rPr>
              <w:t xml:space="preserve"> </w:t>
            </w:r>
            <w:r w:rsidR="0031766D">
              <w:rPr>
                <w:color w:val="020303"/>
                <w:sz w:val="18"/>
                <w:szCs w:val="18"/>
              </w:rPr>
              <w:t>not</w:t>
            </w:r>
            <w:r w:rsidR="0031766D">
              <w:rPr>
                <w:color w:val="020303"/>
                <w:spacing w:val="-10"/>
                <w:sz w:val="18"/>
                <w:szCs w:val="18"/>
              </w:rPr>
              <w:t xml:space="preserve"> </w:t>
            </w:r>
            <w:r w:rsidR="0031766D">
              <w:rPr>
                <w:color w:val="020303"/>
                <w:sz w:val="18"/>
                <w:szCs w:val="18"/>
              </w:rPr>
              <w:t>later</w:t>
            </w:r>
            <w:r w:rsidR="0031766D">
              <w:rPr>
                <w:color w:val="020303"/>
                <w:spacing w:val="-13"/>
                <w:sz w:val="18"/>
                <w:szCs w:val="18"/>
              </w:rPr>
              <w:t xml:space="preserve"> </w:t>
            </w:r>
            <w:r w:rsidR="0031766D">
              <w:rPr>
                <w:color w:val="020303"/>
                <w:sz w:val="18"/>
                <w:szCs w:val="18"/>
              </w:rPr>
              <w:t>than the</w:t>
            </w:r>
            <w:r w:rsidR="0031766D">
              <w:rPr>
                <w:color w:val="020303"/>
                <w:spacing w:val="-5"/>
                <w:sz w:val="18"/>
                <w:szCs w:val="18"/>
              </w:rPr>
              <w:t xml:space="preserve"> </w:t>
            </w:r>
            <w:r w:rsidR="0031766D">
              <w:rPr>
                <w:color w:val="020303"/>
                <w:sz w:val="18"/>
                <w:szCs w:val="18"/>
              </w:rPr>
              <w:t>Long</w:t>
            </w:r>
            <w:r w:rsidR="0031766D">
              <w:rPr>
                <w:color w:val="020303"/>
                <w:spacing w:val="-5"/>
                <w:sz w:val="18"/>
                <w:szCs w:val="18"/>
              </w:rPr>
              <w:t xml:space="preserve"> </w:t>
            </w:r>
            <w:r w:rsidR="0031766D">
              <w:rPr>
                <w:color w:val="020303"/>
                <w:sz w:val="18"/>
                <w:szCs w:val="18"/>
              </w:rPr>
              <w:t>Stop</w:t>
            </w:r>
            <w:r w:rsidR="0031766D">
              <w:rPr>
                <w:color w:val="020303"/>
                <w:spacing w:val="-4"/>
                <w:sz w:val="18"/>
                <w:szCs w:val="18"/>
              </w:rPr>
              <w:t xml:space="preserve"> </w:t>
            </w:r>
            <w:r w:rsidR="0031766D">
              <w:rPr>
                <w:color w:val="020303"/>
                <w:sz w:val="18"/>
                <w:szCs w:val="18"/>
              </w:rPr>
              <w:t>Date)</w:t>
            </w:r>
            <w:r w:rsidR="0031766D">
              <w:rPr>
                <w:color w:val="020303"/>
                <w:spacing w:val="-5"/>
                <w:sz w:val="18"/>
                <w:szCs w:val="18"/>
              </w:rPr>
              <w:t xml:space="preserve"> </w:t>
            </w:r>
            <w:r w:rsidR="0031766D">
              <w:rPr>
                <w:color w:val="020303"/>
                <w:sz w:val="18"/>
                <w:szCs w:val="18"/>
              </w:rPr>
              <w:t>(the</w:t>
            </w:r>
            <w:r w:rsidR="0031766D">
              <w:rPr>
                <w:color w:val="020303"/>
                <w:spacing w:val="-4"/>
                <w:sz w:val="18"/>
                <w:szCs w:val="18"/>
              </w:rPr>
              <w:t xml:space="preserve"> </w:t>
            </w:r>
            <w:r w:rsidR="0031766D">
              <w:rPr>
                <w:color w:val="020303"/>
                <w:sz w:val="18"/>
                <w:szCs w:val="18"/>
              </w:rPr>
              <w:t>“</w:t>
            </w:r>
            <w:r w:rsidR="0031766D">
              <w:rPr>
                <w:b/>
                <w:bCs/>
                <w:color w:val="020303"/>
                <w:sz w:val="18"/>
                <w:szCs w:val="18"/>
              </w:rPr>
              <w:t>Admission</w:t>
            </w:r>
            <w:r w:rsidR="0031766D">
              <w:rPr>
                <w:b/>
                <w:bCs/>
                <w:color w:val="020303"/>
                <w:spacing w:val="-5"/>
                <w:sz w:val="18"/>
                <w:szCs w:val="18"/>
              </w:rPr>
              <w:t xml:space="preserve"> </w:t>
            </w:r>
            <w:r w:rsidR="0031766D">
              <w:rPr>
                <w:b/>
                <w:bCs/>
                <w:color w:val="020303"/>
                <w:sz w:val="18"/>
                <w:szCs w:val="18"/>
              </w:rPr>
              <w:t>Condition”</w:t>
            </w:r>
            <w:r w:rsidR="0031766D">
              <w:rPr>
                <w:color w:val="020303"/>
                <w:sz w:val="18"/>
                <w:szCs w:val="18"/>
              </w:rPr>
              <w:t>),</w:t>
            </w:r>
            <w:r w:rsidR="0031766D">
              <w:rPr>
                <w:color w:val="020303"/>
                <w:spacing w:val="-6"/>
                <w:sz w:val="18"/>
                <w:szCs w:val="18"/>
              </w:rPr>
              <w:t xml:space="preserve"> </w:t>
            </w:r>
            <w:r w:rsidR="0031766D">
              <w:rPr>
                <w:color w:val="020303"/>
                <w:sz w:val="18"/>
                <w:szCs w:val="18"/>
              </w:rPr>
              <w:t>the</w:t>
            </w:r>
            <w:r w:rsidR="0031766D">
              <w:rPr>
                <w:color w:val="020303"/>
                <w:spacing w:val="-5"/>
                <w:sz w:val="18"/>
                <w:szCs w:val="18"/>
              </w:rPr>
              <w:t xml:space="preserve"> </w:t>
            </w:r>
            <w:r w:rsidR="0031766D">
              <w:rPr>
                <w:color w:val="020303"/>
                <w:sz w:val="18"/>
                <w:szCs w:val="18"/>
              </w:rPr>
              <w:t>Company</w:t>
            </w:r>
            <w:r w:rsidR="0031766D">
              <w:rPr>
                <w:color w:val="020303"/>
                <w:spacing w:val="-6"/>
                <w:sz w:val="18"/>
                <w:szCs w:val="18"/>
              </w:rPr>
              <w:t xml:space="preserve"> </w:t>
            </w:r>
            <w:r w:rsidR="0031766D">
              <w:rPr>
                <w:color w:val="020303"/>
                <w:sz w:val="18"/>
                <w:szCs w:val="18"/>
              </w:rPr>
              <w:t>will</w:t>
            </w:r>
            <w:r w:rsidR="0031766D">
              <w:rPr>
                <w:color w:val="020303"/>
                <w:spacing w:val="-5"/>
                <w:sz w:val="18"/>
                <w:szCs w:val="18"/>
              </w:rPr>
              <w:t xml:space="preserve"> </w:t>
            </w:r>
            <w:r w:rsidR="0031766D">
              <w:rPr>
                <w:color w:val="020303"/>
                <w:sz w:val="18"/>
                <w:szCs w:val="18"/>
              </w:rPr>
              <w:t>raise</w:t>
            </w:r>
            <w:r w:rsidR="0031766D">
              <w:rPr>
                <w:color w:val="020303"/>
                <w:spacing w:val="-4"/>
                <w:sz w:val="18"/>
                <w:szCs w:val="18"/>
              </w:rPr>
              <w:t xml:space="preserve"> </w:t>
            </w:r>
            <w:r w:rsidR="0031766D">
              <w:rPr>
                <w:color w:val="020303"/>
                <w:sz w:val="18"/>
                <w:szCs w:val="18"/>
              </w:rPr>
              <w:t>gross</w:t>
            </w:r>
            <w:r w:rsidR="0031766D">
              <w:rPr>
                <w:color w:val="020303"/>
                <w:spacing w:val="-4"/>
                <w:sz w:val="18"/>
                <w:szCs w:val="18"/>
              </w:rPr>
              <w:t xml:space="preserve"> </w:t>
            </w:r>
            <w:r w:rsidR="0031766D">
              <w:rPr>
                <w:color w:val="020303"/>
                <w:sz w:val="18"/>
                <w:szCs w:val="18"/>
              </w:rPr>
              <w:t>proceeds</w:t>
            </w:r>
            <w:r w:rsidR="0031766D">
              <w:rPr>
                <w:color w:val="020303"/>
                <w:spacing w:val="-3"/>
                <w:sz w:val="18"/>
                <w:szCs w:val="18"/>
              </w:rPr>
              <w:t xml:space="preserve"> </w:t>
            </w:r>
            <w:r w:rsidR="0031766D">
              <w:rPr>
                <w:color w:val="020303"/>
                <w:sz w:val="18"/>
                <w:szCs w:val="18"/>
              </w:rPr>
              <w:t>of £</w:t>
            </w:r>
            <w:r w:rsidR="00C839F9">
              <w:rPr>
                <w:sz w:val="18"/>
                <w:szCs w:val="18"/>
              </w:rPr>
              <w:t>800,000</w:t>
            </w:r>
            <w:r w:rsidR="00D805CC">
              <w:rPr>
                <w:sz w:val="18"/>
                <w:szCs w:val="18"/>
              </w:rPr>
              <w:t xml:space="preserve"> </w:t>
            </w:r>
            <w:r w:rsidR="0031766D">
              <w:rPr>
                <w:color w:val="020303"/>
                <w:sz w:val="18"/>
                <w:szCs w:val="18"/>
              </w:rPr>
              <w:t>from</w:t>
            </w:r>
            <w:r w:rsidR="0031766D">
              <w:rPr>
                <w:color w:val="020303"/>
                <w:spacing w:val="-5"/>
                <w:sz w:val="18"/>
                <w:szCs w:val="18"/>
              </w:rPr>
              <w:t xml:space="preserve"> </w:t>
            </w:r>
            <w:r w:rsidR="0031766D">
              <w:rPr>
                <w:color w:val="020303"/>
                <w:sz w:val="18"/>
                <w:szCs w:val="18"/>
              </w:rPr>
              <w:t>the</w:t>
            </w:r>
            <w:r w:rsidR="0031766D">
              <w:rPr>
                <w:color w:val="020303"/>
                <w:spacing w:val="-6"/>
                <w:sz w:val="18"/>
                <w:szCs w:val="18"/>
              </w:rPr>
              <w:t xml:space="preserve"> </w:t>
            </w:r>
            <w:r w:rsidR="0031766D">
              <w:rPr>
                <w:color w:val="020303"/>
                <w:sz w:val="18"/>
                <w:szCs w:val="18"/>
              </w:rPr>
              <w:t>issue</w:t>
            </w:r>
            <w:r w:rsidR="0031766D">
              <w:rPr>
                <w:color w:val="020303"/>
                <w:spacing w:val="-6"/>
                <w:sz w:val="18"/>
                <w:szCs w:val="18"/>
              </w:rPr>
              <w:t xml:space="preserve"> </w:t>
            </w:r>
            <w:r w:rsidR="0031766D">
              <w:rPr>
                <w:color w:val="020303"/>
                <w:sz w:val="18"/>
                <w:szCs w:val="18"/>
              </w:rPr>
              <w:t>and</w:t>
            </w:r>
            <w:r w:rsidR="0031766D">
              <w:rPr>
                <w:color w:val="020303"/>
                <w:spacing w:val="-9"/>
                <w:sz w:val="18"/>
                <w:szCs w:val="18"/>
              </w:rPr>
              <w:t xml:space="preserve"> </w:t>
            </w:r>
            <w:r w:rsidR="0031766D">
              <w:rPr>
                <w:color w:val="020303"/>
                <w:sz w:val="18"/>
                <w:szCs w:val="18"/>
              </w:rPr>
              <w:t>allotment</w:t>
            </w:r>
            <w:r w:rsidR="0031766D">
              <w:rPr>
                <w:color w:val="020303"/>
                <w:spacing w:val="-5"/>
                <w:sz w:val="18"/>
                <w:szCs w:val="18"/>
              </w:rPr>
              <w:t xml:space="preserve"> </w:t>
            </w:r>
            <w:r w:rsidR="0031766D">
              <w:rPr>
                <w:color w:val="020303"/>
                <w:sz w:val="18"/>
                <w:szCs w:val="18"/>
              </w:rPr>
              <w:t>of</w:t>
            </w:r>
            <w:r w:rsidR="0031766D">
              <w:rPr>
                <w:color w:val="020303"/>
                <w:spacing w:val="-6"/>
                <w:sz w:val="18"/>
                <w:szCs w:val="18"/>
              </w:rPr>
              <w:t xml:space="preserve"> </w:t>
            </w:r>
            <w:r w:rsidR="00C839F9">
              <w:rPr>
                <w:sz w:val="18"/>
                <w:szCs w:val="18"/>
              </w:rPr>
              <w:t>8,000,000</w:t>
            </w:r>
            <w:r w:rsidR="0031766D">
              <w:rPr>
                <w:sz w:val="18"/>
                <w:szCs w:val="18"/>
              </w:rPr>
              <w:t xml:space="preserve"> </w:t>
            </w:r>
            <w:r w:rsidR="0031766D">
              <w:rPr>
                <w:color w:val="020303"/>
                <w:sz w:val="18"/>
                <w:szCs w:val="18"/>
              </w:rPr>
              <w:t>new</w:t>
            </w:r>
            <w:r w:rsidR="0031766D">
              <w:rPr>
                <w:color w:val="020303"/>
                <w:spacing w:val="-10"/>
                <w:sz w:val="18"/>
                <w:szCs w:val="18"/>
              </w:rPr>
              <w:t xml:space="preserve"> </w:t>
            </w:r>
            <w:r w:rsidR="0031766D">
              <w:rPr>
                <w:color w:val="020303"/>
                <w:sz w:val="18"/>
                <w:szCs w:val="18"/>
              </w:rPr>
              <w:t>Ordinary</w:t>
            </w:r>
            <w:r w:rsidR="0031766D">
              <w:rPr>
                <w:color w:val="020303"/>
                <w:spacing w:val="-7"/>
                <w:sz w:val="18"/>
                <w:szCs w:val="18"/>
              </w:rPr>
              <w:t xml:space="preserve"> </w:t>
            </w:r>
            <w:r w:rsidR="0031766D">
              <w:rPr>
                <w:color w:val="020303"/>
                <w:sz w:val="18"/>
                <w:szCs w:val="18"/>
              </w:rPr>
              <w:t>Shares</w:t>
            </w:r>
            <w:r w:rsidR="0031766D">
              <w:rPr>
                <w:color w:val="020303"/>
                <w:spacing w:val="-6"/>
                <w:sz w:val="18"/>
                <w:szCs w:val="18"/>
              </w:rPr>
              <w:t xml:space="preserve"> </w:t>
            </w:r>
            <w:r w:rsidR="0031766D">
              <w:rPr>
                <w:color w:val="020303"/>
                <w:sz w:val="18"/>
                <w:szCs w:val="18"/>
              </w:rPr>
              <w:t>at</w:t>
            </w:r>
            <w:r w:rsidR="0031766D">
              <w:rPr>
                <w:color w:val="020303"/>
                <w:spacing w:val="-6"/>
                <w:sz w:val="18"/>
                <w:szCs w:val="18"/>
              </w:rPr>
              <w:t xml:space="preserve"> </w:t>
            </w:r>
            <w:r w:rsidR="0031766D">
              <w:rPr>
                <w:color w:val="020303"/>
                <w:sz w:val="18"/>
                <w:szCs w:val="18"/>
              </w:rPr>
              <w:t>the</w:t>
            </w:r>
            <w:r w:rsidR="0031766D">
              <w:rPr>
                <w:color w:val="020303"/>
                <w:spacing w:val="-6"/>
                <w:sz w:val="18"/>
                <w:szCs w:val="18"/>
              </w:rPr>
              <w:t xml:space="preserve"> </w:t>
            </w:r>
            <w:r w:rsidR="0031766D">
              <w:rPr>
                <w:color w:val="020303"/>
                <w:sz w:val="18"/>
                <w:szCs w:val="18"/>
              </w:rPr>
              <w:t xml:space="preserve">Placing Price. The Company will also issue </w:t>
            </w:r>
            <w:r w:rsidR="0031766D" w:rsidRPr="00742C76">
              <w:rPr>
                <w:color w:val="020303"/>
                <w:sz w:val="18"/>
                <w:szCs w:val="18"/>
              </w:rPr>
              <w:t xml:space="preserve">10,089,199 </w:t>
            </w:r>
            <w:r w:rsidR="0031766D">
              <w:rPr>
                <w:color w:val="020303"/>
                <w:sz w:val="18"/>
                <w:szCs w:val="18"/>
              </w:rPr>
              <w:t>Labrador Consideration Shares</w:t>
            </w:r>
            <w:r w:rsidR="00696DC8">
              <w:rPr>
                <w:color w:val="020303"/>
                <w:sz w:val="18"/>
                <w:szCs w:val="18"/>
              </w:rPr>
              <w:t>, together with 11,100,000 Labrador Consideration Warrants,</w:t>
            </w:r>
            <w:r w:rsidR="0031766D">
              <w:rPr>
                <w:color w:val="020303"/>
                <w:sz w:val="18"/>
                <w:szCs w:val="18"/>
              </w:rPr>
              <w:t xml:space="preserve"> pursuant to the Labrador Acquisition. The terms of the Placing and Labrador Acquisition are briefly summarised</w:t>
            </w:r>
            <w:r w:rsidR="0031766D">
              <w:rPr>
                <w:color w:val="020303"/>
                <w:spacing w:val="-10"/>
                <w:sz w:val="18"/>
                <w:szCs w:val="18"/>
              </w:rPr>
              <w:t xml:space="preserve"> </w:t>
            </w:r>
            <w:r w:rsidR="0031766D">
              <w:rPr>
                <w:color w:val="020303"/>
                <w:sz w:val="18"/>
                <w:szCs w:val="18"/>
              </w:rPr>
              <w:t>below:</w:t>
            </w:r>
          </w:p>
          <w:p w14:paraId="1A46FFEF" w14:textId="77777777" w:rsidR="00A43090" w:rsidRDefault="00A43090" w:rsidP="0047572B">
            <w:pPr>
              <w:pStyle w:val="TableParagraph"/>
              <w:kinsoku w:val="0"/>
              <w:overflowPunct w:val="0"/>
              <w:spacing w:line="237" w:lineRule="auto"/>
              <w:ind w:left="108" w:right="88"/>
              <w:jc w:val="both"/>
              <w:rPr>
                <w:color w:val="020303"/>
                <w:sz w:val="18"/>
                <w:szCs w:val="18"/>
              </w:rPr>
            </w:pPr>
          </w:p>
          <w:tbl>
            <w:tblPr>
              <w:tblStyle w:val="TableGrid"/>
              <w:tblW w:w="0" w:type="auto"/>
              <w:tblInd w:w="108" w:type="dxa"/>
              <w:tblLayout w:type="fixed"/>
              <w:tblLook w:val="04A0" w:firstRow="1" w:lastRow="0" w:firstColumn="1" w:lastColumn="0" w:noHBand="0" w:noVBand="1"/>
            </w:tblPr>
            <w:tblGrid>
              <w:gridCol w:w="1977"/>
              <w:gridCol w:w="1814"/>
              <w:gridCol w:w="1814"/>
              <w:gridCol w:w="1814"/>
            </w:tblGrid>
            <w:tr w:rsidR="00A43090" w14:paraId="3106821D" w14:textId="77777777" w:rsidTr="004C6A20">
              <w:tc>
                <w:tcPr>
                  <w:tcW w:w="1977" w:type="dxa"/>
                </w:tcPr>
                <w:p w14:paraId="79173F2C" w14:textId="77777777" w:rsidR="00A43090" w:rsidRDefault="00A43090" w:rsidP="00170424">
                  <w:pPr>
                    <w:pStyle w:val="TableParagraph"/>
                    <w:framePr w:hSpace="180" w:wrap="around" w:vAnchor="text" w:hAnchor="text" w:y="1"/>
                    <w:kinsoku w:val="0"/>
                    <w:overflowPunct w:val="0"/>
                    <w:spacing w:line="237" w:lineRule="auto"/>
                    <w:ind w:right="88"/>
                    <w:suppressOverlap/>
                    <w:rPr>
                      <w:color w:val="020303"/>
                      <w:sz w:val="18"/>
                      <w:szCs w:val="18"/>
                    </w:rPr>
                  </w:pPr>
                </w:p>
              </w:tc>
              <w:tc>
                <w:tcPr>
                  <w:tcW w:w="1814" w:type="dxa"/>
                </w:tcPr>
                <w:p w14:paraId="0BDF82D5" w14:textId="74F29F9C" w:rsidR="00A43090" w:rsidRPr="004C6A20" w:rsidRDefault="00A43090" w:rsidP="00170424">
                  <w:pPr>
                    <w:pStyle w:val="TableParagraph"/>
                    <w:framePr w:hSpace="180" w:wrap="around" w:vAnchor="text" w:hAnchor="text" w:y="1"/>
                    <w:kinsoku w:val="0"/>
                    <w:overflowPunct w:val="0"/>
                    <w:ind w:left="223" w:right="214"/>
                    <w:suppressOverlap/>
                    <w:jc w:val="center"/>
                    <w:rPr>
                      <w:b/>
                      <w:bCs/>
                      <w:color w:val="020303"/>
                      <w:sz w:val="18"/>
                      <w:szCs w:val="18"/>
                    </w:rPr>
                  </w:pPr>
                  <w:r>
                    <w:rPr>
                      <w:b/>
                      <w:bCs/>
                      <w:color w:val="020303"/>
                      <w:sz w:val="18"/>
                      <w:szCs w:val="18"/>
                    </w:rPr>
                    <w:t>Ordinary</w:t>
                  </w:r>
                  <w:r w:rsidR="004C6A20">
                    <w:rPr>
                      <w:b/>
                      <w:bCs/>
                      <w:color w:val="020303"/>
                      <w:sz w:val="18"/>
                      <w:szCs w:val="18"/>
                    </w:rPr>
                    <w:t xml:space="preserve"> </w:t>
                  </w:r>
                  <w:r>
                    <w:rPr>
                      <w:b/>
                      <w:bCs/>
                      <w:color w:val="020303"/>
                      <w:spacing w:val="-3"/>
                      <w:sz w:val="18"/>
                      <w:szCs w:val="18"/>
                    </w:rPr>
                    <w:t>Shares</w:t>
                  </w:r>
                  <w:r w:rsidR="004C6A20">
                    <w:rPr>
                      <w:b/>
                      <w:bCs/>
                      <w:color w:val="020303"/>
                      <w:spacing w:val="-3"/>
                      <w:sz w:val="18"/>
                      <w:szCs w:val="18"/>
                    </w:rPr>
                    <w:t xml:space="preserve"> </w:t>
                  </w:r>
                  <w:r>
                    <w:rPr>
                      <w:b/>
                      <w:bCs/>
                      <w:color w:val="020303"/>
                      <w:sz w:val="18"/>
                      <w:szCs w:val="18"/>
                    </w:rPr>
                    <w:t>Issued</w:t>
                  </w:r>
                  <w:r>
                    <w:rPr>
                      <w:b/>
                      <w:bCs/>
                      <w:color w:val="020303"/>
                      <w:spacing w:val="-3"/>
                      <w:sz w:val="18"/>
                      <w:szCs w:val="18"/>
                    </w:rPr>
                    <w:t xml:space="preserve"> </w:t>
                  </w:r>
                  <w:r>
                    <w:rPr>
                      <w:b/>
                      <w:bCs/>
                      <w:color w:val="020303"/>
                      <w:sz w:val="18"/>
                      <w:szCs w:val="18"/>
                    </w:rPr>
                    <w:t>on</w:t>
                  </w:r>
                  <w:r w:rsidR="004C6A20">
                    <w:rPr>
                      <w:b/>
                      <w:bCs/>
                      <w:color w:val="020303"/>
                      <w:sz w:val="18"/>
                      <w:szCs w:val="18"/>
                    </w:rPr>
                    <w:t xml:space="preserve"> </w:t>
                  </w:r>
                  <w:r>
                    <w:rPr>
                      <w:b/>
                      <w:bCs/>
                      <w:color w:val="020303"/>
                      <w:sz w:val="18"/>
                      <w:szCs w:val="18"/>
                    </w:rPr>
                    <w:t>Admission</w:t>
                  </w:r>
                </w:p>
              </w:tc>
              <w:tc>
                <w:tcPr>
                  <w:tcW w:w="1814" w:type="dxa"/>
                </w:tcPr>
                <w:p w14:paraId="18AAE4FF" w14:textId="21BA0227" w:rsidR="00A43090" w:rsidRDefault="00A43090" w:rsidP="00170424">
                  <w:pPr>
                    <w:pStyle w:val="TableParagraph"/>
                    <w:framePr w:hSpace="180" w:wrap="around" w:vAnchor="text" w:hAnchor="text" w:y="1"/>
                    <w:kinsoku w:val="0"/>
                    <w:overflowPunct w:val="0"/>
                    <w:spacing w:line="237" w:lineRule="auto"/>
                    <w:ind w:right="88"/>
                    <w:suppressOverlap/>
                    <w:jc w:val="center"/>
                    <w:rPr>
                      <w:color w:val="020303"/>
                      <w:sz w:val="18"/>
                      <w:szCs w:val="18"/>
                    </w:rPr>
                  </w:pPr>
                  <w:r>
                    <w:rPr>
                      <w:b/>
                      <w:bCs/>
                      <w:color w:val="020303"/>
                      <w:sz w:val="18"/>
                      <w:szCs w:val="18"/>
                    </w:rPr>
                    <w:t>Issue Price</w:t>
                  </w:r>
                </w:p>
              </w:tc>
              <w:tc>
                <w:tcPr>
                  <w:tcW w:w="1814" w:type="dxa"/>
                </w:tcPr>
                <w:p w14:paraId="6F1FC647" w14:textId="77F152AE" w:rsidR="00A43090" w:rsidRDefault="00A43090" w:rsidP="00170424">
                  <w:pPr>
                    <w:pStyle w:val="TableParagraph"/>
                    <w:framePr w:hSpace="180" w:wrap="around" w:vAnchor="text" w:hAnchor="text" w:y="1"/>
                    <w:kinsoku w:val="0"/>
                    <w:overflowPunct w:val="0"/>
                    <w:spacing w:line="237" w:lineRule="auto"/>
                    <w:ind w:right="88"/>
                    <w:suppressOverlap/>
                    <w:jc w:val="center"/>
                    <w:rPr>
                      <w:color w:val="020303"/>
                      <w:sz w:val="18"/>
                      <w:szCs w:val="18"/>
                    </w:rPr>
                  </w:pPr>
                  <w:r>
                    <w:rPr>
                      <w:b/>
                      <w:bCs/>
                      <w:color w:val="020303"/>
                      <w:sz w:val="18"/>
                      <w:szCs w:val="18"/>
                    </w:rPr>
                    <w:t>Gross Proceeds raised (£)</w:t>
                  </w:r>
                </w:p>
              </w:tc>
            </w:tr>
            <w:tr w:rsidR="00A43090" w14:paraId="1FEBD149" w14:textId="77777777" w:rsidTr="004C6A20">
              <w:tc>
                <w:tcPr>
                  <w:tcW w:w="1977" w:type="dxa"/>
                </w:tcPr>
                <w:p w14:paraId="61BA50CD" w14:textId="7FFDC61B" w:rsidR="00A43090" w:rsidRDefault="00A43090" w:rsidP="00170424">
                  <w:pPr>
                    <w:pStyle w:val="TableParagraph"/>
                    <w:framePr w:hSpace="180" w:wrap="around" w:vAnchor="text" w:hAnchor="text" w:y="1"/>
                    <w:kinsoku w:val="0"/>
                    <w:overflowPunct w:val="0"/>
                    <w:spacing w:after="120" w:line="238" w:lineRule="auto"/>
                    <w:ind w:right="91"/>
                    <w:suppressOverlap/>
                    <w:rPr>
                      <w:color w:val="020303"/>
                      <w:sz w:val="18"/>
                      <w:szCs w:val="18"/>
                    </w:rPr>
                  </w:pPr>
                  <w:r w:rsidRPr="005D34E6">
                    <w:rPr>
                      <w:color w:val="020303"/>
                      <w:sz w:val="18"/>
                      <w:szCs w:val="18"/>
                    </w:rPr>
                    <w:t>Placing</w:t>
                  </w:r>
                </w:p>
              </w:tc>
              <w:tc>
                <w:tcPr>
                  <w:tcW w:w="1814" w:type="dxa"/>
                </w:tcPr>
                <w:p w14:paraId="43BAA024" w14:textId="10040FDC" w:rsidR="00A43090" w:rsidRDefault="00C839F9"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sz w:val="18"/>
                      <w:szCs w:val="18"/>
                    </w:rPr>
                    <w:t>8,000,000</w:t>
                  </w:r>
                </w:p>
              </w:tc>
              <w:tc>
                <w:tcPr>
                  <w:tcW w:w="1814" w:type="dxa"/>
                </w:tcPr>
                <w:p w14:paraId="699E4C7C" w14:textId="420A5223"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color w:val="020303"/>
                      <w:sz w:val="18"/>
                      <w:szCs w:val="18"/>
                    </w:rPr>
                    <w:t>Placing</w:t>
                  </w:r>
                  <w:r w:rsidRPr="00C1734F">
                    <w:rPr>
                      <w:color w:val="020303"/>
                      <w:sz w:val="18"/>
                      <w:szCs w:val="18"/>
                    </w:rPr>
                    <w:t xml:space="preserve"> Price</w:t>
                  </w:r>
                  <w:r>
                    <w:rPr>
                      <w:color w:val="020303"/>
                      <w:sz w:val="18"/>
                      <w:szCs w:val="18"/>
                    </w:rPr>
                    <w:br/>
                  </w:r>
                  <w:r w:rsidRPr="00C1734F">
                    <w:rPr>
                      <w:color w:val="020303"/>
                      <w:sz w:val="18"/>
                      <w:szCs w:val="18"/>
                    </w:rPr>
                    <w:t>(£</w:t>
                  </w:r>
                  <w:r w:rsidR="000F2D78">
                    <w:rPr>
                      <w:sz w:val="18"/>
                      <w:szCs w:val="18"/>
                    </w:rPr>
                    <w:t>0.10p</w:t>
                  </w:r>
                  <w:r w:rsidRPr="005D34E6">
                    <w:rPr>
                      <w:color w:val="020303"/>
                      <w:sz w:val="18"/>
                      <w:szCs w:val="18"/>
                    </w:rPr>
                    <w:t>)</w:t>
                  </w:r>
                </w:p>
              </w:tc>
              <w:tc>
                <w:tcPr>
                  <w:tcW w:w="1814" w:type="dxa"/>
                </w:tcPr>
                <w:p w14:paraId="78E90EDB" w14:textId="64B850E4" w:rsidR="00A43090" w:rsidRDefault="00C839F9"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sz w:val="18"/>
                      <w:szCs w:val="18"/>
                    </w:rPr>
                    <w:t>800,000</w:t>
                  </w:r>
                </w:p>
              </w:tc>
            </w:tr>
            <w:tr w:rsidR="00A43090" w14:paraId="614927F8" w14:textId="77777777" w:rsidTr="004C6A20">
              <w:tc>
                <w:tcPr>
                  <w:tcW w:w="1977" w:type="dxa"/>
                </w:tcPr>
                <w:p w14:paraId="34C89C63" w14:textId="63840954" w:rsidR="00A43090" w:rsidRDefault="00A43090" w:rsidP="00170424">
                  <w:pPr>
                    <w:pStyle w:val="TableParagraph"/>
                    <w:framePr w:hSpace="180" w:wrap="around" w:vAnchor="text" w:hAnchor="text" w:y="1"/>
                    <w:kinsoku w:val="0"/>
                    <w:overflowPunct w:val="0"/>
                    <w:spacing w:after="120" w:line="238" w:lineRule="auto"/>
                    <w:ind w:right="91"/>
                    <w:suppressOverlap/>
                    <w:rPr>
                      <w:color w:val="020303"/>
                      <w:sz w:val="18"/>
                      <w:szCs w:val="18"/>
                    </w:rPr>
                  </w:pPr>
                  <w:r>
                    <w:rPr>
                      <w:color w:val="020303"/>
                      <w:sz w:val="18"/>
                      <w:szCs w:val="18"/>
                    </w:rPr>
                    <w:t>Labrador Acquisition</w:t>
                  </w:r>
                </w:p>
              </w:tc>
              <w:tc>
                <w:tcPr>
                  <w:tcW w:w="1814" w:type="dxa"/>
                </w:tcPr>
                <w:p w14:paraId="0F2444A8" w14:textId="4118D070"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sidRPr="00742C76">
                    <w:rPr>
                      <w:sz w:val="18"/>
                      <w:szCs w:val="18"/>
                    </w:rPr>
                    <w:t>10,089,199</w:t>
                  </w:r>
                </w:p>
              </w:tc>
              <w:tc>
                <w:tcPr>
                  <w:tcW w:w="1814" w:type="dxa"/>
                </w:tcPr>
                <w:p w14:paraId="7D6A8777" w14:textId="70012EED"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color w:val="020303"/>
                      <w:sz w:val="18"/>
                      <w:szCs w:val="18"/>
                    </w:rPr>
                    <w:t>N/A</w:t>
                  </w:r>
                </w:p>
              </w:tc>
              <w:tc>
                <w:tcPr>
                  <w:tcW w:w="1814" w:type="dxa"/>
                </w:tcPr>
                <w:p w14:paraId="7ADBE766" w14:textId="78723CEB"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sz w:val="18"/>
                      <w:szCs w:val="18"/>
                    </w:rPr>
                    <w:t>N/A</w:t>
                  </w:r>
                </w:p>
              </w:tc>
            </w:tr>
            <w:tr w:rsidR="00A43090" w14:paraId="086DD622" w14:textId="77777777" w:rsidTr="004C6A20">
              <w:tc>
                <w:tcPr>
                  <w:tcW w:w="1977" w:type="dxa"/>
                </w:tcPr>
                <w:p w14:paraId="5EF07113" w14:textId="3813D525" w:rsidR="00A43090" w:rsidRDefault="00A43090" w:rsidP="00170424">
                  <w:pPr>
                    <w:pStyle w:val="TableParagraph"/>
                    <w:framePr w:hSpace="180" w:wrap="around" w:vAnchor="text" w:hAnchor="text" w:y="1"/>
                    <w:kinsoku w:val="0"/>
                    <w:overflowPunct w:val="0"/>
                    <w:spacing w:after="120" w:line="238" w:lineRule="auto"/>
                    <w:ind w:right="91"/>
                    <w:suppressOverlap/>
                    <w:rPr>
                      <w:color w:val="020303"/>
                      <w:sz w:val="18"/>
                      <w:szCs w:val="18"/>
                    </w:rPr>
                  </w:pPr>
                </w:p>
              </w:tc>
              <w:tc>
                <w:tcPr>
                  <w:tcW w:w="1814" w:type="dxa"/>
                </w:tcPr>
                <w:p w14:paraId="492ED5D8" w14:textId="1E84F5B8" w:rsidR="00A43090" w:rsidRDefault="00C839F9"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Pr>
                      <w:b/>
                      <w:bCs/>
                      <w:sz w:val="18"/>
                      <w:szCs w:val="18"/>
                      <w:u w:val="single"/>
                    </w:rPr>
                    <w:t>18,089,199</w:t>
                  </w:r>
                </w:p>
              </w:tc>
              <w:tc>
                <w:tcPr>
                  <w:tcW w:w="1814" w:type="dxa"/>
                </w:tcPr>
                <w:p w14:paraId="24CEA78C" w14:textId="4CDD88C3"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sidRPr="005D34E6">
                    <w:rPr>
                      <w:b/>
                      <w:bCs/>
                      <w:color w:val="020303"/>
                      <w:sz w:val="18"/>
                      <w:szCs w:val="18"/>
                      <w:u w:val="single"/>
                    </w:rPr>
                    <w:t>£</w:t>
                  </w:r>
                  <w:r w:rsidR="00C839F9">
                    <w:rPr>
                      <w:b/>
                      <w:bCs/>
                      <w:sz w:val="18"/>
                      <w:szCs w:val="18"/>
                      <w:u w:val="single"/>
                    </w:rPr>
                    <w:t>800,000</w:t>
                  </w:r>
                </w:p>
              </w:tc>
              <w:tc>
                <w:tcPr>
                  <w:tcW w:w="1814" w:type="dxa"/>
                </w:tcPr>
                <w:p w14:paraId="26FE64CD" w14:textId="22626A22" w:rsidR="00A43090" w:rsidRDefault="00A43090" w:rsidP="00170424">
                  <w:pPr>
                    <w:pStyle w:val="TableParagraph"/>
                    <w:framePr w:hSpace="180" w:wrap="around" w:vAnchor="text" w:hAnchor="text" w:y="1"/>
                    <w:kinsoku w:val="0"/>
                    <w:overflowPunct w:val="0"/>
                    <w:spacing w:after="120" w:line="238" w:lineRule="auto"/>
                    <w:ind w:right="91"/>
                    <w:suppressOverlap/>
                    <w:jc w:val="center"/>
                    <w:rPr>
                      <w:color w:val="020303"/>
                      <w:sz w:val="18"/>
                      <w:szCs w:val="18"/>
                    </w:rPr>
                  </w:pPr>
                  <w:r w:rsidRPr="005D34E6">
                    <w:rPr>
                      <w:b/>
                      <w:bCs/>
                      <w:color w:val="020303"/>
                      <w:sz w:val="18"/>
                      <w:szCs w:val="18"/>
                      <w:u w:val="single"/>
                    </w:rPr>
                    <w:t>£</w:t>
                  </w:r>
                  <w:r w:rsidR="009416BF">
                    <w:rPr>
                      <w:b/>
                      <w:bCs/>
                      <w:sz w:val="18"/>
                      <w:szCs w:val="18"/>
                      <w:u w:val="single"/>
                    </w:rPr>
                    <w:t>800,000</w:t>
                  </w:r>
                </w:p>
              </w:tc>
            </w:tr>
          </w:tbl>
          <w:p w14:paraId="4C9EC9A4" w14:textId="36938ABC" w:rsidR="00A43090" w:rsidRDefault="00A43090" w:rsidP="0047572B">
            <w:pPr>
              <w:pStyle w:val="TableParagraph"/>
              <w:kinsoku w:val="0"/>
              <w:overflowPunct w:val="0"/>
              <w:spacing w:line="237" w:lineRule="auto"/>
              <w:ind w:left="108" w:right="88"/>
              <w:jc w:val="both"/>
              <w:rPr>
                <w:color w:val="020303"/>
                <w:sz w:val="18"/>
                <w:szCs w:val="18"/>
              </w:rPr>
            </w:pPr>
          </w:p>
          <w:p w14:paraId="4553D4A0" w14:textId="77777777" w:rsidR="0031766D" w:rsidRDefault="0031766D" w:rsidP="0047572B">
            <w:pPr>
              <w:pStyle w:val="TableParagraph"/>
              <w:kinsoku w:val="0"/>
              <w:overflowPunct w:val="0"/>
              <w:ind w:left="108" w:right="89"/>
              <w:jc w:val="both"/>
              <w:rPr>
                <w:color w:val="020303"/>
                <w:sz w:val="18"/>
                <w:szCs w:val="18"/>
              </w:rPr>
            </w:pPr>
            <w:r>
              <w:rPr>
                <w:color w:val="020303"/>
                <w:sz w:val="18"/>
                <w:szCs w:val="18"/>
              </w:rPr>
              <w:t xml:space="preserve">The Investors have irrevocably agreed to subscribe for the Placing Shares subject to and conditional upon the Admission Condition. </w:t>
            </w:r>
            <w:proofErr w:type="gramStart"/>
            <w:r>
              <w:rPr>
                <w:color w:val="020303"/>
                <w:sz w:val="18"/>
                <w:szCs w:val="18"/>
              </w:rPr>
              <w:t>In the event that</w:t>
            </w:r>
            <w:proofErr w:type="gramEnd"/>
            <w:r>
              <w:rPr>
                <w:color w:val="020303"/>
                <w:sz w:val="18"/>
                <w:szCs w:val="18"/>
              </w:rPr>
              <w:t xml:space="preserve"> these conditions are not satisfied or waived (where capable of waiver), the Placing will be revoked and will not proceed. In such circumstances, application monies will be returned without payment of interest, as soon as practicable thereafter, to investors participating in the Placing. The Placing Shares issued pursuant to the Placing and the Labrador Consideration Shares issued pursuant to the Labrador Acquisition shall rank </w:t>
            </w:r>
            <w:proofErr w:type="spellStart"/>
            <w:r>
              <w:rPr>
                <w:color w:val="020303"/>
                <w:sz w:val="18"/>
                <w:szCs w:val="18"/>
              </w:rPr>
              <w:t>pari</w:t>
            </w:r>
            <w:proofErr w:type="spellEnd"/>
            <w:r>
              <w:rPr>
                <w:color w:val="020303"/>
                <w:sz w:val="18"/>
                <w:szCs w:val="18"/>
              </w:rPr>
              <w:t xml:space="preserve"> passu with all Existing Ordinary</w:t>
            </w:r>
            <w:r>
              <w:rPr>
                <w:color w:val="020303"/>
                <w:spacing w:val="-22"/>
                <w:sz w:val="18"/>
                <w:szCs w:val="18"/>
              </w:rPr>
              <w:t xml:space="preserve"> </w:t>
            </w:r>
            <w:r>
              <w:rPr>
                <w:color w:val="020303"/>
                <w:sz w:val="18"/>
                <w:szCs w:val="18"/>
              </w:rPr>
              <w:t>Shares.</w:t>
            </w:r>
          </w:p>
        </w:tc>
      </w:tr>
      <w:tr w:rsidR="0031766D" w14:paraId="37421646" w14:textId="77777777" w:rsidTr="0047572B">
        <w:trPr>
          <w:trHeight w:val="1684"/>
        </w:trPr>
        <w:tc>
          <w:tcPr>
            <w:tcW w:w="1395" w:type="dxa"/>
            <w:tcBorders>
              <w:top w:val="single" w:sz="4" w:space="0" w:color="231F20"/>
              <w:left w:val="single" w:sz="4" w:space="0" w:color="231F20"/>
              <w:bottom w:val="single" w:sz="4" w:space="0" w:color="231F20"/>
              <w:right w:val="single" w:sz="4" w:space="0" w:color="231F20"/>
            </w:tcBorders>
          </w:tcPr>
          <w:p w14:paraId="6F171AEF" w14:textId="77777777" w:rsidR="0031766D" w:rsidRDefault="0031766D" w:rsidP="0047572B">
            <w:pPr>
              <w:pStyle w:val="TableParagraph"/>
              <w:kinsoku w:val="0"/>
              <w:overflowPunct w:val="0"/>
              <w:ind w:left="107" w:right="466"/>
              <w:rPr>
                <w:color w:val="050606"/>
                <w:sz w:val="18"/>
                <w:szCs w:val="18"/>
              </w:rPr>
            </w:pPr>
            <w:r>
              <w:rPr>
                <w:color w:val="050606"/>
                <w:sz w:val="18"/>
                <w:szCs w:val="18"/>
              </w:rPr>
              <w:lastRenderedPageBreak/>
              <w:t>Expected Timetable</w:t>
            </w:r>
          </w:p>
        </w:tc>
        <w:tc>
          <w:tcPr>
            <w:tcW w:w="7956" w:type="dxa"/>
            <w:tcBorders>
              <w:top w:val="single" w:sz="4" w:space="0" w:color="231F20"/>
              <w:left w:val="single" w:sz="4" w:space="0" w:color="231F20"/>
              <w:bottom w:val="single" w:sz="4" w:space="0" w:color="231F20"/>
              <w:right w:val="single" w:sz="4" w:space="0" w:color="231F20"/>
            </w:tcBorders>
          </w:tcPr>
          <w:p w14:paraId="647122A8" w14:textId="77777777" w:rsidR="0031766D" w:rsidRDefault="0031766D" w:rsidP="0047572B">
            <w:pPr>
              <w:pStyle w:val="TableParagraph"/>
              <w:kinsoku w:val="0"/>
              <w:overflowPunct w:val="0"/>
              <w:spacing w:line="201" w:lineRule="exact"/>
              <w:ind w:left="141"/>
              <w:rPr>
                <w:b/>
                <w:bCs/>
                <w:color w:val="231F20"/>
                <w:sz w:val="18"/>
                <w:szCs w:val="18"/>
              </w:rPr>
            </w:pPr>
            <w:r>
              <w:rPr>
                <w:b/>
                <w:bCs/>
                <w:color w:val="231F20"/>
                <w:sz w:val="18"/>
                <w:szCs w:val="18"/>
                <w:u w:val="single"/>
              </w:rPr>
              <w:t>Expected Timetable</w:t>
            </w:r>
          </w:p>
          <w:p w14:paraId="634B6D28" w14:textId="29E6CD7E" w:rsidR="0031766D" w:rsidRDefault="0031766D" w:rsidP="0047572B">
            <w:pPr>
              <w:pStyle w:val="TableParagraph"/>
              <w:tabs>
                <w:tab w:val="left" w:pos="5986"/>
              </w:tabs>
              <w:kinsoku w:val="0"/>
              <w:overflowPunct w:val="0"/>
              <w:spacing w:before="141"/>
              <w:ind w:left="199"/>
              <w:rPr>
                <w:color w:val="231F20"/>
                <w:sz w:val="18"/>
                <w:szCs w:val="18"/>
              </w:rPr>
            </w:pPr>
            <w:r>
              <w:rPr>
                <w:color w:val="231F20"/>
                <w:sz w:val="18"/>
                <w:szCs w:val="18"/>
              </w:rPr>
              <w:t>Publication of</w:t>
            </w:r>
            <w:r>
              <w:rPr>
                <w:color w:val="231F20"/>
                <w:spacing w:val="-6"/>
                <w:sz w:val="18"/>
                <w:szCs w:val="18"/>
              </w:rPr>
              <w:t xml:space="preserve"> </w:t>
            </w:r>
            <w:r>
              <w:rPr>
                <w:color w:val="231F20"/>
                <w:sz w:val="18"/>
                <w:szCs w:val="18"/>
              </w:rPr>
              <w:t>this</w:t>
            </w:r>
            <w:r>
              <w:rPr>
                <w:color w:val="231F20"/>
                <w:spacing w:val="-1"/>
                <w:sz w:val="18"/>
                <w:szCs w:val="18"/>
              </w:rPr>
              <w:t xml:space="preserve"> </w:t>
            </w:r>
            <w:r>
              <w:rPr>
                <w:color w:val="231F20"/>
                <w:sz w:val="18"/>
                <w:szCs w:val="18"/>
              </w:rPr>
              <w:t>Document</w:t>
            </w:r>
            <w:r>
              <w:rPr>
                <w:color w:val="231F20"/>
                <w:sz w:val="18"/>
                <w:szCs w:val="18"/>
              </w:rPr>
              <w:tab/>
              <w:t xml:space="preserve">       </w:t>
            </w:r>
            <w:r w:rsidR="00002F84">
              <w:rPr>
                <w:sz w:val="18"/>
                <w:szCs w:val="18"/>
              </w:rPr>
              <w:t>7</w:t>
            </w:r>
            <w:r w:rsidR="00F21AAA">
              <w:rPr>
                <w:sz w:val="18"/>
                <w:szCs w:val="18"/>
              </w:rPr>
              <w:t xml:space="preserve"> </w:t>
            </w:r>
            <w:r w:rsidR="00002F84">
              <w:rPr>
                <w:sz w:val="18"/>
                <w:szCs w:val="18"/>
              </w:rPr>
              <w:t xml:space="preserve">July </w:t>
            </w:r>
            <w:r>
              <w:rPr>
                <w:sz w:val="18"/>
                <w:szCs w:val="18"/>
              </w:rPr>
              <w:t>2021</w:t>
            </w:r>
          </w:p>
          <w:p w14:paraId="5D720686" w14:textId="65237493" w:rsidR="004D0076" w:rsidRDefault="004D0076" w:rsidP="0047572B">
            <w:pPr>
              <w:pStyle w:val="TableParagraph"/>
              <w:tabs>
                <w:tab w:val="left" w:pos="5986"/>
              </w:tabs>
              <w:kinsoku w:val="0"/>
              <w:overflowPunct w:val="0"/>
              <w:spacing w:before="141"/>
              <w:ind w:left="199"/>
              <w:rPr>
                <w:color w:val="231F20"/>
                <w:sz w:val="18"/>
                <w:szCs w:val="18"/>
              </w:rPr>
            </w:pPr>
            <w:r>
              <w:rPr>
                <w:color w:val="231F20"/>
                <w:sz w:val="18"/>
                <w:szCs w:val="18"/>
              </w:rPr>
              <w:t xml:space="preserve">Completion of Labrador Acquisition                                                                   </w:t>
            </w:r>
            <w:r w:rsidR="00F32CD2">
              <w:rPr>
                <w:sz w:val="18"/>
                <w:szCs w:val="18"/>
              </w:rPr>
              <w:t>12 July</w:t>
            </w:r>
            <w:r>
              <w:rPr>
                <w:sz w:val="18"/>
                <w:szCs w:val="18"/>
              </w:rPr>
              <w:t xml:space="preserve"> 2021</w:t>
            </w:r>
          </w:p>
          <w:p w14:paraId="5FA78779" w14:textId="47E69312" w:rsidR="0031766D" w:rsidRDefault="0031766D" w:rsidP="0047572B">
            <w:pPr>
              <w:pStyle w:val="TableParagraph"/>
              <w:tabs>
                <w:tab w:val="left" w:pos="4837"/>
              </w:tabs>
              <w:kinsoku w:val="0"/>
              <w:overflowPunct w:val="0"/>
              <w:spacing w:before="121"/>
              <w:ind w:left="199" w:right="186"/>
              <w:rPr>
                <w:color w:val="231F20"/>
                <w:sz w:val="18"/>
                <w:szCs w:val="18"/>
              </w:rPr>
            </w:pPr>
            <w:r>
              <w:rPr>
                <w:color w:val="231F20"/>
                <w:sz w:val="18"/>
                <w:szCs w:val="18"/>
              </w:rPr>
              <w:t>Admission and commencement of</w:t>
            </w:r>
            <w:r>
              <w:rPr>
                <w:color w:val="231F20"/>
                <w:spacing w:val="-11"/>
                <w:sz w:val="18"/>
                <w:szCs w:val="18"/>
              </w:rPr>
              <w:t xml:space="preserve"> </w:t>
            </w:r>
            <w:r>
              <w:rPr>
                <w:color w:val="231F20"/>
                <w:sz w:val="18"/>
                <w:szCs w:val="18"/>
              </w:rPr>
              <w:t>dealings</w:t>
            </w:r>
            <w:r>
              <w:rPr>
                <w:color w:val="231F20"/>
                <w:spacing w:val="-1"/>
                <w:sz w:val="18"/>
                <w:szCs w:val="18"/>
              </w:rPr>
              <w:t xml:space="preserve"> </w:t>
            </w:r>
            <w:r>
              <w:rPr>
                <w:color w:val="231F20"/>
                <w:sz w:val="18"/>
                <w:szCs w:val="18"/>
              </w:rPr>
              <w:t>in</w:t>
            </w:r>
            <w:r>
              <w:rPr>
                <w:color w:val="231F20"/>
                <w:sz w:val="18"/>
                <w:szCs w:val="18"/>
              </w:rPr>
              <w:tab/>
              <w:t xml:space="preserve">         8.00 a.m. on </w:t>
            </w:r>
            <w:r w:rsidR="00F0017F">
              <w:rPr>
                <w:sz w:val="18"/>
                <w:szCs w:val="18"/>
              </w:rPr>
              <w:t>12 July</w:t>
            </w:r>
            <w:r>
              <w:rPr>
                <w:color w:val="231F20"/>
                <w:sz w:val="18"/>
                <w:szCs w:val="18"/>
              </w:rPr>
              <w:t xml:space="preserve"> 2021     Ordinary</w:t>
            </w:r>
            <w:r>
              <w:rPr>
                <w:color w:val="231F20"/>
                <w:spacing w:val="-2"/>
                <w:sz w:val="18"/>
                <w:szCs w:val="18"/>
              </w:rPr>
              <w:t xml:space="preserve"> </w:t>
            </w:r>
            <w:r>
              <w:rPr>
                <w:color w:val="231F20"/>
                <w:sz w:val="18"/>
                <w:szCs w:val="18"/>
              </w:rPr>
              <w:t>Shares</w:t>
            </w:r>
          </w:p>
          <w:p w14:paraId="39051508" w14:textId="1BC30EC6" w:rsidR="0031766D" w:rsidRDefault="0031766D" w:rsidP="0047572B">
            <w:pPr>
              <w:pStyle w:val="TableParagraph"/>
              <w:tabs>
                <w:tab w:val="left" w:pos="5885"/>
              </w:tabs>
              <w:kinsoku w:val="0"/>
              <w:overflowPunct w:val="0"/>
              <w:spacing w:before="119"/>
              <w:ind w:left="199"/>
              <w:rPr>
                <w:color w:val="231F20"/>
                <w:sz w:val="18"/>
                <w:szCs w:val="18"/>
              </w:rPr>
            </w:pPr>
            <w:r>
              <w:rPr>
                <w:color w:val="231F20"/>
                <w:sz w:val="18"/>
                <w:szCs w:val="18"/>
              </w:rPr>
              <w:t>Crediting of Ordinary Shares to</w:t>
            </w:r>
            <w:r>
              <w:rPr>
                <w:color w:val="231F20"/>
                <w:spacing w:val="-10"/>
                <w:sz w:val="18"/>
                <w:szCs w:val="18"/>
              </w:rPr>
              <w:t xml:space="preserve"> </w:t>
            </w:r>
            <w:r>
              <w:rPr>
                <w:color w:val="231F20"/>
                <w:sz w:val="18"/>
                <w:szCs w:val="18"/>
              </w:rPr>
              <w:t>CREST</w:t>
            </w:r>
            <w:r>
              <w:rPr>
                <w:color w:val="231F20"/>
                <w:spacing w:val="-3"/>
                <w:sz w:val="18"/>
                <w:szCs w:val="18"/>
              </w:rPr>
              <w:t xml:space="preserve"> </w:t>
            </w:r>
            <w:r>
              <w:rPr>
                <w:color w:val="231F20"/>
                <w:sz w:val="18"/>
                <w:szCs w:val="18"/>
              </w:rPr>
              <w:t>Accounts</w:t>
            </w:r>
            <w:r>
              <w:rPr>
                <w:color w:val="231F20"/>
                <w:sz w:val="18"/>
                <w:szCs w:val="18"/>
              </w:rPr>
              <w:tab/>
              <w:t xml:space="preserve">     </w:t>
            </w:r>
            <w:r>
              <w:rPr>
                <w:sz w:val="18"/>
                <w:szCs w:val="18"/>
              </w:rPr>
              <w:t xml:space="preserve">    </w:t>
            </w:r>
            <w:r w:rsidR="007511A2">
              <w:rPr>
                <w:sz w:val="18"/>
                <w:szCs w:val="18"/>
              </w:rPr>
              <w:t>12 July</w:t>
            </w:r>
            <w:r>
              <w:rPr>
                <w:color w:val="231F20"/>
                <w:sz w:val="18"/>
                <w:szCs w:val="18"/>
              </w:rPr>
              <w:t xml:space="preserve"> 2021</w:t>
            </w:r>
          </w:p>
          <w:p w14:paraId="1304B936" w14:textId="03A0E240" w:rsidR="0031766D" w:rsidRDefault="0031766D" w:rsidP="0047572B">
            <w:pPr>
              <w:pStyle w:val="TableParagraph"/>
              <w:tabs>
                <w:tab w:val="left" w:pos="5631"/>
              </w:tabs>
              <w:kinsoku w:val="0"/>
              <w:overflowPunct w:val="0"/>
              <w:spacing w:before="120"/>
              <w:ind w:left="6133" w:right="187" w:hanging="5935"/>
              <w:rPr>
                <w:color w:val="231F20"/>
                <w:sz w:val="18"/>
                <w:szCs w:val="18"/>
              </w:rPr>
            </w:pPr>
            <w:r>
              <w:rPr>
                <w:color w:val="231F20"/>
                <w:sz w:val="18"/>
                <w:szCs w:val="18"/>
              </w:rPr>
              <w:t>Ordinary Share</w:t>
            </w:r>
            <w:r>
              <w:rPr>
                <w:color w:val="231F20"/>
                <w:spacing w:val="-8"/>
                <w:sz w:val="18"/>
                <w:szCs w:val="18"/>
              </w:rPr>
              <w:t xml:space="preserve"> </w:t>
            </w:r>
            <w:r>
              <w:rPr>
                <w:color w:val="231F20"/>
                <w:sz w:val="18"/>
                <w:szCs w:val="18"/>
              </w:rPr>
              <w:t>Certificates</w:t>
            </w:r>
            <w:r>
              <w:rPr>
                <w:color w:val="231F20"/>
                <w:spacing w:val="-4"/>
                <w:sz w:val="18"/>
                <w:szCs w:val="18"/>
              </w:rPr>
              <w:t xml:space="preserve"> </w:t>
            </w:r>
            <w:r>
              <w:rPr>
                <w:color w:val="231F20"/>
                <w:sz w:val="18"/>
                <w:szCs w:val="18"/>
              </w:rPr>
              <w:t>dispatched                              Week</w:t>
            </w:r>
            <w:r>
              <w:rPr>
                <w:color w:val="231F20"/>
                <w:spacing w:val="-3"/>
                <w:sz w:val="18"/>
                <w:szCs w:val="18"/>
              </w:rPr>
              <w:t xml:space="preserve"> </w:t>
            </w:r>
            <w:r>
              <w:rPr>
                <w:color w:val="231F20"/>
                <w:sz w:val="18"/>
                <w:szCs w:val="18"/>
              </w:rPr>
              <w:t>commencing</w:t>
            </w:r>
            <w:r>
              <w:rPr>
                <w:color w:val="231F20"/>
                <w:spacing w:val="-4"/>
                <w:sz w:val="18"/>
                <w:szCs w:val="18"/>
              </w:rPr>
              <w:t xml:space="preserve"> </w:t>
            </w:r>
            <w:r w:rsidR="000C5E9B">
              <w:rPr>
                <w:sz w:val="18"/>
                <w:szCs w:val="18"/>
              </w:rPr>
              <w:t>12 July</w:t>
            </w:r>
            <w:r>
              <w:rPr>
                <w:color w:val="231F20"/>
                <w:sz w:val="18"/>
                <w:szCs w:val="18"/>
              </w:rPr>
              <w:t xml:space="preserve"> 2021</w:t>
            </w:r>
          </w:p>
        </w:tc>
      </w:tr>
      <w:tr w:rsidR="0031766D" w14:paraId="7E8EB829" w14:textId="77777777" w:rsidTr="0047572B">
        <w:trPr>
          <w:trHeight w:val="928"/>
        </w:trPr>
        <w:tc>
          <w:tcPr>
            <w:tcW w:w="1395" w:type="dxa"/>
            <w:tcBorders>
              <w:top w:val="single" w:sz="4" w:space="0" w:color="231F20"/>
              <w:left w:val="single" w:sz="4" w:space="0" w:color="231F20"/>
              <w:bottom w:val="single" w:sz="4" w:space="0" w:color="231F20"/>
              <w:right w:val="single" w:sz="4" w:space="0" w:color="auto"/>
            </w:tcBorders>
          </w:tcPr>
          <w:p w14:paraId="7D5D441B" w14:textId="53DD9498" w:rsidR="0031766D" w:rsidRDefault="0031766D" w:rsidP="0047572B">
            <w:pPr>
              <w:pStyle w:val="TableParagraph"/>
              <w:tabs>
                <w:tab w:val="left" w:pos="988"/>
              </w:tabs>
              <w:kinsoku w:val="0"/>
              <w:overflowPunct w:val="0"/>
              <w:ind w:left="107" w:right="94"/>
              <w:rPr>
                <w:color w:val="050606"/>
                <w:sz w:val="18"/>
                <w:szCs w:val="18"/>
              </w:rPr>
            </w:pPr>
            <w:r>
              <w:rPr>
                <w:color w:val="050606"/>
                <w:sz w:val="18"/>
                <w:szCs w:val="18"/>
              </w:rPr>
              <w:t>Costs</w:t>
            </w:r>
            <w:r w:rsidR="004C6A20">
              <w:rPr>
                <w:color w:val="050606"/>
                <w:sz w:val="18"/>
                <w:szCs w:val="18"/>
              </w:rPr>
              <w:t xml:space="preserve"> </w:t>
            </w:r>
            <w:r>
              <w:rPr>
                <w:color w:val="050606"/>
                <w:spacing w:val="-7"/>
                <w:sz w:val="18"/>
                <w:szCs w:val="18"/>
              </w:rPr>
              <w:t xml:space="preserve">and </w:t>
            </w:r>
            <w:r>
              <w:rPr>
                <w:color w:val="050606"/>
                <w:sz w:val="18"/>
                <w:szCs w:val="18"/>
              </w:rPr>
              <w:t>Expenses</w:t>
            </w:r>
          </w:p>
        </w:tc>
        <w:tc>
          <w:tcPr>
            <w:tcW w:w="7956" w:type="dxa"/>
            <w:tcBorders>
              <w:top w:val="single" w:sz="4" w:space="0" w:color="231F20"/>
              <w:left w:val="single" w:sz="4" w:space="0" w:color="auto"/>
              <w:bottom w:val="none" w:sz="6" w:space="0" w:color="auto"/>
              <w:right w:val="single" w:sz="4" w:space="0" w:color="231F20"/>
            </w:tcBorders>
          </w:tcPr>
          <w:p w14:paraId="7E0AC75A" w14:textId="2D33994E" w:rsidR="0031766D" w:rsidRPr="00566CD0" w:rsidRDefault="0031766D" w:rsidP="0047572B">
            <w:pPr>
              <w:pStyle w:val="TableParagraph"/>
              <w:kinsoku w:val="0"/>
              <w:overflowPunct w:val="0"/>
              <w:ind w:left="108" w:right="79"/>
              <w:jc w:val="both"/>
              <w:rPr>
                <w:color w:val="020303"/>
                <w:sz w:val="18"/>
                <w:szCs w:val="18"/>
              </w:rPr>
            </w:pPr>
            <w:r>
              <w:rPr>
                <w:color w:val="020303"/>
                <w:sz w:val="18"/>
                <w:szCs w:val="18"/>
              </w:rPr>
              <w:t>The total co</w:t>
            </w:r>
            <w:r>
              <w:rPr>
                <w:color w:val="161618"/>
                <w:sz w:val="18"/>
                <w:szCs w:val="18"/>
              </w:rPr>
              <w:t>s</w:t>
            </w:r>
            <w:r>
              <w:rPr>
                <w:color w:val="020303"/>
                <w:sz w:val="18"/>
                <w:szCs w:val="18"/>
              </w:rPr>
              <w:t>t</w:t>
            </w:r>
            <w:r>
              <w:rPr>
                <w:color w:val="161618"/>
                <w:sz w:val="18"/>
                <w:szCs w:val="18"/>
              </w:rPr>
              <w:t xml:space="preserve">s </w:t>
            </w:r>
            <w:r>
              <w:rPr>
                <w:color w:val="020303"/>
                <w:sz w:val="18"/>
                <w:szCs w:val="18"/>
              </w:rPr>
              <w:t>(including fee</w:t>
            </w:r>
            <w:r>
              <w:rPr>
                <w:color w:val="161618"/>
                <w:sz w:val="18"/>
                <w:szCs w:val="18"/>
              </w:rPr>
              <w:t xml:space="preserve">s </w:t>
            </w:r>
            <w:r>
              <w:rPr>
                <w:color w:val="020303"/>
                <w:sz w:val="18"/>
                <w:szCs w:val="18"/>
              </w:rPr>
              <w:t xml:space="preserve">and </w:t>
            </w:r>
            <w:r>
              <w:rPr>
                <w:color w:val="161618"/>
                <w:sz w:val="18"/>
                <w:szCs w:val="18"/>
              </w:rPr>
              <w:t>c</w:t>
            </w:r>
            <w:r>
              <w:rPr>
                <w:color w:val="020303"/>
                <w:sz w:val="18"/>
                <w:szCs w:val="18"/>
              </w:rPr>
              <w:t>ommis</w:t>
            </w:r>
            <w:r>
              <w:rPr>
                <w:color w:val="161618"/>
                <w:sz w:val="18"/>
                <w:szCs w:val="18"/>
              </w:rPr>
              <w:t>s</w:t>
            </w:r>
            <w:r>
              <w:rPr>
                <w:color w:val="020303"/>
                <w:sz w:val="18"/>
                <w:szCs w:val="18"/>
              </w:rPr>
              <w:t>ion</w:t>
            </w:r>
            <w:r>
              <w:rPr>
                <w:color w:val="161618"/>
                <w:sz w:val="18"/>
                <w:szCs w:val="18"/>
              </w:rPr>
              <w:t>s</w:t>
            </w:r>
            <w:r>
              <w:rPr>
                <w:color w:val="020303"/>
                <w:sz w:val="18"/>
                <w:szCs w:val="18"/>
              </w:rPr>
              <w:t>) (</w:t>
            </w:r>
            <w:r>
              <w:rPr>
                <w:color w:val="161618"/>
                <w:sz w:val="18"/>
                <w:szCs w:val="18"/>
              </w:rPr>
              <w:t>exc</w:t>
            </w:r>
            <w:r>
              <w:rPr>
                <w:color w:val="020303"/>
                <w:sz w:val="18"/>
                <w:szCs w:val="18"/>
              </w:rPr>
              <w:t>lusive of VAT) p</w:t>
            </w:r>
            <w:r>
              <w:rPr>
                <w:color w:val="161618"/>
                <w:sz w:val="18"/>
                <w:szCs w:val="18"/>
              </w:rPr>
              <w:t>a</w:t>
            </w:r>
            <w:r>
              <w:rPr>
                <w:color w:val="020303"/>
                <w:sz w:val="18"/>
                <w:szCs w:val="18"/>
              </w:rPr>
              <w:t>yable by the Comp</w:t>
            </w:r>
            <w:r>
              <w:rPr>
                <w:color w:val="161618"/>
                <w:sz w:val="18"/>
                <w:szCs w:val="18"/>
              </w:rPr>
              <w:t>a</w:t>
            </w:r>
            <w:r>
              <w:rPr>
                <w:color w:val="020303"/>
                <w:sz w:val="18"/>
                <w:szCs w:val="18"/>
              </w:rPr>
              <w:t>ny in connection with the Placing</w:t>
            </w:r>
            <w:r w:rsidR="00423387">
              <w:rPr>
                <w:color w:val="020303"/>
                <w:sz w:val="18"/>
                <w:szCs w:val="18"/>
              </w:rPr>
              <w:t>, the Labrador Acquisition</w:t>
            </w:r>
            <w:r>
              <w:rPr>
                <w:color w:val="020303"/>
                <w:sz w:val="18"/>
                <w:szCs w:val="18"/>
              </w:rPr>
              <w:t xml:space="preserve"> an</w:t>
            </w:r>
            <w:r>
              <w:rPr>
                <w:color w:val="161618"/>
                <w:sz w:val="18"/>
                <w:szCs w:val="18"/>
              </w:rPr>
              <w:t xml:space="preserve">d </w:t>
            </w:r>
            <w:r>
              <w:rPr>
                <w:color w:val="020303"/>
                <w:sz w:val="18"/>
                <w:szCs w:val="18"/>
              </w:rPr>
              <w:t>Admi</w:t>
            </w:r>
            <w:r>
              <w:rPr>
                <w:color w:val="161618"/>
                <w:sz w:val="18"/>
                <w:szCs w:val="18"/>
              </w:rPr>
              <w:t>ss</w:t>
            </w:r>
            <w:r>
              <w:rPr>
                <w:color w:val="020303"/>
                <w:sz w:val="18"/>
                <w:szCs w:val="18"/>
              </w:rPr>
              <w:t>ion are estimated to amount to approximately £</w:t>
            </w:r>
            <w:r w:rsidR="008F069D">
              <w:rPr>
                <w:sz w:val="18"/>
                <w:szCs w:val="18"/>
              </w:rPr>
              <w:t>150,000</w:t>
            </w:r>
            <w:r>
              <w:rPr>
                <w:color w:val="020303"/>
                <w:sz w:val="18"/>
                <w:szCs w:val="18"/>
              </w:rPr>
              <w:t xml:space="preserve">. No expenses will be charged by the Company to </w:t>
            </w:r>
            <w:proofErr w:type="spellStart"/>
            <w:r>
              <w:rPr>
                <w:color w:val="020303"/>
                <w:sz w:val="18"/>
                <w:szCs w:val="18"/>
              </w:rPr>
              <w:t>Placees</w:t>
            </w:r>
            <w:proofErr w:type="spellEnd"/>
            <w:r>
              <w:rPr>
                <w:color w:val="020303"/>
                <w:sz w:val="18"/>
                <w:szCs w:val="18"/>
              </w:rPr>
              <w:t xml:space="preserve"> in connection with the Placing.</w:t>
            </w:r>
          </w:p>
        </w:tc>
      </w:tr>
      <w:tr w:rsidR="0031766D" w14:paraId="1F645246" w14:textId="77777777" w:rsidTr="0047572B">
        <w:trPr>
          <w:trHeight w:val="1157"/>
        </w:trPr>
        <w:tc>
          <w:tcPr>
            <w:tcW w:w="1395" w:type="dxa"/>
            <w:tcBorders>
              <w:top w:val="single" w:sz="4" w:space="0" w:color="231F20"/>
              <w:left w:val="single" w:sz="4" w:space="0" w:color="231F20"/>
              <w:bottom w:val="single" w:sz="4" w:space="0" w:color="231F20"/>
              <w:right w:val="single" w:sz="4" w:space="0" w:color="231F20"/>
            </w:tcBorders>
          </w:tcPr>
          <w:p w14:paraId="443BEF76" w14:textId="77777777" w:rsidR="0031766D" w:rsidRDefault="0031766D" w:rsidP="0047572B">
            <w:pPr>
              <w:pStyle w:val="TableParagraph"/>
              <w:kinsoku w:val="0"/>
              <w:overflowPunct w:val="0"/>
              <w:spacing w:line="206" w:lineRule="exact"/>
              <w:ind w:left="107"/>
              <w:rPr>
                <w:color w:val="050606"/>
                <w:sz w:val="18"/>
                <w:szCs w:val="18"/>
              </w:rPr>
            </w:pPr>
            <w:r>
              <w:rPr>
                <w:color w:val="050606"/>
                <w:sz w:val="18"/>
                <w:szCs w:val="18"/>
              </w:rPr>
              <w:t>Dilution</w:t>
            </w:r>
          </w:p>
        </w:tc>
        <w:tc>
          <w:tcPr>
            <w:tcW w:w="7956" w:type="dxa"/>
            <w:tcBorders>
              <w:top w:val="single" w:sz="4" w:space="0" w:color="231F20"/>
              <w:left w:val="single" w:sz="4" w:space="0" w:color="231F20"/>
              <w:bottom w:val="single" w:sz="4" w:space="0" w:color="231F20"/>
              <w:right w:val="single" w:sz="4" w:space="0" w:color="231F20"/>
            </w:tcBorders>
          </w:tcPr>
          <w:p w14:paraId="4A5E515E" w14:textId="10A4F613" w:rsidR="0031766D" w:rsidRDefault="0031766D" w:rsidP="0047572B">
            <w:pPr>
              <w:pStyle w:val="TableParagraph"/>
              <w:kinsoku w:val="0"/>
              <w:overflowPunct w:val="0"/>
              <w:ind w:left="108" w:right="79"/>
              <w:jc w:val="both"/>
              <w:rPr>
                <w:color w:val="231F20"/>
                <w:sz w:val="18"/>
                <w:szCs w:val="18"/>
              </w:rPr>
            </w:pPr>
            <w:r>
              <w:rPr>
                <w:color w:val="020303"/>
                <w:sz w:val="18"/>
                <w:szCs w:val="18"/>
              </w:rPr>
              <w:t>The issue of the Placing Shares and new Ordinary Shares in connection with the Labrador Acquisit</w:t>
            </w:r>
            <w:r w:rsidR="00423387">
              <w:rPr>
                <w:color w:val="020303"/>
                <w:sz w:val="18"/>
                <w:szCs w:val="18"/>
              </w:rPr>
              <w:t>i</w:t>
            </w:r>
            <w:r>
              <w:rPr>
                <w:color w:val="020303"/>
                <w:sz w:val="18"/>
                <w:szCs w:val="18"/>
              </w:rPr>
              <w:t>on will result in the E</w:t>
            </w:r>
            <w:r>
              <w:rPr>
                <w:color w:val="161618"/>
                <w:sz w:val="18"/>
                <w:szCs w:val="18"/>
              </w:rPr>
              <w:t>x</w:t>
            </w:r>
            <w:r>
              <w:rPr>
                <w:color w:val="020303"/>
                <w:sz w:val="18"/>
                <w:szCs w:val="18"/>
              </w:rPr>
              <w:t>isting Ordinary Shares b</w:t>
            </w:r>
            <w:r>
              <w:rPr>
                <w:color w:val="161618"/>
                <w:sz w:val="18"/>
                <w:szCs w:val="18"/>
              </w:rPr>
              <w:t>e</w:t>
            </w:r>
            <w:r>
              <w:rPr>
                <w:color w:val="020303"/>
                <w:sz w:val="18"/>
                <w:szCs w:val="18"/>
              </w:rPr>
              <w:t xml:space="preserve">ing diluted </w:t>
            </w:r>
            <w:proofErr w:type="gramStart"/>
            <w:r>
              <w:rPr>
                <w:color w:val="020303"/>
                <w:sz w:val="18"/>
                <w:szCs w:val="18"/>
              </w:rPr>
              <w:t>so a</w:t>
            </w:r>
            <w:r>
              <w:rPr>
                <w:color w:val="161618"/>
                <w:sz w:val="18"/>
                <w:szCs w:val="18"/>
              </w:rPr>
              <w:t xml:space="preserve">s </w:t>
            </w:r>
            <w:r>
              <w:rPr>
                <w:color w:val="020303"/>
                <w:sz w:val="18"/>
                <w:szCs w:val="18"/>
              </w:rPr>
              <w:t>to</w:t>
            </w:r>
            <w:proofErr w:type="gramEnd"/>
            <w:r>
              <w:rPr>
                <w:color w:val="020303"/>
                <w:sz w:val="18"/>
                <w:szCs w:val="18"/>
              </w:rPr>
              <w:t xml:space="preserve"> constitute approximately </w:t>
            </w:r>
            <w:r w:rsidR="002F1CF9">
              <w:rPr>
                <w:sz w:val="18"/>
                <w:szCs w:val="18"/>
              </w:rPr>
              <w:t>15.</w:t>
            </w:r>
            <w:r w:rsidR="00A30595">
              <w:rPr>
                <w:sz w:val="18"/>
                <w:szCs w:val="18"/>
              </w:rPr>
              <w:t>07</w:t>
            </w:r>
            <w:r>
              <w:rPr>
                <w:sz w:val="18"/>
                <w:szCs w:val="18"/>
              </w:rPr>
              <w:t xml:space="preserve"> </w:t>
            </w:r>
            <w:r>
              <w:rPr>
                <w:color w:val="020303"/>
                <w:sz w:val="18"/>
                <w:szCs w:val="18"/>
              </w:rPr>
              <w:t>per cent</w:t>
            </w:r>
            <w:r>
              <w:rPr>
                <w:color w:val="231F20"/>
                <w:sz w:val="18"/>
                <w:szCs w:val="18"/>
              </w:rPr>
              <w:t xml:space="preserve">. </w:t>
            </w:r>
            <w:r>
              <w:rPr>
                <w:color w:val="020303"/>
                <w:sz w:val="18"/>
                <w:szCs w:val="18"/>
              </w:rPr>
              <w:t>of the Enl</w:t>
            </w:r>
            <w:r>
              <w:rPr>
                <w:color w:val="161618"/>
                <w:sz w:val="18"/>
                <w:szCs w:val="18"/>
              </w:rPr>
              <w:t>a</w:t>
            </w:r>
            <w:r>
              <w:rPr>
                <w:color w:val="020303"/>
                <w:sz w:val="18"/>
                <w:szCs w:val="18"/>
              </w:rPr>
              <w:t>rged Ordinary Share Capital</w:t>
            </w:r>
            <w:r w:rsidR="004D0076">
              <w:rPr>
                <w:color w:val="020303"/>
                <w:sz w:val="18"/>
                <w:szCs w:val="18"/>
              </w:rPr>
              <w:t xml:space="preserve"> and </w:t>
            </w:r>
            <w:r w:rsidR="0088400B">
              <w:rPr>
                <w:color w:val="020303"/>
                <w:sz w:val="18"/>
                <w:szCs w:val="18"/>
              </w:rPr>
              <w:t>22.</w:t>
            </w:r>
            <w:r w:rsidR="00874A66">
              <w:rPr>
                <w:color w:val="020303"/>
                <w:sz w:val="18"/>
                <w:szCs w:val="18"/>
              </w:rPr>
              <w:t>26</w:t>
            </w:r>
            <w:r w:rsidR="004D0076">
              <w:rPr>
                <w:sz w:val="18"/>
                <w:szCs w:val="18"/>
              </w:rPr>
              <w:t xml:space="preserve"> </w:t>
            </w:r>
            <w:r w:rsidR="004D0076">
              <w:rPr>
                <w:color w:val="020303"/>
                <w:sz w:val="18"/>
                <w:szCs w:val="18"/>
              </w:rPr>
              <w:t>per cent</w:t>
            </w:r>
            <w:r w:rsidR="004D0076">
              <w:rPr>
                <w:color w:val="231F20"/>
                <w:sz w:val="18"/>
                <w:szCs w:val="18"/>
              </w:rPr>
              <w:t xml:space="preserve">. </w:t>
            </w:r>
            <w:r w:rsidR="004D0076">
              <w:rPr>
                <w:color w:val="020303"/>
                <w:sz w:val="18"/>
                <w:szCs w:val="18"/>
              </w:rPr>
              <w:t>of the issued enlarged ordinary share capital assuming full exercise of the Labrador Consideration Warrants but no exercise of any other Warrants or Options</w:t>
            </w:r>
            <w:r w:rsidR="004C6A20">
              <w:rPr>
                <w:color w:val="231F20"/>
                <w:sz w:val="18"/>
                <w:szCs w:val="18"/>
              </w:rPr>
              <w:t>.</w:t>
            </w:r>
          </w:p>
        </w:tc>
      </w:tr>
      <w:tr w:rsidR="0031766D" w14:paraId="4CB63227" w14:textId="77777777" w:rsidTr="0047572B">
        <w:trPr>
          <w:trHeight w:val="445"/>
        </w:trPr>
        <w:tc>
          <w:tcPr>
            <w:tcW w:w="9351" w:type="dxa"/>
            <w:gridSpan w:val="2"/>
            <w:tcBorders>
              <w:top w:val="single" w:sz="4" w:space="0" w:color="231F20"/>
              <w:left w:val="single" w:sz="4" w:space="0" w:color="231F20"/>
              <w:bottom w:val="single" w:sz="4" w:space="0" w:color="231F20"/>
              <w:right w:val="single" w:sz="4" w:space="0" w:color="231F20"/>
            </w:tcBorders>
            <w:shd w:val="clear" w:color="auto" w:fill="BEC0C2"/>
          </w:tcPr>
          <w:p w14:paraId="66B51A13" w14:textId="77777777" w:rsidR="0031766D" w:rsidRDefault="0031766D" w:rsidP="0047572B">
            <w:pPr>
              <w:pStyle w:val="TableParagraph"/>
              <w:kinsoku w:val="0"/>
              <w:overflowPunct w:val="0"/>
              <w:spacing w:line="201" w:lineRule="exact"/>
              <w:ind w:left="1630" w:right="1615"/>
              <w:jc w:val="center"/>
              <w:rPr>
                <w:b/>
                <w:bCs/>
                <w:color w:val="231F20"/>
                <w:sz w:val="18"/>
                <w:szCs w:val="18"/>
              </w:rPr>
            </w:pPr>
            <w:r>
              <w:rPr>
                <w:b/>
                <w:bCs/>
                <w:color w:val="231F20"/>
                <w:sz w:val="18"/>
                <w:szCs w:val="18"/>
              </w:rPr>
              <w:t>Why is this prospectus being produced?</w:t>
            </w:r>
          </w:p>
        </w:tc>
      </w:tr>
      <w:tr w:rsidR="0031766D" w14:paraId="730756DD" w14:textId="77777777" w:rsidTr="0047572B">
        <w:trPr>
          <w:trHeight w:val="886"/>
        </w:trPr>
        <w:tc>
          <w:tcPr>
            <w:tcW w:w="1395" w:type="dxa"/>
            <w:tcBorders>
              <w:top w:val="single" w:sz="4" w:space="0" w:color="231F20"/>
              <w:left w:val="single" w:sz="4" w:space="0" w:color="231F20"/>
              <w:bottom w:val="none" w:sz="6" w:space="0" w:color="auto"/>
              <w:right w:val="single" w:sz="4" w:space="0" w:color="231F20"/>
            </w:tcBorders>
          </w:tcPr>
          <w:p w14:paraId="04AEE78D" w14:textId="77777777" w:rsidR="0031766D" w:rsidRDefault="0031766D" w:rsidP="0047572B">
            <w:pPr>
              <w:pStyle w:val="TableParagraph"/>
              <w:kinsoku w:val="0"/>
              <w:overflowPunct w:val="0"/>
              <w:ind w:left="107" w:right="106"/>
              <w:rPr>
                <w:color w:val="050606"/>
                <w:sz w:val="18"/>
                <w:szCs w:val="18"/>
              </w:rPr>
            </w:pPr>
            <w:r>
              <w:rPr>
                <w:color w:val="050606"/>
                <w:sz w:val="18"/>
                <w:szCs w:val="18"/>
              </w:rPr>
              <w:t>Reasons for Placing and estimated proceeds</w:t>
            </w:r>
          </w:p>
        </w:tc>
        <w:tc>
          <w:tcPr>
            <w:tcW w:w="7956" w:type="dxa"/>
            <w:tcBorders>
              <w:top w:val="single" w:sz="4" w:space="0" w:color="231F20"/>
              <w:left w:val="single" w:sz="4" w:space="0" w:color="231F20"/>
              <w:bottom w:val="none" w:sz="6" w:space="0" w:color="auto"/>
              <w:right w:val="single" w:sz="4" w:space="0" w:color="231F20"/>
            </w:tcBorders>
          </w:tcPr>
          <w:p w14:paraId="2166779C" w14:textId="164E0224" w:rsidR="004C6A20" w:rsidRDefault="0031766D" w:rsidP="0047572B">
            <w:pPr>
              <w:pStyle w:val="TableParagraph"/>
              <w:kinsoku w:val="0"/>
              <w:overflowPunct w:val="0"/>
              <w:spacing w:line="259" w:lineRule="auto"/>
              <w:ind w:left="108" w:right="89"/>
              <w:jc w:val="both"/>
              <w:rPr>
                <w:color w:val="231F20"/>
                <w:sz w:val="18"/>
                <w:szCs w:val="18"/>
              </w:rPr>
            </w:pPr>
            <w:r>
              <w:rPr>
                <w:color w:val="231F20"/>
                <w:sz w:val="18"/>
                <w:szCs w:val="18"/>
              </w:rPr>
              <w:t>The</w:t>
            </w:r>
            <w:r>
              <w:rPr>
                <w:color w:val="231F20"/>
                <w:spacing w:val="-12"/>
                <w:sz w:val="18"/>
                <w:szCs w:val="18"/>
              </w:rPr>
              <w:t xml:space="preserve"> </w:t>
            </w:r>
            <w:r>
              <w:rPr>
                <w:color w:val="231F20"/>
                <w:sz w:val="18"/>
                <w:szCs w:val="18"/>
              </w:rPr>
              <w:t>Company</w:t>
            </w:r>
            <w:r>
              <w:rPr>
                <w:color w:val="231F20"/>
                <w:spacing w:val="-13"/>
                <w:sz w:val="18"/>
                <w:szCs w:val="18"/>
              </w:rPr>
              <w:t xml:space="preserve"> </w:t>
            </w:r>
            <w:r>
              <w:rPr>
                <w:color w:val="231F20"/>
                <w:sz w:val="18"/>
                <w:szCs w:val="18"/>
              </w:rPr>
              <w:t>expects</w:t>
            </w:r>
            <w:r>
              <w:rPr>
                <w:color w:val="231F20"/>
                <w:spacing w:val="-11"/>
                <w:sz w:val="18"/>
                <w:szCs w:val="18"/>
              </w:rPr>
              <w:t xml:space="preserve"> </w:t>
            </w:r>
            <w:r>
              <w:rPr>
                <w:color w:val="231F20"/>
                <w:sz w:val="18"/>
                <w:szCs w:val="18"/>
              </w:rPr>
              <w:t>to</w:t>
            </w:r>
            <w:r>
              <w:rPr>
                <w:color w:val="231F20"/>
                <w:spacing w:val="-11"/>
                <w:sz w:val="18"/>
                <w:szCs w:val="18"/>
              </w:rPr>
              <w:t xml:space="preserve"> </w:t>
            </w:r>
            <w:r>
              <w:rPr>
                <w:color w:val="231F20"/>
                <w:sz w:val="18"/>
                <w:szCs w:val="18"/>
              </w:rPr>
              <w:t>raise</w:t>
            </w:r>
            <w:r>
              <w:rPr>
                <w:color w:val="231F20"/>
                <w:spacing w:val="-14"/>
                <w:sz w:val="18"/>
                <w:szCs w:val="18"/>
              </w:rPr>
              <w:t xml:space="preserve"> </w:t>
            </w:r>
            <w:r>
              <w:rPr>
                <w:color w:val="231F20"/>
                <w:sz w:val="18"/>
                <w:szCs w:val="18"/>
              </w:rPr>
              <w:t>Net</w:t>
            </w:r>
            <w:r>
              <w:rPr>
                <w:color w:val="231F20"/>
                <w:spacing w:val="-11"/>
                <w:sz w:val="18"/>
                <w:szCs w:val="18"/>
              </w:rPr>
              <w:t xml:space="preserve"> </w:t>
            </w:r>
            <w:r>
              <w:rPr>
                <w:color w:val="231F20"/>
                <w:sz w:val="18"/>
                <w:szCs w:val="18"/>
              </w:rPr>
              <w:t>Proceeds</w:t>
            </w:r>
            <w:r>
              <w:rPr>
                <w:color w:val="231F20"/>
                <w:spacing w:val="-14"/>
                <w:sz w:val="18"/>
                <w:szCs w:val="18"/>
              </w:rPr>
              <w:t xml:space="preserve"> </w:t>
            </w:r>
            <w:r>
              <w:rPr>
                <w:color w:val="231F20"/>
                <w:sz w:val="18"/>
                <w:szCs w:val="18"/>
              </w:rPr>
              <w:t>of</w:t>
            </w:r>
            <w:r>
              <w:rPr>
                <w:color w:val="231F20"/>
                <w:spacing w:val="-11"/>
                <w:sz w:val="18"/>
                <w:szCs w:val="18"/>
              </w:rPr>
              <w:t xml:space="preserve"> </w:t>
            </w:r>
            <w:r>
              <w:rPr>
                <w:color w:val="231F20"/>
                <w:sz w:val="18"/>
                <w:szCs w:val="18"/>
              </w:rPr>
              <w:t>approximately</w:t>
            </w:r>
            <w:r>
              <w:rPr>
                <w:color w:val="231F20"/>
                <w:spacing w:val="-15"/>
                <w:sz w:val="18"/>
                <w:szCs w:val="18"/>
              </w:rPr>
              <w:t xml:space="preserve"> </w:t>
            </w:r>
            <w:r>
              <w:rPr>
                <w:color w:val="231F20"/>
                <w:sz w:val="18"/>
                <w:szCs w:val="18"/>
              </w:rPr>
              <w:t>£</w:t>
            </w:r>
            <w:r w:rsidR="001A7C2A">
              <w:rPr>
                <w:sz w:val="18"/>
                <w:szCs w:val="18"/>
              </w:rPr>
              <w:t>800,000</w:t>
            </w:r>
            <w:r w:rsidR="004462C0">
              <w:rPr>
                <w:sz w:val="18"/>
                <w:szCs w:val="18"/>
              </w:rPr>
              <w:t xml:space="preserve"> </w:t>
            </w:r>
            <w:r>
              <w:rPr>
                <w:color w:val="231F20"/>
                <w:sz w:val="18"/>
                <w:szCs w:val="18"/>
              </w:rPr>
              <w:t>from</w:t>
            </w:r>
            <w:r>
              <w:rPr>
                <w:color w:val="231F20"/>
                <w:spacing w:val="-10"/>
                <w:sz w:val="18"/>
                <w:szCs w:val="18"/>
              </w:rPr>
              <w:t xml:space="preserve"> </w:t>
            </w:r>
            <w:r>
              <w:rPr>
                <w:color w:val="231F20"/>
                <w:sz w:val="18"/>
                <w:szCs w:val="18"/>
              </w:rPr>
              <w:t>the</w:t>
            </w:r>
            <w:r>
              <w:rPr>
                <w:color w:val="231F20"/>
                <w:spacing w:val="-12"/>
                <w:sz w:val="18"/>
                <w:szCs w:val="18"/>
              </w:rPr>
              <w:t xml:space="preserve"> </w:t>
            </w:r>
            <w:r>
              <w:rPr>
                <w:color w:val="231F20"/>
                <w:sz w:val="18"/>
                <w:szCs w:val="18"/>
              </w:rPr>
              <w:t>Placing. In the 12 months following Admission, the Group intends to use the Net Proceeds, amongst other</w:t>
            </w:r>
            <w:r>
              <w:rPr>
                <w:color w:val="231F20"/>
                <w:spacing w:val="14"/>
                <w:sz w:val="18"/>
                <w:szCs w:val="18"/>
              </w:rPr>
              <w:t xml:space="preserve"> </w:t>
            </w:r>
            <w:r>
              <w:rPr>
                <w:color w:val="231F20"/>
                <w:sz w:val="18"/>
                <w:szCs w:val="18"/>
              </w:rPr>
              <w:t>things,</w:t>
            </w:r>
            <w:r>
              <w:rPr>
                <w:color w:val="231F20"/>
                <w:spacing w:val="15"/>
                <w:sz w:val="18"/>
                <w:szCs w:val="18"/>
              </w:rPr>
              <w:t xml:space="preserve"> </w:t>
            </w:r>
            <w:r>
              <w:rPr>
                <w:color w:val="231F20"/>
                <w:sz w:val="18"/>
                <w:szCs w:val="18"/>
              </w:rPr>
              <w:t>to</w:t>
            </w:r>
            <w:r>
              <w:rPr>
                <w:color w:val="231F20"/>
                <w:spacing w:val="15"/>
                <w:sz w:val="18"/>
                <w:szCs w:val="18"/>
              </w:rPr>
              <w:t xml:space="preserve"> </w:t>
            </w:r>
            <w:r>
              <w:rPr>
                <w:color w:val="231F20"/>
                <w:sz w:val="18"/>
                <w:szCs w:val="18"/>
              </w:rPr>
              <w:t>carry</w:t>
            </w:r>
            <w:r>
              <w:rPr>
                <w:color w:val="231F20"/>
                <w:spacing w:val="14"/>
                <w:sz w:val="18"/>
                <w:szCs w:val="18"/>
              </w:rPr>
              <w:t xml:space="preserve"> </w:t>
            </w:r>
            <w:r>
              <w:rPr>
                <w:color w:val="231F20"/>
                <w:sz w:val="18"/>
                <w:szCs w:val="18"/>
              </w:rPr>
              <w:t>out</w:t>
            </w:r>
            <w:r>
              <w:rPr>
                <w:color w:val="231F20"/>
                <w:spacing w:val="14"/>
                <w:sz w:val="18"/>
                <w:szCs w:val="18"/>
              </w:rPr>
              <w:t xml:space="preserve"> </w:t>
            </w:r>
            <w:r>
              <w:rPr>
                <w:color w:val="231F20"/>
                <w:sz w:val="18"/>
                <w:szCs w:val="18"/>
              </w:rPr>
              <w:t>further</w:t>
            </w:r>
            <w:r>
              <w:rPr>
                <w:color w:val="231F20"/>
                <w:spacing w:val="15"/>
                <w:sz w:val="18"/>
                <w:szCs w:val="18"/>
              </w:rPr>
              <w:t xml:space="preserve"> </w:t>
            </w:r>
            <w:r>
              <w:rPr>
                <w:color w:val="231F20"/>
                <w:sz w:val="18"/>
                <w:szCs w:val="18"/>
              </w:rPr>
              <w:t>resource</w:t>
            </w:r>
            <w:r>
              <w:rPr>
                <w:color w:val="231F20"/>
                <w:spacing w:val="15"/>
                <w:sz w:val="18"/>
                <w:szCs w:val="18"/>
              </w:rPr>
              <w:t xml:space="preserve"> </w:t>
            </w:r>
            <w:r>
              <w:rPr>
                <w:color w:val="231F20"/>
                <w:sz w:val="18"/>
                <w:szCs w:val="18"/>
              </w:rPr>
              <w:t>exploration</w:t>
            </w:r>
            <w:r>
              <w:rPr>
                <w:color w:val="231F20"/>
                <w:spacing w:val="15"/>
                <w:sz w:val="18"/>
                <w:szCs w:val="18"/>
              </w:rPr>
              <w:t xml:space="preserve"> </w:t>
            </w:r>
            <w:r>
              <w:rPr>
                <w:color w:val="231F20"/>
                <w:sz w:val="18"/>
                <w:szCs w:val="18"/>
              </w:rPr>
              <w:t>work,</w:t>
            </w:r>
            <w:r>
              <w:rPr>
                <w:color w:val="231F20"/>
                <w:spacing w:val="15"/>
                <w:sz w:val="18"/>
                <w:szCs w:val="18"/>
              </w:rPr>
              <w:t xml:space="preserve"> </w:t>
            </w:r>
            <w:r>
              <w:rPr>
                <w:color w:val="231F20"/>
                <w:sz w:val="18"/>
                <w:szCs w:val="18"/>
              </w:rPr>
              <w:t>for</w:t>
            </w:r>
            <w:r>
              <w:rPr>
                <w:color w:val="231F20"/>
                <w:spacing w:val="14"/>
                <w:sz w:val="18"/>
                <w:szCs w:val="18"/>
              </w:rPr>
              <w:t xml:space="preserve"> </w:t>
            </w:r>
            <w:r>
              <w:rPr>
                <w:color w:val="231F20"/>
                <w:sz w:val="18"/>
                <w:szCs w:val="18"/>
              </w:rPr>
              <w:t>general</w:t>
            </w:r>
            <w:r>
              <w:rPr>
                <w:color w:val="231F20"/>
                <w:spacing w:val="15"/>
                <w:sz w:val="18"/>
                <w:szCs w:val="18"/>
              </w:rPr>
              <w:t xml:space="preserve"> </w:t>
            </w:r>
            <w:r>
              <w:rPr>
                <w:color w:val="231F20"/>
                <w:sz w:val="18"/>
                <w:szCs w:val="18"/>
              </w:rPr>
              <w:t>working</w:t>
            </w:r>
            <w:r>
              <w:rPr>
                <w:color w:val="231F20"/>
                <w:spacing w:val="15"/>
                <w:sz w:val="18"/>
                <w:szCs w:val="18"/>
              </w:rPr>
              <w:t xml:space="preserve"> </w:t>
            </w:r>
            <w:r>
              <w:rPr>
                <w:color w:val="231F20"/>
                <w:sz w:val="18"/>
                <w:szCs w:val="18"/>
              </w:rPr>
              <w:t>capital</w:t>
            </w:r>
            <w:r>
              <w:rPr>
                <w:color w:val="231F20"/>
                <w:spacing w:val="15"/>
                <w:sz w:val="18"/>
                <w:szCs w:val="18"/>
              </w:rPr>
              <w:t xml:space="preserve"> </w:t>
            </w:r>
            <w:r>
              <w:rPr>
                <w:color w:val="231F20"/>
                <w:sz w:val="18"/>
                <w:szCs w:val="18"/>
              </w:rPr>
              <w:t>and</w:t>
            </w:r>
            <w:r w:rsidR="004C6A20">
              <w:rPr>
                <w:color w:val="231F20"/>
                <w:sz w:val="18"/>
                <w:szCs w:val="18"/>
              </w:rPr>
              <w:t xml:space="preserve"> </w:t>
            </w:r>
            <w:r>
              <w:rPr>
                <w:color w:val="231F20"/>
                <w:sz w:val="18"/>
                <w:szCs w:val="18"/>
              </w:rPr>
              <w:t>operational</w:t>
            </w:r>
            <w:r>
              <w:rPr>
                <w:color w:val="231F20"/>
                <w:spacing w:val="-11"/>
                <w:sz w:val="18"/>
                <w:szCs w:val="18"/>
              </w:rPr>
              <w:t xml:space="preserve"> </w:t>
            </w:r>
            <w:r>
              <w:rPr>
                <w:color w:val="231F20"/>
                <w:sz w:val="18"/>
                <w:szCs w:val="18"/>
              </w:rPr>
              <w:t>expenditure</w:t>
            </w:r>
            <w:r>
              <w:rPr>
                <w:color w:val="231F20"/>
                <w:spacing w:val="-11"/>
                <w:sz w:val="18"/>
                <w:szCs w:val="18"/>
              </w:rPr>
              <w:t xml:space="preserve"> </w:t>
            </w:r>
            <w:r>
              <w:rPr>
                <w:color w:val="231F20"/>
                <w:sz w:val="18"/>
                <w:szCs w:val="18"/>
              </w:rPr>
              <w:t>purposes</w:t>
            </w:r>
            <w:r>
              <w:rPr>
                <w:color w:val="231F20"/>
                <w:spacing w:val="-12"/>
                <w:sz w:val="18"/>
                <w:szCs w:val="18"/>
              </w:rPr>
              <w:t xml:space="preserve"> </w:t>
            </w:r>
            <w:r>
              <w:rPr>
                <w:color w:val="231F20"/>
                <w:sz w:val="18"/>
                <w:szCs w:val="18"/>
              </w:rPr>
              <w:t>and</w:t>
            </w:r>
            <w:r>
              <w:rPr>
                <w:color w:val="231F20"/>
                <w:spacing w:val="-11"/>
                <w:sz w:val="18"/>
                <w:szCs w:val="18"/>
              </w:rPr>
              <w:t xml:space="preserve"> </w:t>
            </w:r>
            <w:r>
              <w:rPr>
                <w:color w:val="231F20"/>
                <w:sz w:val="18"/>
                <w:szCs w:val="18"/>
              </w:rPr>
              <w:t>in</w:t>
            </w:r>
            <w:r>
              <w:rPr>
                <w:color w:val="231F20"/>
                <w:spacing w:val="-11"/>
                <w:sz w:val="18"/>
                <w:szCs w:val="18"/>
              </w:rPr>
              <w:t xml:space="preserve"> </w:t>
            </w:r>
            <w:r>
              <w:rPr>
                <w:color w:val="231F20"/>
                <w:sz w:val="18"/>
                <w:szCs w:val="18"/>
              </w:rPr>
              <w:t>order</w:t>
            </w:r>
            <w:r>
              <w:rPr>
                <w:color w:val="231F20"/>
                <w:spacing w:val="-12"/>
                <w:sz w:val="18"/>
                <w:szCs w:val="18"/>
              </w:rPr>
              <w:t xml:space="preserve"> </w:t>
            </w:r>
            <w:r>
              <w:rPr>
                <w:color w:val="231F20"/>
                <w:sz w:val="18"/>
                <w:szCs w:val="18"/>
              </w:rPr>
              <w:t>to</w:t>
            </w:r>
            <w:r>
              <w:rPr>
                <w:color w:val="231F20"/>
                <w:spacing w:val="-12"/>
                <w:sz w:val="18"/>
                <w:szCs w:val="18"/>
              </w:rPr>
              <w:t xml:space="preserve"> </w:t>
            </w:r>
            <w:r>
              <w:rPr>
                <w:color w:val="231F20"/>
                <w:sz w:val="18"/>
                <w:szCs w:val="18"/>
              </w:rPr>
              <w:t>carry</w:t>
            </w:r>
            <w:r w:rsidR="008D29E2">
              <w:rPr>
                <w:color w:val="231F20"/>
                <w:sz w:val="18"/>
                <w:szCs w:val="18"/>
              </w:rPr>
              <w:t xml:space="preserve"> out </w:t>
            </w:r>
            <w:r w:rsidR="006E46DC">
              <w:rPr>
                <w:color w:val="231F20"/>
                <w:sz w:val="18"/>
                <w:szCs w:val="18"/>
              </w:rPr>
              <w:t>potential future corporate activities (such as acquisitions or joint ventures). The Directors currently intend to allocate the Net Proceeds amongst those proposed uses in approximately the following proportions</w:t>
            </w:r>
            <w:r w:rsidR="00823957">
              <w:rPr>
                <w:color w:val="231F20"/>
                <w:sz w:val="18"/>
                <w:szCs w:val="18"/>
              </w:rPr>
              <w:t>, as further detailed</w:t>
            </w:r>
            <w:r w:rsidR="004F4C5A">
              <w:rPr>
                <w:color w:val="231F20"/>
                <w:sz w:val="18"/>
                <w:szCs w:val="18"/>
              </w:rPr>
              <w:t xml:space="preserve"> </w:t>
            </w:r>
            <w:r w:rsidR="00823957">
              <w:rPr>
                <w:color w:val="231F20"/>
                <w:sz w:val="18"/>
                <w:szCs w:val="18"/>
              </w:rPr>
              <w:t xml:space="preserve">at paragraph 6 of Part </w:t>
            </w:r>
            <w:r w:rsidR="00CA5143">
              <w:rPr>
                <w:color w:val="231F20"/>
                <w:sz w:val="18"/>
                <w:szCs w:val="18"/>
              </w:rPr>
              <w:t>I</w:t>
            </w:r>
            <w:r w:rsidR="00823957">
              <w:rPr>
                <w:color w:val="231F20"/>
                <w:sz w:val="18"/>
                <w:szCs w:val="18"/>
              </w:rPr>
              <w:t xml:space="preserve"> of this Document</w:t>
            </w:r>
            <w:r w:rsidR="006E46DC">
              <w:rPr>
                <w:color w:val="231F20"/>
                <w:sz w:val="18"/>
                <w:szCs w:val="18"/>
              </w:rPr>
              <w:t>:</w:t>
            </w:r>
          </w:p>
        </w:tc>
      </w:tr>
      <w:tr w:rsidR="0031766D" w14:paraId="02D65A0C" w14:textId="77777777" w:rsidTr="0047572B">
        <w:trPr>
          <w:trHeight w:val="303"/>
        </w:trPr>
        <w:tc>
          <w:tcPr>
            <w:tcW w:w="1395" w:type="dxa"/>
            <w:tcBorders>
              <w:top w:val="none" w:sz="6" w:space="0" w:color="auto"/>
              <w:left w:val="single" w:sz="4" w:space="0" w:color="231F20"/>
              <w:bottom w:val="none" w:sz="6" w:space="0" w:color="auto"/>
              <w:right w:val="single" w:sz="4" w:space="0" w:color="231F20"/>
            </w:tcBorders>
          </w:tcPr>
          <w:p w14:paraId="4C6935C7" w14:textId="77777777" w:rsidR="0031766D" w:rsidRDefault="0031766D" w:rsidP="0047572B">
            <w:pPr>
              <w:pStyle w:val="TableParagraph"/>
              <w:kinsoku w:val="0"/>
              <w:overflowPunct w:val="0"/>
              <w:rPr>
                <w:rFonts w:ascii="Times New Roman" w:hAnsi="Times New Roman" w:cs="Times New Roman"/>
                <w:sz w:val="16"/>
                <w:szCs w:val="16"/>
              </w:rPr>
            </w:pPr>
            <w:bookmarkStart w:id="0" w:name="_Hlk72752332"/>
          </w:p>
        </w:tc>
        <w:tc>
          <w:tcPr>
            <w:tcW w:w="7956" w:type="dxa"/>
            <w:tcBorders>
              <w:top w:val="none" w:sz="6" w:space="0" w:color="auto"/>
              <w:left w:val="single" w:sz="4" w:space="0" w:color="231F20"/>
              <w:bottom w:val="none" w:sz="6" w:space="0" w:color="auto"/>
              <w:right w:val="single" w:sz="4" w:space="0" w:color="231F20"/>
            </w:tcBorders>
          </w:tcPr>
          <w:p w14:paraId="7B40DFCB" w14:textId="77777777" w:rsidR="0031766D" w:rsidRPr="00FD43EA" w:rsidRDefault="0031766D" w:rsidP="0047572B">
            <w:pPr>
              <w:pStyle w:val="TableParagraph"/>
              <w:tabs>
                <w:tab w:val="left" w:pos="5404"/>
              </w:tabs>
              <w:kinsoku w:val="0"/>
              <w:overflowPunct w:val="0"/>
              <w:spacing w:before="95"/>
              <w:ind w:left="216"/>
              <w:rPr>
                <w:b/>
                <w:bCs/>
                <w:color w:val="231F20"/>
                <w:sz w:val="16"/>
                <w:szCs w:val="16"/>
              </w:rPr>
            </w:pPr>
            <w:r w:rsidRPr="00FD43EA">
              <w:rPr>
                <w:b/>
                <w:bCs/>
                <w:color w:val="231F20"/>
                <w:sz w:val="16"/>
                <w:szCs w:val="16"/>
                <w:u w:val="single"/>
              </w:rPr>
              <w:t>Proposed</w:t>
            </w:r>
            <w:r w:rsidRPr="00FD43EA">
              <w:rPr>
                <w:b/>
                <w:bCs/>
                <w:color w:val="231F20"/>
                <w:spacing w:val="-1"/>
                <w:sz w:val="16"/>
                <w:szCs w:val="16"/>
                <w:u w:val="single"/>
              </w:rPr>
              <w:t xml:space="preserve"> </w:t>
            </w:r>
            <w:r w:rsidRPr="00FD43EA">
              <w:rPr>
                <w:b/>
                <w:bCs/>
                <w:color w:val="231F20"/>
                <w:sz w:val="16"/>
                <w:szCs w:val="16"/>
                <w:u w:val="single"/>
              </w:rPr>
              <w:t>Use</w:t>
            </w:r>
            <w:r w:rsidRPr="00FD43EA">
              <w:rPr>
                <w:b/>
                <w:bCs/>
                <w:color w:val="231F20"/>
                <w:sz w:val="16"/>
                <w:szCs w:val="16"/>
              </w:rPr>
              <w:tab/>
            </w:r>
            <w:r w:rsidRPr="00FD43EA">
              <w:rPr>
                <w:b/>
                <w:bCs/>
                <w:color w:val="231F20"/>
                <w:sz w:val="16"/>
                <w:szCs w:val="16"/>
                <w:u w:val="single"/>
              </w:rPr>
              <w:t>Estimated</w:t>
            </w:r>
            <w:r w:rsidRPr="00FD43EA">
              <w:rPr>
                <w:b/>
                <w:bCs/>
                <w:color w:val="231F20"/>
                <w:spacing w:val="-1"/>
                <w:sz w:val="16"/>
                <w:szCs w:val="16"/>
                <w:u w:val="single"/>
              </w:rPr>
              <w:t xml:space="preserve"> </w:t>
            </w:r>
            <w:r w:rsidRPr="00FD43EA">
              <w:rPr>
                <w:b/>
                <w:bCs/>
                <w:color w:val="231F20"/>
                <w:sz w:val="16"/>
                <w:szCs w:val="16"/>
                <w:u w:val="single"/>
              </w:rPr>
              <w:t>Expenditure</w:t>
            </w:r>
          </w:p>
        </w:tc>
      </w:tr>
      <w:tr w:rsidR="0031766D" w14:paraId="02813B6B" w14:textId="77777777" w:rsidTr="0047572B">
        <w:trPr>
          <w:trHeight w:val="231"/>
        </w:trPr>
        <w:tc>
          <w:tcPr>
            <w:tcW w:w="1395" w:type="dxa"/>
            <w:tcBorders>
              <w:top w:val="none" w:sz="6" w:space="0" w:color="auto"/>
              <w:left w:val="single" w:sz="4" w:space="0" w:color="231F20"/>
              <w:right w:val="single" w:sz="4" w:space="0" w:color="231F20"/>
            </w:tcBorders>
          </w:tcPr>
          <w:p w14:paraId="1EC23C80" w14:textId="77777777" w:rsidR="0031766D" w:rsidRDefault="0031766D" w:rsidP="0047572B">
            <w:pPr>
              <w:pStyle w:val="TableParagraph"/>
              <w:kinsoku w:val="0"/>
              <w:overflowPunct w:val="0"/>
              <w:rPr>
                <w:rFonts w:ascii="Times New Roman" w:hAnsi="Times New Roman" w:cs="Times New Roman"/>
                <w:sz w:val="16"/>
                <w:szCs w:val="16"/>
              </w:rPr>
            </w:pPr>
          </w:p>
        </w:tc>
        <w:tc>
          <w:tcPr>
            <w:tcW w:w="7956" w:type="dxa"/>
            <w:tcBorders>
              <w:top w:val="none" w:sz="6" w:space="0" w:color="auto"/>
              <w:left w:val="single" w:sz="4" w:space="0" w:color="231F20"/>
              <w:bottom w:val="none" w:sz="6" w:space="0" w:color="auto"/>
              <w:right w:val="single" w:sz="4" w:space="0" w:color="231F20"/>
            </w:tcBorders>
          </w:tcPr>
          <w:p w14:paraId="1C97B180" w14:textId="2CDDDC33" w:rsidR="0031766D" w:rsidRPr="00F976F4" w:rsidRDefault="0031766D" w:rsidP="0047572B">
            <w:pPr>
              <w:pStyle w:val="TableParagraph"/>
              <w:tabs>
                <w:tab w:val="left" w:pos="6468"/>
              </w:tabs>
              <w:kinsoku w:val="0"/>
              <w:overflowPunct w:val="0"/>
              <w:spacing w:before="22"/>
              <w:ind w:left="216"/>
              <w:rPr>
                <w:color w:val="231F20"/>
                <w:sz w:val="16"/>
                <w:szCs w:val="16"/>
              </w:rPr>
            </w:pPr>
            <w:r w:rsidRPr="00F976F4">
              <w:rPr>
                <w:b/>
                <w:bCs/>
                <w:color w:val="231F20"/>
                <w:sz w:val="16"/>
                <w:szCs w:val="16"/>
              </w:rPr>
              <w:t>Canada</w:t>
            </w:r>
            <w:r w:rsidRPr="00F976F4">
              <w:rPr>
                <w:b/>
                <w:bCs/>
                <w:color w:val="231F20"/>
                <w:spacing w:val="-2"/>
                <w:sz w:val="16"/>
                <w:szCs w:val="16"/>
              </w:rPr>
              <w:t xml:space="preserve"> </w:t>
            </w:r>
            <w:r w:rsidR="006E5B10" w:rsidRPr="00F976F4">
              <w:rPr>
                <w:b/>
                <w:bCs/>
                <w:color w:val="231F20"/>
                <w:sz w:val="16"/>
                <w:szCs w:val="16"/>
              </w:rPr>
              <w:t>exploration and project expansion</w:t>
            </w:r>
            <w:r w:rsidRPr="00F976F4">
              <w:rPr>
                <w:b/>
                <w:bCs/>
                <w:color w:val="231F20"/>
                <w:sz w:val="16"/>
                <w:szCs w:val="16"/>
              </w:rPr>
              <w:tab/>
              <w:t>£</w:t>
            </w:r>
            <w:r w:rsidR="00D41260">
              <w:rPr>
                <w:b/>
                <w:bCs/>
                <w:color w:val="231F20"/>
                <w:sz w:val="16"/>
                <w:szCs w:val="16"/>
              </w:rPr>
              <w:t>650</w:t>
            </w:r>
            <w:r w:rsidRPr="00F976F4">
              <w:rPr>
                <w:b/>
                <w:bCs/>
                <w:color w:val="231F20"/>
                <w:sz w:val="16"/>
                <w:szCs w:val="16"/>
              </w:rPr>
              <w:t>,000</w:t>
            </w:r>
          </w:p>
        </w:tc>
      </w:tr>
      <w:tr w:rsidR="0031766D" w14:paraId="53B9056B" w14:textId="77777777" w:rsidTr="0047572B">
        <w:trPr>
          <w:trHeight w:val="352"/>
        </w:trPr>
        <w:tc>
          <w:tcPr>
            <w:tcW w:w="1395" w:type="dxa"/>
            <w:tcBorders>
              <w:left w:val="single" w:sz="4" w:space="0" w:color="231F20"/>
              <w:bottom w:val="single" w:sz="4" w:space="0" w:color="auto"/>
              <w:right w:val="single" w:sz="4" w:space="0" w:color="231F20"/>
            </w:tcBorders>
          </w:tcPr>
          <w:p w14:paraId="5F9E746A" w14:textId="77777777" w:rsidR="0031766D" w:rsidRDefault="0031766D" w:rsidP="0047572B">
            <w:pPr>
              <w:pStyle w:val="TableParagraph"/>
              <w:kinsoku w:val="0"/>
              <w:overflowPunct w:val="0"/>
              <w:rPr>
                <w:rFonts w:ascii="Times New Roman" w:hAnsi="Times New Roman" w:cs="Times New Roman"/>
                <w:sz w:val="16"/>
                <w:szCs w:val="16"/>
              </w:rPr>
            </w:pPr>
          </w:p>
        </w:tc>
        <w:tc>
          <w:tcPr>
            <w:tcW w:w="7956" w:type="dxa"/>
            <w:tcBorders>
              <w:top w:val="none" w:sz="6" w:space="0" w:color="auto"/>
              <w:left w:val="single" w:sz="4" w:space="0" w:color="231F20"/>
              <w:bottom w:val="none" w:sz="6" w:space="0" w:color="auto"/>
              <w:right w:val="single" w:sz="4" w:space="0" w:color="231F20"/>
            </w:tcBorders>
          </w:tcPr>
          <w:tbl>
            <w:tblPr>
              <w:tblpPr w:leftFromText="180" w:rightFromText="180" w:vertAnchor="text" w:tblpY="1"/>
              <w:tblOverlap w:val="never"/>
              <w:tblW w:w="7657" w:type="dxa"/>
              <w:tblLayout w:type="fixed"/>
              <w:tblCellMar>
                <w:left w:w="0" w:type="dxa"/>
                <w:right w:w="0" w:type="dxa"/>
              </w:tblCellMar>
              <w:tblLook w:val="0000" w:firstRow="0" w:lastRow="0" w:firstColumn="0" w:lastColumn="0" w:noHBand="0" w:noVBand="0"/>
            </w:tblPr>
            <w:tblGrid>
              <w:gridCol w:w="7657"/>
            </w:tblGrid>
            <w:tr w:rsidR="006E5B10" w:rsidRPr="00F976F4" w14:paraId="1FA04DE4" w14:textId="77777777" w:rsidTr="004462C0">
              <w:trPr>
                <w:trHeight w:val="238"/>
              </w:trPr>
              <w:tc>
                <w:tcPr>
                  <w:tcW w:w="7657" w:type="dxa"/>
                </w:tcPr>
                <w:p w14:paraId="079CA631" w14:textId="66F273A5" w:rsidR="006E5B10" w:rsidRPr="00F976F4" w:rsidRDefault="00F976F4" w:rsidP="0047572B">
                  <w:pPr>
                    <w:pStyle w:val="TableParagraph"/>
                    <w:tabs>
                      <w:tab w:val="left" w:pos="6469"/>
                    </w:tabs>
                    <w:kinsoku w:val="0"/>
                    <w:overflowPunct w:val="0"/>
                    <w:spacing w:before="19"/>
                    <w:ind w:left="216"/>
                    <w:rPr>
                      <w:b/>
                      <w:bCs/>
                      <w:color w:val="231F20"/>
                      <w:sz w:val="16"/>
                      <w:szCs w:val="16"/>
                    </w:rPr>
                  </w:pPr>
                  <w:r w:rsidRPr="00F976F4">
                    <w:rPr>
                      <w:b/>
                      <w:bCs/>
                      <w:color w:val="231F20"/>
                      <w:sz w:val="16"/>
                      <w:szCs w:val="16"/>
                    </w:rPr>
                    <w:t>Other expenditures</w:t>
                  </w:r>
                  <w:r w:rsidR="006E5B10" w:rsidRPr="00F976F4">
                    <w:rPr>
                      <w:b/>
                      <w:bCs/>
                      <w:color w:val="231F20"/>
                      <w:sz w:val="16"/>
                      <w:szCs w:val="16"/>
                    </w:rPr>
                    <w:tab/>
                    <w:t>£</w:t>
                  </w:r>
                  <w:r w:rsidR="00D41260">
                    <w:rPr>
                      <w:b/>
                      <w:bCs/>
                      <w:color w:val="231F20"/>
                      <w:sz w:val="16"/>
                      <w:szCs w:val="16"/>
                    </w:rPr>
                    <w:t>150</w:t>
                  </w:r>
                  <w:r w:rsidR="006E5B10" w:rsidRPr="00F976F4">
                    <w:rPr>
                      <w:b/>
                      <w:bCs/>
                      <w:color w:val="231F20"/>
                      <w:sz w:val="16"/>
                      <w:szCs w:val="16"/>
                    </w:rPr>
                    <w:t>,000</w:t>
                  </w:r>
                </w:p>
              </w:tc>
            </w:tr>
            <w:tr w:rsidR="006E5B10" w:rsidRPr="00D71AAC" w14:paraId="7B08E292" w14:textId="77777777" w:rsidTr="004462C0">
              <w:trPr>
                <w:trHeight w:val="301"/>
              </w:trPr>
              <w:tc>
                <w:tcPr>
                  <w:tcW w:w="7657" w:type="dxa"/>
                </w:tcPr>
                <w:p w14:paraId="63D8DE1F" w14:textId="77777777" w:rsidR="006E5B10" w:rsidRPr="00FD43EA" w:rsidRDefault="006E5B10" w:rsidP="0047572B">
                  <w:pPr>
                    <w:pStyle w:val="TableParagraph"/>
                    <w:kinsoku w:val="0"/>
                    <w:overflowPunct w:val="0"/>
                    <w:spacing w:line="20" w:lineRule="exact"/>
                    <w:ind w:left="98"/>
                    <w:rPr>
                      <w:sz w:val="2"/>
                      <w:szCs w:val="2"/>
                    </w:rPr>
                  </w:pPr>
                  <w:r w:rsidRPr="00FD43EA">
                    <w:rPr>
                      <w:noProof/>
                      <w:sz w:val="2"/>
                      <w:szCs w:val="2"/>
                    </w:rPr>
                    <mc:AlternateContent>
                      <mc:Choice Requires="wpg">
                        <w:drawing>
                          <wp:inline distT="0" distB="0" distL="0" distR="0" wp14:anchorId="1EE905F5" wp14:editId="6C9658D9">
                            <wp:extent cx="4530725" cy="12700"/>
                            <wp:effectExtent l="9525" t="9525" r="12700" b="6350"/>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12700"/>
                                      <a:chOff x="0" y="0"/>
                                      <a:chExt cx="7135" cy="20"/>
                                    </a:xfrm>
                                  </wpg:grpSpPr>
                                  <wps:wsp>
                                    <wps:cNvPr id="16" name="Freeform 9"/>
                                    <wps:cNvSpPr>
                                      <a:spLocks/>
                                    </wps:cNvSpPr>
                                    <wps:spPr bwMode="auto">
                                      <a:xfrm>
                                        <a:off x="0" y="9"/>
                                        <a:ext cx="7135" cy="20"/>
                                      </a:xfrm>
                                      <a:custGeom>
                                        <a:avLst/>
                                        <a:gdLst>
                                          <a:gd name="T0" fmla="*/ 0 w 7135"/>
                                          <a:gd name="T1" fmla="*/ 0 h 20"/>
                                          <a:gd name="T2" fmla="*/ 7134 w 7135"/>
                                          <a:gd name="T3" fmla="*/ 0 h 20"/>
                                        </a:gdLst>
                                        <a:ahLst/>
                                        <a:cxnLst>
                                          <a:cxn ang="0">
                                            <a:pos x="T0" y="T1"/>
                                          </a:cxn>
                                          <a:cxn ang="0">
                                            <a:pos x="T2" y="T3"/>
                                          </a:cxn>
                                        </a:cxnLst>
                                        <a:rect l="0" t="0" r="r" b="b"/>
                                        <a:pathLst>
                                          <a:path w="7135" h="20">
                                            <a:moveTo>
                                              <a:pt x="0" y="0"/>
                                            </a:moveTo>
                                            <a:lnTo>
                                              <a:pt x="7134" y="0"/>
                                            </a:lnTo>
                                          </a:path>
                                        </a:pathLst>
                                      </a:custGeom>
                                      <a:noFill/>
                                      <a:ln w="121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EA60BD" id="Group 8" o:spid="_x0000_s1026" style="width:356.75pt;height:1pt;mso-position-horizontal-relative:char;mso-position-vertical-relative:line" coordsize="7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">
                            <v:shape id="Freeform 9" o:spid="_x0000_s1027" style="position:absolute;top:9;width:7135;height:20;visibility:visible;mso-wrap-style:square;v-text-anchor:top" coordsize="7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" path="m,l7134,e" filled="f" strokecolor="#231f20" strokeweight=".33864mm">
                              <v:path arrowok="t" o:connecttype="custom" o:connectlocs="0,0;7134,0" o:connectangles="0,0"/>
                            </v:shape>
                            <w10:anchorlock/>
                          </v:group>
                        </w:pict>
                      </mc:Fallback>
                    </mc:AlternateContent>
                  </w:r>
                </w:p>
                <w:p w14:paraId="2E43D32B" w14:textId="0AA5844C" w:rsidR="006E5B10" w:rsidRPr="00823957" w:rsidRDefault="006E5B10" w:rsidP="0047572B">
                  <w:pPr>
                    <w:pStyle w:val="TableParagraph"/>
                    <w:tabs>
                      <w:tab w:val="left" w:pos="6335"/>
                    </w:tabs>
                    <w:kinsoku w:val="0"/>
                    <w:overflowPunct w:val="0"/>
                    <w:spacing w:before="10"/>
                    <w:ind w:left="216"/>
                    <w:rPr>
                      <w:b/>
                      <w:bCs/>
                      <w:color w:val="231F20"/>
                      <w:sz w:val="16"/>
                      <w:szCs w:val="16"/>
                    </w:rPr>
                  </w:pPr>
                  <w:r w:rsidRPr="00FD43EA">
                    <w:rPr>
                      <w:b/>
                      <w:bCs/>
                      <w:color w:val="231F20"/>
                      <w:sz w:val="16"/>
                      <w:szCs w:val="16"/>
                      <w:u w:val="single"/>
                    </w:rPr>
                    <w:t>TOTAL</w:t>
                  </w:r>
                  <w:r w:rsidRPr="00FD43EA">
                    <w:rPr>
                      <w:b/>
                      <w:bCs/>
                      <w:color w:val="231F20"/>
                      <w:sz w:val="16"/>
                      <w:szCs w:val="16"/>
                    </w:rPr>
                    <w:tab/>
                  </w:r>
                  <w:r w:rsidR="00D41260">
                    <w:rPr>
                      <w:b/>
                      <w:bCs/>
                      <w:color w:val="231F20"/>
                      <w:sz w:val="16"/>
                      <w:szCs w:val="16"/>
                    </w:rPr>
                    <w:t xml:space="preserve">   </w:t>
                  </w:r>
                  <w:r w:rsidRPr="00FD43EA">
                    <w:rPr>
                      <w:b/>
                      <w:bCs/>
                      <w:color w:val="231F20"/>
                      <w:sz w:val="16"/>
                      <w:szCs w:val="16"/>
                    </w:rPr>
                    <w:t>£</w:t>
                  </w:r>
                  <w:r w:rsidR="00D41260">
                    <w:rPr>
                      <w:b/>
                      <w:bCs/>
                      <w:color w:val="231F20"/>
                      <w:sz w:val="16"/>
                      <w:szCs w:val="16"/>
                    </w:rPr>
                    <w:t>8</w:t>
                  </w:r>
                  <w:r w:rsidRPr="00FD43EA">
                    <w:rPr>
                      <w:b/>
                      <w:bCs/>
                      <w:color w:val="231F20"/>
                      <w:sz w:val="16"/>
                      <w:szCs w:val="16"/>
                    </w:rPr>
                    <w:t>00,000</w:t>
                  </w:r>
                </w:p>
              </w:tc>
            </w:tr>
          </w:tbl>
          <w:p w14:paraId="5CE4E1D8" w14:textId="288F02A9" w:rsidR="006E5B10" w:rsidRPr="00FD43EA" w:rsidRDefault="006E5B10" w:rsidP="0047572B">
            <w:pPr>
              <w:pStyle w:val="TableParagraph"/>
              <w:tabs>
                <w:tab w:val="left" w:pos="6335"/>
              </w:tabs>
              <w:kinsoku w:val="0"/>
              <w:overflowPunct w:val="0"/>
              <w:spacing w:before="18"/>
              <w:ind w:left="216"/>
              <w:rPr>
                <w:b/>
                <w:bCs/>
                <w:color w:val="231F20"/>
                <w:sz w:val="16"/>
                <w:szCs w:val="16"/>
              </w:rPr>
            </w:pPr>
          </w:p>
        </w:tc>
      </w:tr>
      <w:bookmarkEnd w:id="0"/>
      <w:tr w:rsidR="0031766D" w14:paraId="1D376FBA" w14:textId="77777777" w:rsidTr="0047572B">
        <w:trPr>
          <w:trHeight w:val="938"/>
        </w:trPr>
        <w:tc>
          <w:tcPr>
            <w:tcW w:w="1395" w:type="dxa"/>
            <w:tcBorders>
              <w:top w:val="single" w:sz="4" w:space="0" w:color="auto"/>
              <w:left w:val="single" w:sz="4" w:space="0" w:color="231F20"/>
              <w:bottom w:val="single" w:sz="4" w:space="0" w:color="231F20"/>
              <w:right w:val="single" w:sz="4" w:space="0" w:color="231F20"/>
            </w:tcBorders>
          </w:tcPr>
          <w:p w14:paraId="6ABBF7F1" w14:textId="77777777" w:rsidR="0031766D" w:rsidRDefault="0031766D" w:rsidP="0047572B">
            <w:pPr>
              <w:pStyle w:val="TableParagraph"/>
              <w:kinsoku w:val="0"/>
              <w:overflowPunct w:val="0"/>
              <w:spacing w:before="1"/>
              <w:ind w:left="107"/>
              <w:rPr>
                <w:color w:val="050606"/>
                <w:sz w:val="18"/>
                <w:szCs w:val="18"/>
              </w:rPr>
            </w:pPr>
            <w:r>
              <w:rPr>
                <w:color w:val="050606"/>
                <w:sz w:val="18"/>
                <w:szCs w:val="18"/>
              </w:rPr>
              <w:t>Underwriting</w:t>
            </w:r>
          </w:p>
        </w:tc>
        <w:tc>
          <w:tcPr>
            <w:tcW w:w="7956" w:type="dxa"/>
            <w:tcBorders>
              <w:top w:val="single" w:sz="4" w:space="0" w:color="231F20"/>
              <w:left w:val="single" w:sz="4" w:space="0" w:color="231F20"/>
              <w:bottom w:val="single" w:sz="4" w:space="0" w:color="231F20"/>
              <w:right w:val="single" w:sz="4" w:space="0" w:color="231F20"/>
            </w:tcBorders>
          </w:tcPr>
          <w:p w14:paraId="4823B72F" w14:textId="743DBC56" w:rsidR="0031766D" w:rsidRDefault="0031766D" w:rsidP="0047572B">
            <w:pPr>
              <w:pStyle w:val="TableParagraph"/>
              <w:kinsoku w:val="0"/>
              <w:overflowPunct w:val="0"/>
              <w:spacing w:before="1"/>
              <w:ind w:left="108" w:right="91"/>
              <w:jc w:val="both"/>
              <w:rPr>
                <w:color w:val="020303"/>
                <w:sz w:val="18"/>
                <w:szCs w:val="18"/>
              </w:rPr>
            </w:pPr>
            <w:r>
              <w:rPr>
                <w:color w:val="020303"/>
                <w:sz w:val="18"/>
                <w:szCs w:val="18"/>
              </w:rPr>
              <w:t>The</w:t>
            </w:r>
            <w:r>
              <w:rPr>
                <w:color w:val="020303"/>
                <w:spacing w:val="-12"/>
                <w:sz w:val="18"/>
                <w:szCs w:val="18"/>
              </w:rPr>
              <w:t xml:space="preserve"> </w:t>
            </w:r>
            <w:r>
              <w:rPr>
                <w:color w:val="020303"/>
                <w:sz w:val="18"/>
                <w:szCs w:val="18"/>
              </w:rPr>
              <w:t>Placing</w:t>
            </w:r>
            <w:r>
              <w:rPr>
                <w:color w:val="020303"/>
                <w:spacing w:val="-14"/>
                <w:sz w:val="18"/>
                <w:szCs w:val="18"/>
              </w:rPr>
              <w:t xml:space="preserve"> </w:t>
            </w:r>
            <w:r>
              <w:rPr>
                <w:color w:val="020303"/>
                <w:sz w:val="18"/>
                <w:szCs w:val="18"/>
              </w:rPr>
              <w:t>is</w:t>
            </w:r>
            <w:r>
              <w:rPr>
                <w:color w:val="020303"/>
                <w:spacing w:val="-14"/>
                <w:sz w:val="18"/>
                <w:szCs w:val="18"/>
              </w:rPr>
              <w:t xml:space="preserve"> </w:t>
            </w:r>
            <w:r>
              <w:rPr>
                <w:color w:val="020303"/>
                <w:sz w:val="18"/>
                <w:szCs w:val="18"/>
              </w:rPr>
              <w:t>not</w:t>
            </w:r>
            <w:r>
              <w:rPr>
                <w:color w:val="020303"/>
                <w:spacing w:val="-12"/>
                <w:sz w:val="18"/>
                <w:szCs w:val="18"/>
              </w:rPr>
              <w:t xml:space="preserve"> </w:t>
            </w:r>
            <w:r>
              <w:rPr>
                <w:color w:val="020303"/>
                <w:sz w:val="18"/>
                <w:szCs w:val="18"/>
              </w:rPr>
              <w:t>underwritten</w:t>
            </w:r>
            <w:r>
              <w:rPr>
                <w:color w:val="020303"/>
                <w:spacing w:val="-11"/>
                <w:sz w:val="18"/>
                <w:szCs w:val="18"/>
              </w:rPr>
              <w:t xml:space="preserve"> </w:t>
            </w:r>
            <w:r>
              <w:rPr>
                <w:color w:val="020303"/>
                <w:sz w:val="18"/>
                <w:szCs w:val="18"/>
              </w:rPr>
              <w:t>but</w:t>
            </w:r>
            <w:r>
              <w:rPr>
                <w:color w:val="020303"/>
                <w:spacing w:val="-15"/>
                <w:sz w:val="18"/>
                <w:szCs w:val="18"/>
              </w:rPr>
              <w:t xml:space="preserve"> </w:t>
            </w:r>
            <w:r>
              <w:rPr>
                <w:color w:val="020303"/>
                <w:sz w:val="18"/>
                <w:szCs w:val="18"/>
              </w:rPr>
              <w:t>each</w:t>
            </w:r>
            <w:r>
              <w:rPr>
                <w:color w:val="020303"/>
                <w:spacing w:val="-14"/>
                <w:sz w:val="18"/>
                <w:szCs w:val="18"/>
              </w:rPr>
              <w:t xml:space="preserve"> </w:t>
            </w:r>
            <w:r>
              <w:rPr>
                <w:color w:val="020303"/>
                <w:sz w:val="18"/>
                <w:szCs w:val="18"/>
              </w:rPr>
              <w:t>investor</w:t>
            </w:r>
            <w:r>
              <w:rPr>
                <w:color w:val="020303"/>
                <w:spacing w:val="-14"/>
                <w:sz w:val="18"/>
                <w:szCs w:val="18"/>
              </w:rPr>
              <w:t xml:space="preserve"> </w:t>
            </w:r>
            <w:r>
              <w:rPr>
                <w:color w:val="020303"/>
                <w:sz w:val="18"/>
                <w:szCs w:val="18"/>
              </w:rPr>
              <w:t>participating</w:t>
            </w:r>
            <w:r>
              <w:rPr>
                <w:color w:val="020303"/>
                <w:spacing w:val="-14"/>
                <w:sz w:val="18"/>
                <w:szCs w:val="18"/>
              </w:rPr>
              <w:t xml:space="preserve"> </w:t>
            </w:r>
            <w:r>
              <w:rPr>
                <w:color w:val="020303"/>
                <w:sz w:val="18"/>
                <w:szCs w:val="18"/>
              </w:rPr>
              <w:t>in</w:t>
            </w:r>
            <w:r>
              <w:rPr>
                <w:color w:val="020303"/>
                <w:spacing w:val="-14"/>
                <w:sz w:val="18"/>
                <w:szCs w:val="18"/>
              </w:rPr>
              <w:t xml:space="preserve"> </w:t>
            </w:r>
            <w:r>
              <w:rPr>
                <w:color w:val="020303"/>
                <w:sz w:val="18"/>
                <w:szCs w:val="18"/>
              </w:rPr>
              <w:t>the</w:t>
            </w:r>
            <w:r>
              <w:rPr>
                <w:color w:val="020303"/>
                <w:spacing w:val="-13"/>
                <w:sz w:val="18"/>
                <w:szCs w:val="18"/>
              </w:rPr>
              <w:t xml:space="preserve"> </w:t>
            </w:r>
            <w:r>
              <w:rPr>
                <w:color w:val="020303"/>
                <w:sz w:val="18"/>
                <w:szCs w:val="18"/>
              </w:rPr>
              <w:t>Placing</w:t>
            </w:r>
            <w:r>
              <w:rPr>
                <w:color w:val="020303"/>
                <w:spacing w:val="-14"/>
                <w:sz w:val="18"/>
                <w:szCs w:val="18"/>
              </w:rPr>
              <w:t xml:space="preserve"> </w:t>
            </w:r>
            <w:r>
              <w:rPr>
                <w:color w:val="020303"/>
                <w:sz w:val="18"/>
                <w:szCs w:val="18"/>
              </w:rPr>
              <w:t>has</w:t>
            </w:r>
            <w:r>
              <w:rPr>
                <w:color w:val="020303"/>
                <w:spacing w:val="-14"/>
                <w:sz w:val="18"/>
                <w:szCs w:val="18"/>
              </w:rPr>
              <w:t xml:space="preserve"> </w:t>
            </w:r>
            <w:r>
              <w:rPr>
                <w:color w:val="020303"/>
                <w:sz w:val="18"/>
                <w:szCs w:val="18"/>
              </w:rPr>
              <w:t xml:space="preserve">provided a legally binding commitment to irrevocably subscribe for Placing Shares subject to and conditional upon Admission occurring by </w:t>
            </w:r>
            <w:r w:rsidR="00F0017F">
              <w:rPr>
                <w:sz w:val="18"/>
                <w:szCs w:val="18"/>
              </w:rPr>
              <w:t>12 July</w:t>
            </w:r>
            <w:r>
              <w:rPr>
                <w:color w:val="020303"/>
                <w:sz w:val="18"/>
                <w:szCs w:val="18"/>
              </w:rPr>
              <w:t xml:space="preserve"> 2021 (or such later date as agreed in writing between the parties, provided such date is not later than </w:t>
            </w:r>
            <w:r w:rsidR="00F0017F">
              <w:rPr>
                <w:sz w:val="18"/>
                <w:szCs w:val="18"/>
              </w:rPr>
              <w:t>31 July</w:t>
            </w:r>
            <w:r>
              <w:rPr>
                <w:sz w:val="18"/>
                <w:szCs w:val="18"/>
              </w:rPr>
              <w:t xml:space="preserve"> 2021</w:t>
            </w:r>
            <w:r>
              <w:rPr>
                <w:color w:val="020303"/>
                <w:sz w:val="18"/>
                <w:szCs w:val="18"/>
              </w:rPr>
              <w:t>).</w:t>
            </w:r>
          </w:p>
        </w:tc>
      </w:tr>
      <w:tr w:rsidR="0031766D" w14:paraId="1AF24599" w14:textId="77777777" w:rsidTr="0047572B">
        <w:trPr>
          <w:trHeight w:val="1681"/>
        </w:trPr>
        <w:tc>
          <w:tcPr>
            <w:tcW w:w="1395" w:type="dxa"/>
            <w:tcBorders>
              <w:top w:val="single" w:sz="4" w:space="0" w:color="231F20"/>
              <w:left w:val="single" w:sz="4" w:space="0" w:color="231F20"/>
              <w:bottom w:val="single" w:sz="4" w:space="0" w:color="231F20"/>
              <w:right w:val="single" w:sz="4" w:space="0" w:color="231F20"/>
            </w:tcBorders>
          </w:tcPr>
          <w:p w14:paraId="72C5EA64" w14:textId="77777777" w:rsidR="0031766D" w:rsidRDefault="0031766D" w:rsidP="0047572B">
            <w:pPr>
              <w:pStyle w:val="TableParagraph"/>
              <w:kinsoku w:val="0"/>
              <w:overflowPunct w:val="0"/>
              <w:ind w:left="107" w:right="566"/>
              <w:rPr>
                <w:color w:val="050606"/>
                <w:sz w:val="18"/>
                <w:szCs w:val="18"/>
              </w:rPr>
            </w:pPr>
            <w:r>
              <w:rPr>
                <w:color w:val="050606"/>
                <w:sz w:val="18"/>
                <w:szCs w:val="18"/>
              </w:rPr>
              <w:t>Material Interests</w:t>
            </w:r>
          </w:p>
        </w:tc>
        <w:tc>
          <w:tcPr>
            <w:tcW w:w="7956" w:type="dxa"/>
            <w:tcBorders>
              <w:top w:val="single" w:sz="4" w:space="0" w:color="231F20"/>
              <w:left w:val="single" w:sz="4" w:space="0" w:color="231F20"/>
              <w:bottom w:val="single" w:sz="4" w:space="0" w:color="231F20"/>
              <w:right w:val="single" w:sz="4" w:space="0" w:color="231F20"/>
            </w:tcBorders>
          </w:tcPr>
          <w:p w14:paraId="68F505F4" w14:textId="7806F281" w:rsidR="0031766D" w:rsidRDefault="0031766D" w:rsidP="0047572B">
            <w:pPr>
              <w:pStyle w:val="TableParagraph"/>
              <w:kinsoku w:val="0"/>
              <w:overflowPunct w:val="0"/>
              <w:ind w:left="108" w:right="89"/>
              <w:jc w:val="both"/>
              <w:rPr>
                <w:color w:val="231F20"/>
                <w:sz w:val="18"/>
                <w:szCs w:val="18"/>
              </w:rPr>
            </w:pPr>
            <w:r>
              <w:rPr>
                <w:color w:val="231F20"/>
                <w:sz w:val="18"/>
                <w:szCs w:val="18"/>
              </w:rPr>
              <w:t>Save as disclosed herein, there are no interests, including any conflicting interests, known to the</w:t>
            </w:r>
            <w:r>
              <w:rPr>
                <w:color w:val="231F20"/>
                <w:spacing w:val="-5"/>
                <w:sz w:val="18"/>
                <w:szCs w:val="18"/>
              </w:rPr>
              <w:t xml:space="preserve"> </w:t>
            </w:r>
            <w:r>
              <w:rPr>
                <w:color w:val="231F20"/>
                <w:sz w:val="18"/>
                <w:szCs w:val="18"/>
              </w:rPr>
              <w:t>Company</w:t>
            </w:r>
            <w:r>
              <w:rPr>
                <w:color w:val="231F20"/>
                <w:spacing w:val="-7"/>
                <w:sz w:val="18"/>
                <w:szCs w:val="18"/>
              </w:rPr>
              <w:t xml:space="preserve"> </w:t>
            </w:r>
            <w:r>
              <w:rPr>
                <w:color w:val="231F20"/>
                <w:sz w:val="18"/>
                <w:szCs w:val="18"/>
              </w:rPr>
              <w:t>that</w:t>
            </w:r>
            <w:r>
              <w:rPr>
                <w:color w:val="231F20"/>
                <w:spacing w:val="-6"/>
                <w:sz w:val="18"/>
                <w:szCs w:val="18"/>
              </w:rPr>
              <w:t xml:space="preserve"> </w:t>
            </w:r>
            <w:r>
              <w:rPr>
                <w:color w:val="231F20"/>
                <w:sz w:val="18"/>
                <w:szCs w:val="18"/>
              </w:rPr>
              <w:t>are</w:t>
            </w:r>
            <w:r>
              <w:rPr>
                <w:color w:val="231F20"/>
                <w:spacing w:val="-7"/>
                <w:sz w:val="18"/>
                <w:szCs w:val="18"/>
              </w:rPr>
              <w:t xml:space="preserve"> </w:t>
            </w:r>
            <w:r>
              <w:rPr>
                <w:color w:val="231F20"/>
                <w:sz w:val="18"/>
                <w:szCs w:val="18"/>
              </w:rPr>
              <w:t>material</w:t>
            </w:r>
            <w:r>
              <w:rPr>
                <w:color w:val="231F20"/>
                <w:spacing w:val="-6"/>
                <w:sz w:val="18"/>
                <w:szCs w:val="18"/>
              </w:rPr>
              <w:t xml:space="preserve"> </w:t>
            </w:r>
            <w:r>
              <w:rPr>
                <w:color w:val="231F20"/>
                <w:sz w:val="18"/>
                <w:szCs w:val="18"/>
              </w:rPr>
              <w:t>to</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Company</w:t>
            </w:r>
            <w:r>
              <w:rPr>
                <w:color w:val="231F20"/>
                <w:spacing w:val="-6"/>
                <w:sz w:val="18"/>
                <w:szCs w:val="18"/>
              </w:rPr>
              <w:t xml:space="preserve"> </w:t>
            </w:r>
            <w:r>
              <w:rPr>
                <w:color w:val="231F20"/>
                <w:sz w:val="18"/>
                <w:szCs w:val="18"/>
              </w:rPr>
              <w:t>or</w:t>
            </w:r>
            <w:r>
              <w:rPr>
                <w:color w:val="231F20"/>
                <w:spacing w:val="-8"/>
                <w:sz w:val="18"/>
                <w:szCs w:val="18"/>
              </w:rPr>
              <w:t xml:space="preserve"> </w:t>
            </w:r>
            <w:r>
              <w:rPr>
                <w:color w:val="231F20"/>
                <w:sz w:val="18"/>
                <w:szCs w:val="18"/>
              </w:rPr>
              <w:t>the</w:t>
            </w:r>
            <w:r>
              <w:rPr>
                <w:color w:val="231F20"/>
                <w:spacing w:val="-5"/>
                <w:sz w:val="18"/>
                <w:szCs w:val="18"/>
              </w:rPr>
              <w:t xml:space="preserve"> </w:t>
            </w:r>
            <w:r>
              <w:rPr>
                <w:color w:val="231F20"/>
                <w:sz w:val="18"/>
                <w:szCs w:val="18"/>
              </w:rPr>
              <w:t>Placing.</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Directors</w:t>
            </w:r>
            <w:r>
              <w:rPr>
                <w:color w:val="231F20"/>
                <w:spacing w:val="-7"/>
                <w:sz w:val="18"/>
                <w:szCs w:val="18"/>
              </w:rPr>
              <w:t xml:space="preserve"> </w:t>
            </w:r>
            <w:r>
              <w:rPr>
                <w:color w:val="231F20"/>
                <w:sz w:val="18"/>
                <w:szCs w:val="18"/>
              </w:rPr>
              <w:t>have</w:t>
            </w:r>
            <w:r>
              <w:rPr>
                <w:color w:val="231F20"/>
                <w:spacing w:val="-6"/>
                <w:sz w:val="18"/>
                <w:szCs w:val="18"/>
              </w:rPr>
              <w:t xml:space="preserve"> </w:t>
            </w:r>
            <w:r>
              <w:rPr>
                <w:color w:val="231F20"/>
                <w:sz w:val="18"/>
                <w:szCs w:val="18"/>
              </w:rPr>
              <w:t xml:space="preserve">interests in other companies, which are in some cases of a similar nature to the Company. This may lead to conflicts of interest as a result of fiduciary obligations owed to both Companies, </w:t>
            </w:r>
            <w:proofErr w:type="gramStart"/>
            <w:r>
              <w:rPr>
                <w:color w:val="231F20"/>
                <w:sz w:val="18"/>
                <w:szCs w:val="18"/>
              </w:rPr>
              <w:t>or</w:t>
            </w:r>
            <w:proofErr w:type="gramEnd"/>
            <w:r>
              <w:rPr>
                <w:color w:val="231F20"/>
                <w:sz w:val="18"/>
                <w:szCs w:val="18"/>
              </w:rPr>
              <w:t xml:space="preserve"> simply</w:t>
            </w:r>
            <w:r>
              <w:rPr>
                <w:color w:val="231F20"/>
                <w:spacing w:val="-16"/>
                <w:sz w:val="18"/>
                <w:szCs w:val="18"/>
              </w:rPr>
              <w:t xml:space="preserve"> </w:t>
            </w:r>
            <w:r>
              <w:rPr>
                <w:color w:val="231F20"/>
                <w:sz w:val="18"/>
                <w:szCs w:val="18"/>
              </w:rPr>
              <w:t>lead</w:t>
            </w:r>
            <w:r>
              <w:rPr>
                <w:color w:val="231F20"/>
                <w:spacing w:val="-14"/>
                <w:sz w:val="18"/>
                <w:szCs w:val="18"/>
              </w:rPr>
              <w:t xml:space="preserve"> </w:t>
            </w:r>
            <w:r>
              <w:rPr>
                <w:color w:val="231F20"/>
                <w:sz w:val="18"/>
                <w:szCs w:val="18"/>
              </w:rPr>
              <w:t>to</w:t>
            </w:r>
            <w:r>
              <w:rPr>
                <w:color w:val="231F20"/>
                <w:spacing w:val="-14"/>
                <w:sz w:val="18"/>
                <w:szCs w:val="18"/>
              </w:rPr>
              <w:t xml:space="preserve"> </w:t>
            </w:r>
            <w:r>
              <w:rPr>
                <w:color w:val="231F20"/>
                <w:sz w:val="18"/>
                <w:szCs w:val="18"/>
              </w:rPr>
              <w:t>conflicts</w:t>
            </w:r>
            <w:r>
              <w:rPr>
                <w:color w:val="231F20"/>
                <w:spacing w:val="-14"/>
                <w:sz w:val="18"/>
                <w:szCs w:val="18"/>
              </w:rPr>
              <w:t xml:space="preserve"> </w:t>
            </w:r>
            <w:r>
              <w:rPr>
                <w:color w:val="231F20"/>
                <w:sz w:val="18"/>
                <w:szCs w:val="18"/>
              </w:rPr>
              <w:t>in</w:t>
            </w:r>
            <w:r>
              <w:rPr>
                <w:color w:val="231F20"/>
                <w:spacing w:val="-16"/>
                <w:sz w:val="18"/>
                <w:szCs w:val="18"/>
              </w:rPr>
              <w:t xml:space="preserve"> </w:t>
            </w:r>
            <w:r>
              <w:rPr>
                <w:color w:val="231F20"/>
                <w:sz w:val="18"/>
                <w:szCs w:val="18"/>
              </w:rPr>
              <w:t>allocating</w:t>
            </w:r>
            <w:r>
              <w:rPr>
                <w:color w:val="231F20"/>
                <w:spacing w:val="-14"/>
                <w:sz w:val="18"/>
                <w:szCs w:val="18"/>
              </w:rPr>
              <w:t xml:space="preserve"> </w:t>
            </w:r>
            <w:r>
              <w:rPr>
                <w:color w:val="231F20"/>
                <w:sz w:val="18"/>
                <w:szCs w:val="18"/>
              </w:rPr>
              <w:t>sufficient</w:t>
            </w:r>
            <w:r>
              <w:rPr>
                <w:color w:val="231F20"/>
                <w:spacing w:val="-15"/>
                <w:sz w:val="18"/>
                <w:szCs w:val="18"/>
              </w:rPr>
              <w:t xml:space="preserve"> </w:t>
            </w:r>
            <w:r>
              <w:rPr>
                <w:color w:val="231F20"/>
                <w:sz w:val="18"/>
                <w:szCs w:val="18"/>
              </w:rPr>
              <w:t>management</w:t>
            </w:r>
            <w:r>
              <w:rPr>
                <w:color w:val="231F20"/>
                <w:spacing w:val="-15"/>
                <w:sz w:val="18"/>
                <w:szCs w:val="18"/>
              </w:rPr>
              <w:t xml:space="preserve"> </w:t>
            </w:r>
            <w:r>
              <w:rPr>
                <w:color w:val="231F20"/>
                <w:sz w:val="18"/>
                <w:szCs w:val="18"/>
              </w:rPr>
              <w:t>time</w:t>
            </w:r>
            <w:r>
              <w:rPr>
                <w:color w:val="231F20"/>
                <w:spacing w:val="-14"/>
                <w:sz w:val="18"/>
                <w:szCs w:val="18"/>
              </w:rPr>
              <w:t xml:space="preserve"> </w:t>
            </w:r>
            <w:r>
              <w:rPr>
                <w:color w:val="231F20"/>
                <w:sz w:val="18"/>
                <w:szCs w:val="18"/>
              </w:rPr>
              <w:t>to</w:t>
            </w:r>
            <w:r>
              <w:rPr>
                <w:color w:val="231F20"/>
                <w:spacing w:val="-14"/>
                <w:sz w:val="18"/>
                <w:szCs w:val="18"/>
              </w:rPr>
              <w:t xml:space="preserve"> </w:t>
            </w:r>
            <w:r>
              <w:rPr>
                <w:color w:val="231F20"/>
                <w:sz w:val="18"/>
                <w:szCs w:val="18"/>
              </w:rPr>
              <w:t>the</w:t>
            </w:r>
            <w:r>
              <w:rPr>
                <w:color w:val="231F20"/>
                <w:spacing w:val="-13"/>
                <w:sz w:val="18"/>
                <w:szCs w:val="18"/>
              </w:rPr>
              <w:t xml:space="preserve"> </w:t>
            </w:r>
            <w:r>
              <w:rPr>
                <w:color w:val="231F20"/>
                <w:sz w:val="18"/>
                <w:szCs w:val="18"/>
              </w:rPr>
              <w:t>Company.</w:t>
            </w:r>
            <w:r>
              <w:rPr>
                <w:color w:val="231F20"/>
                <w:spacing w:val="-15"/>
                <w:sz w:val="18"/>
                <w:szCs w:val="18"/>
              </w:rPr>
              <w:t xml:space="preserve"> </w:t>
            </w:r>
            <w:r>
              <w:rPr>
                <w:color w:val="231F20"/>
                <w:sz w:val="18"/>
                <w:szCs w:val="18"/>
              </w:rPr>
              <w:t>The</w:t>
            </w:r>
            <w:r>
              <w:rPr>
                <w:color w:val="231F20"/>
                <w:spacing w:val="-14"/>
                <w:sz w:val="18"/>
                <w:szCs w:val="18"/>
              </w:rPr>
              <w:t xml:space="preserve"> </w:t>
            </w:r>
            <w:r>
              <w:rPr>
                <w:color w:val="231F20"/>
                <w:sz w:val="18"/>
                <w:szCs w:val="18"/>
              </w:rPr>
              <w:t>Directors may become aware of business opportunities and experience conflicts when deciding which of</w:t>
            </w:r>
            <w:r>
              <w:rPr>
                <w:color w:val="231F20"/>
                <w:spacing w:val="18"/>
                <w:sz w:val="18"/>
                <w:szCs w:val="18"/>
              </w:rPr>
              <w:t xml:space="preserve"> </w:t>
            </w:r>
            <w:r>
              <w:rPr>
                <w:color w:val="231F20"/>
                <w:sz w:val="18"/>
                <w:szCs w:val="18"/>
              </w:rPr>
              <w:t>the</w:t>
            </w:r>
            <w:r>
              <w:rPr>
                <w:color w:val="231F20"/>
                <w:spacing w:val="16"/>
                <w:sz w:val="18"/>
                <w:szCs w:val="18"/>
              </w:rPr>
              <w:t xml:space="preserve"> </w:t>
            </w:r>
            <w:r>
              <w:rPr>
                <w:color w:val="231F20"/>
                <w:sz w:val="18"/>
                <w:szCs w:val="18"/>
              </w:rPr>
              <w:t>companies</w:t>
            </w:r>
            <w:r>
              <w:rPr>
                <w:color w:val="231F20"/>
                <w:spacing w:val="18"/>
                <w:sz w:val="18"/>
                <w:szCs w:val="18"/>
              </w:rPr>
              <w:t xml:space="preserve"> </w:t>
            </w:r>
            <w:r>
              <w:rPr>
                <w:color w:val="231F20"/>
                <w:sz w:val="18"/>
                <w:szCs w:val="18"/>
              </w:rPr>
              <w:t>they</w:t>
            </w:r>
            <w:r>
              <w:rPr>
                <w:color w:val="231F20"/>
                <w:spacing w:val="17"/>
                <w:sz w:val="18"/>
                <w:szCs w:val="18"/>
              </w:rPr>
              <w:t xml:space="preserve"> </w:t>
            </w:r>
            <w:r>
              <w:rPr>
                <w:color w:val="231F20"/>
                <w:sz w:val="18"/>
                <w:szCs w:val="18"/>
              </w:rPr>
              <w:t>are</w:t>
            </w:r>
            <w:r>
              <w:rPr>
                <w:color w:val="231F20"/>
                <w:spacing w:val="16"/>
                <w:sz w:val="18"/>
                <w:szCs w:val="18"/>
              </w:rPr>
              <w:t xml:space="preserve"> </w:t>
            </w:r>
            <w:r>
              <w:rPr>
                <w:color w:val="231F20"/>
                <w:sz w:val="18"/>
                <w:szCs w:val="18"/>
              </w:rPr>
              <w:t>interested</w:t>
            </w:r>
            <w:r>
              <w:rPr>
                <w:color w:val="231F20"/>
                <w:spacing w:val="18"/>
                <w:sz w:val="18"/>
                <w:szCs w:val="18"/>
              </w:rPr>
              <w:t xml:space="preserve"> </w:t>
            </w:r>
            <w:r>
              <w:rPr>
                <w:color w:val="231F20"/>
                <w:sz w:val="18"/>
                <w:szCs w:val="18"/>
              </w:rPr>
              <w:t>in</w:t>
            </w:r>
            <w:r>
              <w:rPr>
                <w:color w:val="231F20"/>
                <w:spacing w:val="16"/>
                <w:sz w:val="18"/>
                <w:szCs w:val="18"/>
              </w:rPr>
              <w:t xml:space="preserve"> </w:t>
            </w:r>
            <w:r>
              <w:rPr>
                <w:color w:val="231F20"/>
                <w:sz w:val="18"/>
                <w:szCs w:val="18"/>
              </w:rPr>
              <w:t>to</w:t>
            </w:r>
            <w:r>
              <w:rPr>
                <w:color w:val="231F20"/>
                <w:spacing w:val="19"/>
                <w:sz w:val="18"/>
                <w:szCs w:val="18"/>
              </w:rPr>
              <w:t xml:space="preserve"> </w:t>
            </w:r>
            <w:r>
              <w:rPr>
                <w:color w:val="231F20"/>
                <w:sz w:val="18"/>
                <w:szCs w:val="18"/>
              </w:rPr>
              <w:t>present</w:t>
            </w:r>
            <w:r>
              <w:rPr>
                <w:color w:val="231F20"/>
                <w:spacing w:val="18"/>
                <w:sz w:val="18"/>
                <w:szCs w:val="18"/>
              </w:rPr>
              <w:t xml:space="preserve"> </w:t>
            </w:r>
            <w:r>
              <w:rPr>
                <w:color w:val="231F20"/>
                <w:sz w:val="18"/>
                <w:szCs w:val="18"/>
              </w:rPr>
              <w:t>the</w:t>
            </w:r>
            <w:r>
              <w:rPr>
                <w:color w:val="231F20"/>
                <w:spacing w:val="19"/>
                <w:sz w:val="18"/>
                <w:szCs w:val="18"/>
              </w:rPr>
              <w:t xml:space="preserve"> </w:t>
            </w:r>
            <w:r>
              <w:rPr>
                <w:color w:val="231F20"/>
                <w:sz w:val="18"/>
                <w:szCs w:val="18"/>
              </w:rPr>
              <w:t>opportunity</w:t>
            </w:r>
            <w:r>
              <w:rPr>
                <w:color w:val="231F20"/>
                <w:spacing w:val="16"/>
                <w:sz w:val="18"/>
                <w:szCs w:val="18"/>
              </w:rPr>
              <w:t xml:space="preserve"> </w:t>
            </w:r>
            <w:r>
              <w:rPr>
                <w:color w:val="231F20"/>
                <w:sz w:val="18"/>
                <w:szCs w:val="18"/>
              </w:rPr>
              <w:t>to,</w:t>
            </w:r>
            <w:r>
              <w:rPr>
                <w:color w:val="231F20"/>
                <w:spacing w:val="19"/>
                <w:sz w:val="18"/>
                <w:szCs w:val="18"/>
              </w:rPr>
              <w:t xml:space="preserve"> </w:t>
            </w:r>
            <w:r>
              <w:rPr>
                <w:color w:val="231F20"/>
                <w:sz w:val="18"/>
                <w:szCs w:val="18"/>
              </w:rPr>
              <w:t>which</w:t>
            </w:r>
            <w:r>
              <w:rPr>
                <w:color w:val="231F20"/>
                <w:spacing w:val="16"/>
                <w:sz w:val="18"/>
                <w:szCs w:val="18"/>
              </w:rPr>
              <w:t xml:space="preserve"> </w:t>
            </w:r>
            <w:r>
              <w:rPr>
                <w:color w:val="231F20"/>
                <w:sz w:val="18"/>
                <w:szCs w:val="18"/>
              </w:rPr>
              <w:t>may</w:t>
            </w:r>
            <w:r>
              <w:rPr>
                <w:color w:val="231F20"/>
                <w:spacing w:val="16"/>
                <w:sz w:val="18"/>
                <w:szCs w:val="18"/>
              </w:rPr>
              <w:t xml:space="preserve"> </w:t>
            </w:r>
            <w:r>
              <w:rPr>
                <w:color w:val="231F20"/>
                <w:sz w:val="18"/>
                <w:szCs w:val="18"/>
              </w:rPr>
              <w:t>be</w:t>
            </w:r>
            <w:r>
              <w:rPr>
                <w:color w:val="231F20"/>
                <w:spacing w:val="19"/>
                <w:sz w:val="18"/>
                <w:szCs w:val="18"/>
              </w:rPr>
              <w:t xml:space="preserve"> </w:t>
            </w:r>
            <w:r>
              <w:rPr>
                <w:color w:val="231F20"/>
                <w:sz w:val="18"/>
                <w:szCs w:val="18"/>
              </w:rPr>
              <w:t>to</w:t>
            </w:r>
            <w:r>
              <w:rPr>
                <w:color w:val="231F20"/>
                <w:spacing w:val="16"/>
                <w:sz w:val="18"/>
                <w:szCs w:val="18"/>
              </w:rPr>
              <w:t xml:space="preserve"> </w:t>
            </w:r>
            <w:r>
              <w:rPr>
                <w:color w:val="231F20"/>
                <w:sz w:val="18"/>
                <w:szCs w:val="18"/>
              </w:rPr>
              <w:t xml:space="preserve">the detriment of the Company. </w:t>
            </w:r>
          </w:p>
        </w:tc>
      </w:tr>
    </w:tbl>
    <w:p w14:paraId="5B64BDE5" w14:textId="77777777" w:rsidR="0031766D" w:rsidRPr="00057D64" w:rsidRDefault="0031766D" w:rsidP="0031766D">
      <w:pPr>
        <w:rPr>
          <w:sz w:val="16"/>
          <w:szCs w:val="16"/>
        </w:rPr>
      </w:pPr>
      <w:r>
        <w:rPr>
          <w:sz w:val="16"/>
          <w:szCs w:val="16"/>
        </w:rPr>
        <w:br w:type="textWrapping" w:clear="all"/>
      </w:r>
    </w:p>
    <w:p w14:paraId="252FD7E6" w14:textId="39362015" w:rsidR="00783288" w:rsidRPr="00BE2D90" w:rsidRDefault="00783288" w:rsidP="00057D64">
      <w:pPr>
        <w:tabs>
          <w:tab w:val="left" w:pos="9748"/>
        </w:tabs>
        <w:rPr>
          <w:sz w:val="16"/>
          <w:szCs w:val="16"/>
        </w:rPr>
        <w:sectPr w:rsidR="00783288" w:rsidRPr="00BE2D90">
          <w:pgSz w:w="11900" w:h="16840"/>
          <w:pgMar w:top="1440" w:right="240" w:bottom="1080" w:left="1140" w:header="0" w:footer="891" w:gutter="0"/>
          <w:cols w:space="720"/>
          <w:noEndnote/>
        </w:sectPr>
      </w:pPr>
    </w:p>
    <w:p w14:paraId="1F8963E7" w14:textId="77777777" w:rsidR="00783288" w:rsidRDefault="00E31420">
      <w:pPr>
        <w:pStyle w:val="BodyText"/>
        <w:kinsoku w:val="0"/>
        <w:overflowPunct w:val="0"/>
        <w:spacing w:before="74"/>
        <w:ind w:left="378" w:right="1273"/>
        <w:jc w:val="center"/>
        <w:rPr>
          <w:b/>
          <w:bCs/>
          <w:color w:val="231F20"/>
        </w:rPr>
      </w:pPr>
      <w:r>
        <w:rPr>
          <w:b/>
          <w:bCs/>
          <w:color w:val="231F20"/>
        </w:rPr>
        <w:lastRenderedPageBreak/>
        <w:t>RISK FACTORS</w:t>
      </w:r>
    </w:p>
    <w:p w14:paraId="4EF2A32A" w14:textId="77777777" w:rsidR="00727924" w:rsidRDefault="00727924" w:rsidP="00030991">
      <w:pPr>
        <w:pStyle w:val="BodyText"/>
        <w:kinsoku w:val="0"/>
        <w:overflowPunct w:val="0"/>
        <w:ind w:right="1188"/>
        <w:jc w:val="both"/>
        <w:rPr>
          <w:b/>
          <w:bCs/>
          <w:color w:val="231F20"/>
        </w:rPr>
      </w:pPr>
    </w:p>
    <w:p w14:paraId="0FAF97B6" w14:textId="07065BF7" w:rsidR="00783288" w:rsidRDefault="00E31420">
      <w:pPr>
        <w:pStyle w:val="BodyText"/>
        <w:kinsoku w:val="0"/>
        <w:overflowPunct w:val="0"/>
        <w:ind w:left="300" w:right="1188"/>
        <w:jc w:val="both"/>
        <w:rPr>
          <w:b/>
          <w:bCs/>
          <w:color w:val="231F20"/>
        </w:rPr>
      </w:pPr>
      <w:r>
        <w:rPr>
          <w:b/>
          <w:bCs/>
          <w:color w:val="231F20"/>
        </w:rPr>
        <w:t>Investme</w:t>
      </w:r>
      <w:r>
        <w:rPr>
          <w:b/>
          <w:bCs/>
          <w:color w:val="1C1C1E"/>
        </w:rPr>
        <w:t>n</w:t>
      </w:r>
      <w:r>
        <w:rPr>
          <w:b/>
          <w:bCs/>
          <w:color w:val="231F20"/>
        </w:rPr>
        <w:t>t</w:t>
      </w:r>
      <w:r>
        <w:rPr>
          <w:b/>
          <w:bCs/>
          <w:color w:val="231F20"/>
          <w:spacing w:val="-4"/>
        </w:rPr>
        <w:t xml:space="preserve"> </w:t>
      </w:r>
      <w:r>
        <w:rPr>
          <w:b/>
          <w:bCs/>
          <w:color w:val="231F20"/>
        </w:rPr>
        <w:t>in</w:t>
      </w:r>
      <w:r>
        <w:rPr>
          <w:b/>
          <w:bCs/>
          <w:color w:val="231F20"/>
          <w:spacing w:val="-4"/>
        </w:rPr>
        <w:t xml:space="preserve"> </w:t>
      </w:r>
      <w:r>
        <w:rPr>
          <w:b/>
          <w:bCs/>
          <w:color w:val="231F20"/>
        </w:rPr>
        <w:t>the</w:t>
      </w:r>
      <w:r>
        <w:rPr>
          <w:b/>
          <w:bCs/>
          <w:color w:val="231F20"/>
          <w:spacing w:val="-4"/>
        </w:rPr>
        <w:t xml:space="preserve"> </w:t>
      </w:r>
      <w:r>
        <w:rPr>
          <w:b/>
          <w:bCs/>
          <w:color w:val="1C1C1E"/>
        </w:rPr>
        <w:t>C</w:t>
      </w:r>
      <w:r>
        <w:rPr>
          <w:b/>
          <w:bCs/>
          <w:color w:val="231F20"/>
        </w:rPr>
        <w:t>ompan</w:t>
      </w:r>
      <w:r>
        <w:rPr>
          <w:b/>
          <w:bCs/>
          <w:color w:val="1C1C1E"/>
        </w:rPr>
        <w:t>y</w:t>
      </w:r>
      <w:r>
        <w:rPr>
          <w:b/>
          <w:bCs/>
          <w:color w:val="1C1C1E"/>
          <w:spacing w:val="-6"/>
        </w:rPr>
        <w:t xml:space="preserve"> </w:t>
      </w:r>
      <w:r>
        <w:rPr>
          <w:b/>
          <w:bCs/>
          <w:color w:val="231F20"/>
        </w:rPr>
        <w:t>and</w:t>
      </w:r>
      <w:r>
        <w:rPr>
          <w:b/>
          <w:bCs/>
          <w:color w:val="231F20"/>
          <w:spacing w:val="-1"/>
        </w:rPr>
        <w:t xml:space="preserve"> </w:t>
      </w:r>
      <w:r>
        <w:rPr>
          <w:b/>
          <w:bCs/>
          <w:color w:val="231F20"/>
        </w:rPr>
        <w:t>the</w:t>
      </w:r>
      <w:r>
        <w:rPr>
          <w:b/>
          <w:bCs/>
          <w:color w:val="231F20"/>
          <w:spacing w:val="-1"/>
        </w:rPr>
        <w:t xml:space="preserve"> </w:t>
      </w:r>
      <w:r>
        <w:rPr>
          <w:b/>
          <w:bCs/>
          <w:color w:val="231F20"/>
        </w:rPr>
        <w:t>O</w:t>
      </w:r>
      <w:r>
        <w:rPr>
          <w:b/>
          <w:bCs/>
          <w:color w:val="1C1C1E"/>
        </w:rPr>
        <w:t>r</w:t>
      </w:r>
      <w:r>
        <w:rPr>
          <w:b/>
          <w:bCs/>
          <w:color w:val="231F20"/>
        </w:rPr>
        <w:t>dinary</w:t>
      </w:r>
      <w:r>
        <w:rPr>
          <w:b/>
          <w:bCs/>
          <w:color w:val="231F20"/>
          <w:spacing w:val="-9"/>
        </w:rPr>
        <w:t xml:space="preserve"> </w:t>
      </w:r>
      <w:r>
        <w:rPr>
          <w:b/>
          <w:bCs/>
          <w:color w:val="231F20"/>
        </w:rPr>
        <w:t>Shares</w:t>
      </w:r>
      <w:r>
        <w:rPr>
          <w:b/>
          <w:bCs/>
          <w:color w:val="231F20"/>
          <w:spacing w:val="-1"/>
        </w:rPr>
        <w:t xml:space="preserve"> </w:t>
      </w:r>
      <w:r>
        <w:rPr>
          <w:b/>
          <w:bCs/>
          <w:color w:val="231F20"/>
        </w:rPr>
        <w:t>carr</w:t>
      </w:r>
      <w:r>
        <w:rPr>
          <w:b/>
          <w:bCs/>
          <w:color w:val="1C1C1E"/>
        </w:rPr>
        <w:t>i</w:t>
      </w:r>
      <w:r>
        <w:rPr>
          <w:b/>
          <w:bCs/>
          <w:color w:val="231F20"/>
        </w:rPr>
        <w:t>es</w:t>
      </w:r>
      <w:r>
        <w:rPr>
          <w:b/>
          <w:bCs/>
          <w:color w:val="231F20"/>
          <w:spacing w:val="-1"/>
        </w:rPr>
        <w:t xml:space="preserve"> </w:t>
      </w:r>
      <w:r>
        <w:rPr>
          <w:b/>
          <w:bCs/>
          <w:color w:val="231F20"/>
        </w:rPr>
        <w:t>a</w:t>
      </w:r>
      <w:r>
        <w:rPr>
          <w:b/>
          <w:bCs/>
          <w:color w:val="231F20"/>
          <w:spacing w:val="-4"/>
        </w:rPr>
        <w:t xml:space="preserve"> </w:t>
      </w:r>
      <w:r>
        <w:rPr>
          <w:b/>
          <w:bCs/>
          <w:color w:val="1C1C1E"/>
        </w:rPr>
        <w:t>s</w:t>
      </w:r>
      <w:r>
        <w:rPr>
          <w:b/>
          <w:bCs/>
          <w:color w:val="231F20"/>
        </w:rPr>
        <w:t>ig</w:t>
      </w:r>
      <w:r>
        <w:rPr>
          <w:b/>
          <w:bCs/>
          <w:color w:val="1C1C1E"/>
        </w:rPr>
        <w:t>ni</w:t>
      </w:r>
      <w:r>
        <w:rPr>
          <w:b/>
          <w:bCs/>
          <w:color w:val="231F20"/>
        </w:rPr>
        <w:t>ficant</w:t>
      </w:r>
      <w:r>
        <w:rPr>
          <w:b/>
          <w:bCs/>
          <w:color w:val="231F20"/>
          <w:spacing w:val="-4"/>
        </w:rPr>
        <w:t xml:space="preserve"> </w:t>
      </w:r>
      <w:r>
        <w:rPr>
          <w:b/>
          <w:bCs/>
          <w:color w:val="231F20"/>
        </w:rPr>
        <w:t>degree</w:t>
      </w:r>
      <w:r>
        <w:rPr>
          <w:b/>
          <w:bCs/>
          <w:color w:val="231F20"/>
          <w:spacing w:val="-4"/>
        </w:rPr>
        <w:t xml:space="preserve"> </w:t>
      </w:r>
      <w:r>
        <w:rPr>
          <w:b/>
          <w:bCs/>
          <w:color w:val="231F20"/>
        </w:rPr>
        <w:t>of</w:t>
      </w:r>
      <w:r>
        <w:rPr>
          <w:b/>
          <w:bCs/>
          <w:color w:val="231F20"/>
          <w:spacing w:val="-4"/>
        </w:rPr>
        <w:t xml:space="preserve"> </w:t>
      </w:r>
      <w:r>
        <w:rPr>
          <w:b/>
          <w:bCs/>
          <w:color w:val="1C1C1E"/>
        </w:rPr>
        <w:t>ri</w:t>
      </w:r>
      <w:r>
        <w:rPr>
          <w:b/>
          <w:bCs/>
          <w:color w:val="231F20"/>
        </w:rPr>
        <w:t>s</w:t>
      </w:r>
      <w:r>
        <w:rPr>
          <w:b/>
          <w:bCs/>
          <w:color w:val="1C1C1E"/>
        </w:rPr>
        <w:t>k,</w:t>
      </w:r>
      <w:r>
        <w:rPr>
          <w:b/>
          <w:bCs/>
          <w:color w:val="1C1C1E"/>
          <w:spacing w:val="-2"/>
        </w:rPr>
        <w:t xml:space="preserve"> </w:t>
      </w:r>
      <w:r>
        <w:rPr>
          <w:b/>
          <w:bCs/>
          <w:color w:val="231F20"/>
        </w:rPr>
        <w:t>includ</w:t>
      </w:r>
      <w:r>
        <w:rPr>
          <w:b/>
          <w:bCs/>
          <w:color w:val="1C1C1E"/>
        </w:rPr>
        <w:t>in</w:t>
      </w:r>
      <w:r>
        <w:rPr>
          <w:b/>
          <w:bCs/>
          <w:color w:val="231F20"/>
        </w:rPr>
        <w:t>g</w:t>
      </w:r>
      <w:r>
        <w:rPr>
          <w:b/>
          <w:bCs/>
          <w:color w:val="231F20"/>
          <w:spacing w:val="-4"/>
        </w:rPr>
        <w:t xml:space="preserve"> </w:t>
      </w:r>
      <w:r>
        <w:rPr>
          <w:b/>
          <w:bCs/>
          <w:color w:val="1C1C1E"/>
        </w:rPr>
        <w:t>r</w:t>
      </w:r>
      <w:r>
        <w:rPr>
          <w:b/>
          <w:bCs/>
          <w:color w:val="231F20"/>
        </w:rPr>
        <w:t>isk</w:t>
      </w:r>
      <w:r>
        <w:rPr>
          <w:b/>
          <w:bCs/>
          <w:color w:val="1C1C1E"/>
        </w:rPr>
        <w:t>s</w:t>
      </w:r>
      <w:r>
        <w:rPr>
          <w:b/>
          <w:bCs/>
          <w:color w:val="1C1C1E"/>
          <w:spacing w:val="-4"/>
        </w:rPr>
        <w:t xml:space="preserve"> </w:t>
      </w:r>
      <w:r>
        <w:rPr>
          <w:b/>
          <w:bCs/>
          <w:color w:val="1C1C1E"/>
        </w:rPr>
        <w:t>i</w:t>
      </w:r>
      <w:r>
        <w:rPr>
          <w:b/>
          <w:bCs/>
          <w:color w:val="231F20"/>
        </w:rPr>
        <w:t>n relat</w:t>
      </w:r>
      <w:r>
        <w:rPr>
          <w:b/>
          <w:bCs/>
          <w:color w:val="1C1C1E"/>
        </w:rPr>
        <w:t>i</w:t>
      </w:r>
      <w:r>
        <w:rPr>
          <w:b/>
          <w:bCs/>
          <w:color w:val="231F20"/>
        </w:rPr>
        <w:t xml:space="preserve">on </w:t>
      </w:r>
      <w:r>
        <w:rPr>
          <w:b/>
          <w:bCs/>
          <w:color w:val="1C1C1E"/>
        </w:rPr>
        <w:t>t</w:t>
      </w:r>
      <w:r>
        <w:rPr>
          <w:b/>
          <w:bCs/>
          <w:color w:val="231F20"/>
        </w:rPr>
        <w:t>o the Company</w:t>
      </w:r>
      <w:r>
        <w:rPr>
          <w:b/>
          <w:bCs/>
          <w:color w:val="1C1C1E"/>
        </w:rPr>
        <w:t>’</w:t>
      </w:r>
      <w:r>
        <w:rPr>
          <w:b/>
          <w:bCs/>
          <w:color w:val="231F20"/>
        </w:rPr>
        <w:t>s business strategy and the fact it is at an early stage of development</w:t>
      </w:r>
      <w:r>
        <w:rPr>
          <w:b/>
          <w:bCs/>
          <w:color w:val="1C1C1E"/>
        </w:rPr>
        <w:t>, ri</w:t>
      </w:r>
      <w:r>
        <w:rPr>
          <w:b/>
          <w:bCs/>
          <w:color w:val="231F20"/>
        </w:rPr>
        <w:t>s</w:t>
      </w:r>
      <w:r>
        <w:rPr>
          <w:b/>
          <w:bCs/>
          <w:color w:val="1C1C1E"/>
        </w:rPr>
        <w:t>k</w:t>
      </w:r>
      <w:r>
        <w:rPr>
          <w:b/>
          <w:bCs/>
          <w:color w:val="231F20"/>
        </w:rPr>
        <w:t xml:space="preserve">s </w:t>
      </w:r>
      <w:r>
        <w:rPr>
          <w:b/>
          <w:bCs/>
          <w:color w:val="1C1C1E"/>
        </w:rPr>
        <w:t>r</w:t>
      </w:r>
      <w:r>
        <w:rPr>
          <w:b/>
          <w:bCs/>
          <w:color w:val="231F20"/>
        </w:rPr>
        <w:t>elat</w:t>
      </w:r>
      <w:r>
        <w:rPr>
          <w:b/>
          <w:bCs/>
          <w:color w:val="1C1C1E"/>
        </w:rPr>
        <w:t>i</w:t>
      </w:r>
      <w:r>
        <w:rPr>
          <w:b/>
          <w:bCs/>
          <w:color w:val="231F20"/>
        </w:rPr>
        <w:t xml:space="preserve">ng </w:t>
      </w:r>
      <w:r>
        <w:rPr>
          <w:b/>
          <w:bCs/>
          <w:color w:val="1C1C1E"/>
        </w:rPr>
        <w:t>t</w:t>
      </w:r>
      <w:r>
        <w:rPr>
          <w:b/>
          <w:bCs/>
          <w:color w:val="231F20"/>
        </w:rPr>
        <w:t>o t</w:t>
      </w:r>
      <w:r>
        <w:rPr>
          <w:b/>
          <w:bCs/>
          <w:color w:val="1C1C1E"/>
        </w:rPr>
        <w:t>h</w:t>
      </w:r>
      <w:r>
        <w:rPr>
          <w:b/>
          <w:bCs/>
          <w:color w:val="231F20"/>
        </w:rPr>
        <w:t>e natural resources sector</w:t>
      </w:r>
      <w:r>
        <w:rPr>
          <w:b/>
          <w:bCs/>
          <w:color w:val="1C1C1E"/>
        </w:rPr>
        <w:t>, risks relating to COVID 19, risk</w:t>
      </w:r>
      <w:r>
        <w:rPr>
          <w:b/>
          <w:bCs/>
          <w:color w:val="231F20"/>
        </w:rPr>
        <w:t xml:space="preserve">s </w:t>
      </w:r>
      <w:r>
        <w:rPr>
          <w:b/>
          <w:bCs/>
          <w:color w:val="1C1C1E"/>
        </w:rPr>
        <w:t>r</w:t>
      </w:r>
      <w:r>
        <w:rPr>
          <w:b/>
          <w:bCs/>
          <w:color w:val="231F20"/>
        </w:rPr>
        <w:t>elat</w:t>
      </w:r>
      <w:r>
        <w:rPr>
          <w:b/>
          <w:bCs/>
          <w:color w:val="1C1C1E"/>
        </w:rPr>
        <w:t>i</w:t>
      </w:r>
      <w:r>
        <w:rPr>
          <w:b/>
          <w:bCs/>
          <w:color w:val="231F20"/>
        </w:rPr>
        <w:t xml:space="preserve">ng to </w:t>
      </w:r>
      <w:r>
        <w:rPr>
          <w:b/>
          <w:bCs/>
          <w:color w:val="1C1C1E"/>
        </w:rPr>
        <w:t>t</w:t>
      </w:r>
      <w:r>
        <w:rPr>
          <w:b/>
          <w:bCs/>
          <w:color w:val="231F20"/>
        </w:rPr>
        <w:t>axat</w:t>
      </w:r>
      <w:r>
        <w:rPr>
          <w:b/>
          <w:bCs/>
          <w:color w:val="1C1C1E"/>
        </w:rPr>
        <w:t>i</w:t>
      </w:r>
      <w:r>
        <w:rPr>
          <w:b/>
          <w:bCs/>
          <w:color w:val="231F20"/>
        </w:rPr>
        <w:t xml:space="preserve">on and </w:t>
      </w:r>
      <w:r>
        <w:rPr>
          <w:b/>
          <w:bCs/>
          <w:color w:val="1C1C1E"/>
        </w:rPr>
        <w:t>r</w:t>
      </w:r>
      <w:r>
        <w:rPr>
          <w:b/>
          <w:bCs/>
          <w:color w:val="231F20"/>
        </w:rPr>
        <w:t>is</w:t>
      </w:r>
      <w:r>
        <w:rPr>
          <w:b/>
          <w:bCs/>
          <w:color w:val="1C1C1E"/>
        </w:rPr>
        <w:t>k</w:t>
      </w:r>
      <w:r>
        <w:rPr>
          <w:b/>
          <w:bCs/>
          <w:color w:val="231F20"/>
        </w:rPr>
        <w:t xml:space="preserve">s </w:t>
      </w:r>
      <w:r>
        <w:rPr>
          <w:b/>
          <w:bCs/>
          <w:color w:val="1C1C1E"/>
        </w:rPr>
        <w:t>r</w:t>
      </w:r>
      <w:r>
        <w:rPr>
          <w:b/>
          <w:bCs/>
          <w:color w:val="231F20"/>
        </w:rPr>
        <w:t>ela</w:t>
      </w:r>
      <w:r>
        <w:rPr>
          <w:b/>
          <w:bCs/>
          <w:color w:val="1C1C1E"/>
        </w:rPr>
        <w:t>ti</w:t>
      </w:r>
      <w:r>
        <w:rPr>
          <w:b/>
          <w:bCs/>
          <w:color w:val="231F20"/>
        </w:rPr>
        <w:t>ng</w:t>
      </w:r>
      <w:r>
        <w:rPr>
          <w:b/>
          <w:bCs/>
          <w:color w:val="231F20"/>
          <w:spacing w:val="-5"/>
        </w:rPr>
        <w:t xml:space="preserve"> </w:t>
      </w:r>
      <w:r>
        <w:rPr>
          <w:b/>
          <w:bCs/>
          <w:color w:val="231F20"/>
        </w:rPr>
        <w:t>to</w:t>
      </w:r>
      <w:r>
        <w:rPr>
          <w:b/>
          <w:bCs/>
          <w:color w:val="231F20"/>
          <w:spacing w:val="-4"/>
        </w:rPr>
        <w:t xml:space="preserve"> </w:t>
      </w:r>
      <w:r>
        <w:rPr>
          <w:b/>
          <w:bCs/>
          <w:color w:val="231F20"/>
        </w:rPr>
        <w:t>the</w:t>
      </w:r>
      <w:r>
        <w:rPr>
          <w:b/>
          <w:bCs/>
          <w:color w:val="231F20"/>
          <w:spacing w:val="-4"/>
        </w:rPr>
        <w:t xml:space="preserve"> </w:t>
      </w:r>
      <w:r>
        <w:rPr>
          <w:b/>
          <w:bCs/>
          <w:color w:val="231F20"/>
        </w:rPr>
        <w:t>O</w:t>
      </w:r>
      <w:r>
        <w:rPr>
          <w:b/>
          <w:bCs/>
          <w:color w:val="1C1C1E"/>
        </w:rPr>
        <w:t>r</w:t>
      </w:r>
      <w:r>
        <w:rPr>
          <w:b/>
          <w:bCs/>
          <w:color w:val="231F20"/>
        </w:rPr>
        <w:t>d</w:t>
      </w:r>
      <w:r>
        <w:rPr>
          <w:b/>
          <w:bCs/>
          <w:color w:val="1C1C1E"/>
        </w:rPr>
        <w:t>i</w:t>
      </w:r>
      <w:r>
        <w:rPr>
          <w:b/>
          <w:bCs/>
          <w:color w:val="231F20"/>
        </w:rPr>
        <w:t>n</w:t>
      </w:r>
      <w:r>
        <w:rPr>
          <w:b/>
          <w:bCs/>
          <w:color w:val="1C1C1E"/>
        </w:rPr>
        <w:t>ar</w:t>
      </w:r>
      <w:r>
        <w:rPr>
          <w:b/>
          <w:bCs/>
          <w:color w:val="231F20"/>
        </w:rPr>
        <w:t>y</w:t>
      </w:r>
      <w:r>
        <w:rPr>
          <w:b/>
          <w:bCs/>
          <w:color w:val="231F20"/>
          <w:spacing w:val="-10"/>
        </w:rPr>
        <w:t xml:space="preserve"> </w:t>
      </w:r>
      <w:r>
        <w:rPr>
          <w:b/>
          <w:bCs/>
          <w:color w:val="231F20"/>
        </w:rPr>
        <w:t>Shares</w:t>
      </w:r>
      <w:r>
        <w:rPr>
          <w:b/>
          <w:bCs/>
          <w:color w:val="1C1C1E"/>
        </w:rPr>
        <w:t>.</w:t>
      </w:r>
      <w:r>
        <w:rPr>
          <w:b/>
          <w:bCs/>
          <w:color w:val="1C1C1E"/>
          <w:spacing w:val="-4"/>
        </w:rPr>
        <w:t xml:space="preserve"> </w:t>
      </w:r>
      <w:r>
        <w:rPr>
          <w:b/>
          <w:bCs/>
          <w:color w:val="231F20"/>
        </w:rPr>
        <w:t>The</w:t>
      </w:r>
      <w:r>
        <w:rPr>
          <w:b/>
          <w:bCs/>
          <w:color w:val="231F20"/>
          <w:spacing w:val="-4"/>
        </w:rPr>
        <w:t xml:space="preserve"> </w:t>
      </w:r>
      <w:r>
        <w:rPr>
          <w:b/>
          <w:bCs/>
          <w:color w:val="231F20"/>
        </w:rPr>
        <w:t>ris</w:t>
      </w:r>
      <w:r>
        <w:rPr>
          <w:b/>
          <w:bCs/>
          <w:color w:val="1C1C1E"/>
        </w:rPr>
        <w:t>k</w:t>
      </w:r>
      <w:r>
        <w:rPr>
          <w:b/>
          <w:bCs/>
          <w:color w:val="231F20"/>
        </w:rPr>
        <w:t>s</w:t>
      </w:r>
      <w:r>
        <w:rPr>
          <w:b/>
          <w:bCs/>
          <w:color w:val="231F20"/>
          <w:spacing w:val="-4"/>
        </w:rPr>
        <w:t xml:space="preserve"> </w:t>
      </w:r>
      <w:r>
        <w:rPr>
          <w:b/>
          <w:bCs/>
          <w:color w:val="231F20"/>
        </w:rPr>
        <w:t>r</w:t>
      </w:r>
      <w:r>
        <w:rPr>
          <w:b/>
          <w:bCs/>
          <w:color w:val="1C1C1E"/>
        </w:rPr>
        <w:t>ef</w:t>
      </w:r>
      <w:r>
        <w:rPr>
          <w:b/>
          <w:bCs/>
          <w:color w:val="231F20"/>
        </w:rPr>
        <w:t>e</w:t>
      </w:r>
      <w:r>
        <w:rPr>
          <w:b/>
          <w:bCs/>
          <w:color w:val="1C1C1E"/>
        </w:rPr>
        <w:t>r</w:t>
      </w:r>
      <w:r>
        <w:rPr>
          <w:b/>
          <w:bCs/>
          <w:color w:val="231F20"/>
        </w:rPr>
        <w:t>red</w:t>
      </w:r>
      <w:r>
        <w:rPr>
          <w:b/>
          <w:bCs/>
          <w:color w:val="231F20"/>
          <w:spacing w:val="-4"/>
        </w:rPr>
        <w:t xml:space="preserve"> </w:t>
      </w:r>
      <w:r>
        <w:rPr>
          <w:b/>
          <w:bCs/>
          <w:color w:val="231F20"/>
        </w:rPr>
        <w:t>to</w:t>
      </w:r>
      <w:r>
        <w:rPr>
          <w:b/>
          <w:bCs/>
          <w:color w:val="231F20"/>
          <w:spacing w:val="-5"/>
        </w:rPr>
        <w:t xml:space="preserve"> </w:t>
      </w:r>
      <w:r>
        <w:rPr>
          <w:b/>
          <w:bCs/>
          <w:color w:val="231F20"/>
        </w:rPr>
        <w:t>below</w:t>
      </w:r>
      <w:r>
        <w:rPr>
          <w:b/>
          <w:bCs/>
          <w:color w:val="231F20"/>
          <w:spacing w:val="-3"/>
        </w:rPr>
        <w:t xml:space="preserve"> </w:t>
      </w:r>
      <w:r>
        <w:rPr>
          <w:b/>
          <w:bCs/>
          <w:color w:val="231F20"/>
        </w:rPr>
        <w:t>are</w:t>
      </w:r>
      <w:r>
        <w:rPr>
          <w:b/>
          <w:bCs/>
          <w:color w:val="231F20"/>
          <w:spacing w:val="-4"/>
        </w:rPr>
        <w:t xml:space="preserve"> </w:t>
      </w:r>
      <w:r>
        <w:rPr>
          <w:b/>
          <w:bCs/>
          <w:color w:val="1C1C1E"/>
        </w:rPr>
        <w:t>t</w:t>
      </w:r>
      <w:r>
        <w:rPr>
          <w:b/>
          <w:bCs/>
          <w:color w:val="231F20"/>
        </w:rPr>
        <w:t>he</w:t>
      </w:r>
      <w:r>
        <w:rPr>
          <w:b/>
          <w:bCs/>
          <w:color w:val="231F20"/>
          <w:spacing w:val="-4"/>
        </w:rPr>
        <w:t xml:space="preserve"> </w:t>
      </w:r>
      <w:r>
        <w:rPr>
          <w:b/>
          <w:bCs/>
          <w:color w:val="231F20"/>
        </w:rPr>
        <w:t>ma</w:t>
      </w:r>
      <w:r>
        <w:rPr>
          <w:b/>
          <w:bCs/>
          <w:color w:val="1C1C1E"/>
        </w:rPr>
        <w:t>t</w:t>
      </w:r>
      <w:r>
        <w:rPr>
          <w:b/>
          <w:bCs/>
          <w:color w:val="231F20"/>
        </w:rPr>
        <w:t>e</w:t>
      </w:r>
      <w:r>
        <w:rPr>
          <w:b/>
          <w:bCs/>
          <w:color w:val="1C1C1E"/>
        </w:rPr>
        <w:t>r</w:t>
      </w:r>
      <w:r>
        <w:rPr>
          <w:b/>
          <w:bCs/>
          <w:color w:val="231F20"/>
        </w:rPr>
        <w:t>ial</w:t>
      </w:r>
      <w:r>
        <w:rPr>
          <w:b/>
          <w:bCs/>
          <w:color w:val="231F20"/>
          <w:spacing w:val="-4"/>
        </w:rPr>
        <w:t xml:space="preserve"> </w:t>
      </w:r>
      <w:r>
        <w:rPr>
          <w:b/>
          <w:bCs/>
          <w:color w:val="231F20"/>
        </w:rPr>
        <w:t>risks</w:t>
      </w:r>
      <w:r>
        <w:rPr>
          <w:b/>
          <w:bCs/>
          <w:color w:val="231F20"/>
          <w:spacing w:val="-4"/>
        </w:rPr>
        <w:t xml:space="preserve"> </w:t>
      </w:r>
      <w:r>
        <w:rPr>
          <w:b/>
          <w:bCs/>
          <w:color w:val="1C1C1E"/>
        </w:rPr>
        <w:t>r</w:t>
      </w:r>
      <w:r>
        <w:rPr>
          <w:b/>
          <w:bCs/>
          <w:color w:val="231F20"/>
        </w:rPr>
        <w:t>elating</w:t>
      </w:r>
      <w:r>
        <w:rPr>
          <w:b/>
          <w:bCs/>
          <w:color w:val="231F20"/>
          <w:spacing w:val="-4"/>
        </w:rPr>
        <w:t xml:space="preserve"> </w:t>
      </w:r>
      <w:r>
        <w:rPr>
          <w:b/>
          <w:bCs/>
          <w:color w:val="231F20"/>
        </w:rPr>
        <w:t>to</w:t>
      </w:r>
      <w:r>
        <w:rPr>
          <w:b/>
          <w:bCs/>
          <w:color w:val="231F20"/>
          <w:spacing w:val="-4"/>
        </w:rPr>
        <w:t xml:space="preserve"> </w:t>
      </w:r>
      <w:r>
        <w:rPr>
          <w:b/>
          <w:bCs/>
          <w:color w:val="231F20"/>
        </w:rPr>
        <w:t>the</w:t>
      </w:r>
      <w:r>
        <w:rPr>
          <w:b/>
          <w:bCs/>
          <w:color w:val="231F20"/>
          <w:spacing w:val="-4"/>
        </w:rPr>
        <w:t xml:space="preserve"> </w:t>
      </w:r>
      <w:r>
        <w:rPr>
          <w:b/>
          <w:bCs/>
          <w:color w:val="1C1C1E"/>
        </w:rPr>
        <w:t>C</w:t>
      </w:r>
      <w:r>
        <w:rPr>
          <w:b/>
          <w:bCs/>
          <w:color w:val="231F20"/>
        </w:rPr>
        <w:t>ompa</w:t>
      </w:r>
      <w:r>
        <w:rPr>
          <w:b/>
          <w:bCs/>
          <w:color w:val="1C1C1E"/>
        </w:rPr>
        <w:t>n</w:t>
      </w:r>
      <w:r>
        <w:rPr>
          <w:b/>
          <w:bCs/>
          <w:color w:val="231F20"/>
        </w:rPr>
        <w:t>y</w:t>
      </w:r>
      <w:r>
        <w:rPr>
          <w:b/>
          <w:bCs/>
          <w:color w:val="1C1C1E"/>
        </w:rPr>
        <w:t xml:space="preserve">. </w:t>
      </w:r>
      <w:r>
        <w:rPr>
          <w:b/>
          <w:bCs/>
          <w:color w:val="231F20"/>
        </w:rPr>
        <w:t>Howev</w:t>
      </w:r>
      <w:r>
        <w:rPr>
          <w:b/>
          <w:bCs/>
          <w:color w:val="1C1C1E"/>
        </w:rPr>
        <w:t>e</w:t>
      </w:r>
      <w:r>
        <w:rPr>
          <w:b/>
          <w:bCs/>
          <w:color w:val="231F20"/>
        </w:rPr>
        <w:t>r, there may be add</w:t>
      </w:r>
      <w:r>
        <w:rPr>
          <w:b/>
          <w:bCs/>
          <w:color w:val="1C1C1E"/>
        </w:rPr>
        <w:t>iti</w:t>
      </w:r>
      <w:r>
        <w:rPr>
          <w:b/>
          <w:bCs/>
          <w:color w:val="231F20"/>
        </w:rPr>
        <w:t>on</w:t>
      </w:r>
      <w:r>
        <w:rPr>
          <w:b/>
          <w:bCs/>
          <w:color w:val="1C1C1E"/>
        </w:rPr>
        <w:t>a</w:t>
      </w:r>
      <w:r>
        <w:rPr>
          <w:b/>
          <w:bCs/>
          <w:color w:val="231F20"/>
        </w:rPr>
        <w:t>l ris</w:t>
      </w:r>
      <w:r>
        <w:rPr>
          <w:b/>
          <w:bCs/>
          <w:color w:val="1C1C1E"/>
        </w:rPr>
        <w:t>k</w:t>
      </w:r>
      <w:r>
        <w:rPr>
          <w:b/>
          <w:bCs/>
          <w:color w:val="231F20"/>
        </w:rPr>
        <w:t>s tha</w:t>
      </w:r>
      <w:r>
        <w:rPr>
          <w:b/>
          <w:bCs/>
          <w:color w:val="1C1C1E"/>
        </w:rPr>
        <w:t xml:space="preserve">t </w:t>
      </w:r>
      <w:r>
        <w:rPr>
          <w:b/>
          <w:bCs/>
          <w:color w:val="231F20"/>
        </w:rPr>
        <w:t xml:space="preserve">the Company and </w:t>
      </w:r>
      <w:r>
        <w:rPr>
          <w:b/>
          <w:bCs/>
          <w:color w:val="1C1C1E"/>
        </w:rPr>
        <w:t>t</w:t>
      </w:r>
      <w:r>
        <w:rPr>
          <w:b/>
          <w:bCs/>
          <w:color w:val="231F20"/>
        </w:rPr>
        <w:t>he Directors do not curre</w:t>
      </w:r>
      <w:r>
        <w:rPr>
          <w:b/>
          <w:bCs/>
          <w:color w:val="1C1C1E"/>
        </w:rPr>
        <w:t>nt</w:t>
      </w:r>
      <w:r>
        <w:rPr>
          <w:b/>
          <w:bCs/>
          <w:color w:val="231F20"/>
        </w:rPr>
        <w:t>ly cons</w:t>
      </w:r>
      <w:r>
        <w:rPr>
          <w:b/>
          <w:bCs/>
          <w:color w:val="1C1C1E"/>
        </w:rPr>
        <w:t>i</w:t>
      </w:r>
      <w:r>
        <w:rPr>
          <w:b/>
          <w:bCs/>
          <w:color w:val="231F20"/>
        </w:rPr>
        <w:t>der to be m</w:t>
      </w:r>
      <w:r>
        <w:rPr>
          <w:b/>
          <w:bCs/>
          <w:color w:val="1C1C1E"/>
        </w:rPr>
        <w:t>a</w:t>
      </w:r>
      <w:r>
        <w:rPr>
          <w:b/>
          <w:bCs/>
          <w:color w:val="231F20"/>
        </w:rPr>
        <w:t>t</w:t>
      </w:r>
      <w:r>
        <w:rPr>
          <w:b/>
          <w:bCs/>
          <w:color w:val="1C1C1E"/>
        </w:rPr>
        <w:t>e</w:t>
      </w:r>
      <w:r>
        <w:rPr>
          <w:b/>
          <w:bCs/>
          <w:color w:val="231F20"/>
        </w:rPr>
        <w:t>rial or of wh</w:t>
      </w:r>
      <w:r>
        <w:rPr>
          <w:b/>
          <w:bCs/>
          <w:color w:val="1C1C1E"/>
        </w:rPr>
        <w:t>i</w:t>
      </w:r>
      <w:r>
        <w:rPr>
          <w:b/>
          <w:bCs/>
          <w:color w:val="231F20"/>
        </w:rPr>
        <w:t>ch the Company and the Director</w:t>
      </w:r>
      <w:r>
        <w:rPr>
          <w:b/>
          <w:bCs/>
          <w:color w:val="1C1C1E"/>
        </w:rPr>
        <w:t xml:space="preserve">s </w:t>
      </w:r>
      <w:r>
        <w:rPr>
          <w:b/>
          <w:bCs/>
          <w:color w:val="231F20"/>
        </w:rPr>
        <w:t>are not cu</w:t>
      </w:r>
      <w:r>
        <w:rPr>
          <w:b/>
          <w:bCs/>
          <w:color w:val="1C1C1E"/>
        </w:rPr>
        <w:t>rr</w:t>
      </w:r>
      <w:r>
        <w:rPr>
          <w:b/>
          <w:bCs/>
          <w:color w:val="231F20"/>
        </w:rPr>
        <w:t>ently aware that may adversely affect the Company’s business, financial condition o</w:t>
      </w:r>
      <w:r>
        <w:rPr>
          <w:b/>
          <w:bCs/>
          <w:color w:val="1C1C1E"/>
        </w:rPr>
        <w:t xml:space="preserve">r </w:t>
      </w:r>
      <w:r>
        <w:rPr>
          <w:b/>
          <w:bCs/>
          <w:color w:val="231F20"/>
        </w:rPr>
        <w:t>results of</w:t>
      </w:r>
      <w:r>
        <w:rPr>
          <w:b/>
          <w:bCs/>
          <w:color w:val="231F20"/>
          <w:spacing w:val="-5"/>
        </w:rPr>
        <w:t xml:space="preserve"> </w:t>
      </w:r>
      <w:r>
        <w:rPr>
          <w:b/>
          <w:bCs/>
          <w:color w:val="231F20"/>
        </w:rPr>
        <w:t>operations.</w:t>
      </w:r>
    </w:p>
    <w:p w14:paraId="5E5BD963" w14:textId="77777777" w:rsidR="00783288" w:rsidRDefault="00783288">
      <w:pPr>
        <w:pStyle w:val="BodyText"/>
        <w:kinsoku w:val="0"/>
        <w:overflowPunct w:val="0"/>
        <w:rPr>
          <w:b/>
          <w:bCs/>
        </w:rPr>
      </w:pPr>
    </w:p>
    <w:p w14:paraId="04AF949E" w14:textId="765ABE3C" w:rsidR="00783288" w:rsidRDefault="00E31420">
      <w:pPr>
        <w:pStyle w:val="BodyText"/>
        <w:kinsoku w:val="0"/>
        <w:overflowPunct w:val="0"/>
        <w:ind w:left="300" w:right="1187"/>
        <w:jc w:val="both"/>
        <w:rPr>
          <w:b/>
          <w:bCs/>
          <w:color w:val="231F20"/>
        </w:rPr>
      </w:pPr>
      <w:r>
        <w:rPr>
          <w:b/>
          <w:bCs/>
          <w:color w:val="231F20"/>
        </w:rPr>
        <w:t>Pro</w:t>
      </w:r>
      <w:r>
        <w:rPr>
          <w:b/>
          <w:bCs/>
          <w:color w:val="1C1C1E"/>
        </w:rPr>
        <w:t>s</w:t>
      </w:r>
      <w:r>
        <w:rPr>
          <w:b/>
          <w:bCs/>
          <w:color w:val="231F20"/>
        </w:rPr>
        <w:t>p</w:t>
      </w:r>
      <w:r>
        <w:rPr>
          <w:b/>
          <w:bCs/>
          <w:color w:val="1C1C1E"/>
        </w:rPr>
        <w:t>e</w:t>
      </w:r>
      <w:r>
        <w:rPr>
          <w:b/>
          <w:bCs/>
          <w:color w:val="231F20"/>
        </w:rPr>
        <w:t>ct</w:t>
      </w:r>
      <w:r>
        <w:rPr>
          <w:b/>
          <w:bCs/>
          <w:color w:val="1C1C1E"/>
        </w:rPr>
        <w:t>i</w:t>
      </w:r>
      <w:r>
        <w:rPr>
          <w:b/>
          <w:bCs/>
          <w:color w:val="231F20"/>
        </w:rPr>
        <w:t>ve Sha</w:t>
      </w:r>
      <w:r>
        <w:rPr>
          <w:b/>
          <w:bCs/>
          <w:color w:val="1C1C1E"/>
        </w:rPr>
        <w:t>r</w:t>
      </w:r>
      <w:r>
        <w:rPr>
          <w:b/>
          <w:bCs/>
          <w:color w:val="231F20"/>
        </w:rPr>
        <w:t>eholder</w:t>
      </w:r>
      <w:r>
        <w:rPr>
          <w:b/>
          <w:bCs/>
          <w:color w:val="1C1C1E"/>
        </w:rPr>
        <w:t xml:space="preserve">s </w:t>
      </w:r>
      <w:r>
        <w:rPr>
          <w:b/>
          <w:bCs/>
          <w:color w:val="231F20"/>
        </w:rPr>
        <w:t>s</w:t>
      </w:r>
      <w:r>
        <w:rPr>
          <w:b/>
          <w:bCs/>
          <w:color w:val="1C1C1E"/>
        </w:rPr>
        <w:t>h</w:t>
      </w:r>
      <w:r>
        <w:rPr>
          <w:b/>
          <w:bCs/>
          <w:color w:val="231F20"/>
        </w:rPr>
        <w:t xml:space="preserve">ould review </w:t>
      </w:r>
      <w:r>
        <w:rPr>
          <w:b/>
          <w:bCs/>
          <w:color w:val="1C1C1E"/>
        </w:rPr>
        <w:t>t</w:t>
      </w:r>
      <w:r>
        <w:rPr>
          <w:b/>
          <w:bCs/>
          <w:color w:val="231F20"/>
        </w:rPr>
        <w:t>hi</w:t>
      </w:r>
      <w:r>
        <w:rPr>
          <w:b/>
          <w:bCs/>
          <w:color w:val="1C1C1E"/>
        </w:rPr>
        <w:t xml:space="preserve">s </w:t>
      </w:r>
      <w:r>
        <w:rPr>
          <w:b/>
          <w:bCs/>
          <w:color w:val="231F20"/>
        </w:rPr>
        <w:t>Document ca</w:t>
      </w:r>
      <w:r>
        <w:rPr>
          <w:b/>
          <w:bCs/>
          <w:color w:val="1C1C1E"/>
        </w:rPr>
        <w:t>r</w:t>
      </w:r>
      <w:r>
        <w:rPr>
          <w:b/>
          <w:bCs/>
          <w:color w:val="231F20"/>
        </w:rPr>
        <w:t xml:space="preserve">efully </w:t>
      </w:r>
      <w:proofErr w:type="gramStart"/>
      <w:r>
        <w:rPr>
          <w:b/>
          <w:bCs/>
          <w:color w:val="231F20"/>
        </w:rPr>
        <w:t>and in i</w:t>
      </w:r>
      <w:r>
        <w:rPr>
          <w:b/>
          <w:bCs/>
          <w:color w:val="1C1C1E"/>
        </w:rPr>
        <w:t>t</w:t>
      </w:r>
      <w:r>
        <w:rPr>
          <w:b/>
          <w:bCs/>
          <w:color w:val="231F20"/>
        </w:rPr>
        <w:t>s entire</w:t>
      </w:r>
      <w:r>
        <w:rPr>
          <w:b/>
          <w:bCs/>
          <w:color w:val="1C1C1E"/>
        </w:rPr>
        <w:t>t</w:t>
      </w:r>
      <w:r>
        <w:rPr>
          <w:b/>
          <w:bCs/>
          <w:color w:val="231F20"/>
        </w:rPr>
        <w:t>y</w:t>
      </w:r>
      <w:proofErr w:type="gramEnd"/>
      <w:r>
        <w:rPr>
          <w:b/>
          <w:bCs/>
          <w:color w:val="231F20"/>
        </w:rPr>
        <w:t xml:space="preserve"> </w:t>
      </w:r>
      <w:r>
        <w:rPr>
          <w:b/>
          <w:bCs/>
          <w:color w:val="1C1C1E"/>
        </w:rPr>
        <w:t>a</w:t>
      </w:r>
      <w:r>
        <w:rPr>
          <w:b/>
          <w:bCs/>
          <w:color w:val="231F20"/>
        </w:rPr>
        <w:t>nd con</w:t>
      </w:r>
      <w:r>
        <w:rPr>
          <w:b/>
          <w:bCs/>
          <w:color w:val="1C1C1E"/>
        </w:rPr>
        <w:t>s</w:t>
      </w:r>
      <w:r>
        <w:rPr>
          <w:b/>
          <w:bCs/>
          <w:color w:val="231F20"/>
        </w:rPr>
        <w:t>u</w:t>
      </w:r>
      <w:r>
        <w:rPr>
          <w:b/>
          <w:bCs/>
          <w:color w:val="1C1C1E"/>
        </w:rPr>
        <w:t>lt wi</w:t>
      </w:r>
      <w:r>
        <w:rPr>
          <w:b/>
          <w:bCs/>
          <w:color w:val="231F20"/>
        </w:rPr>
        <w:t>th their p</w:t>
      </w:r>
      <w:r>
        <w:rPr>
          <w:b/>
          <w:bCs/>
          <w:color w:val="1C1C1E"/>
        </w:rPr>
        <w:t>r</w:t>
      </w:r>
      <w:r>
        <w:rPr>
          <w:b/>
          <w:bCs/>
          <w:color w:val="231F20"/>
        </w:rPr>
        <w:t>o</w:t>
      </w:r>
      <w:r>
        <w:rPr>
          <w:b/>
          <w:bCs/>
          <w:color w:val="1C1C1E"/>
        </w:rPr>
        <w:t>f</w:t>
      </w:r>
      <w:r>
        <w:rPr>
          <w:b/>
          <w:bCs/>
          <w:color w:val="231F20"/>
        </w:rPr>
        <w:t>essional</w:t>
      </w:r>
      <w:r>
        <w:rPr>
          <w:b/>
          <w:bCs/>
          <w:color w:val="231F20"/>
          <w:spacing w:val="-10"/>
        </w:rPr>
        <w:t xml:space="preserve"> </w:t>
      </w:r>
      <w:r>
        <w:rPr>
          <w:b/>
          <w:bCs/>
          <w:color w:val="231F20"/>
        </w:rPr>
        <w:t>advise</w:t>
      </w:r>
      <w:r>
        <w:rPr>
          <w:b/>
          <w:bCs/>
          <w:color w:val="1C1C1E"/>
        </w:rPr>
        <w:t>r</w:t>
      </w:r>
      <w:r>
        <w:rPr>
          <w:b/>
          <w:bCs/>
          <w:color w:val="231F20"/>
        </w:rPr>
        <w:t>s</w:t>
      </w:r>
      <w:r>
        <w:rPr>
          <w:b/>
          <w:bCs/>
          <w:color w:val="231F20"/>
          <w:spacing w:val="-11"/>
        </w:rPr>
        <w:t xml:space="preserve"> </w:t>
      </w:r>
      <w:r>
        <w:rPr>
          <w:b/>
          <w:bCs/>
          <w:color w:val="1C1C1E"/>
        </w:rPr>
        <w:t>b</w:t>
      </w:r>
      <w:r>
        <w:rPr>
          <w:b/>
          <w:bCs/>
          <w:color w:val="231F20"/>
        </w:rPr>
        <w:t>e</w:t>
      </w:r>
      <w:r>
        <w:rPr>
          <w:b/>
          <w:bCs/>
          <w:color w:val="1C1C1E"/>
        </w:rPr>
        <w:t>f</w:t>
      </w:r>
      <w:r>
        <w:rPr>
          <w:b/>
          <w:bCs/>
          <w:color w:val="231F20"/>
        </w:rPr>
        <w:t>o</w:t>
      </w:r>
      <w:r>
        <w:rPr>
          <w:b/>
          <w:bCs/>
          <w:color w:val="1C1C1E"/>
        </w:rPr>
        <w:t>re</w:t>
      </w:r>
      <w:r>
        <w:rPr>
          <w:b/>
          <w:bCs/>
          <w:color w:val="1C1C1E"/>
          <w:spacing w:val="-11"/>
        </w:rPr>
        <w:t xml:space="preserve"> </w:t>
      </w:r>
      <w:r>
        <w:rPr>
          <w:b/>
          <w:bCs/>
          <w:color w:val="231F20"/>
        </w:rPr>
        <w:t>a</w:t>
      </w:r>
      <w:r>
        <w:rPr>
          <w:b/>
          <w:bCs/>
          <w:color w:val="1C1C1E"/>
        </w:rPr>
        <w:t>c</w:t>
      </w:r>
      <w:r>
        <w:rPr>
          <w:b/>
          <w:bCs/>
          <w:color w:val="231F20"/>
        </w:rPr>
        <w:t>qui</w:t>
      </w:r>
      <w:r>
        <w:rPr>
          <w:b/>
          <w:bCs/>
          <w:color w:val="1C1C1E"/>
        </w:rPr>
        <w:t>r</w:t>
      </w:r>
      <w:r>
        <w:rPr>
          <w:b/>
          <w:bCs/>
          <w:color w:val="231F20"/>
        </w:rPr>
        <w:t>ing</w:t>
      </w:r>
      <w:r>
        <w:rPr>
          <w:b/>
          <w:bCs/>
          <w:color w:val="231F20"/>
          <w:spacing w:val="-10"/>
        </w:rPr>
        <w:t xml:space="preserve"> </w:t>
      </w:r>
      <w:r>
        <w:rPr>
          <w:b/>
          <w:bCs/>
          <w:color w:val="231F20"/>
        </w:rPr>
        <w:t>any</w:t>
      </w:r>
      <w:r>
        <w:rPr>
          <w:b/>
          <w:bCs/>
          <w:color w:val="231F20"/>
          <w:spacing w:val="-17"/>
        </w:rPr>
        <w:t xml:space="preserve"> </w:t>
      </w:r>
      <w:r>
        <w:rPr>
          <w:b/>
          <w:bCs/>
          <w:color w:val="231F20"/>
        </w:rPr>
        <w:t>O</w:t>
      </w:r>
      <w:r>
        <w:rPr>
          <w:b/>
          <w:bCs/>
          <w:color w:val="1C1C1E"/>
        </w:rPr>
        <w:t>r</w:t>
      </w:r>
      <w:r>
        <w:rPr>
          <w:b/>
          <w:bCs/>
          <w:color w:val="231F20"/>
        </w:rPr>
        <w:t>din</w:t>
      </w:r>
      <w:r>
        <w:rPr>
          <w:b/>
          <w:bCs/>
          <w:color w:val="1C1C1E"/>
        </w:rPr>
        <w:t>ar</w:t>
      </w:r>
      <w:r>
        <w:rPr>
          <w:b/>
          <w:bCs/>
          <w:color w:val="231F20"/>
        </w:rPr>
        <w:t>y</w:t>
      </w:r>
      <w:r>
        <w:rPr>
          <w:b/>
          <w:bCs/>
          <w:color w:val="231F20"/>
          <w:spacing w:val="-15"/>
        </w:rPr>
        <w:t xml:space="preserve"> </w:t>
      </w:r>
      <w:r>
        <w:rPr>
          <w:b/>
          <w:bCs/>
          <w:color w:val="231F20"/>
        </w:rPr>
        <w:t>Sha</w:t>
      </w:r>
      <w:r>
        <w:rPr>
          <w:b/>
          <w:bCs/>
          <w:color w:val="1C1C1E"/>
        </w:rPr>
        <w:t>r</w:t>
      </w:r>
      <w:r>
        <w:rPr>
          <w:b/>
          <w:bCs/>
          <w:color w:val="231F20"/>
        </w:rPr>
        <w:t>es.</w:t>
      </w:r>
      <w:r>
        <w:rPr>
          <w:b/>
          <w:bCs/>
          <w:color w:val="231F20"/>
          <w:spacing w:val="-10"/>
        </w:rPr>
        <w:t xml:space="preserve"> </w:t>
      </w:r>
      <w:r>
        <w:rPr>
          <w:b/>
          <w:bCs/>
          <w:color w:val="231F20"/>
        </w:rPr>
        <w:t>I</w:t>
      </w:r>
      <w:r>
        <w:rPr>
          <w:b/>
          <w:bCs/>
          <w:color w:val="1C1C1E"/>
        </w:rPr>
        <w:t>f</w:t>
      </w:r>
      <w:r>
        <w:rPr>
          <w:b/>
          <w:bCs/>
          <w:color w:val="1C1C1E"/>
          <w:spacing w:val="-11"/>
        </w:rPr>
        <w:t xml:space="preserve"> </w:t>
      </w:r>
      <w:r>
        <w:rPr>
          <w:b/>
          <w:bCs/>
          <w:color w:val="231F20"/>
        </w:rPr>
        <w:t>any</w:t>
      </w:r>
      <w:r>
        <w:rPr>
          <w:b/>
          <w:bCs/>
          <w:color w:val="231F20"/>
          <w:spacing w:val="-17"/>
        </w:rPr>
        <w:t xml:space="preserve"> </w:t>
      </w:r>
      <w:r>
        <w:rPr>
          <w:b/>
          <w:bCs/>
          <w:color w:val="231F20"/>
        </w:rPr>
        <w:t>of</w:t>
      </w:r>
      <w:r>
        <w:rPr>
          <w:b/>
          <w:bCs/>
          <w:color w:val="231F20"/>
          <w:spacing w:val="-11"/>
        </w:rPr>
        <w:t xml:space="preserve"> </w:t>
      </w:r>
      <w:r>
        <w:rPr>
          <w:b/>
          <w:bCs/>
          <w:color w:val="1C1C1E"/>
        </w:rPr>
        <w:t>th</w:t>
      </w:r>
      <w:r>
        <w:rPr>
          <w:b/>
          <w:bCs/>
          <w:color w:val="231F20"/>
        </w:rPr>
        <w:t>e</w:t>
      </w:r>
      <w:r>
        <w:rPr>
          <w:b/>
          <w:bCs/>
          <w:color w:val="231F20"/>
          <w:spacing w:val="-10"/>
        </w:rPr>
        <w:t xml:space="preserve"> </w:t>
      </w:r>
      <w:r>
        <w:rPr>
          <w:b/>
          <w:bCs/>
          <w:color w:val="231F20"/>
        </w:rPr>
        <w:t>r</w:t>
      </w:r>
      <w:r>
        <w:rPr>
          <w:b/>
          <w:bCs/>
          <w:color w:val="1C1C1E"/>
        </w:rPr>
        <w:t>i</w:t>
      </w:r>
      <w:r>
        <w:rPr>
          <w:b/>
          <w:bCs/>
          <w:color w:val="231F20"/>
        </w:rPr>
        <w:t>sks</w:t>
      </w:r>
      <w:r>
        <w:rPr>
          <w:b/>
          <w:bCs/>
          <w:color w:val="231F20"/>
          <w:spacing w:val="-10"/>
        </w:rPr>
        <w:t xml:space="preserve"> </w:t>
      </w:r>
      <w:r>
        <w:rPr>
          <w:b/>
          <w:bCs/>
          <w:color w:val="1C1C1E"/>
        </w:rPr>
        <w:t>r</w:t>
      </w:r>
      <w:r>
        <w:rPr>
          <w:b/>
          <w:bCs/>
          <w:color w:val="231F20"/>
        </w:rPr>
        <w:t>eferred</w:t>
      </w:r>
      <w:r>
        <w:rPr>
          <w:b/>
          <w:bCs/>
          <w:color w:val="231F20"/>
          <w:spacing w:val="-10"/>
        </w:rPr>
        <w:t xml:space="preserve"> </w:t>
      </w:r>
      <w:r>
        <w:rPr>
          <w:b/>
          <w:bCs/>
          <w:color w:val="1C1C1E"/>
        </w:rPr>
        <w:t>t</w:t>
      </w:r>
      <w:r>
        <w:rPr>
          <w:b/>
          <w:bCs/>
          <w:color w:val="231F20"/>
        </w:rPr>
        <w:t>o</w:t>
      </w:r>
      <w:r>
        <w:rPr>
          <w:b/>
          <w:bCs/>
          <w:color w:val="231F20"/>
          <w:spacing w:val="-10"/>
        </w:rPr>
        <w:t xml:space="preserve"> </w:t>
      </w:r>
      <w:r>
        <w:rPr>
          <w:b/>
          <w:bCs/>
          <w:color w:val="1C1C1E"/>
        </w:rPr>
        <w:t>i</w:t>
      </w:r>
      <w:r>
        <w:rPr>
          <w:b/>
          <w:bCs/>
          <w:color w:val="231F20"/>
        </w:rPr>
        <w:t>n</w:t>
      </w:r>
      <w:r>
        <w:rPr>
          <w:b/>
          <w:bCs/>
          <w:color w:val="231F20"/>
          <w:spacing w:val="-10"/>
        </w:rPr>
        <w:t xml:space="preserve"> </w:t>
      </w:r>
      <w:r>
        <w:rPr>
          <w:b/>
          <w:bCs/>
          <w:color w:val="1C1C1E"/>
        </w:rPr>
        <w:t>t</w:t>
      </w:r>
      <w:r>
        <w:rPr>
          <w:b/>
          <w:bCs/>
          <w:color w:val="231F20"/>
        </w:rPr>
        <w:t>his</w:t>
      </w:r>
      <w:r>
        <w:rPr>
          <w:b/>
          <w:bCs/>
          <w:color w:val="231F20"/>
          <w:spacing w:val="-10"/>
        </w:rPr>
        <w:t xml:space="preserve"> </w:t>
      </w:r>
      <w:r>
        <w:rPr>
          <w:b/>
          <w:bCs/>
          <w:color w:val="231F20"/>
        </w:rPr>
        <w:t>Document we</w:t>
      </w:r>
      <w:r>
        <w:rPr>
          <w:b/>
          <w:bCs/>
          <w:color w:val="1C1C1E"/>
        </w:rPr>
        <w:t>r</w:t>
      </w:r>
      <w:r>
        <w:rPr>
          <w:b/>
          <w:bCs/>
          <w:color w:val="231F20"/>
        </w:rPr>
        <w:t>e to occur, the results of ope</w:t>
      </w:r>
      <w:r>
        <w:rPr>
          <w:b/>
          <w:bCs/>
          <w:color w:val="1C1C1E"/>
        </w:rPr>
        <w:t>r</w:t>
      </w:r>
      <w:r>
        <w:rPr>
          <w:b/>
          <w:bCs/>
          <w:color w:val="231F20"/>
        </w:rPr>
        <w:t>ations</w:t>
      </w:r>
      <w:r>
        <w:rPr>
          <w:b/>
          <w:bCs/>
          <w:color w:val="1C1C1E"/>
        </w:rPr>
        <w:t xml:space="preserve">, </w:t>
      </w:r>
      <w:r>
        <w:rPr>
          <w:b/>
          <w:bCs/>
          <w:color w:val="231F20"/>
        </w:rPr>
        <w:t>fin</w:t>
      </w:r>
      <w:r>
        <w:rPr>
          <w:b/>
          <w:bCs/>
          <w:color w:val="1C1C1E"/>
        </w:rPr>
        <w:t>a</w:t>
      </w:r>
      <w:r>
        <w:rPr>
          <w:b/>
          <w:bCs/>
          <w:color w:val="231F20"/>
        </w:rPr>
        <w:t>nc</w:t>
      </w:r>
      <w:r>
        <w:rPr>
          <w:b/>
          <w:bCs/>
          <w:color w:val="1C1C1E"/>
        </w:rPr>
        <w:t>i</w:t>
      </w:r>
      <w:r>
        <w:rPr>
          <w:b/>
          <w:bCs/>
          <w:color w:val="231F20"/>
        </w:rPr>
        <w:t xml:space="preserve">al </w:t>
      </w:r>
      <w:r>
        <w:rPr>
          <w:b/>
          <w:bCs/>
          <w:color w:val="1C1C1E"/>
        </w:rPr>
        <w:t>c</w:t>
      </w:r>
      <w:r>
        <w:rPr>
          <w:b/>
          <w:bCs/>
          <w:color w:val="231F20"/>
        </w:rPr>
        <w:t xml:space="preserve">ondition and </w:t>
      </w:r>
      <w:r>
        <w:rPr>
          <w:b/>
          <w:bCs/>
          <w:color w:val="1C1C1E"/>
        </w:rPr>
        <w:t>p</w:t>
      </w:r>
      <w:r>
        <w:rPr>
          <w:b/>
          <w:bCs/>
          <w:color w:val="231F20"/>
        </w:rPr>
        <w:t>ros</w:t>
      </w:r>
      <w:r>
        <w:rPr>
          <w:b/>
          <w:bCs/>
          <w:color w:val="1C1C1E"/>
        </w:rPr>
        <w:t>p</w:t>
      </w:r>
      <w:r>
        <w:rPr>
          <w:b/>
          <w:bCs/>
          <w:color w:val="231F20"/>
        </w:rPr>
        <w:t>ec</w:t>
      </w:r>
      <w:r>
        <w:rPr>
          <w:b/>
          <w:bCs/>
          <w:color w:val="1C1C1E"/>
        </w:rPr>
        <w:t>t</w:t>
      </w:r>
      <w:r>
        <w:rPr>
          <w:b/>
          <w:bCs/>
          <w:color w:val="231F20"/>
        </w:rPr>
        <w:t>s of the Company could be ma</w:t>
      </w:r>
      <w:r>
        <w:rPr>
          <w:b/>
          <w:bCs/>
          <w:color w:val="1C1C1E"/>
        </w:rPr>
        <w:t>t</w:t>
      </w:r>
      <w:r>
        <w:rPr>
          <w:b/>
          <w:bCs/>
          <w:color w:val="231F20"/>
        </w:rPr>
        <w:t>e</w:t>
      </w:r>
      <w:r>
        <w:rPr>
          <w:b/>
          <w:bCs/>
          <w:color w:val="1C1C1E"/>
        </w:rPr>
        <w:t>ri</w:t>
      </w:r>
      <w:r>
        <w:rPr>
          <w:b/>
          <w:bCs/>
          <w:color w:val="231F20"/>
        </w:rPr>
        <w:t>ally</w:t>
      </w:r>
      <w:r>
        <w:rPr>
          <w:b/>
          <w:bCs/>
          <w:color w:val="231F20"/>
          <w:spacing w:val="-17"/>
        </w:rPr>
        <w:t xml:space="preserve"> </w:t>
      </w:r>
      <w:r>
        <w:rPr>
          <w:b/>
          <w:bCs/>
          <w:color w:val="231F20"/>
        </w:rPr>
        <w:t>adve</w:t>
      </w:r>
      <w:r>
        <w:rPr>
          <w:b/>
          <w:bCs/>
          <w:color w:val="1C1C1E"/>
        </w:rPr>
        <w:t>r</w:t>
      </w:r>
      <w:r>
        <w:rPr>
          <w:b/>
          <w:bCs/>
          <w:color w:val="231F20"/>
        </w:rPr>
        <w:t>sely</w:t>
      </w:r>
      <w:r>
        <w:rPr>
          <w:b/>
          <w:bCs/>
          <w:color w:val="231F20"/>
          <w:spacing w:val="-15"/>
        </w:rPr>
        <w:t xml:space="preserve"> </w:t>
      </w:r>
      <w:r>
        <w:rPr>
          <w:b/>
          <w:bCs/>
          <w:color w:val="231F20"/>
        </w:rPr>
        <w:t>affected</w:t>
      </w:r>
      <w:r>
        <w:rPr>
          <w:b/>
          <w:bCs/>
          <w:color w:val="1C1C1E"/>
        </w:rPr>
        <w:t>.</w:t>
      </w:r>
      <w:r>
        <w:rPr>
          <w:b/>
          <w:bCs/>
          <w:color w:val="1C1C1E"/>
          <w:spacing w:val="-8"/>
        </w:rPr>
        <w:t xml:space="preserve"> </w:t>
      </w:r>
      <w:r>
        <w:rPr>
          <w:b/>
          <w:bCs/>
          <w:color w:val="231F20"/>
        </w:rPr>
        <w:t>If</w:t>
      </w:r>
      <w:r>
        <w:rPr>
          <w:b/>
          <w:bCs/>
          <w:color w:val="231F20"/>
          <w:spacing w:val="-9"/>
        </w:rPr>
        <w:t xml:space="preserve"> </w:t>
      </w:r>
      <w:r>
        <w:rPr>
          <w:b/>
          <w:bCs/>
          <w:color w:val="231F20"/>
        </w:rPr>
        <w:t>that</w:t>
      </w:r>
      <w:r>
        <w:rPr>
          <w:b/>
          <w:bCs/>
          <w:color w:val="231F20"/>
          <w:spacing w:val="-13"/>
        </w:rPr>
        <w:t xml:space="preserve"> </w:t>
      </w:r>
      <w:r>
        <w:rPr>
          <w:b/>
          <w:bCs/>
          <w:color w:val="231F20"/>
        </w:rPr>
        <w:t>we</w:t>
      </w:r>
      <w:r>
        <w:rPr>
          <w:b/>
          <w:bCs/>
          <w:color w:val="1C1C1E"/>
        </w:rPr>
        <w:t>r</w:t>
      </w:r>
      <w:r>
        <w:rPr>
          <w:b/>
          <w:bCs/>
          <w:color w:val="231F20"/>
        </w:rPr>
        <w:t>e</w:t>
      </w:r>
      <w:r>
        <w:rPr>
          <w:b/>
          <w:bCs/>
          <w:color w:val="231F20"/>
          <w:spacing w:val="-8"/>
        </w:rPr>
        <w:t xml:space="preserve"> </w:t>
      </w:r>
      <w:r>
        <w:rPr>
          <w:b/>
          <w:bCs/>
          <w:color w:val="231F20"/>
        </w:rPr>
        <w:t>to</w:t>
      </w:r>
      <w:r>
        <w:rPr>
          <w:b/>
          <w:bCs/>
          <w:color w:val="231F20"/>
          <w:spacing w:val="-10"/>
        </w:rPr>
        <w:t xml:space="preserve"> </w:t>
      </w:r>
      <w:r>
        <w:rPr>
          <w:b/>
          <w:bCs/>
          <w:color w:val="231F20"/>
        </w:rPr>
        <w:t>be</w:t>
      </w:r>
      <w:r>
        <w:rPr>
          <w:b/>
          <w:bCs/>
          <w:color w:val="231F20"/>
          <w:spacing w:val="-8"/>
        </w:rPr>
        <w:t xml:space="preserve"> </w:t>
      </w:r>
      <w:r>
        <w:rPr>
          <w:b/>
          <w:bCs/>
          <w:color w:val="231F20"/>
        </w:rPr>
        <w:t>the</w:t>
      </w:r>
      <w:r>
        <w:rPr>
          <w:b/>
          <w:bCs/>
          <w:color w:val="231F20"/>
          <w:spacing w:val="-10"/>
        </w:rPr>
        <w:t xml:space="preserve"> </w:t>
      </w:r>
      <w:r>
        <w:rPr>
          <w:b/>
          <w:bCs/>
          <w:color w:val="231F20"/>
        </w:rPr>
        <w:t>c</w:t>
      </w:r>
      <w:r>
        <w:rPr>
          <w:b/>
          <w:bCs/>
          <w:color w:val="1C1C1E"/>
        </w:rPr>
        <w:t>a</w:t>
      </w:r>
      <w:r>
        <w:rPr>
          <w:b/>
          <w:bCs/>
          <w:color w:val="231F20"/>
        </w:rPr>
        <w:t>se</w:t>
      </w:r>
      <w:r>
        <w:rPr>
          <w:b/>
          <w:bCs/>
          <w:color w:val="1C1C1E"/>
        </w:rPr>
        <w:t>,</w:t>
      </w:r>
      <w:r>
        <w:rPr>
          <w:b/>
          <w:bCs/>
          <w:color w:val="1C1C1E"/>
          <w:spacing w:val="-8"/>
        </w:rPr>
        <w:t xml:space="preserve"> </w:t>
      </w:r>
      <w:r>
        <w:rPr>
          <w:b/>
          <w:bCs/>
          <w:color w:val="1C1C1E"/>
        </w:rPr>
        <w:t>t</w:t>
      </w:r>
      <w:r>
        <w:rPr>
          <w:b/>
          <w:bCs/>
          <w:color w:val="231F20"/>
        </w:rPr>
        <w:t>he</w:t>
      </w:r>
      <w:r>
        <w:rPr>
          <w:b/>
          <w:bCs/>
          <w:color w:val="231F20"/>
          <w:spacing w:val="-7"/>
        </w:rPr>
        <w:t xml:space="preserve"> </w:t>
      </w:r>
      <w:r>
        <w:rPr>
          <w:b/>
          <w:bCs/>
          <w:color w:val="231F20"/>
        </w:rPr>
        <w:t>market</w:t>
      </w:r>
      <w:r>
        <w:rPr>
          <w:b/>
          <w:bCs/>
          <w:color w:val="231F20"/>
          <w:spacing w:val="-8"/>
        </w:rPr>
        <w:t xml:space="preserve"> </w:t>
      </w:r>
      <w:r>
        <w:rPr>
          <w:b/>
          <w:bCs/>
          <w:color w:val="231F20"/>
        </w:rPr>
        <w:t>price</w:t>
      </w:r>
      <w:r>
        <w:rPr>
          <w:b/>
          <w:bCs/>
          <w:color w:val="231F20"/>
          <w:spacing w:val="-9"/>
        </w:rPr>
        <w:t xml:space="preserve"> </w:t>
      </w:r>
      <w:r>
        <w:rPr>
          <w:b/>
          <w:bCs/>
          <w:color w:val="231F20"/>
        </w:rPr>
        <w:t>of</w:t>
      </w:r>
      <w:r>
        <w:rPr>
          <w:b/>
          <w:bCs/>
          <w:color w:val="231F20"/>
          <w:spacing w:val="-11"/>
        </w:rPr>
        <w:t xml:space="preserve"> </w:t>
      </w:r>
      <w:r>
        <w:rPr>
          <w:b/>
          <w:bCs/>
          <w:color w:val="231F20"/>
        </w:rPr>
        <w:t>the</w:t>
      </w:r>
      <w:r>
        <w:rPr>
          <w:b/>
          <w:bCs/>
          <w:color w:val="231F20"/>
          <w:spacing w:val="-7"/>
        </w:rPr>
        <w:t xml:space="preserve"> </w:t>
      </w:r>
      <w:r>
        <w:rPr>
          <w:b/>
          <w:bCs/>
          <w:color w:val="231F20"/>
        </w:rPr>
        <w:t>Ord</w:t>
      </w:r>
      <w:r>
        <w:rPr>
          <w:b/>
          <w:bCs/>
          <w:color w:val="1C1C1E"/>
        </w:rPr>
        <w:t>i</w:t>
      </w:r>
      <w:r>
        <w:rPr>
          <w:b/>
          <w:bCs/>
          <w:color w:val="231F20"/>
        </w:rPr>
        <w:t>nary</w:t>
      </w:r>
      <w:r>
        <w:rPr>
          <w:b/>
          <w:bCs/>
          <w:color w:val="231F20"/>
          <w:spacing w:val="-17"/>
        </w:rPr>
        <w:t xml:space="preserve"> </w:t>
      </w:r>
      <w:r>
        <w:rPr>
          <w:b/>
          <w:bCs/>
          <w:color w:val="231F20"/>
        </w:rPr>
        <w:t>Shares</w:t>
      </w:r>
      <w:r>
        <w:rPr>
          <w:b/>
          <w:bCs/>
          <w:color w:val="1C1C1E"/>
        </w:rPr>
        <w:t>,</w:t>
      </w:r>
      <w:r>
        <w:rPr>
          <w:b/>
          <w:bCs/>
          <w:color w:val="1C1C1E"/>
          <w:spacing w:val="-8"/>
        </w:rPr>
        <w:t xml:space="preserve"> </w:t>
      </w:r>
      <w:r>
        <w:rPr>
          <w:b/>
          <w:bCs/>
          <w:color w:val="1C1C1E"/>
        </w:rPr>
        <w:t>t</w:t>
      </w:r>
      <w:r>
        <w:rPr>
          <w:b/>
          <w:bCs/>
          <w:color w:val="231F20"/>
        </w:rPr>
        <w:t>he</w:t>
      </w:r>
      <w:r>
        <w:rPr>
          <w:b/>
          <w:bCs/>
          <w:color w:val="231F20"/>
          <w:spacing w:val="-7"/>
        </w:rPr>
        <w:t xml:space="preserve"> </w:t>
      </w:r>
      <w:r>
        <w:rPr>
          <w:b/>
          <w:bCs/>
          <w:color w:val="231F20"/>
        </w:rPr>
        <w:t>ta</w:t>
      </w:r>
      <w:r>
        <w:rPr>
          <w:b/>
          <w:bCs/>
          <w:color w:val="1C1C1E"/>
        </w:rPr>
        <w:t>r</w:t>
      </w:r>
      <w:r>
        <w:rPr>
          <w:b/>
          <w:bCs/>
          <w:color w:val="231F20"/>
        </w:rPr>
        <w:t>get rate</w:t>
      </w:r>
      <w:r>
        <w:rPr>
          <w:b/>
          <w:bCs/>
          <w:color w:val="231F20"/>
          <w:spacing w:val="-12"/>
        </w:rPr>
        <w:t xml:space="preserve"> </w:t>
      </w:r>
      <w:r>
        <w:rPr>
          <w:b/>
          <w:bCs/>
          <w:color w:val="231F20"/>
        </w:rPr>
        <w:t>of</w:t>
      </w:r>
      <w:r>
        <w:rPr>
          <w:b/>
          <w:bCs/>
          <w:color w:val="231F20"/>
          <w:spacing w:val="-12"/>
        </w:rPr>
        <w:t xml:space="preserve"> </w:t>
      </w:r>
      <w:r>
        <w:rPr>
          <w:b/>
          <w:bCs/>
          <w:color w:val="231F20"/>
        </w:rPr>
        <w:t>re</w:t>
      </w:r>
      <w:r>
        <w:rPr>
          <w:b/>
          <w:bCs/>
          <w:color w:val="1C1C1E"/>
        </w:rPr>
        <w:t>t</w:t>
      </w:r>
      <w:r>
        <w:rPr>
          <w:b/>
          <w:bCs/>
          <w:color w:val="231F20"/>
        </w:rPr>
        <w:t>u</w:t>
      </w:r>
      <w:r>
        <w:rPr>
          <w:b/>
          <w:bCs/>
          <w:color w:val="1C1C1E"/>
        </w:rPr>
        <w:t>r</w:t>
      </w:r>
      <w:r>
        <w:rPr>
          <w:b/>
          <w:bCs/>
          <w:color w:val="231F20"/>
        </w:rPr>
        <w:t>n,</w:t>
      </w:r>
      <w:r>
        <w:rPr>
          <w:b/>
          <w:bCs/>
          <w:color w:val="231F20"/>
          <w:spacing w:val="-14"/>
        </w:rPr>
        <w:t xml:space="preserve"> </w:t>
      </w:r>
      <w:r>
        <w:rPr>
          <w:b/>
          <w:bCs/>
          <w:color w:val="231F20"/>
        </w:rPr>
        <w:t>and</w:t>
      </w:r>
      <w:r w:rsidR="00FD1F65">
        <w:rPr>
          <w:b/>
          <w:bCs/>
          <w:color w:val="231F20"/>
        </w:rPr>
        <w:t>/</w:t>
      </w:r>
      <w:r>
        <w:rPr>
          <w:b/>
          <w:bCs/>
          <w:color w:val="231F20"/>
        </w:rPr>
        <w:t>or</w:t>
      </w:r>
      <w:r>
        <w:rPr>
          <w:b/>
          <w:bCs/>
          <w:color w:val="231F20"/>
          <w:spacing w:val="-12"/>
        </w:rPr>
        <w:t xml:space="preserve"> </w:t>
      </w:r>
      <w:r>
        <w:rPr>
          <w:b/>
          <w:bCs/>
          <w:color w:val="1C1C1E"/>
        </w:rPr>
        <w:t>t</w:t>
      </w:r>
      <w:r>
        <w:rPr>
          <w:b/>
          <w:bCs/>
          <w:color w:val="231F20"/>
        </w:rPr>
        <w:t>he</w:t>
      </w:r>
      <w:r>
        <w:rPr>
          <w:b/>
          <w:bCs/>
          <w:color w:val="231F20"/>
          <w:spacing w:val="-13"/>
        </w:rPr>
        <w:t xml:space="preserve"> </w:t>
      </w:r>
      <w:r>
        <w:rPr>
          <w:b/>
          <w:bCs/>
          <w:color w:val="1C1C1E"/>
        </w:rPr>
        <w:t>l</w:t>
      </w:r>
      <w:r>
        <w:rPr>
          <w:b/>
          <w:bCs/>
          <w:color w:val="231F20"/>
        </w:rPr>
        <w:t>ev</w:t>
      </w:r>
      <w:r>
        <w:rPr>
          <w:b/>
          <w:bCs/>
          <w:color w:val="1C1C1E"/>
        </w:rPr>
        <w:t>el</w:t>
      </w:r>
      <w:r>
        <w:rPr>
          <w:b/>
          <w:bCs/>
          <w:color w:val="1C1C1E"/>
          <w:spacing w:val="-12"/>
        </w:rPr>
        <w:t xml:space="preserve"> </w:t>
      </w:r>
      <w:r>
        <w:rPr>
          <w:b/>
          <w:bCs/>
          <w:color w:val="231F20"/>
        </w:rPr>
        <w:t>of</w:t>
      </w:r>
      <w:r>
        <w:rPr>
          <w:b/>
          <w:bCs/>
          <w:color w:val="231F20"/>
          <w:spacing w:val="-12"/>
        </w:rPr>
        <w:t xml:space="preserve"> </w:t>
      </w:r>
      <w:r>
        <w:rPr>
          <w:b/>
          <w:bCs/>
          <w:color w:val="231F20"/>
        </w:rPr>
        <w:t>d</w:t>
      </w:r>
      <w:r>
        <w:rPr>
          <w:b/>
          <w:bCs/>
          <w:color w:val="1C1C1E"/>
        </w:rPr>
        <w:t>i</w:t>
      </w:r>
      <w:r>
        <w:rPr>
          <w:b/>
          <w:bCs/>
          <w:color w:val="231F20"/>
        </w:rPr>
        <w:t>vidends</w:t>
      </w:r>
      <w:r>
        <w:rPr>
          <w:b/>
          <w:bCs/>
          <w:color w:val="231F20"/>
          <w:spacing w:val="-11"/>
        </w:rPr>
        <w:t xml:space="preserve"> </w:t>
      </w:r>
      <w:r>
        <w:rPr>
          <w:b/>
          <w:bCs/>
          <w:color w:val="231F20"/>
        </w:rPr>
        <w:t>o</w:t>
      </w:r>
      <w:r>
        <w:rPr>
          <w:b/>
          <w:bCs/>
          <w:color w:val="1C1C1E"/>
        </w:rPr>
        <w:t>r</w:t>
      </w:r>
      <w:r>
        <w:rPr>
          <w:b/>
          <w:bCs/>
          <w:color w:val="1C1C1E"/>
          <w:spacing w:val="-12"/>
        </w:rPr>
        <w:t xml:space="preserve"> </w:t>
      </w:r>
      <w:r>
        <w:rPr>
          <w:b/>
          <w:bCs/>
          <w:color w:val="231F20"/>
        </w:rPr>
        <w:t>d</w:t>
      </w:r>
      <w:r>
        <w:rPr>
          <w:b/>
          <w:bCs/>
          <w:color w:val="1C1C1E"/>
        </w:rPr>
        <w:t>i</w:t>
      </w:r>
      <w:r>
        <w:rPr>
          <w:b/>
          <w:bCs/>
          <w:color w:val="231F20"/>
        </w:rPr>
        <w:t>stribution</w:t>
      </w:r>
      <w:r>
        <w:rPr>
          <w:b/>
          <w:bCs/>
          <w:color w:val="1C1C1E"/>
        </w:rPr>
        <w:t>s</w:t>
      </w:r>
      <w:r>
        <w:rPr>
          <w:b/>
          <w:bCs/>
          <w:color w:val="1C1C1E"/>
          <w:spacing w:val="-11"/>
        </w:rPr>
        <w:t xml:space="preserve"> </w:t>
      </w:r>
      <w:r>
        <w:rPr>
          <w:b/>
          <w:bCs/>
          <w:color w:val="231F20"/>
        </w:rPr>
        <w:t>(if</w:t>
      </w:r>
      <w:r>
        <w:rPr>
          <w:b/>
          <w:bCs/>
          <w:color w:val="231F20"/>
          <w:spacing w:val="-13"/>
        </w:rPr>
        <w:t xml:space="preserve"> </w:t>
      </w:r>
      <w:r>
        <w:rPr>
          <w:b/>
          <w:bCs/>
          <w:color w:val="231F20"/>
        </w:rPr>
        <w:t>an</w:t>
      </w:r>
      <w:r>
        <w:rPr>
          <w:b/>
          <w:bCs/>
          <w:color w:val="1C1C1E"/>
        </w:rPr>
        <w:t>y</w:t>
      </w:r>
      <w:r>
        <w:rPr>
          <w:b/>
          <w:bCs/>
          <w:color w:val="231F20"/>
        </w:rPr>
        <w:t>)</w:t>
      </w:r>
      <w:r>
        <w:rPr>
          <w:b/>
          <w:bCs/>
          <w:color w:val="231F20"/>
          <w:spacing w:val="-12"/>
        </w:rPr>
        <w:t xml:space="preserve"> </w:t>
      </w:r>
      <w:r>
        <w:rPr>
          <w:b/>
          <w:bCs/>
          <w:color w:val="231F20"/>
        </w:rPr>
        <w:t>received</w:t>
      </w:r>
      <w:r>
        <w:rPr>
          <w:b/>
          <w:bCs/>
          <w:color w:val="231F20"/>
          <w:spacing w:val="-11"/>
        </w:rPr>
        <w:t xml:space="preserve"> </w:t>
      </w:r>
      <w:r>
        <w:rPr>
          <w:b/>
          <w:bCs/>
          <w:color w:val="231F20"/>
        </w:rPr>
        <w:t>from</w:t>
      </w:r>
      <w:r>
        <w:rPr>
          <w:b/>
          <w:bCs/>
          <w:color w:val="231F20"/>
          <w:spacing w:val="-11"/>
        </w:rPr>
        <w:t xml:space="preserve"> </w:t>
      </w:r>
      <w:r>
        <w:rPr>
          <w:b/>
          <w:bCs/>
          <w:color w:val="1C1C1E"/>
        </w:rPr>
        <w:t>t</w:t>
      </w:r>
      <w:r>
        <w:rPr>
          <w:b/>
          <w:bCs/>
          <w:color w:val="231F20"/>
        </w:rPr>
        <w:t>he</w:t>
      </w:r>
      <w:r>
        <w:rPr>
          <w:b/>
          <w:bCs/>
          <w:color w:val="231F20"/>
          <w:spacing w:val="-11"/>
        </w:rPr>
        <w:t xml:space="preserve"> </w:t>
      </w:r>
      <w:r>
        <w:rPr>
          <w:b/>
          <w:bCs/>
          <w:color w:val="231F20"/>
        </w:rPr>
        <w:t>Ord</w:t>
      </w:r>
      <w:r>
        <w:rPr>
          <w:b/>
          <w:bCs/>
          <w:color w:val="1C1C1E"/>
        </w:rPr>
        <w:t>i</w:t>
      </w:r>
      <w:r>
        <w:rPr>
          <w:b/>
          <w:bCs/>
          <w:color w:val="231F20"/>
        </w:rPr>
        <w:t>nary</w:t>
      </w:r>
      <w:r>
        <w:rPr>
          <w:b/>
          <w:bCs/>
          <w:color w:val="231F20"/>
          <w:spacing w:val="-18"/>
        </w:rPr>
        <w:t xml:space="preserve"> </w:t>
      </w:r>
      <w:r>
        <w:rPr>
          <w:b/>
          <w:bCs/>
          <w:color w:val="231F20"/>
        </w:rPr>
        <w:t>Sh</w:t>
      </w:r>
      <w:r>
        <w:rPr>
          <w:b/>
          <w:bCs/>
          <w:color w:val="1C1C1E"/>
        </w:rPr>
        <w:t>ar</w:t>
      </w:r>
      <w:r>
        <w:rPr>
          <w:b/>
          <w:bCs/>
          <w:color w:val="231F20"/>
        </w:rPr>
        <w:t>es</w:t>
      </w:r>
      <w:r>
        <w:rPr>
          <w:b/>
          <w:bCs/>
          <w:color w:val="231F20"/>
          <w:spacing w:val="-11"/>
        </w:rPr>
        <w:t xml:space="preserve"> </w:t>
      </w:r>
      <w:r>
        <w:rPr>
          <w:b/>
          <w:bCs/>
          <w:color w:val="231F20"/>
        </w:rPr>
        <w:t>could decli</w:t>
      </w:r>
      <w:r>
        <w:rPr>
          <w:b/>
          <w:bCs/>
          <w:color w:val="1C1C1E"/>
        </w:rPr>
        <w:t>n</w:t>
      </w:r>
      <w:r>
        <w:rPr>
          <w:b/>
          <w:bCs/>
          <w:color w:val="231F20"/>
        </w:rPr>
        <w:t xml:space="preserve">e </w:t>
      </w:r>
      <w:r>
        <w:rPr>
          <w:b/>
          <w:bCs/>
          <w:color w:val="1C1C1E"/>
        </w:rPr>
        <w:t>si</w:t>
      </w:r>
      <w:r>
        <w:rPr>
          <w:b/>
          <w:bCs/>
          <w:color w:val="231F20"/>
        </w:rPr>
        <w:t>gnif</w:t>
      </w:r>
      <w:r>
        <w:rPr>
          <w:b/>
          <w:bCs/>
          <w:color w:val="1C1C1E"/>
        </w:rPr>
        <w:t>i</w:t>
      </w:r>
      <w:r>
        <w:rPr>
          <w:b/>
          <w:bCs/>
          <w:color w:val="231F20"/>
        </w:rPr>
        <w:t>ca</w:t>
      </w:r>
      <w:r>
        <w:rPr>
          <w:b/>
          <w:bCs/>
          <w:color w:val="1C1C1E"/>
        </w:rPr>
        <w:t>n</w:t>
      </w:r>
      <w:r>
        <w:rPr>
          <w:b/>
          <w:bCs/>
          <w:color w:val="231F20"/>
        </w:rPr>
        <w:t>tly. Fur</w:t>
      </w:r>
      <w:r>
        <w:rPr>
          <w:b/>
          <w:bCs/>
          <w:color w:val="1C1C1E"/>
        </w:rPr>
        <w:t>th</w:t>
      </w:r>
      <w:r>
        <w:rPr>
          <w:b/>
          <w:bCs/>
          <w:color w:val="231F20"/>
        </w:rPr>
        <w:t>er, Shareholde</w:t>
      </w:r>
      <w:r>
        <w:rPr>
          <w:b/>
          <w:bCs/>
          <w:color w:val="1C1C1E"/>
        </w:rPr>
        <w:t>r</w:t>
      </w:r>
      <w:r>
        <w:rPr>
          <w:b/>
          <w:bCs/>
          <w:color w:val="231F20"/>
        </w:rPr>
        <w:t>s could lose all o</w:t>
      </w:r>
      <w:r>
        <w:rPr>
          <w:b/>
          <w:bCs/>
          <w:color w:val="1C1C1E"/>
        </w:rPr>
        <w:t xml:space="preserve">r </w:t>
      </w:r>
      <w:r>
        <w:rPr>
          <w:b/>
          <w:bCs/>
          <w:color w:val="231F20"/>
        </w:rPr>
        <w:t>part of their</w:t>
      </w:r>
      <w:r>
        <w:rPr>
          <w:b/>
          <w:bCs/>
          <w:color w:val="231F20"/>
          <w:spacing w:val="-8"/>
        </w:rPr>
        <w:t xml:space="preserve"> </w:t>
      </w:r>
      <w:r>
        <w:rPr>
          <w:b/>
          <w:bCs/>
          <w:color w:val="231F20"/>
        </w:rPr>
        <w:t>investment.</w:t>
      </w:r>
    </w:p>
    <w:p w14:paraId="2410F1EB" w14:textId="391D88A2" w:rsidR="009E1B50" w:rsidRDefault="009E1B50" w:rsidP="002D04E4">
      <w:pPr>
        <w:pStyle w:val="BodyText"/>
        <w:kinsoku w:val="0"/>
        <w:overflowPunct w:val="0"/>
        <w:ind w:right="1187"/>
        <w:jc w:val="both"/>
        <w:rPr>
          <w:b/>
          <w:bCs/>
          <w:i/>
          <w:color w:val="231F20"/>
        </w:rPr>
      </w:pPr>
    </w:p>
    <w:p w14:paraId="5EE52938" w14:textId="77777777" w:rsidR="00783288" w:rsidRDefault="00783288">
      <w:pPr>
        <w:pStyle w:val="BodyText"/>
        <w:kinsoku w:val="0"/>
        <w:overflowPunct w:val="0"/>
        <w:spacing w:before="1"/>
        <w:rPr>
          <w:b/>
          <w:bCs/>
        </w:rPr>
      </w:pPr>
    </w:p>
    <w:p w14:paraId="186B2F8C" w14:textId="77777777" w:rsidR="00783288" w:rsidRDefault="00E31420">
      <w:pPr>
        <w:pStyle w:val="BodyText"/>
        <w:kinsoku w:val="0"/>
        <w:overflowPunct w:val="0"/>
        <w:ind w:left="377" w:right="1273"/>
        <w:jc w:val="center"/>
        <w:rPr>
          <w:b/>
          <w:bCs/>
          <w:color w:val="231F20"/>
        </w:rPr>
      </w:pPr>
      <w:r>
        <w:rPr>
          <w:b/>
          <w:bCs/>
          <w:color w:val="231F20"/>
          <w:u w:val="single"/>
        </w:rPr>
        <w:t>PART A – RISK FACTORS SPECIFIC AND MATERIAL TO THE COMPANY</w:t>
      </w:r>
    </w:p>
    <w:p w14:paraId="630BDE68" w14:textId="77777777" w:rsidR="00783288" w:rsidRDefault="00783288">
      <w:pPr>
        <w:pStyle w:val="BodyText"/>
        <w:kinsoku w:val="0"/>
        <w:overflowPunct w:val="0"/>
        <w:spacing w:before="10"/>
        <w:rPr>
          <w:b/>
          <w:bCs/>
          <w:sz w:val="9"/>
          <w:szCs w:val="9"/>
        </w:rPr>
      </w:pPr>
    </w:p>
    <w:p w14:paraId="59601FBC" w14:textId="77777777" w:rsidR="00783288" w:rsidRDefault="00E31420">
      <w:pPr>
        <w:pStyle w:val="BodyText"/>
        <w:kinsoku w:val="0"/>
        <w:overflowPunct w:val="0"/>
        <w:spacing w:before="94"/>
        <w:ind w:left="300"/>
        <w:jc w:val="both"/>
        <w:rPr>
          <w:b/>
          <w:bCs/>
          <w:color w:val="070808"/>
        </w:rPr>
      </w:pPr>
      <w:r>
        <w:rPr>
          <w:b/>
          <w:bCs/>
          <w:color w:val="070808"/>
        </w:rPr>
        <w:t>EARLY STAGE OF DEVELOPMENT AND NO CURRENT REVENU</w:t>
      </w:r>
      <w:r w:rsidR="00893DE8">
        <w:rPr>
          <w:b/>
          <w:bCs/>
          <w:color w:val="070808"/>
        </w:rPr>
        <w:t>E</w:t>
      </w:r>
      <w:r>
        <w:rPr>
          <w:b/>
          <w:bCs/>
          <w:color w:val="070808"/>
        </w:rPr>
        <w:t>S</w:t>
      </w:r>
    </w:p>
    <w:p w14:paraId="57AE54F9" w14:textId="77777777" w:rsidR="00783288" w:rsidRDefault="00783288">
      <w:pPr>
        <w:pStyle w:val="BodyText"/>
        <w:kinsoku w:val="0"/>
        <w:overflowPunct w:val="0"/>
        <w:spacing w:before="1"/>
        <w:rPr>
          <w:b/>
          <w:bCs/>
          <w:sz w:val="21"/>
          <w:szCs w:val="21"/>
        </w:rPr>
      </w:pPr>
    </w:p>
    <w:p w14:paraId="55FEC0F4" w14:textId="77777777" w:rsidR="00783288" w:rsidRDefault="00E31420">
      <w:pPr>
        <w:pStyle w:val="Heading2"/>
        <w:kinsoku w:val="0"/>
        <w:overflowPunct w:val="0"/>
        <w:ind w:right="1189"/>
        <w:rPr>
          <w:color w:val="070808"/>
        </w:rPr>
      </w:pPr>
      <w:r>
        <w:rPr>
          <w:color w:val="070808"/>
        </w:rPr>
        <w:t>The Group is at an early stage of operations and has no current revenues. As such it will be loss making and there can be no assurances that the Group will become profitable in the future.</w:t>
      </w:r>
    </w:p>
    <w:p w14:paraId="293D2B15" w14:textId="77777777" w:rsidR="00783288" w:rsidRDefault="00783288">
      <w:pPr>
        <w:pStyle w:val="BodyText"/>
        <w:kinsoku w:val="0"/>
        <w:overflowPunct w:val="0"/>
        <w:spacing w:before="3"/>
        <w:rPr>
          <w:b/>
          <w:bCs/>
          <w:i/>
          <w:iCs/>
        </w:rPr>
      </w:pPr>
    </w:p>
    <w:p w14:paraId="2AAA8153" w14:textId="5AF4FFCF" w:rsidR="00783288" w:rsidRDefault="00E31420">
      <w:pPr>
        <w:pStyle w:val="BodyText"/>
        <w:kinsoku w:val="0"/>
        <w:overflowPunct w:val="0"/>
        <w:ind w:left="300" w:right="1189"/>
        <w:jc w:val="both"/>
        <w:rPr>
          <w:color w:val="070808"/>
        </w:rPr>
      </w:pPr>
      <w:r>
        <w:rPr>
          <w:color w:val="070808"/>
        </w:rPr>
        <w:t>The</w:t>
      </w:r>
      <w:r>
        <w:rPr>
          <w:color w:val="070808"/>
          <w:spacing w:val="-12"/>
        </w:rPr>
        <w:t xml:space="preserve"> </w:t>
      </w:r>
      <w:r>
        <w:rPr>
          <w:color w:val="070808"/>
        </w:rPr>
        <w:t>Group’s</w:t>
      </w:r>
      <w:r>
        <w:rPr>
          <w:color w:val="070808"/>
          <w:spacing w:val="-10"/>
        </w:rPr>
        <w:t xml:space="preserve"> </w:t>
      </w:r>
      <w:r>
        <w:rPr>
          <w:color w:val="070808"/>
        </w:rPr>
        <w:t>primary</w:t>
      </w:r>
      <w:r>
        <w:rPr>
          <w:color w:val="070808"/>
          <w:spacing w:val="-14"/>
        </w:rPr>
        <w:t xml:space="preserve"> </w:t>
      </w:r>
      <w:r>
        <w:rPr>
          <w:color w:val="070808"/>
        </w:rPr>
        <w:t>objective</w:t>
      </w:r>
      <w:r>
        <w:rPr>
          <w:color w:val="070808"/>
          <w:spacing w:val="-11"/>
        </w:rPr>
        <w:t xml:space="preserve"> </w:t>
      </w:r>
      <w:r>
        <w:rPr>
          <w:color w:val="070808"/>
        </w:rPr>
        <w:t>in</w:t>
      </w:r>
      <w:r>
        <w:rPr>
          <w:color w:val="070808"/>
          <w:spacing w:val="-11"/>
        </w:rPr>
        <w:t xml:space="preserve"> </w:t>
      </w:r>
      <w:r>
        <w:rPr>
          <w:color w:val="070808"/>
        </w:rPr>
        <w:t>the</w:t>
      </w:r>
      <w:r>
        <w:rPr>
          <w:color w:val="070808"/>
          <w:spacing w:val="-12"/>
        </w:rPr>
        <w:t xml:space="preserve"> </w:t>
      </w:r>
      <w:r>
        <w:rPr>
          <w:color w:val="070808"/>
        </w:rPr>
        <w:t>short</w:t>
      </w:r>
      <w:r>
        <w:rPr>
          <w:color w:val="070808"/>
          <w:spacing w:val="-11"/>
        </w:rPr>
        <w:t xml:space="preserve"> </w:t>
      </w:r>
      <w:r>
        <w:rPr>
          <w:color w:val="070808"/>
        </w:rPr>
        <w:t>to</w:t>
      </w:r>
      <w:r>
        <w:rPr>
          <w:color w:val="070808"/>
          <w:spacing w:val="-11"/>
        </w:rPr>
        <w:t xml:space="preserve"> </w:t>
      </w:r>
      <w:r>
        <w:rPr>
          <w:color w:val="070808"/>
        </w:rPr>
        <w:t>medium</w:t>
      </w:r>
      <w:r>
        <w:rPr>
          <w:color w:val="070808"/>
          <w:spacing w:val="-11"/>
        </w:rPr>
        <w:t xml:space="preserve"> </w:t>
      </w:r>
      <w:r>
        <w:rPr>
          <w:color w:val="070808"/>
        </w:rPr>
        <w:t>term</w:t>
      </w:r>
      <w:r>
        <w:rPr>
          <w:color w:val="070808"/>
          <w:spacing w:val="-10"/>
        </w:rPr>
        <w:t xml:space="preserve"> </w:t>
      </w:r>
      <w:r>
        <w:rPr>
          <w:color w:val="070808"/>
        </w:rPr>
        <w:t>will</w:t>
      </w:r>
      <w:r>
        <w:rPr>
          <w:color w:val="070808"/>
          <w:spacing w:val="-11"/>
        </w:rPr>
        <w:t xml:space="preserve"> </w:t>
      </w:r>
      <w:r>
        <w:rPr>
          <w:color w:val="070808"/>
        </w:rPr>
        <w:t>be</w:t>
      </w:r>
      <w:r>
        <w:rPr>
          <w:color w:val="070808"/>
          <w:spacing w:val="-11"/>
        </w:rPr>
        <w:t xml:space="preserve"> </w:t>
      </w:r>
      <w:r>
        <w:rPr>
          <w:color w:val="070808"/>
        </w:rPr>
        <w:t>to</w:t>
      </w:r>
      <w:r>
        <w:rPr>
          <w:color w:val="070808"/>
          <w:spacing w:val="-11"/>
        </w:rPr>
        <w:t xml:space="preserve"> </w:t>
      </w:r>
      <w:r>
        <w:rPr>
          <w:color w:val="070808"/>
        </w:rPr>
        <w:t>continue</w:t>
      </w:r>
      <w:r>
        <w:rPr>
          <w:color w:val="070808"/>
          <w:spacing w:val="-12"/>
        </w:rPr>
        <w:t xml:space="preserve"> </w:t>
      </w:r>
      <w:r>
        <w:rPr>
          <w:color w:val="070808"/>
        </w:rPr>
        <w:t>exploring</w:t>
      </w:r>
      <w:r>
        <w:rPr>
          <w:color w:val="070808"/>
          <w:spacing w:val="-13"/>
        </w:rPr>
        <w:t xml:space="preserve"> </w:t>
      </w:r>
      <w:r>
        <w:rPr>
          <w:color w:val="070808"/>
        </w:rPr>
        <w:t>and</w:t>
      </w:r>
      <w:r>
        <w:rPr>
          <w:color w:val="070808"/>
          <w:spacing w:val="-11"/>
        </w:rPr>
        <w:t xml:space="preserve"> </w:t>
      </w:r>
      <w:r>
        <w:rPr>
          <w:color w:val="070808"/>
        </w:rPr>
        <w:t>developing</w:t>
      </w:r>
      <w:r>
        <w:rPr>
          <w:color w:val="070808"/>
          <w:spacing w:val="-12"/>
        </w:rPr>
        <w:t xml:space="preserve"> </w:t>
      </w:r>
      <w:r>
        <w:rPr>
          <w:color w:val="070808"/>
        </w:rPr>
        <w:t>the</w:t>
      </w:r>
      <w:r>
        <w:rPr>
          <w:color w:val="070808"/>
          <w:spacing w:val="-11"/>
        </w:rPr>
        <w:t xml:space="preserve"> </w:t>
      </w:r>
      <w:r>
        <w:rPr>
          <w:color w:val="070808"/>
        </w:rPr>
        <w:t>Portfolio for</w:t>
      </w:r>
      <w:r>
        <w:rPr>
          <w:color w:val="070808"/>
          <w:spacing w:val="-10"/>
        </w:rPr>
        <w:t xml:space="preserve"> </w:t>
      </w:r>
      <w:r>
        <w:rPr>
          <w:color w:val="070808"/>
        </w:rPr>
        <w:t>copper</w:t>
      </w:r>
      <w:r>
        <w:rPr>
          <w:color w:val="070808"/>
          <w:spacing w:val="-12"/>
        </w:rPr>
        <w:t xml:space="preserve"> </w:t>
      </w:r>
      <w:r>
        <w:rPr>
          <w:color w:val="070808"/>
        </w:rPr>
        <w:t>and</w:t>
      </w:r>
      <w:r>
        <w:rPr>
          <w:color w:val="070808"/>
          <w:spacing w:val="-9"/>
        </w:rPr>
        <w:t xml:space="preserve"> </w:t>
      </w:r>
      <w:r>
        <w:rPr>
          <w:color w:val="070808"/>
        </w:rPr>
        <w:t>gold</w:t>
      </w:r>
      <w:r>
        <w:rPr>
          <w:color w:val="070808"/>
          <w:spacing w:val="-12"/>
        </w:rPr>
        <w:t xml:space="preserve"> </w:t>
      </w:r>
      <w:r>
        <w:rPr>
          <w:color w:val="070808"/>
        </w:rPr>
        <w:t>mineralisation</w:t>
      </w:r>
      <w:r>
        <w:rPr>
          <w:color w:val="070808"/>
          <w:spacing w:val="-9"/>
        </w:rPr>
        <w:t xml:space="preserve"> </w:t>
      </w:r>
      <w:r>
        <w:rPr>
          <w:color w:val="070808"/>
        </w:rPr>
        <w:t>in</w:t>
      </w:r>
      <w:r>
        <w:rPr>
          <w:color w:val="070808"/>
          <w:spacing w:val="-9"/>
        </w:rPr>
        <w:t xml:space="preserve"> </w:t>
      </w:r>
      <w:r>
        <w:rPr>
          <w:color w:val="070808"/>
        </w:rPr>
        <w:t>order</w:t>
      </w:r>
      <w:r>
        <w:rPr>
          <w:color w:val="070808"/>
          <w:spacing w:val="-10"/>
        </w:rPr>
        <w:t xml:space="preserve"> </w:t>
      </w:r>
      <w:r>
        <w:rPr>
          <w:color w:val="070808"/>
        </w:rPr>
        <w:t>to</w:t>
      </w:r>
      <w:r>
        <w:rPr>
          <w:color w:val="070808"/>
          <w:spacing w:val="-9"/>
        </w:rPr>
        <w:t xml:space="preserve"> </w:t>
      </w:r>
      <w:r>
        <w:rPr>
          <w:color w:val="070808"/>
        </w:rPr>
        <w:t>establish</w:t>
      </w:r>
      <w:r>
        <w:rPr>
          <w:color w:val="070808"/>
          <w:spacing w:val="-9"/>
        </w:rPr>
        <w:t xml:space="preserve"> </w:t>
      </w:r>
      <w:r>
        <w:rPr>
          <w:color w:val="070808"/>
        </w:rPr>
        <w:t>a</w:t>
      </w:r>
      <w:r>
        <w:rPr>
          <w:color w:val="070808"/>
          <w:spacing w:val="-12"/>
        </w:rPr>
        <w:t xml:space="preserve"> </w:t>
      </w:r>
      <w:r>
        <w:rPr>
          <w:color w:val="070808"/>
        </w:rPr>
        <w:t>commercially</w:t>
      </w:r>
      <w:r>
        <w:rPr>
          <w:color w:val="070808"/>
          <w:spacing w:val="-10"/>
        </w:rPr>
        <w:t xml:space="preserve"> </w:t>
      </w:r>
      <w:r>
        <w:rPr>
          <w:color w:val="070808"/>
        </w:rPr>
        <w:t>mineable</w:t>
      </w:r>
      <w:r>
        <w:rPr>
          <w:color w:val="070808"/>
          <w:spacing w:val="-9"/>
        </w:rPr>
        <w:t xml:space="preserve"> </w:t>
      </w:r>
      <w:r>
        <w:rPr>
          <w:color w:val="070808"/>
        </w:rPr>
        <w:t>resource</w:t>
      </w:r>
      <w:r>
        <w:rPr>
          <w:color w:val="070808"/>
          <w:spacing w:val="-10"/>
        </w:rPr>
        <w:t xml:space="preserve"> </w:t>
      </w:r>
      <w:r>
        <w:rPr>
          <w:color w:val="070808"/>
        </w:rPr>
        <w:t>with</w:t>
      </w:r>
      <w:r>
        <w:rPr>
          <w:color w:val="070808"/>
          <w:spacing w:val="-9"/>
        </w:rPr>
        <w:t xml:space="preserve"> </w:t>
      </w:r>
      <w:r>
        <w:rPr>
          <w:color w:val="070808"/>
        </w:rPr>
        <w:t>a</w:t>
      </w:r>
      <w:r>
        <w:rPr>
          <w:color w:val="070808"/>
          <w:spacing w:val="-9"/>
        </w:rPr>
        <w:t xml:space="preserve"> </w:t>
      </w:r>
      <w:r>
        <w:rPr>
          <w:color w:val="070808"/>
        </w:rPr>
        <w:t>view</w:t>
      </w:r>
      <w:r>
        <w:rPr>
          <w:color w:val="070808"/>
          <w:spacing w:val="-13"/>
        </w:rPr>
        <w:t xml:space="preserve"> </w:t>
      </w:r>
      <w:r>
        <w:rPr>
          <w:color w:val="070808"/>
        </w:rPr>
        <w:t>to</w:t>
      </w:r>
      <w:r>
        <w:rPr>
          <w:color w:val="070808"/>
          <w:spacing w:val="-9"/>
        </w:rPr>
        <w:t xml:space="preserve"> </w:t>
      </w:r>
      <w:r>
        <w:rPr>
          <w:color w:val="070808"/>
        </w:rPr>
        <w:t>generating revenue by executing a trade sale, joint venture or strategic partnership in relation to the Portfolio. As at the date of</w:t>
      </w:r>
      <w:r>
        <w:rPr>
          <w:color w:val="070808"/>
          <w:spacing w:val="-3"/>
        </w:rPr>
        <w:t xml:space="preserve"> </w:t>
      </w:r>
      <w:r>
        <w:rPr>
          <w:color w:val="070808"/>
        </w:rPr>
        <w:t>this</w:t>
      </w:r>
      <w:r>
        <w:rPr>
          <w:color w:val="070808"/>
          <w:spacing w:val="-4"/>
        </w:rPr>
        <w:t xml:space="preserve"> </w:t>
      </w:r>
      <w:r>
        <w:rPr>
          <w:color w:val="070808"/>
        </w:rPr>
        <w:t>Document,</w:t>
      </w:r>
      <w:r>
        <w:rPr>
          <w:color w:val="070808"/>
          <w:spacing w:val="-5"/>
        </w:rPr>
        <w:t xml:space="preserve"> </w:t>
      </w:r>
      <w:r>
        <w:rPr>
          <w:color w:val="070808"/>
        </w:rPr>
        <w:t>the</w:t>
      </w:r>
      <w:r>
        <w:rPr>
          <w:color w:val="070808"/>
          <w:spacing w:val="-2"/>
        </w:rPr>
        <w:t xml:space="preserve"> </w:t>
      </w:r>
      <w:r>
        <w:rPr>
          <w:color w:val="070808"/>
        </w:rPr>
        <w:t>Group</w:t>
      </w:r>
      <w:r>
        <w:rPr>
          <w:color w:val="070808"/>
          <w:spacing w:val="-2"/>
        </w:rPr>
        <w:t xml:space="preserve"> </w:t>
      </w:r>
      <w:r>
        <w:rPr>
          <w:color w:val="070808"/>
        </w:rPr>
        <w:t>will</w:t>
      </w:r>
      <w:r>
        <w:rPr>
          <w:color w:val="070808"/>
          <w:spacing w:val="-4"/>
        </w:rPr>
        <w:t xml:space="preserve"> </w:t>
      </w:r>
      <w:r>
        <w:rPr>
          <w:color w:val="070808"/>
        </w:rPr>
        <w:t>have</w:t>
      </w:r>
      <w:r>
        <w:rPr>
          <w:color w:val="070808"/>
          <w:spacing w:val="-5"/>
        </w:rPr>
        <w:t xml:space="preserve"> </w:t>
      </w:r>
      <w:r>
        <w:rPr>
          <w:color w:val="070808"/>
        </w:rPr>
        <w:t>no</w:t>
      </w:r>
      <w:r>
        <w:rPr>
          <w:color w:val="070808"/>
          <w:spacing w:val="-5"/>
        </w:rPr>
        <w:t xml:space="preserve"> </w:t>
      </w:r>
      <w:r>
        <w:rPr>
          <w:color w:val="070808"/>
        </w:rPr>
        <w:t>properties</w:t>
      </w:r>
      <w:r>
        <w:rPr>
          <w:color w:val="070808"/>
          <w:spacing w:val="-4"/>
        </w:rPr>
        <w:t xml:space="preserve"> </w:t>
      </w:r>
      <w:r>
        <w:rPr>
          <w:color w:val="070808"/>
        </w:rPr>
        <w:t>producing</w:t>
      </w:r>
      <w:r>
        <w:rPr>
          <w:color w:val="070808"/>
          <w:spacing w:val="-2"/>
        </w:rPr>
        <w:t xml:space="preserve"> </w:t>
      </w:r>
      <w:r>
        <w:rPr>
          <w:color w:val="070808"/>
        </w:rPr>
        <w:t>positive</w:t>
      </w:r>
      <w:r>
        <w:rPr>
          <w:color w:val="070808"/>
          <w:spacing w:val="-4"/>
        </w:rPr>
        <w:t xml:space="preserve"> </w:t>
      </w:r>
      <w:r>
        <w:rPr>
          <w:color w:val="070808"/>
        </w:rPr>
        <w:t>cash</w:t>
      </w:r>
      <w:r>
        <w:rPr>
          <w:color w:val="070808"/>
          <w:spacing w:val="-2"/>
        </w:rPr>
        <w:t xml:space="preserve"> </w:t>
      </w:r>
      <w:r>
        <w:rPr>
          <w:color w:val="070808"/>
        </w:rPr>
        <w:t>flow.</w:t>
      </w:r>
      <w:r>
        <w:rPr>
          <w:color w:val="070808"/>
          <w:spacing w:val="-3"/>
        </w:rPr>
        <w:t xml:space="preserve"> </w:t>
      </w:r>
      <w:r>
        <w:rPr>
          <w:color w:val="070808"/>
        </w:rPr>
        <w:t>Unless</w:t>
      </w:r>
      <w:r>
        <w:rPr>
          <w:color w:val="070808"/>
          <w:spacing w:val="-4"/>
        </w:rPr>
        <w:t xml:space="preserve"> </w:t>
      </w:r>
      <w:r>
        <w:rPr>
          <w:color w:val="070808"/>
        </w:rPr>
        <w:t>the</w:t>
      </w:r>
      <w:r>
        <w:rPr>
          <w:color w:val="070808"/>
          <w:spacing w:val="-2"/>
        </w:rPr>
        <w:t xml:space="preserve"> </w:t>
      </w:r>
      <w:r>
        <w:rPr>
          <w:color w:val="070808"/>
        </w:rPr>
        <w:t>Company</w:t>
      </w:r>
      <w:r>
        <w:rPr>
          <w:color w:val="070808"/>
          <w:spacing w:val="-7"/>
        </w:rPr>
        <w:t xml:space="preserve"> </w:t>
      </w:r>
      <w:r>
        <w:rPr>
          <w:color w:val="070808"/>
        </w:rPr>
        <w:t>acquires</w:t>
      </w:r>
      <w:r>
        <w:rPr>
          <w:color w:val="070808"/>
          <w:spacing w:val="-6"/>
        </w:rPr>
        <w:t xml:space="preserve"> </w:t>
      </w:r>
      <w:r>
        <w:rPr>
          <w:color w:val="070808"/>
        </w:rPr>
        <w:t xml:space="preserve">a revenue generating company business or asset or is able to exploit a near term revenue generating opportunity from within the Portfolio, the Directors do not expect the Group to generate revenues during this exploration and development phase of its operations. Therefore, the Group will rely upon the Net Proceeds and existing capital reserves </w:t>
      </w:r>
      <w:proofErr w:type="gramStart"/>
      <w:r>
        <w:rPr>
          <w:color w:val="070808"/>
        </w:rPr>
        <w:t>in order to</w:t>
      </w:r>
      <w:proofErr w:type="gramEnd"/>
      <w:r>
        <w:rPr>
          <w:color w:val="070808"/>
        </w:rPr>
        <w:t xml:space="preserve"> fund its activities. </w:t>
      </w:r>
      <w:bookmarkStart w:id="1" w:name="_Hlk75942587"/>
      <w:r>
        <w:rPr>
          <w:color w:val="070808"/>
        </w:rPr>
        <w:t>However, the Directors are satisfied that the Net Proceeds will be sufficient for</w:t>
      </w:r>
      <w:r>
        <w:rPr>
          <w:color w:val="070808"/>
          <w:spacing w:val="-2"/>
        </w:rPr>
        <w:t xml:space="preserve"> </w:t>
      </w:r>
      <w:r>
        <w:rPr>
          <w:color w:val="070808"/>
        </w:rPr>
        <w:t>the</w:t>
      </w:r>
      <w:r>
        <w:rPr>
          <w:color w:val="070808"/>
          <w:spacing w:val="-1"/>
        </w:rPr>
        <w:t xml:space="preserve"> </w:t>
      </w:r>
      <w:r>
        <w:rPr>
          <w:color w:val="070808"/>
        </w:rPr>
        <w:t>Group</w:t>
      </w:r>
      <w:r>
        <w:rPr>
          <w:color w:val="070808"/>
          <w:spacing w:val="-1"/>
        </w:rPr>
        <w:t xml:space="preserve"> </w:t>
      </w:r>
      <w:r>
        <w:rPr>
          <w:color w:val="070808"/>
        </w:rPr>
        <w:t>to</w:t>
      </w:r>
      <w:r>
        <w:rPr>
          <w:color w:val="070808"/>
          <w:spacing w:val="-3"/>
        </w:rPr>
        <w:t xml:space="preserve"> </w:t>
      </w:r>
      <w:r>
        <w:rPr>
          <w:color w:val="070808"/>
        </w:rPr>
        <w:t>carry</w:t>
      </w:r>
      <w:r>
        <w:rPr>
          <w:color w:val="070808"/>
          <w:spacing w:val="-3"/>
        </w:rPr>
        <w:t xml:space="preserve"> </w:t>
      </w:r>
      <w:r>
        <w:rPr>
          <w:color w:val="070808"/>
        </w:rPr>
        <w:t>out</w:t>
      </w:r>
      <w:r>
        <w:rPr>
          <w:color w:val="070808"/>
          <w:spacing w:val="-3"/>
        </w:rPr>
        <w:t xml:space="preserve"> </w:t>
      </w:r>
      <w:r>
        <w:rPr>
          <w:color w:val="070808"/>
        </w:rPr>
        <w:t>its</w:t>
      </w:r>
      <w:r>
        <w:rPr>
          <w:color w:val="070808"/>
          <w:spacing w:val="-3"/>
        </w:rPr>
        <w:t xml:space="preserve"> </w:t>
      </w:r>
      <w:r>
        <w:rPr>
          <w:color w:val="070808"/>
        </w:rPr>
        <w:t>proposed</w:t>
      </w:r>
      <w:r>
        <w:rPr>
          <w:color w:val="070808"/>
          <w:spacing w:val="-4"/>
        </w:rPr>
        <w:t xml:space="preserve"> </w:t>
      </w:r>
      <w:r>
        <w:rPr>
          <w:color w:val="070808"/>
        </w:rPr>
        <w:t>activities (as</w:t>
      </w:r>
      <w:r>
        <w:rPr>
          <w:color w:val="070808"/>
          <w:spacing w:val="-3"/>
        </w:rPr>
        <w:t xml:space="preserve"> </w:t>
      </w:r>
      <w:r>
        <w:rPr>
          <w:color w:val="070808"/>
        </w:rPr>
        <w:t>set</w:t>
      </w:r>
      <w:r>
        <w:rPr>
          <w:color w:val="070808"/>
          <w:spacing w:val="-2"/>
        </w:rPr>
        <w:t xml:space="preserve"> </w:t>
      </w:r>
      <w:r>
        <w:rPr>
          <w:color w:val="070808"/>
        </w:rPr>
        <w:t>out</w:t>
      </w:r>
      <w:r>
        <w:rPr>
          <w:color w:val="070808"/>
          <w:spacing w:val="-3"/>
        </w:rPr>
        <w:t xml:space="preserve"> </w:t>
      </w:r>
      <w:r>
        <w:rPr>
          <w:color w:val="070808"/>
        </w:rPr>
        <w:t>at</w:t>
      </w:r>
      <w:r>
        <w:rPr>
          <w:color w:val="070808"/>
          <w:spacing w:val="-4"/>
        </w:rPr>
        <w:t xml:space="preserve"> </w:t>
      </w:r>
      <w:r>
        <w:rPr>
          <w:color w:val="070808"/>
        </w:rPr>
        <w:t>paragraph</w:t>
      </w:r>
      <w:r>
        <w:rPr>
          <w:color w:val="070808"/>
          <w:spacing w:val="-1"/>
        </w:rPr>
        <w:t xml:space="preserve"> </w:t>
      </w:r>
      <w:r w:rsidR="00F43DF3">
        <w:rPr>
          <w:color w:val="070808"/>
        </w:rPr>
        <w:t>6</w:t>
      </w:r>
      <w:r>
        <w:rPr>
          <w:color w:val="070808"/>
          <w:spacing w:val="-3"/>
        </w:rPr>
        <w:t xml:space="preserve"> </w:t>
      </w:r>
      <w:r>
        <w:rPr>
          <w:color w:val="070808"/>
        </w:rPr>
        <w:t>of</w:t>
      </w:r>
      <w:r>
        <w:rPr>
          <w:color w:val="070808"/>
          <w:spacing w:val="-4"/>
        </w:rPr>
        <w:t xml:space="preserve"> </w:t>
      </w:r>
      <w:r>
        <w:rPr>
          <w:color w:val="070808"/>
        </w:rPr>
        <w:t>Part</w:t>
      </w:r>
      <w:r>
        <w:rPr>
          <w:color w:val="070808"/>
          <w:spacing w:val="-3"/>
        </w:rPr>
        <w:t xml:space="preserve"> </w:t>
      </w:r>
      <w:r>
        <w:rPr>
          <w:color w:val="070808"/>
        </w:rPr>
        <w:t>I)</w:t>
      </w:r>
      <w:r>
        <w:rPr>
          <w:color w:val="070808"/>
          <w:spacing w:val="-4"/>
        </w:rPr>
        <w:t xml:space="preserve"> </w:t>
      </w:r>
      <w:r>
        <w:rPr>
          <w:color w:val="070808"/>
        </w:rPr>
        <w:t>and</w:t>
      </w:r>
      <w:r>
        <w:rPr>
          <w:color w:val="070808"/>
          <w:spacing w:val="-4"/>
        </w:rPr>
        <w:t xml:space="preserve"> </w:t>
      </w:r>
      <w:r>
        <w:rPr>
          <w:color w:val="070808"/>
        </w:rPr>
        <w:t>the</w:t>
      </w:r>
      <w:r>
        <w:rPr>
          <w:color w:val="070808"/>
          <w:spacing w:val="-5"/>
        </w:rPr>
        <w:t xml:space="preserve"> </w:t>
      </w:r>
      <w:r>
        <w:rPr>
          <w:color w:val="070808"/>
        </w:rPr>
        <w:t>other</w:t>
      </w:r>
      <w:r>
        <w:rPr>
          <w:color w:val="070808"/>
          <w:spacing w:val="-4"/>
        </w:rPr>
        <w:t xml:space="preserve"> </w:t>
      </w:r>
      <w:r>
        <w:rPr>
          <w:color w:val="070808"/>
        </w:rPr>
        <w:t>requirements</w:t>
      </w:r>
      <w:r>
        <w:rPr>
          <w:color w:val="070808"/>
          <w:spacing w:val="-2"/>
        </w:rPr>
        <w:t xml:space="preserve"> </w:t>
      </w:r>
      <w:r>
        <w:rPr>
          <w:color w:val="070808"/>
        </w:rPr>
        <w:t>of the Group during the 12-18 months following</w:t>
      </w:r>
      <w:r>
        <w:rPr>
          <w:color w:val="070808"/>
          <w:spacing w:val="-1"/>
        </w:rPr>
        <w:t xml:space="preserve"> </w:t>
      </w:r>
      <w:r>
        <w:rPr>
          <w:color w:val="070808"/>
        </w:rPr>
        <w:t>Admission.</w:t>
      </w:r>
      <w:bookmarkEnd w:id="1"/>
      <w:r w:rsidR="00F81613">
        <w:rPr>
          <w:color w:val="070808"/>
        </w:rPr>
        <w:t xml:space="preserve"> Such requirements include</w:t>
      </w:r>
      <w:r w:rsidR="00803529">
        <w:rPr>
          <w:color w:val="070808"/>
        </w:rPr>
        <w:t xml:space="preserve"> </w:t>
      </w:r>
      <w:r w:rsidR="00F81613">
        <w:rPr>
          <w:color w:val="070808"/>
        </w:rPr>
        <w:t xml:space="preserve">meeting the Group’s minimum expenditure commitment of $250,000, which is spread across the first 18 months of the Adeline Copper Project, pursuant to the Share Purchase Agreement. </w:t>
      </w:r>
      <w:r w:rsidR="00997702">
        <w:rPr>
          <w:color w:val="070808"/>
        </w:rPr>
        <w:t xml:space="preserve">The Company’s capacity to carry out further activities beyond those detailed at paragraph 6 of Part I will depend upon the Company’s ability to access capital from equity capital markets, strategic </w:t>
      </w:r>
      <w:proofErr w:type="gramStart"/>
      <w:r w:rsidR="00997702">
        <w:rPr>
          <w:color w:val="070808"/>
        </w:rPr>
        <w:t>partnerships</w:t>
      </w:r>
      <w:proofErr w:type="gramEnd"/>
      <w:r w:rsidR="00997702">
        <w:rPr>
          <w:color w:val="070808"/>
        </w:rPr>
        <w:t xml:space="preserve"> or other sources. </w:t>
      </w:r>
    </w:p>
    <w:p w14:paraId="6A300592" w14:textId="77777777" w:rsidR="00783288" w:rsidRDefault="00783288">
      <w:pPr>
        <w:pStyle w:val="BodyText"/>
        <w:kinsoku w:val="0"/>
        <w:overflowPunct w:val="0"/>
        <w:spacing w:before="9"/>
        <w:rPr>
          <w:sz w:val="17"/>
          <w:szCs w:val="17"/>
        </w:rPr>
      </w:pPr>
    </w:p>
    <w:p w14:paraId="4F52A9A0" w14:textId="0C31E59D" w:rsidR="00783288" w:rsidRDefault="00E31420">
      <w:pPr>
        <w:pStyle w:val="BodyText"/>
        <w:kinsoku w:val="0"/>
        <w:overflowPunct w:val="0"/>
        <w:ind w:left="300" w:right="1190"/>
        <w:jc w:val="both"/>
        <w:rPr>
          <w:color w:val="070808"/>
        </w:rPr>
      </w:pPr>
      <w:proofErr w:type="gramStart"/>
      <w:r>
        <w:rPr>
          <w:color w:val="070808"/>
        </w:rPr>
        <w:t>All of</w:t>
      </w:r>
      <w:proofErr w:type="gramEnd"/>
      <w:r>
        <w:rPr>
          <w:color w:val="070808"/>
        </w:rPr>
        <w:t xml:space="preserve"> the Group’s activities will likely be directed to exploration and development of its existing licence areas and to</w:t>
      </w:r>
      <w:r>
        <w:rPr>
          <w:color w:val="070808"/>
          <w:spacing w:val="-12"/>
        </w:rPr>
        <w:t xml:space="preserve"> </w:t>
      </w:r>
      <w:r>
        <w:rPr>
          <w:color w:val="070808"/>
        </w:rPr>
        <w:t>the</w:t>
      </w:r>
      <w:r>
        <w:rPr>
          <w:color w:val="070808"/>
          <w:spacing w:val="-11"/>
        </w:rPr>
        <w:t xml:space="preserve"> </w:t>
      </w:r>
      <w:r>
        <w:rPr>
          <w:color w:val="070808"/>
        </w:rPr>
        <w:t>search</w:t>
      </w:r>
      <w:r>
        <w:rPr>
          <w:color w:val="070808"/>
          <w:spacing w:val="-12"/>
        </w:rPr>
        <w:t xml:space="preserve"> </w:t>
      </w:r>
      <w:r>
        <w:rPr>
          <w:color w:val="070808"/>
        </w:rPr>
        <w:t>for</w:t>
      </w:r>
      <w:r>
        <w:rPr>
          <w:color w:val="070808"/>
          <w:spacing w:val="-12"/>
        </w:rPr>
        <w:t xml:space="preserve"> </w:t>
      </w:r>
      <w:r>
        <w:rPr>
          <w:color w:val="070808"/>
        </w:rPr>
        <w:t>and</w:t>
      </w:r>
      <w:r>
        <w:rPr>
          <w:color w:val="070808"/>
          <w:spacing w:val="-12"/>
        </w:rPr>
        <w:t xml:space="preserve"> </w:t>
      </w:r>
      <w:r>
        <w:rPr>
          <w:color w:val="070808"/>
        </w:rPr>
        <w:t>development</w:t>
      </w:r>
      <w:r>
        <w:rPr>
          <w:color w:val="070808"/>
          <w:spacing w:val="-11"/>
        </w:rPr>
        <w:t xml:space="preserve"> </w:t>
      </w:r>
      <w:r>
        <w:rPr>
          <w:color w:val="070808"/>
        </w:rPr>
        <w:t>of</w:t>
      </w:r>
      <w:r>
        <w:rPr>
          <w:color w:val="070808"/>
          <w:spacing w:val="-12"/>
        </w:rPr>
        <w:t xml:space="preserve"> </w:t>
      </w:r>
      <w:r>
        <w:rPr>
          <w:color w:val="070808"/>
        </w:rPr>
        <w:t>new</w:t>
      </w:r>
      <w:r>
        <w:rPr>
          <w:color w:val="070808"/>
          <w:spacing w:val="-14"/>
        </w:rPr>
        <w:t xml:space="preserve"> </w:t>
      </w:r>
      <w:r>
        <w:rPr>
          <w:color w:val="070808"/>
        </w:rPr>
        <w:t>mineral</w:t>
      </w:r>
      <w:r>
        <w:rPr>
          <w:color w:val="070808"/>
          <w:spacing w:val="-11"/>
        </w:rPr>
        <w:t xml:space="preserve"> </w:t>
      </w:r>
      <w:r>
        <w:rPr>
          <w:color w:val="070808"/>
        </w:rPr>
        <w:t>deposits.</w:t>
      </w:r>
      <w:r>
        <w:rPr>
          <w:color w:val="070808"/>
          <w:spacing w:val="-12"/>
        </w:rPr>
        <w:t xml:space="preserve"> </w:t>
      </w:r>
      <w:r>
        <w:rPr>
          <w:color w:val="070808"/>
        </w:rPr>
        <w:t>Significant</w:t>
      </w:r>
      <w:r>
        <w:rPr>
          <w:color w:val="070808"/>
          <w:spacing w:val="-11"/>
        </w:rPr>
        <w:t xml:space="preserve"> </w:t>
      </w:r>
      <w:r>
        <w:rPr>
          <w:color w:val="070808"/>
        </w:rPr>
        <w:t>capital</w:t>
      </w:r>
      <w:r>
        <w:rPr>
          <w:color w:val="070808"/>
          <w:spacing w:val="-12"/>
        </w:rPr>
        <w:t xml:space="preserve"> </w:t>
      </w:r>
      <w:r>
        <w:rPr>
          <w:color w:val="070808"/>
        </w:rPr>
        <w:t>investment</w:t>
      </w:r>
      <w:r>
        <w:rPr>
          <w:color w:val="070808"/>
          <w:spacing w:val="-11"/>
        </w:rPr>
        <w:t xml:space="preserve"> </w:t>
      </w:r>
      <w:r>
        <w:rPr>
          <w:color w:val="070808"/>
        </w:rPr>
        <w:t>will</w:t>
      </w:r>
      <w:r>
        <w:rPr>
          <w:color w:val="070808"/>
          <w:spacing w:val="-12"/>
        </w:rPr>
        <w:t xml:space="preserve"> </w:t>
      </w:r>
      <w:r>
        <w:rPr>
          <w:color w:val="070808"/>
        </w:rPr>
        <w:t>be</w:t>
      </w:r>
      <w:r>
        <w:rPr>
          <w:color w:val="070808"/>
          <w:spacing w:val="-11"/>
        </w:rPr>
        <w:t xml:space="preserve"> </w:t>
      </w:r>
      <w:r>
        <w:rPr>
          <w:color w:val="070808"/>
        </w:rPr>
        <w:t>required</w:t>
      </w:r>
      <w:r>
        <w:rPr>
          <w:color w:val="070808"/>
          <w:spacing w:val="-11"/>
        </w:rPr>
        <w:t xml:space="preserve"> </w:t>
      </w:r>
      <w:r>
        <w:rPr>
          <w:color w:val="070808"/>
        </w:rPr>
        <w:t>to</w:t>
      </w:r>
      <w:r>
        <w:rPr>
          <w:color w:val="070808"/>
          <w:spacing w:val="-12"/>
        </w:rPr>
        <w:t xml:space="preserve"> </w:t>
      </w:r>
      <w:r>
        <w:rPr>
          <w:color w:val="070808"/>
        </w:rPr>
        <w:t>identify a commercially mineable mineral resource, which may cause the Group to be loss making in the short to medium term.</w:t>
      </w:r>
      <w:r>
        <w:rPr>
          <w:color w:val="070808"/>
          <w:spacing w:val="-8"/>
        </w:rPr>
        <w:t xml:space="preserve"> </w:t>
      </w:r>
      <w:r>
        <w:rPr>
          <w:color w:val="040505"/>
        </w:rPr>
        <w:t>There</w:t>
      </w:r>
      <w:r>
        <w:rPr>
          <w:color w:val="040505"/>
          <w:spacing w:val="-9"/>
        </w:rPr>
        <w:t xml:space="preserve"> </w:t>
      </w:r>
      <w:r>
        <w:rPr>
          <w:color w:val="040505"/>
        </w:rPr>
        <w:t>can</w:t>
      </w:r>
      <w:r>
        <w:rPr>
          <w:color w:val="040505"/>
          <w:spacing w:val="-6"/>
        </w:rPr>
        <w:t xml:space="preserve"> </w:t>
      </w:r>
      <w:r>
        <w:rPr>
          <w:color w:val="040505"/>
        </w:rPr>
        <w:t>also</w:t>
      </w:r>
      <w:r>
        <w:rPr>
          <w:color w:val="040505"/>
          <w:spacing w:val="-10"/>
        </w:rPr>
        <w:t xml:space="preserve"> </w:t>
      </w:r>
      <w:r>
        <w:rPr>
          <w:color w:val="040505"/>
        </w:rPr>
        <w:t>be</w:t>
      </w:r>
      <w:r>
        <w:rPr>
          <w:color w:val="040505"/>
          <w:spacing w:val="-6"/>
        </w:rPr>
        <w:t xml:space="preserve"> </w:t>
      </w:r>
      <w:r>
        <w:rPr>
          <w:color w:val="040505"/>
        </w:rPr>
        <w:t>no</w:t>
      </w:r>
      <w:r>
        <w:rPr>
          <w:color w:val="040505"/>
          <w:spacing w:val="-6"/>
        </w:rPr>
        <w:t xml:space="preserve"> </w:t>
      </w:r>
      <w:r>
        <w:rPr>
          <w:color w:val="040505"/>
        </w:rPr>
        <w:t>assurance</w:t>
      </w:r>
      <w:r>
        <w:rPr>
          <w:color w:val="040505"/>
          <w:spacing w:val="-7"/>
        </w:rPr>
        <w:t xml:space="preserve"> </w:t>
      </w:r>
      <w:r>
        <w:rPr>
          <w:color w:val="040505"/>
        </w:rPr>
        <w:t>that</w:t>
      </w:r>
      <w:r>
        <w:rPr>
          <w:color w:val="040505"/>
          <w:spacing w:val="-6"/>
        </w:rPr>
        <w:t xml:space="preserve"> </w:t>
      </w:r>
      <w:r>
        <w:rPr>
          <w:color w:val="040505"/>
        </w:rPr>
        <w:t>a</w:t>
      </w:r>
      <w:r>
        <w:rPr>
          <w:color w:val="040505"/>
          <w:spacing w:val="-10"/>
        </w:rPr>
        <w:t xml:space="preserve"> </w:t>
      </w:r>
      <w:r>
        <w:rPr>
          <w:color w:val="040505"/>
        </w:rPr>
        <w:t>commercially</w:t>
      </w:r>
      <w:r>
        <w:rPr>
          <w:color w:val="040505"/>
          <w:spacing w:val="-8"/>
        </w:rPr>
        <w:t xml:space="preserve"> </w:t>
      </w:r>
      <w:r>
        <w:rPr>
          <w:color w:val="040505"/>
        </w:rPr>
        <w:t>viable</w:t>
      </w:r>
      <w:r>
        <w:rPr>
          <w:color w:val="040505"/>
          <w:spacing w:val="-9"/>
        </w:rPr>
        <w:t xml:space="preserve"> </w:t>
      </w:r>
      <w:r>
        <w:rPr>
          <w:color w:val="040505"/>
        </w:rPr>
        <w:t>mining</w:t>
      </w:r>
      <w:r>
        <w:rPr>
          <w:color w:val="040505"/>
          <w:spacing w:val="-9"/>
        </w:rPr>
        <w:t xml:space="preserve"> </w:t>
      </w:r>
      <w:r>
        <w:rPr>
          <w:color w:val="040505"/>
        </w:rPr>
        <w:t>asset</w:t>
      </w:r>
      <w:r>
        <w:rPr>
          <w:color w:val="040505"/>
          <w:spacing w:val="-7"/>
        </w:rPr>
        <w:t xml:space="preserve"> </w:t>
      </w:r>
      <w:r>
        <w:rPr>
          <w:color w:val="040505"/>
        </w:rPr>
        <w:t>will</w:t>
      </w:r>
      <w:r>
        <w:rPr>
          <w:color w:val="040505"/>
          <w:spacing w:val="-9"/>
        </w:rPr>
        <w:t xml:space="preserve"> </w:t>
      </w:r>
      <w:r>
        <w:rPr>
          <w:color w:val="040505"/>
        </w:rPr>
        <w:t>be</w:t>
      </w:r>
      <w:r>
        <w:rPr>
          <w:color w:val="040505"/>
          <w:spacing w:val="-6"/>
        </w:rPr>
        <w:t xml:space="preserve"> </w:t>
      </w:r>
      <w:r>
        <w:rPr>
          <w:color w:val="040505"/>
        </w:rPr>
        <w:t>identified</w:t>
      </w:r>
      <w:r>
        <w:rPr>
          <w:color w:val="040505"/>
          <w:spacing w:val="-7"/>
        </w:rPr>
        <w:t xml:space="preserve"> </w:t>
      </w:r>
      <w:r>
        <w:rPr>
          <w:color w:val="040505"/>
        </w:rPr>
        <w:t>and</w:t>
      </w:r>
      <w:r>
        <w:rPr>
          <w:color w:val="040505"/>
          <w:spacing w:val="-6"/>
        </w:rPr>
        <w:t xml:space="preserve"> </w:t>
      </w:r>
      <w:r>
        <w:rPr>
          <w:color w:val="040505"/>
        </w:rPr>
        <w:t>therefore</w:t>
      </w:r>
      <w:r>
        <w:rPr>
          <w:color w:val="040505"/>
          <w:spacing w:val="-6"/>
        </w:rPr>
        <w:t xml:space="preserve"> </w:t>
      </w:r>
      <w:r>
        <w:rPr>
          <w:color w:val="070808"/>
        </w:rPr>
        <w:t>there can</w:t>
      </w:r>
      <w:r>
        <w:rPr>
          <w:color w:val="070808"/>
          <w:spacing w:val="-6"/>
        </w:rPr>
        <w:t xml:space="preserve"> </w:t>
      </w:r>
      <w:r>
        <w:rPr>
          <w:color w:val="070808"/>
        </w:rPr>
        <w:t>be</w:t>
      </w:r>
      <w:r>
        <w:rPr>
          <w:color w:val="070808"/>
          <w:spacing w:val="-5"/>
        </w:rPr>
        <w:t xml:space="preserve"> </w:t>
      </w:r>
      <w:r>
        <w:rPr>
          <w:color w:val="070808"/>
        </w:rPr>
        <w:t>no</w:t>
      </w:r>
      <w:r>
        <w:rPr>
          <w:color w:val="070808"/>
          <w:spacing w:val="-4"/>
        </w:rPr>
        <w:t xml:space="preserve"> </w:t>
      </w:r>
      <w:r>
        <w:rPr>
          <w:color w:val="070808"/>
        </w:rPr>
        <w:t>assurance</w:t>
      </w:r>
      <w:r>
        <w:rPr>
          <w:color w:val="070808"/>
          <w:spacing w:val="-4"/>
        </w:rPr>
        <w:t xml:space="preserve"> </w:t>
      </w:r>
      <w:r>
        <w:rPr>
          <w:color w:val="070808"/>
        </w:rPr>
        <w:t>that</w:t>
      </w:r>
      <w:r>
        <w:rPr>
          <w:color w:val="070808"/>
          <w:spacing w:val="-4"/>
        </w:rPr>
        <w:t xml:space="preserve"> </w:t>
      </w:r>
      <w:r>
        <w:rPr>
          <w:color w:val="070808"/>
        </w:rPr>
        <w:t>that</w:t>
      </w:r>
      <w:r>
        <w:rPr>
          <w:color w:val="070808"/>
          <w:spacing w:val="-6"/>
        </w:rPr>
        <w:t xml:space="preserve"> </w:t>
      </w:r>
      <w:r>
        <w:rPr>
          <w:color w:val="070808"/>
        </w:rPr>
        <w:t>the</w:t>
      </w:r>
      <w:r>
        <w:rPr>
          <w:color w:val="070808"/>
          <w:spacing w:val="-4"/>
        </w:rPr>
        <w:t xml:space="preserve"> </w:t>
      </w:r>
      <w:r>
        <w:rPr>
          <w:color w:val="070808"/>
        </w:rPr>
        <w:t>Group</w:t>
      </w:r>
      <w:r>
        <w:rPr>
          <w:color w:val="070808"/>
          <w:spacing w:val="-6"/>
        </w:rPr>
        <w:t xml:space="preserve"> </w:t>
      </w:r>
      <w:r>
        <w:rPr>
          <w:color w:val="070808"/>
        </w:rPr>
        <w:t>will</w:t>
      </w:r>
      <w:r>
        <w:rPr>
          <w:color w:val="070808"/>
          <w:spacing w:val="-4"/>
        </w:rPr>
        <w:t xml:space="preserve"> </w:t>
      </w:r>
      <w:r>
        <w:rPr>
          <w:color w:val="070808"/>
        </w:rPr>
        <w:t>be</w:t>
      </w:r>
      <w:r>
        <w:rPr>
          <w:color w:val="070808"/>
          <w:spacing w:val="-6"/>
        </w:rPr>
        <w:t xml:space="preserve"> </w:t>
      </w:r>
      <w:r>
        <w:rPr>
          <w:color w:val="070808"/>
        </w:rPr>
        <w:t>profitable</w:t>
      </w:r>
      <w:r>
        <w:rPr>
          <w:color w:val="070808"/>
          <w:spacing w:val="-4"/>
        </w:rPr>
        <w:t xml:space="preserve"> </w:t>
      </w:r>
      <w:r>
        <w:rPr>
          <w:color w:val="070808"/>
        </w:rPr>
        <w:t>in</w:t>
      </w:r>
      <w:r>
        <w:rPr>
          <w:color w:val="070808"/>
          <w:spacing w:val="-4"/>
        </w:rPr>
        <w:t xml:space="preserve"> </w:t>
      </w:r>
      <w:r>
        <w:rPr>
          <w:color w:val="070808"/>
        </w:rPr>
        <w:t>the</w:t>
      </w:r>
      <w:r>
        <w:rPr>
          <w:color w:val="070808"/>
          <w:spacing w:val="-4"/>
        </w:rPr>
        <w:t xml:space="preserve"> </w:t>
      </w:r>
      <w:r>
        <w:rPr>
          <w:color w:val="070808"/>
        </w:rPr>
        <w:t>future</w:t>
      </w:r>
      <w:r>
        <w:rPr>
          <w:color w:val="040505"/>
        </w:rPr>
        <w:t>.</w:t>
      </w:r>
      <w:r>
        <w:rPr>
          <w:color w:val="040505"/>
          <w:spacing w:val="-4"/>
        </w:rPr>
        <w:t xml:space="preserve"> </w:t>
      </w:r>
      <w:r>
        <w:rPr>
          <w:color w:val="070808"/>
        </w:rPr>
        <w:t>The</w:t>
      </w:r>
      <w:r>
        <w:rPr>
          <w:color w:val="070808"/>
          <w:spacing w:val="-6"/>
        </w:rPr>
        <w:t xml:space="preserve"> </w:t>
      </w:r>
      <w:r>
        <w:rPr>
          <w:color w:val="070808"/>
        </w:rPr>
        <w:t>group</w:t>
      </w:r>
      <w:r>
        <w:rPr>
          <w:color w:val="070808"/>
          <w:spacing w:val="-6"/>
        </w:rPr>
        <w:t xml:space="preserve"> </w:t>
      </w:r>
      <w:r>
        <w:rPr>
          <w:color w:val="070808"/>
        </w:rPr>
        <w:t>has</w:t>
      </w:r>
      <w:r>
        <w:rPr>
          <w:color w:val="070808"/>
          <w:spacing w:val="-3"/>
        </w:rPr>
        <w:t xml:space="preserve"> </w:t>
      </w:r>
      <w:r>
        <w:rPr>
          <w:color w:val="070808"/>
        </w:rPr>
        <w:t>accrued</w:t>
      </w:r>
      <w:r>
        <w:rPr>
          <w:color w:val="070808"/>
          <w:spacing w:val="-4"/>
        </w:rPr>
        <w:t xml:space="preserve"> </w:t>
      </w:r>
      <w:r>
        <w:rPr>
          <w:color w:val="070808"/>
        </w:rPr>
        <w:t>losses</w:t>
      </w:r>
      <w:r>
        <w:rPr>
          <w:color w:val="070808"/>
          <w:spacing w:val="-6"/>
        </w:rPr>
        <w:t xml:space="preserve"> </w:t>
      </w:r>
      <w:r>
        <w:rPr>
          <w:color w:val="070808"/>
        </w:rPr>
        <w:t>of</w:t>
      </w:r>
      <w:r>
        <w:rPr>
          <w:color w:val="070808"/>
          <w:spacing w:val="-4"/>
        </w:rPr>
        <w:t xml:space="preserve"> </w:t>
      </w:r>
      <w:r>
        <w:rPr>
          <w:color w:val="070808"/>
        </w:rPr>
        <w:t>£</w:t>
      </w:r>
      <w:r w:rsidR="00D05BD4">
        <w:rPr>
          <w:color w:val="070808"/>
        </w:rPr>
        <w:t>812,153</w:t>
      </w:r>
      <w:r>
        <w:rPr>
          <w:color w:val="070808"/>
        </w:rPr>
        <w:t xml:space="preserve"> as at 31 December 20</w:t>
      </w:r>
      <w:r w:rsidR="00546236">
        <w:rPr>
          <w:color w:val="070808"/>
        </w:rPr>
        <w:t>20</w:t>
      </w:r>
      <w:r>
        <w:rPr>
          <w:color w:val="070808"/>
        </w:rPr>
        <w:t>. However</w:t>
      </w:r>
      <w:r w:rsidR="00A05180">
        <w:rPr>
          <w:color w:val="070808"/>
        </w:rPr>
        <w:t>,</w:t>
      </w:r>
      <w:r>
        <w:rPr>
          <w:color w:val="070808"/>
        </w:rPr>
        <w:t xml:space="preserve"> this situation is to be expected of a Company engaged in early stage mining exploration activities and as such the </w:t>
      </w:r>
      <w:r w:rsidR="00F402C2">
        <w:rPr>
          <w:color w:val="070808"/>
        </w:rPr>
        <w:t xml:space="preserve">Historical Financial Information of the Group </w:t>
      </w:r>
      <w:r>
        <w:rPr>
          <w:color w:val="070808"/>
        </w:rPr>
        <w:t>provides a limited basis on which investors may evaluate potential future</w:t>
      </w:r>
      <w:r>
        <w:rPr>
          <w:color w:val="070808"/>
          <w:spacing w:val="-23"/>
        </w:rPr>
        <w:t xml:space="preserve"> </w:t>
      </w:r>
      <w:r>
        <w:rPr>
          <w:color w:val="070808"/>
        </w:rPr>
        <w:t>performance.</w:t>
      </w:r>
    </w:p>
    <w:p w14:paraId="31423512" w14:textId="77777777" w:rsidR="00783288" w:rsidRDefault="00783288">
      <w:pPr>
        <w:pStyle w:val="BodyText"/>
        <w:kinsoku w:val="0"/>
        <w:overflowPunct w:val="0"/>
      </w:pPr>
    </w:p>
    <w:p w14:paraId="53FAB420" w14:textId="77777777" w:rsidR="00783288" w:rsidRDefault="00E31420">
      <w:pPr>
        <w:pStyle w:val="BodyText"/>
        <w:kinsoku w:val="0"/>
        <w:overflowPunct w:val="0"/>
        <w:ind w:left="300" w:right="1189"/>
        <w:jc w:val="both"/>
        <w:rPr>
          <w:color w:val="070808"/>
        </w:rPr>
      </w:pPr>
      <w:r>
        <w:rPr>
          <w:color w:val="070808"/>
        </w:rPr>
        <w:t>Consequently, the success of the Group will depend on its ability to preserve capital and to access capital from equity capital markets, strategic partnerships or other sources, until such point as it is able to realise returns from the successful identification and development of its mineral resource projects. The Directors cannot provide assurances that its exploration activities will be successful or that it will be able to generate sufficient returns from its projects or that it will continue to be successful long-term in raising capital to supports its projects. If such risk were to materialise, this will have adverse impact on the financial conditions of the Group and its</w:t>
      </w:r>
      <w:r>
        <w:rPr>
          <w:color w:val="070808"/>
          <w:spacing w:val="-31"/>
        </w:rPr>
        <w:t xml:space="preserve"> </w:t>
      </w:r>
      <w:r>
        <w:rPr>
          <w:color w:val="070808"/>
        </w:rPr>
        <w:t>prospects.</w:t>
      </w:r>
    </w:p>
    <w:p w14:paraId="53DD1F7E" w14:textId="77777777" w:rsidR="00783288" w:rsidRDefault="00783288">
      <w:pPr>
        <w:pStyle w:val="BodyText"/>
        <w:kinsoku w:val="0"/>
        <w:overflowPunct w:val="0"/>
        <w:spacing w:before="7"/>
        <w:rPr>
          <w:sz w:val="17"/>
          <w:szCs w:val="17"/>
        </w:rPr>
      </w:pPr>
    </w:p>
    <w:p w14:paraId="66047229" w14:textId="71425E3F" w:rsidR="00783288" w:rsidRDefault="00E31420" w:rsidP="00FE358B">
      <w:pPr>
        <w:pStyle w:val="Heading1"/>
        <w:rPr>
          <w:sz w:val="21"/>
          <w:szCs w:val="21"/>
        </w:rPr>
      </w:pPr>
      <w:r>
        <w:rPr>
          <w:color w:val="070808"/>
        </w:rPr>
        <w:t>GRANT, AUTHORISATION AND MAINTENANCE OF PERMITS TO EXPLORE AND MINE</w:t>
      </w:r>
    </w:p>
    <w:p w14:paraId="6F7E448F" w14:textId="5B0AC72E" w:rsidR="00783288" w:rsidRDefault="00783288" w:rsidP="009676A3">
      <w:pPr>
        <w:pStyle w:val="BodyText"/>
        <w:kinsoku w:val="0"/>
        <w:overflowPunct w:val="0"/>
        <w:spacing w:before="79"/>
        <w:ind w:right="1188"/>
        <w:jc w:val="both"/>
        <w:rPr>
          <w:color w:val="070808"/>
        </w:rPr>
      </w:pPr>
    </w:p>
    <w:p w14:paraId="0D746FA1" w14:textId="77777777" w:rsidR="00783288" w:rsidRDefault="00E31420">
      <w:pPr>
        <w:pStyle w:val="Heading2"/>
        <w:kinsoku w:val="0"/>
        <w:overflowPunct w:val="0"/>
        <w:ind w:right="1186"/>
        <w:rPr>
          <w:color w:val="040505"/>
        </w:rPr>
      </w:pPr>
      <w:r>
        <w:rPr>
          <w:color w:val="040505"/>
        </w:rPr>
        <w:t>The Group may be unable to obtain or renew required exploration or mining rights, licences, permits and other authorisations</w:t>
      </w:r>
    </w:p>
    <w:p w14:paraId="46EB3952" w14:textId="77777777" w:rsidR="00783288" w:rsidRDefault="00783288">
      <w:pPr>
        <w:pStyle w:val="BodyText"/>
        <w:kinsoku w:val="0"/>
        <w:overflowPunct w:val="0"/>
        <w:spacing w:before="3"/>
        <w:rPr>
          <w:b/>
          <w:bCs/>
          <w:i/>
          <w:iCs/>
        </w:rPr>
      </w:pPr>
    </w:p>
    <w:p w14:paraId="4902E3B8" w14:textId="0AB74849" w:rsidR="00783288" w:rsidRDefault="00E31420">
      <w:pPr>
        <w:pStyle w:val="BodyText"/>
        <w:kinsoku w:val="0"/>
        <w:overflowPunct w:val="0"/>
        <w:ind w:left="300" w:right="1190"/>
        <w:jc w:val="both"/>
        <w:rPr>
          <w:color w:val="070808"/>
        </w:rPr>
      </w:pPr>
      <w:r>
        <w:rPr>
          <w:color w:val="040505"/>
        </w:rPr>
        <w:t>The Group will conduct its operations pursuant to exploration or mining rights and concessions, licences, permits and</w:t>
      </w:r>
      <w:r>
        <w:rPr>
          <w:color w:val="040505"/>
          <w:spacing w:val="-5"/>
        </w:rPr>
        <w:t xml:space="preserve"> </w:t>
      </w:r>
      <w:r>
        <w:rPr>
          <w:color w:val="040505"/>
        </w:rPr>
        <w:t>other</w:t>
      </w:r>
      <w:r>
        <w:rPr>
          <w:color w:val="040505"/>
          <w:spacing w:val="-8"/>
        </w:rPr>
        <w:t xml:space="preserve"> </w:t>
      </w:r>
      <w:r>
        <w:rPr>
          <w:color w:val="040505"/>
        </w:rPr>
        <w:t>authorisations,</w:t>
      </w:r>
      <w:r>
        <w:rPr>
          <w:color w:val="040505"/>
          <w:spacing w:val="-4"/>
        </w:rPr>
        <w:t xml:space="preserve"> </w:t>
      </w:r>
      <w:r>
        <w:rPr>
          <w:color w:val="040505"/>
        </w:rPr>
        <w:t>including</w:t>
      </w:r>
      <w:r>
        <w:rPr>
          <w:color w:val="040505"/>
          <w:spacing w:val="-7"/>
        </w:rPr>
        <w:t xml:space="preserve"> </w:t>
      </w:r>
      <w:r>
        <w:rPr>
          <w:color w:val="040505"/>
        </w:rPr>
        <w:t>the</w:t>
      </w:r>
      <w:r>
        <w:rPr>
          <w:color w:val="040505"/>
          <w:spacing w:val="-4"/>
        </w:rPr>
        <w:t xml:space="preserve"> </w:t>
      </w:r>
      <w:r>
        <w:rPr>
          <w:color w:val="040505"/>
        </w:rPr>
        <w:t>Granted</w:t>
      </w:r>
      <w:r>
        <w:rPr>
          <w:color w:val="040505"/>
          <w:spacing w:val="-7"/>
        </w:rPr>
        <w:t xml:space="preserve"> </w:t>
      </w:r>
      <w:r>
        <w:rPr>
          <w:color w:val="040505"/>
        </w:rPr>
        <w:t>Prospecting</w:t>
      </w:r>
      <w:r>
        <w:rPr>
          <w:color w:val="040505"/>
          <w:spacing w:val="-9"/>
        </w:rPr>
        <w:t xml:space="preserve"> </w:t>
      </w:r>
      <w:r>
        <w:rPr>
          <w:color w:val="040505"/>
        </w:rPr>
        <w:t>Permits</w:t>
      </w:r>
      <w:r w:rsidR="00BA23AA">
        <w:rPr>
          <w:color w:val="040505"/>
        </w:rPr>
        <w:t xml:space="preserve"> and the Granted Map-Staked Mineral Licences</w:t>
      </w:r>
      <w:r>
        <w:rPr>
          <w:color w:val="040505"/>
        </w:rPr>
        <w:t>.</w:t>
      </w:r>
      <w:r>
        <w:rPr>
          <w:color w:val="040505"/>
          <w:spacing w:val="-5"/>
        </w:rPr>
        <w:t xml:space="preserve"> </w:t>
      </w:r>
      <w:r>
        <w:rPr>
          <w:color w:val="040505"/>
        </w:rPr>
        <w:t>Any</w:t>
      </w:r>
      <w:r>
        <w:rPr>
          <w:color w:val="040505"/>
          <w:spacing w:val="-7"/>
        </w:rPr>
        <w:t xml:space="preserve"> </w:t>
      </w:r>
      <w:r>
        <w:rPr>
          <w:color w:val="040505"/>
        </w:rPr>
        <w:t>delay</w:t>
      </w:r>
      <w:r>
        <w:rPr>
          <w:color w:val="040505"/>
          <w:spacing w:val="-6"/>
        </w:rPr>
        <w:t xml:space="preserve"> </w:t>
      </w:r>
      <w:r>
        <w:rPr>
          <w:color w:val="040505"/>
        </w:rPr>
        <w:t>in</w:t>
      </w:r>
      <w:r>
        <w:rPr>
          <w:color w:val="040505"/>
          <w:spacing w:val="-5"/>
        </w:rPr>
        <w:t xml:space="preserve"> </w:t>
      </w:r>
      <w:r>
        <w:rPr>
          <w:color w:val="040505"/>
        </w:rPr>
        <w:t>obtaining</w:t>
      </w:r>
      <w:r>
        <w:rPr>
          <w:color w:val="040505"/>
          <w:spacing w:val="-4"/>
        </w:rPr>
        <w:t xml:space="preserve"> </w:t>
      </w:r>
      <w:r>
        <w:rPr>
          <w:color w:val="040505"/>
        </w:rPr>
        <w:t>or</w:t>
      </w:r>
      <w:r>
        <w:rPr>
          <w:color w:val="040505"/>
          <w:spacing w:val="-5"/>
        </w:rPr>
        <w:t xml:space="preserve"> </w:t>
      </w:r>
      <w:r>
        <w:rPr>
          <w:color w:val="040505"/>
        </w:rPr>
        <w:t>renewing</w:t>
      </w:r>
      <w:r>
        <w:rPr>
          <w:color w:val="040505"/>
          <w:spacing w:val="-5"/>
        </w:rPr>
        <w:t xml:space="preserve"> </w:t>
      </w:r>
      <w:r>
        <w:rPr>
          <w:color w:val="040505"/>
        </w:rPr>
        <w:t>a</w:t>
      </w:r>
      <w:r>
        <w:rPr>
          <w:color w:val="040505"/>
          <w:spacing w:val="-6"/>
        </w:rPr>
        <w:t xml:space="preserve"> </w:t>
      </w:r>
      <w:r>
        <w:rPr>
          <w:color w:val="040505"/>
        </w:rPr>
        <w:t>licence, permit</w:t>
      </w:r>
      <w:r>
        <w:rPr>
          <w:color w:val="040505"/>
          <w:spacing w:val="-14"/>
        </w:rPr>
        <w:t xml:space="preserve"> </w:t>
      </w:r>
      <w:r>
        <w:rPr>
          <w:color w:val="040505"/>
        </w:rPr>
        <w:t>or</w:t>
      </w:r>
      <w:r>
        <w:rPr>
          <w:color w:val="040505"/>
          <w:spacing w:val="-14"/>
        </w:rPr>
        <w:t xml:space="preserve"> </w:t>
      </w:r>
      <w:r>
        <w:rPr>
          <w:color w:val="040505"/>
        </w:rPr>
        <w:t>other</w:t>
      </w:r>
      <w:r>
        <w:rPr>
          <w:color w:val="040505"/>
          <w:spacing w:val="-14"/>
        </w:rPr>
        <w:t xml:space="preserve"> </w:t>
      </w:r>
      <w:r>
        <w:rPr>
          <w:color w:val="040505"/>
        </w:rPr>
        <w:t>authorisation</w:t>
      </w:r>
      <w:r>
        <w:rPr>
          <w:color w:val="040505"/>
          <w:spacing w:val="-16"/>
        </w:rPr>
        <w:t xml:space="preserve"> </w:t>
      </w:r>
      <w:r>
        <w:rPr>
          <w:color w:val="040505"/>
        </w:rPr>
        <w:t>may</w:t>
      </w:r>
      <w:r>
        <w:rPr>
          <w:color w:val="040505"/>
          <w:spacing w:val="-15"/>
        </w:rPr>
        <w:t xml:space="preserve"> </w:t>
      </w:r>
      <w:r>
        <w:rPr>
          <w:color w:val="040505"/>
        </w:rPr>
        <w:t>result</w:t>
      </w:r>
      <w:r>
        <w:rPr>
          <w:color w:val="040505"/>
          <w:spacing w:val="-16"/>
        </w:rPr>
        <w:t xml:space="preserve"> </w:t>
      </w:r>
      <w:r>
        <w:rPr>
          <w:color w:val="040505"/>
        </w:rPr>
        <w:t>in</w:t>
      </w:r>
      <w:r>
        <w:rPr>
          <w:color w:val="040505"/>
          <w:spacing w:val="-13"/>
        </w:rPr>
        <w:t xml:space="preserve"> </w:t>
      </w:r>
      <w:r>
        <w:rPr>
          <w:color w:val="040505"/>
        </w:rPr>
        <w:t>a</w:t>
      </w:r>
      <w:r>
        <w:rPr>
          <w:color w:val="040505"/>
          <w:spacing w:val="-13"/>
        </w:rPr>
        <w:t xml:space="preserve"> </w:t>
      </w:r>
      <w:r>
        <w:rPr>
          <w:color w:val="040505"/>
        </w:rPr>
        <w:t>delay</w:t>
      </w:r>
      <w:r>
        <w:rPr>
          <w:color w:val="040505"/>
          <w:spacing w:val="-14"/>
        </w:rPr>
        <w:t xml:space="preserve"> </w:t>
      </w:r>
      <w:r>
        <w:rPr>
          <w:color w:val="040505"/>
        </w:rPr>
        <w:t>in</w:t>
      </w:r>
      <w:r>
        <w:rPr>
          <w:color w:val="040505"/>
          <w:spacing w:val="-13"/>
        </w:rPr>
        <w:t xml:space="preserve"> </w:t>
      </w:r>
      <w:r>
        <w:rPr>
          <w:color w:val="040505"/>
        </w:rPr>
        <w:t>development</w:t>
      </w:r>
      <w:r>
        <w:rPr>
          <w:color w:val="040505"/>
          <w:spacing w:val="-14"/>
        </w:rPr>
        <w:t xml:space="preserve"> </w:t>
      </w:r>
      <w:r>
        <w:rPr>
          <w:color w:val="040505"/>
        </w:rPr>
        <w:t>of</w:t>
      </w:r>
      <w:r>
        <w:rPr>
          <w:color w:val="040505"/>
          <w:spacing w:val="-14"/>
        </w:rPr>
        <w:t xml:space="preserve"> </w:t>
      </w:r>
      <w:r>
        <w:rPr>
          <w:color w:val="040505"/>
        </w:rPr>
        <w:t>a</w:t>
      </w:r>
      <w:r>
        <w:rPr>
          <w:color w:val="040505"/>
          <w:spacing w:val="-13"/>
        </w:rPr>
        <w:t xml:space="preserve"> </w:t>
      </w:r>
      <w:r>
        <w:rPr>
          <w:color w:val="040505"/>
        </w:rPr>
        <w:t>resource,</w:t>
      </w:r>
      <w:r>
        <w:rPr>
          <w:color w:val="040505"/>
          <w:spacing w:val="-14"/>
        </w:rPr>
        <w:t xml:space="preserve"> </w:t>
      </w:r>
      <w:r>
        <w:rPr>
          <w:color w:val="040505"/>
        </w:rPr>
        <w:t>which</w:t>
      </w:r>
      <w:r>
        <w:rPr>
          <w:color w:val="040505"/>
          <w:spacing w:val="-13"/>
        </w:rPr>
        <w:t xml:space="preserve"> </w:t>
      </w:r>
      <w:r>
        <w:rPr>
          <w:color w:val="040505"/>
        </w:rPr>
        <w:t>may</w:t>
      </w:r>
      <w:r>
        <w:rPr>
          <w:color w:val="040505"/>
          <w:spacing w:val="-15"/>
        </w:rPr>
        <w:t xml:space="preserve"> </w:t>
      </w:r>
      <w:r>
        <w:rPr>
          <w:color w:val="040505"/>
        </w:rPr>
        <w:t>have</w:t>
      </w:r>
      <w:r>
        <w:rPr>
          <w:color w:val="040505"/>
          <w:spacing w:val="-13"/>
        </w:rPr>
        <w:t xml:space="preserve"> </w:t>
      </w:r>
      <w:r>
        <w:rPr>
          <w:color w:val="040505"/>
        </w:rPr>
        <w:t>a</w:t>
      </w:r>
      <w:r>
        <w:rPr>
          <w:color w:val="040505"/>
          <w:spacing w:val="-13"/>
        </w:rPr>
        <w:t xml:space="preserve"> </w:t>
      </w:r>
      <w:r>
        <w:rPr>
          <w:color w:val="040505"/>
        </w:rPr>
        <w:t>material</w:t>
      </w:r>
      <w:r>
        <w:rPr>
          <w:color w:val="040505"/>
          <w:spacing w:val="-16"/>
        </w:rPr>
        <w:t xml:space="preserve"> </w:t>
      </w:r>
      <w:r>
        <w:rPr>
          <w:color w:val="040505"/>
        </w:rPr>
        <w:t xml:space="preserve">adverse effect on the results of the Group’s operations, cash flows and financial condition. </w:t>
      </w:r>
      <w:r>
        <w:rPr>
          <w:color w:val="070808"/>
        </w:rPr>
        <w:t>To date, the Group has been successful</w:t>
      </w:r>
      <w:r>
        <w:rPr>
          <w:color w:val="070808"/>
          <w:spacing w:val="-8"/>
        </w:rPr>
        <w:t xml:space="preserve"> </w:t>
      </w:r>
      <w:r>
        <w:rPr>
          <w:color w:val="070808"/>
        </w:rPr>
        <w:t>in</w:t>
      </w:r>
      <w:r>
        <w:rPr>
          <w:color w:val="070808"/>
          <w:spacing w:val="-7"/>
        </w:rPr>
        <w:t xml:space="preserve"> </w:t>
      </w:r>
      <w:r>
        <w:rPr>
          <w:color w:val="070808"/>
        </w:rPr>
        <w:t>maintaining</w:t>
      </w:r>
      <w:r>
        <w:rPr>
          <w:color w:val="070808"/>
          <w:spacing w:val="-9"/>
        </w:rPr>
        <w:t xml:space="preserve"> </w:t>
      </w:r>
      <w:r>
        <w:rPr>
          <w:color w:val="070808"/>
        </w:rPr>
        <w:t>and</w:t>
      </w:r>
      <w:r>
        <w:rPr>
          <w:color w:val="070808"/>
          <w:spacing w:val="-8"/>
        </w:rPr>
        <w:t xml:space="preserve"> </w:t>
      </w:r>
      <w:r>
        <w:rPr>
          <w:color w:val="070808"/>
        </w:rPr>
        <w:t>renewing</w:t>
      </w:r>
      <w:r>
        <w:rPr>
          <w:color w:val="070808"/>
          <w:spacing w:val="-7"/>
        </w:rPr>
        <w:t xml:space="preserve"> </w:t>
      </w:r>
      <w:r>
        <w:rPr>
          <w:color w:val="070808"/>
        </w:rPr>
        <w:t>the</w:t>
      </w:r>
      <w:r>
        <w:rPr>
          <w:color w:val="070808"/>
          <w:spacing w:val="-7"/>
        </w:rPr>
        <w:t xml:space="preserve"> </w:t>
      </w:r>
      <w:r>
        <w:rPr>
          <w:color w:val="070808"/>
        </w:rPr>
        <w:t>terms</w:t>
      </w:r>
      <w:r>
        <w:rPr>
          <w:color w:val="070808"/>
          <w:spacing w:val="-9"/>
        </w:rPr>
        <w:t xml:space="preserve"> </w:t>
      </w:r>
      <w:r>
        <w:rPr>
          <w:color w:val="070808"/>
        </w:rPr>
        <w:t>of</w:t>
      </w:r>
      <w:r>
        <w:rPr>
          <w:color w:val="070808"/>
          <w:spacing w:val="-7"/>
        </w:rPr>
        <w:t xml:space="preserve"> </w:t>
      </w:r>
      <w:r>
        <w:rPr>
          <w:color w:val="070808"/>
        </w:rPr>
        <w:t>the</w:t>
      </w:r>
      <w:r>
        <w:rPr>
          <w:color w:val="070808"/>
          <w:spacing w:val="-7"/>
        </w:rPr>
        <w:t xml:space="preserve"> </w:t>
      </w:r>
      <w:r>
        <w:rPr>
          <w:color w:val="070808"/>
        </w:rPr>
        <w:t>Granted</w:t>
      </w:r>
      <w:r>
        <w:rPr>
          <w:color w:val="070808"/>
          <w:spacing w:val="-5"/>
        </w:rPr>
        <w:t xml:space="preserve"> </w:t>
      </w:r>
      <w:r>
        <w:rPr>
          <w:color w:val="070808"/>
        </w:rPr>
        <w:t>Prospecting</w:t>
      </w:r>
      <w:r>
        <w:rPr>
          <w:color w:val="070808"/>
          <w:spacing w:val="-7"/>
        </w:rPr>
        <w:t xml:space="preserve"> </w:t>
      </w:r>
      <w:r>
        <w:rPr>
          <w:color w:val="070808"/>
        </w:rPr>
        <w:t>Permits</w:t>
      </w:r>
      <w:r w:rsidR="00BA23AA">
        <w:rPr>
          <w:color w:val="070808"/>
        </w:rPr>
        <w:t xml:space="preserve"> and Granted Map-Staked Mineral Licences</w:t>
      </w:r>
      <w:r>
        <w:rPr>
          <w:color w:val="070808"/>
        </w:rPr>
        <w:t>.</w:t>
      </w:r>
      <w:r>
        <w:rPr>
          <w:color w:val="070808"/>
          <w:spacing w:val="35"/>
        </w:rPr>
        <w:t xml:space="preserve"> </w:t>
      </w:r>
      <w:r>
        <w:rPr>
          <w:color w:val="070808"/>
        </w:rPr>
        <w:t>The</w:t>
      </w:r>
      <w:r>
        <w:rPr>
          <w:color w:val="070808"/>
          <w:spacing w:val="-10"/>
        </w:rPr>
        <w:t xml:space="preserve"> </w:t>
      </w:r>
      <w:r>
        <w:rPr>
          <w:color w:val="070808"/>
        </w:rPr>
        <w:t>Directors</w:t>
      </w:r>
      <w:r>
        <w:rPr>
          <w:color w:val="070808"/>
          <w:spacing w:val="-7"/>
        </w:rPr>
        <w:t xml:space="preserve"> </w:t>
      </w:r>
      <w:r>
        <w:rPr>
          <w:color w:val="070808"/>
        </w:rPr>
        <w:t>are</w:t>
      </w:r>
      <w:r>
        <w:rPr>
          <w:color w:val="070808"/>
          <w:spacing w:val="-7"/>
        </w:rPr>
        <w:t xml:space="preserve"> </w:t>
      </w:r>
      <w:r>
        <w:rPr>
          <w:color w:val="070808"/>
        </w:rPr>
        <w:t xml:space="preserve">therefore not aware of any circumstances likely to lead to the termination and or non-renewal of the </w:t>
      </w:r>
      <w:r>
        <w:rPr>
          <w:color w:val="040505"/>
        </w:rPr>
        <w:t>Granted Prospecting Permits</w:t>
      </w:r>
      <w:r w:rsidR="00BA23AA">
        <w:rPr>
          <w:color w:val="040505"/>
        </w:rPr>
        <w:t xml:space="preserve"> and the </w:t>
      </w:r>
      <w:r w:rsidR="00BA23AA">
        <w:rPr>
          <w:color w:val="040505"/>
        </w:rPr>
        <w:lastRenderedPageBreak/>
        <w:t>Granted Map-Staked Mineral Licences</w:t>
      </w:r>
      <w:r>
        <w:rPr>
          <w:color w:val="040505"/>
        </w:rPr>
        <w:t>.</w:t>
      </w:r>
      <w:r>
        <w:rPr>
          <w:color w:val="040505"/>
          <w:spacing w:val="24"/>
        </w:rPr>
        <w:t xml:space="preserve"> </w:t>
      </w:r>
      <w:r>
        <w:rPr>
          <w:color w:val="070808"/>
        </w:rPr>
        <w:t>However</w:t>
      </w:r>
      <w:r w:rsidR="0071285F">
        <w:rPr>
          <w:color w:val="070808"/>
        </w:rPr>
        <w:t>,</w:t>
      </w:r>
      <w:r>
        <w:rPr>
          <w:color w:val="070808"/>
          <w:spacing w:val="-13"/>
        </w:rPr>
        <w:t xml:space="preserve"> </w:t>
      </w:r>
      <w:r>
        <w:rPr>
          <w:color w:val="070808"/>
        </w:rPr>
        <w:t>there</w:t>
      </w:r>
      <w:r>
        <w:rPr>
          <w:color w:val="070808"/>
          <w:spacing w:val="-13"/>
        </w:rPr>
        <w:t xml:space="preserve"> </w:t>
      </w:r>
      <w:r>
        <w:rPr>
          <w:color w:val="070808"/>
        </w:rPr>
        <w:t>can</w:t>
      </w:r>
      <w:r>
        <w:rPr>
          <w:color w:val="070808"/>
          <w:spacing w:val="-13"/>
        </w:rPr>
        <w:t xml:space="preserve"> </w:t>
      </w:r>
      <w:r>
        <w:rPr>
          <w:color w:val="070808"/>
        </w:rPr>
        <w:t>be</w:t>
      </w:r>
      <w:r>
        <w:rPr>
          <w:color w:val="070808"/>
          <w:spacing w:val="-12"/>
        </w:rPr>
        <w:t xml:space="preserve"> </w:t>
      </w:r>
      <w:r>
        <w:rPr>
          <w:color w:val="070808"/>
        </w:rPr>
        <w:t>no</w:t>
      </w:r>
      <w:r>
        <w:rPr>
          <w:color w:val="070808"/>
          <w:spacing w:val="-13"/>
        </w:rPr>
        <w:t xml:space="preserve"> </w:t>
      </w:r>
      <w:r>
        <w:rPr>
          <w:color w:val="070808"/>
        </w:rPr>
        <w:t>guarantee</w:t>
      </w:r>
      <w:r>
        <w:rPr>
          <w:color w:val="070808"/>
          <w:spacing w:val="-13"/>
        </w:rPr>
        <w:t xml:space="preserve"> </w:t>
      </w:r>
      <w:r>
        <w:rPr>
          <w:color w:val="070808"/>
        </w:rPr>
        <w:t>that</w:t>
      </w:r>
      <w:r>
        <w:rPr>
          <w:color w:val="070808"/>
          <w:spacing w:val="-15"/>
        </w:rPr>
        <w:t xml:space="preserve"> </w:t>
      </w:r>
      <w:r>
        <w:rPr>
          <w:color w:val="070808"/>
        </w:rPr>
        <w:t>the</w:t>
      </w:r>
      <w:r>
        <w:rPr>
          <w:color w:val="070808"/>
          <w:spacing w:val="-11"/>
        </w:rPr>
        <w:t xml:space="preserve"> </w:t>
      </w:r>
      <w:r>
        <w:rPr>
          <w:color w:val="070808"/>
        </w:rPr>
        <w:t>Group</w:t>
      </w:r>
      <w:r>
        <w:rPr>
          <w:color w:val="070808"/>
          <w:spacing w:val="-13"/>
        </w:rPr>
        <w:t xml:space="preserve"> </w:t>
      </w:r>
      <w:r>
        <w:rPr>
          <w:color w:val="070808"/>
        </w:rPr>
        <w:t>will</w:t>
      </w:r>
      <w:r>
        <w:rPr>
          <w:color w:val="070808"/>
          <w:spacing w:val="-12"/>
        </w:rPr>
        <w:t xml:space="preserve"> </w:t>
      </w:r>
      <w:r>
        <w:rPr>
          <w:color w:val="070808"/>
        </w:rPr>
        <w:t>be</w:t>
      </w:r>
      <w:r>
        <w:rPr>
          <w:color w:val="070808"/>
          <w:spacing w:val="-13"/>
        </w:rPr>
        <w:t xml:space="preserve"> </w:t>
      </w:r>
      <w:r>
        <w:rPr>
          <w:color w:val="070808"/>
        </w:rPr>
        <w:t>able</w:t>
      </w:r>
      <w:r>
        <w:rPr>
          <w:color w:val="070808"/>
          <w:spacing w:val="-12"/>
        </w:rPr>
        <w:t xml:space="preserve"> </w:t>
      </w:r>
      <w:r>
        <w:rPr>
          <w:color w:val="070808"/>
        </w:rPr>
        <w:t>to</w:t>
      </w:r>
      <w:r>
        <w:rPr>
          <w:color w:val="070808"/>
          <w:spacing w:val="-13"/>
        </w:rPr>
        <w:t xml:space="preserve"> </w:t>
      </w:r>
      <w:r>
        <w:rPr>
          <w:color w:val="070808"/>
        </w:rPr>
        <w:t>maintain</w:t>
      </w:r>
      <w:r>
        <w:rPr>
          <w:color w:val="070808"/>
          <w:spacing w:val="-11"/>
        </w:rPr>
        <w:t xml:space="preserve"> </w:t>
      </w:r>
      <w:r>
        <w:rPr>
          <w:color w:val="070808"/>
        </w:rPr>
        <w:t>all</w:t>
      </w:r>
      <w:r>
        <w:rPr>
          <w:color w:val="070808"/>
          <w:spacing w:val="-14"/>
        </w:rPr>
        <w:t xml:space="preserve"> </w:t>
      </w:r>
      <w:r>
        <w:rPr>
          <w:color w:val="070808"/>
        </w:rPr>
        <w:t>required</w:t>
      </w:r>
      <w:r>
        <w:rPr>
          <w:color w:val="070808"/>
          <w:spacing w:val="-11"/>
        </w:rPr>
        <w:t xml:space="preserve"> </w:t>
      </w:r>
      <w:r>
        <w:rPr>
          <w:color w:val="070808"/>
        </w:rPr>
        <w:t>approvals,</w:t>
      </w:r>
      <w:r>
        <w:rPr>
          <w:color w:val="070808"/>
          <w:spacing w:val="-14"/>
        </w:rPr>
        <w:t xml:space="preserve"> </w:t>
      </w:r>
      <w:r>
        <w:rPr>
          <w:color w:val="070808"/>
        </w:rPr>
        <w:t>licences and permits relating to its exploration and development</w:t>
      </w:r>
      <w:r>
        <w:rPr>
          <w:color w:val="070808"/>
          <w:spacing w:val="-1"/>
        </w:rPr>
        <w:t xml:space="preserve"> </w:t>
      </w:r>
      <w:r>
        <w:rPr>
          <w:color w:val="070808"/>
        </w:rPr>
        <w:t>activities</w:t>
      </w:r>
      <w:r w:rsidR="00DB6421">
        <w:rPr>
          <w:color w:val="070808"/>
        </w:rPr>
        <w:t>.</w:t>
      </w:r>
    </w:p>
    <w:p w14:paraId="0EE6D706" w14:textId="77777777" w:rsidR="00783288" w:rsidRDefault="00783288">
      <w:pPr>
        <w:pStyle w:val="BodyText"/>
        <w:kinsoku w:val="0"/>
        <w:overflowPunct w:val="0"/>
        <w:spacing w:before="11"/>
        <w:rPr>
          <w:sz w:val="17"/>
          <w:szCs w:val="17"/>
        </w:rPr>
      </w:pPr>
    </w:p>
    <w:p w14:paraId="48D3B81A" w14:textId="1D6FF595" w:rsidR="00783288" w:rsidRDefault="00E31420">
      <w:pPr>
        <w:pStyle w:val="BodyText"/>
        <w:kinsoku w:val="0"/>
        <w:overflowPunct w:val="0"/>
        <w:ind w:left="300" w:right="1189"/>
        <w:jc w:val="both"/>
        <w:rPr>
          <w:color w:val="231F20"/>
        </w:rPr>
      </w:pPr>
      <w:r>
        <w:rPr>
          <w:color w:val="040505"/>
        </w:rPr>
        <w:t>In addition, any existing exploration or mining rights and concessions, licences, permits and other authorisations of the Group including the Granted Prospecting Permits</w:t>
      </w:r>
      <w:r w:rsidR="00BA23AA">
        <w:rPr>
          <w:color w:val="040505"/>
        </w:rPr>
        <w:t xml:space="preserve"> and the Granted Map-Staked Mineral Licences</w:t>
      </w:r>
      <w:r>
        <w:rPr>
          <w:color w:val="040505"/>
        </w:rPr>
        <w:t xml:space="preserve"> may be suspended, terminated or revoked if the Group fails to comply with their terms. In this case, or if the Group otherwise operates in contravention of applicable law, government regulators may impose fines or terminate the relevant right, concession, licence, permit or </w:t>
      </w:r>
      <w:proofErr w:type="gramStart"/>
      <w:r>
        <w:rPr>
          <w:color w:val="040505"/>
        </w:rPr>
        <w:t>other</w:t>
      </w:r>
      <w:proofErr w:type="gramEnd"/>
      <w:r>
        <w:rPr>
          <w:color w:val="040505"/>
        </w:rPr>
        <w:t xml:space="preserve"> authorisation.</w:t>
      </w:r>
      <w:r>
        <w:rPr>
          <w:color w:val="040505"/>
          <w:spacing w:val="-10"/>
        </w:rPr>
        <w:t xml:space="preserve"> </w:t>
      </w:r>
      <w:r w:rsidR="00FB5001" w:rsidRPr="00FB5001">
        <w:rPr>
          <w:color w:val="040505"/>
        </w:rPr>
        <w:t>In Cyprus, according to the provisions of Article 18 of the Mines Law, a Prospecting Permit may be cancelled in the case of non-compliance of the Company with the Mines Law or any regulations that have been issued subject to the Mines Law</w:t>
      </w:r>
      <w:r w:rsidR="00FB5001">
        <w:rPr>
          <w:color w:val="040505"/>
        </w:rPr>
        <w:t xml:space="preserve"> </w:t>
      </w:r>
      <w:r w:rsidR="00FB5001" w:rsidRPr="00FB5001">
        <w:rPr>
          <w:color w:val="040505"/>
        </w:rPr>
        <w:t xml:space="preserve">or any of the terms subject to which the Prospecting Permit has been issued. </w:t>
      </w:r>
      <w:r>
        <w:rPr>
          <w:color w:val="040505"/>
        </w:rPr>
        <w:t>If</w:t>
      </w:r>
      <w:r>
        <w:rPr>
          <w:color w:val="040505"/>
          <w:spacing w:val="-11"/>
        </w:rPr>
        <w:t xml:space="preserve"> </w:t>
      </w:r>
      <w:r>
        <w:rPr>
          <w:color w:val="040505"/>
        </w:rPr>
        <w:t>this</w:t>
      </w:r>
      <w:r>
        <w:rPr>
          <w:color w:val="040505"/>
          <w:spacing w:val="-9"/>
        </w:rPr>
        <w:t xml:space="preserve"> </w:t>
      </w:r>
      <w:r>
        <w:rPr>
          <w:color w:val="040505"/>
        </w:rPr>
        <w:t>risk</w:t>
      </w:r>
      <w:r>
        <w:rPr>
          <w:color w:val="040505"/>
          <w:spacing w:val="-8"/>
        </w:rPr>
        <w:t xml:space="preserve"> </w:t>
      </w:r>
      <w:r>
        <w:rPr>
          <w:color w:val="040505"/>
        </w:rPr>
        <w:t>were</w:t>
      </w:r>
      <w:r>
        <w:rPr>
          <w:color w:val="040505"/>
          <w:spacing w:val="-10"/>
        </w:rPr>
        <w:t xml:space="preserve"> </w:t>
      </w:r>
      <w:r>
        <w:rPr>
          <w:color w:val="040505"/>
        </w:rPr>
        <w:t>to</w:t>
      </w:r>
      <w:r>
        <w:rPr>
          <w:color w:val="040505"/>
          <w:spacing w:val="-9"/>
        </w:rPr>
        <w:t xml:space="preserve"> </w:t>
      </w:r>
      <w:r>
        <w:rPr>
          <w:color w:val="040505"/>
        </w:rPr>
        <w:t>materialise</w:t>
      </w:r>
      <w:r>
        <w:rPr>
          <w:color w:val="040505"/>
          <w:spacing w:val="-12"/>
        </w:rPr>
        <w:t xml:space="preserve"> </w:t>
      </w:r>
      <w:r>
        <w:rPr>
          <w:color w:val="040505"/>
        </w:rPr>
        <w:t>and</w:t>
      </w:r>
      <w:r>
        <w:rPr>
          <w:color w:val="040505"/>
          <w:spacing w:val="-10"/>
        </w:rPr>
        <w:t xml:space="preserve"> </w:t>
      </w:r>
      <w:r>
        <w:rPr>
          <w:color w:val="070808"/>
        </w:rPr>
        <w:t>some</w:t>
      </w:r>
      <w:r>
        <w:rPr>
          <w:color w:val="070808"/>
          <w:spacing w:val="-12"/>
        </w:rPr>
        <w:t xml:space="preserve"> </w:t>
      </w:r>
      <w:r>
        <w:rPr>
          <w:color w:val="070808"/>
        </w:rPr>
        <w:t>or</w:t>
      </w:r>
      <w:r>
        <w:rPr>
          <w:color w:val="070808"/>
          <w:spacing w:val="-12"/>
        </w:rPr>
        <w:t xml:space="preserve"> </w:t>
      </w:r>
      <w:r>
        <w:rPr>
          <w:color w:val="070808"/>
        </w:rPr>
        <w:t>all</w:t>
      </w:r>
      <w:r>
        <w:rPr>
          <w:color w:val="070808"/>
          <w:spacing w:val="-11"/>
        </w:rPr>
        <w:t xml:space="preserve"> </w:t>
      </w:r>
      <w:r>
        <w:rPr>
          <w:color w:val="070808"/>
        </w:rPr>
        <w:t>of</w:t>
      </w:r>
      <w:r>
        <w:rPr>
          <w:color w:val="070808"/>
          <w:spacing w:val="-12"/>
        </w:rPr>
        <w:t xml:space="preserve"> </w:t>
      </w:r>
      <w:r>
        <w:rPr>
          <w:color w:val="070808"/>
        </w:rPr>
        <w:t>the</w:t>
      </w:r>
      <w:r>
        <w:rPr>
          <w:color w:val="070808"/>
          <w:spacing w:val="-11"/>
        </w:rPr>
        <w:t xml:space="preserve"> </w:t>
      </w:r>
      <w:r>
        <w:rPr>
          <w:color w:val="070808"/>
        </w:rPr>
        <w:t>Granted</w:t>
      </w:r>
      <w:r>
        <w:rPr>
          <w:color w:val="070808"/>
          <w:spacing w:val="-12"/>
        </w:rPr>
        <w:t xml:space="preserve"> </w:t>
      </w:r>
      <w:r>
        <w:rPr>
          <w:color w:val="070808"/>
        </w:rPr>
        <w:t>Prospecting</w:t>
      </w:r>
      <w:r>
        <w:rPr>
          <w:color w:val="070808"/>
          <w:spacing w:val="-9"/>
        </w:rPr>
        <w:t xml:space="preserve"> </w:t>
      </w:r>
      <w:r>
        <w:rPr>
          <w:color w:val="070808"/>
        </w:rPr>
        <w:t>Permits</w:t>
      </w:r>
      <w:r>
        <w:rPr>
          <w:color w:val="070808"/>
          <w:spacing w:val="-9"/>
        </w:rPr>
        <w:t xml:space="preserve"> </w:t>
      </w:r>
      <w:r w:rsidR="00534A2C">
        <w:rPr>
          <w:color w:val="070808"/>
          <w:spacing w:val="-9"/>
        </w:rPr>
        <w:t xml:space="preserve">and/or Granted Map-Staked Mineral Licences </w:t>
      </w:r>
      <w:r>
        <w:rPr>
          <w:color w:val="070808"/>
        </w:rPr>
        <w:t>were</w:t>
      </w:r>
      <w:r>
        <w:rPr>
          <w:color w:val="070808"/>
          <w:spacing w:val="-9"/>
        </w:rPr>
        <w:t xml:space="preserve"> </w:t>
      </w:r>
      <w:r>
        <w:rPr>
          <w:color w:val="070808"/>
        </w:rPr>
        <w:t>to</w:t>
      </w:r>
      <w:r>
        <w:rPr>
          <w:color w:val="070808"/>
          <w:spacing w:val="-10"/>
        </w:rPr>
        <w:t xml:space="preserve"> </w:t>
      </w:r>
      <w:r>
        <w:rPr>
          <w:color w:val="070808"/>
        </w:rPr>
        <w:t>be</w:t>
      </w:r>
      <w:r>
        <w:rPr>
          <w:color w:val="070808"/>
          <w:spacing w:val="-9"/>
        </w:rPr>
        <w:t xml:space="preserve"> </w:t>
      </w:r>
      <w:r>
        <w:rPr>
          <w:color w:val="070808"/>
        </w:rPr>
        <w:t xml:space="preserve">revoked or otherwise not renewed or maintained, the Group would be </w:t>
      </w:r>
      <w:r>
        <w:rPr>
          <w:color w:val="231F20"/>
        </w:rPr>
        <w:t>effectively prevented from carrying on its mineral resource operations on the affected licence areas, which could have a material adverse effect on the Portfolio’s exploration</w:t>
      </w:r>
      <w:r>
        <w:rPr>
          <w:color w:val="231F20"/>
          <w:spacing w:val="-5"/>
        </w:rPr>
        <w:t xml:space="preserve"> </w:t>
      </w:r>
      <w:r>
        <w:rPr>
          <w:color w:val="231F20"/>
        </w:rPr>
        <w:t>potential</w:t>
      </w:r>
      <w:r>
        <w:rPr>
          <w:color w:val="231F20"/>
          <w:spacing w:val="-2"/>
        </w:rPr>
        <w:t xml:space="preserve"> </w:t>
      </w:r>
      <w:r>
        <w:rPr>
          <w:color w:val="231F20"/>
        </w:rPr>
        <w:t>and</w:t>
      </w:r>
      <w:r>
        <w:rPr>
          <w:color w:val="231F20"/>
          <w:spacing w:val="-2"/>
        </w:rPr>
        <w:t xml:space="preserve"> </w:t>
      </w:r>
      <w:r>
        <w:rPr>
          <w:color w:val="231F20"/>
        </w:rPr>
        <w:t>its</w:t>
      </w:r>
      <w:r>
        <w:rPr>
          <w:color w:val="231F20"/>
          <w:spacing w:val="-1"/>
        </w:rPr>
        <w:t xml:space="preserve"> </w:t>
      </w:r>
      <w:r>
        <w:rPr>
          <w:color w:val="231F20"/>
        </w:rPr>
        <w:t>value,</w:t>
      </w:r>
      <w:r>
        <w:rPr>
          <w:color w:val="231F20"/>
          <w:spacing w:val="-3"/>
        </w:rPr>
        <w:t xml:space="preserve"> </w:t>
      </w:r>
      <w:r>
        <w:rPr>
          <w:color w:val="231F20"/>
        </w:rPr>
        <w:t>which</w:t>
      </w:r>
      <w:r>
        <w:rPr>
          <w:color w:val="231F20"/>
          <w:spacing w:val="-5"/>
        </w:rPr>
        <w:t xml:space="preserve"> </w:t>
      </w:r>
      <w:r>
        <w:rPr>
          <w:color w:val="231F20"/>
        </w:rPr>
        <w:t>would</w:t>
      </w:r>
      <w:r>
        <w:rPr>
          <w:color w:val="231F20"/>
          <w:spacing w:val="-1"/>
        </w:rPr>
        <w:t xml:space="preserve"> </w:t>
      </w:r>
      <w:r>
        <w:rPr>
          <w:color w:val="231F20"/>
        </w:rPr>
        <w:t>in</w:t>
      </w:r>
      <w:r>
        <w:rPr>
          <w:color w:val="231F20"/>
          <w:spacing w:val="-5"/>
        </w:rPr>
        <w:t xml:space="preserve"> </w:t>
      </w:r>
      <w:r>
        <w:rPr>
          <w:color w:val="231F20"/>
        </w:rPr>
        <w:t>turn</w:t>
      </w:r>
      <w:r>
        <w:rPr>
          <w:color w:val="231F20"/>
          <w:spacing w:val="-4"/>
        </w:rPr>
        <w:t xml:space="preserve"> </w:t>
      </w:r>
      <w:r>
        <w:rPr>
          <w:color w:val="231F20"/>
        </w:rPr>
        <w:t>impact</w:t>
      </w:r>
      <w:r>
        <w:rPr>
          <w:color w:val="231F20"/>
          <w:spacing w:val="-3"/>
        </w:rPr>
        <w:t xml:space="preserve"> </w:t>
      </w:r>
      <w:r>
        <w:rPr>
          <w:color w:val="231F20"/>
        </w:rPr>
        <w:t>the</w:t>
      </w:r>
      <w:r>
        <w:rPr>
          <w:color w:val="231F20"/>
          <w:spacing w:val="-2"/>
        </w:rPr>
        <w:t xml:space="preserve"> </w:t>
      </w:r>
      <w:r>
        <w:rPr>
          <w:color w:val="231F20"/>
        </w:rPr>
        <w:t>Group’s</w:t>
      </w:r>
      <w:r>
        <w:rPr>
          <w:color w:val="231F20"/>
          <w:spacing w:val="-4"/>
        </w:rPr>
        <w:t xml:space="preserve"> </w:t>
      </w:r>
      <w:r>
        <w:rPr>
          <w:color w:val="231F20"/>
        </w:rPr>
        <w:t>operational</w:t>
      </w:r>
      <w:r>
        <w:rPr>
          <w:color w:val="231F20"/>
          <w:spacing w:val="-4"/>
        </w:rPr>
        <w:t xml:space="preserve"> </w:t>
      </w:r>
      <w:r>
        <w:rPr>
          <w:color w:val="231F20"/>
        </w:rPr>
        <w:t>and</w:t>
      </w:r>
      <w:r>
        <w:rPr>
          <w:color w:val="231F20"/>
          <w:spacing w:val="-5"/>
        </w:rPr>
        <w:t xml:space="preserve"> </w:t>
      </w:r>
      <w:r>
        <w:rPr>
          <w:color w:val="231F20"/>
        </w:rPr>
        <w:t>financial</w:t>
      </w:r>
      <w:r>
        <w:rPr>
          <w:color w:val="231F20"/>
          <w:spacing w:val="-4"/>
        </w:rPr>
        <w:t xml:space="preserve"> </w:t>
      </w:r>
      <w:r>
        <w:rPr>
          <w:color w:val="231F20"/>
        </w:rPr>
        <w:t>performance.</w:t>
      </w:r>
      <w:r w:rsidR="000E2CBE">
        <w:rPr>
          <w:color w:val="231F20"/>
        </w:rPr>
        <w:t xml:space="preserve"> </w:t>
      </w:r>
      <w:r w:rsidR="00EE63B8">
        <w:t>Related to the above,</w:t>
      </w:r>
      <w:r w:rsidR="00534A2C">
        <w:t xml:space="preserve"> in Cyprus</w:t>
      </w:r>
      <w:r w:rsidR="004031E5">
        <w:t>,</w:t>
      </w:r>
      <w:r w:rsidR="00EE63B8">
        <w:t xml:space="preserve"> t</w:t>
      </w:r>
      <w:r w:rsidR="000E2CBE">
        <w:t>he Company</w:t>
      </w:r>
      <w:r w:rsidR="00EE63B8">
        <w:t xml:space="preserve"> is presently</w:t>
      </w:r>
      <w:r w:rsidR="000E2CBE">
        <w:t xml:space="preserve"> engaged in a dispute with a surface rights owner regarding </w:t>
      </w:r>
      <w:r w:rsidR="00AA2610">
        <w:t>a demand to build a small retaining wall (the surface rights owner claims a cutting has destabilised some land).</w:t>
      </w:r>
      <w:r w:rsidR="000E2CBE">
        <w:t xml:space="preserve"> The Company expects this to be settled amicably, however </w:t>
      </w:r>
      <w:r w:rsidR="00EE63B8">
        <w:t>if not resolved</w:t>
      </w:r>
      <w:r w:rsidR="000E2CBE">
        <w:t xml:space="preserve"> </w:t>
      </w:r>
      <w:r w:rsidR="00EE63B8">
        <w:t>the dispute could</w:t>
      </w:r>
      <w:r w:rsidR="000E2CBE">
        <w:t xml:space="preserve"> lead to the revocation of the</w:t>
      </w:r>
      <w:r w:rsidR="00EE63B8">
        <w:t xml:space="preserve"> Company’s</w:t>
      </w:r>
      <w:r w:rsidR="000E2CBE">
        <w:t xml:space="preserve"> </w:t>
      </w:r>
      <w:r w:rsidR="00AA2610">
        <w:t>licence number AE4660.</w:t>
      </w:r>
    </w:p>
    <w:p w14:paraId="7D4A9CC0" w14:textId="77777777" w:rsidR="00783288" w:rsidRDefault="00783288">
      <w:pPr>
        <w:pStyle w:val="BodyText"/>
        <w:kinsoku w:val="0"/>
        <w:overflowPunct w:val="0"/>
        <w:spacing w:before="11"/>
        <w:rPr>
          <w:sz w:val="17"/>
          <w:szCs w:val="17"/>
        </w:rPr>
      </w:pPr>
    </w:p>
    <w:p w14:paraId="326C73C0" w14:textId="02941305" w:rsidR="00783288" w:rsidRDefault="00E31420">
      <w:pPr>
        <w:pStyle w:val="BodyText"/>
        <w:kinsoku w:val="0"/>
        <w:overflowPunct w:val="0"/>
        <w:ind w:left="300" w:right="1189"/>
        <w:jc w:val="both"/>
        <w:rPr>
          <w:color w:val="040505"/>
        </w:rPr>
      </w:pPr>
      <w:r>
        <w:rPr>
          <w:color w:val="040505"/>
        </w:rPr>
        <w:t>In</w:t>
      </w:r>
      <w:r>
        <w:rPr>
          <w:color w:val="040505"/>
          <w:spacing w:val="-13"/>
        </w:rPr>
        <w:t xml:space="preserve"> </w:t>
      </w:r>
      <w:r>
        <w:rPr>
          <w:color w:val="040505"/>
        </w:rPr>
        <w:t>Cyprus,</w:t>
      </w:r>
      <w:r>
        <w:rPr>
          <w:color w:val="040505"/>
          <w:spacing w:val="-14"/>
        </w:rPr>
        <w:t xml:space="preserve"> </w:t>
      </w:r>
      <w:r>
        <w:rPr>
          <w:color w:val="040505"/>
        </w:rPr>
        <w:t>Exploration</w:t>
      </w:r>
      <w:r>
        <w:rPr>
          <w:color w:val="040505"/>
          <w:spacing w:val="-13"/>
        </w:rPr>
        <w:t xml:space="preserve"> </w:t>
      </w:r>
      <w:r>
        <w:rPr>
          <w:color w:val="040505"/>
        </w:rPr>
        <w:t>Permits</w:t>
      </w:r>
      <w:r>
        <w:rPr>
          <w:color w:val="040505"/>
          <w:spacing w:val="-13"/>
        </w:rPr>
        <w:t xml:space="preserve"> </w:t>
      </w:r>
      <w:r w:rsidR="00F31898">
        <w:rPr>
          <w:color w:val="040505"/>
        </w:rPr>
        <w:t>(Category A) can be renewed for four consecutive periods lasting 1 year each, for the total duration of validity of up to 5 years and Exploration Permits (Category B) can be renewed for one period of 1 year, for the total duration of validity of up to 2 years.</w:t>
      </w:r>
      <w:r>
        <w:rPr>
          <w:color w:val="040505"/>
        </w:rPr>
        <w:t xml:space="preserve"> Reconnaissance Permits </w:t>
      </w:r>
      <w:r w:rsidR="00F31898">
        <w:rPr>
          <w:color w:val="040505"/>
        </w:rPr>
        <w:t>can be renewed for one period of 1 year, for the total duration of validity of up to 2 years</w:t>
      </w:r>
      <w:r>
        <w:rPr>
          <w:color w:val="040505"/>
        </w:rPr>
        <w:t xml:space="preserve">. </w:t>
      </w:r>
      <w:r w:rsidR="004946CC">
        <w:rPr>
          <w:color w:val="040505"/>
        </w:rPr>
        <w:t>In accordance with Regulation</w:t>
      </w:r>
      <w:r w:rsidR="00BF54EA">
        <w:rPr>
          <w:color w:val="040505"/>
        </w:rPr>
        <w:t xml:space="preserve"> 6(1) of the Mines Regulations, for the renewal of a Prospecting Permit, a company must submit between</w:t>
      </w:r>
      <w:r w:rsidR="0091432D">
        <w:rPr>
          <w:color w:val="040505"/>
        </w:rPr>
        <w:t xml:space="preserve"> 20 to 30 days prior to its expiration the relevant written request to the Mines Inspector accompanied with the relevant fee and lease fee for the following period as provided subject to the Second Table of the Mines Regulations.</w:t>
      </w:r>
      <w:r w:rsidR="00FB5001">
        <w:rPr>
          <w:color w:val="040505"/>
        </w:rPr>
        <w:t xml:space="preserve"> The application for renewal should be accompanied by the relevant annual report as specified by the Mines’ Service form. According to Regulation 6(2) of the Mines Regulations, a renewal application for a Prospecting Permit may be rejected </w:t>
      </w:r>
      <w:proofErr w:type="gramStart"/>
      <w:r w:rsidR="00FB5001">
        <w:rPr>
          <w:color w:val="040505"/>
        </w:rPr>
        <w:t>in the event that</w:t>
      </w:r>
      <w:proofErr w:type="gramEnd"/>
      <w:r w:rsidR="00FB5001">
        <w:rPr>
          <w:color w:val="040505"/>
        </w:rPr>
        <w:t xml:space="preserve"> the Company does not act in accordance with Regulation 6(1) of the Mines Regulations.</w:t>
      </w:r>
      <w:r w:rsidR="0091432D">
        <w:rPr>
          <w:color w:val="040505"/>
        </w:rPr>
        <w:t xml:space="preserve"> In the event the application is rejected, the lease fee is returned. </w:t>
      </w:r>
      <w:r>
        <w:rPr>
          <w:color w:val="040505"/>
        </w:rPr>
        <w:t>Any cancellation of a Prospecting Permit would have a material adverse impact on the Group’s operation and financial</w:t>
      </w:r>
      <w:r>
        <w:rPr>
          <w:color w:val="040505"/>
          <w:spacing w:val="-3"/>
        </w:rPr>
        <w:t xml:space="preserve"> </w:t>
      </w:r>
      <w:r>
        <w:rPr>
          <w:color w:val="040505"/>
        </w:rPr>
        <w:t>condition.</w:t>
      </w:r>
    </w:p>
    <w:p w14:paraId="7C8F903E" w14:textId="2A9DA511" w:rsidR="00E569D7" w:rsidRDefault="00E569D7">
      <w:pPr>
        <w:pStyle w:val="BodyText"/>
        <w:kinsoku w:val="0"/>
        <w:overflowPunct w:val="0"/>
        <w:ind w:left="300" w:right="1189"/>
        <w:jc w:val="both"/>
        <w:rPr>
          <w:color w:val="040505"/>
        </w:rPr>
      </w:pPr>
    </w:p>
    <w:p w14:paraId="7CD25177" w14:textId="626335E5" w:rsidR="00E569D7" w:rsidRPr="007F7A7F" w:rsidRDefault="00E569D7" w:rsidP="000968B7">
      <w:pPr>
        <w:pStyle w:val="BodyText"/>
        <w:kinsoku w:val="0"/>
        <w:overflowPunct w:val="0"/>
        <w:ind w:left="300" w:right="1189"/>
        <w:jc w:val="both"/>
        <w:rPr>
          <w:iCs/>
        </w:rPr>
      </w:pPr>
      <w:r w:rsidRPr="00744FC3">
        <w:rPr>
          <w:color w:val="040505"/>
        </w:rPr>
        <w:t>In Newfoundland and Lab</w:t>
      </w:r>
      <w:r w:rsidR="00122E36">
        <w:rPr>
          <w:color w:val="040505"/>
        </w:rPr>
        <w:t>r</w:t>
      </w:r>
      <w:r w:rsidRPr="00744FC3">
        <w:rPr>
          <w:color w:val="040505"/>
        </w:rPr>
        <w:t xml:space="preserve">ador, </w:t>
      </w:r>
      <w:r w:rsidR="007405F9">
        <w:rPr>
          <w:color w:val="040505"/>
        </w:rPr>
        <w:t xml:space="preserve">Map-Staked Mineral Licences </w:t>
      </w:r>
      <w:r>
        <w:rPr>
          <w:color w:val="040505"/>
        </w:rPr>
        <w:t xml:space="preserve">are issued for terms of five years (which </w:t>
      </w:r>
      <w:r w:rsidR="00744FC3">
        <w:rPr>
          <w:color w:val="040505"/>
        </w:rPr>
        <w:t>are</w:t>
      </w:r>
      <w:r>
        <w:rPr>
          <w:color w:val="040505"/>
        </w:rPr>
        <w:t xml:space="preserve"> renewable for three additional five-year terms and 10 additional one-year</w:t>
      </w:r>
      <w:r w:rsidR="00744FC3">
        <w:rPr>
          <w:color w:val="040505"/>
        </w:rPr>
        <w:t xml:space="preserve"> terms) and can be held for a maximum of thirty years provided that (</w:t>
      </w:r>
      <w:proofErr w:type="spellStart"/>
      <w:r w:rsidR="00744FC3">
        <w:rPr>
          <w:color w:val="040505"/>
        </w:rPr>
        <w:t>i</w:t>
      </w:r>
      <w:proofErr w:type="spellEnd"/>
      <w:r w:rsidR="00744FC3">
        <w:rPr>
          <w:color w:val="040505"/>
        </w:rPr>
        <w:t xml:space="preserve">) the minimum annual assessment work is completed (ii) the annual work is reported and (iii) </w:t>
      </w:r>
      <w:r w:rsidR="00744FC3" w:rsidRPr="007405F9">
        <w:rPr>
          <w:color w:val="040505"/>
        </w:rPr>
        <w:t xml:space="preserve">the </w:t>
      </w:r>
      <w:r w:rsidR="007405F9" w:rsidRPr="007405F9">
        <w:rPr>
          <w:color w:val="040505"/>
        </w:rPr>
        <w:t>Map-Staked Mineral Licence</w:t>
      </w:r>
      <w:r w:rsidR="00744FC3" w:rsidRPr="007405F9">
        <w:rPr>
          <w:color w:val="040505"/>
        </w:rPr>
        <w:t xml:space="preserve"> is</w:t>
      </w:r>
      <w:r w:rsidR="00744FC3">
        <w:rPr>
          <w:color w:val="040505"/>
        </w:rPr>
        <w:t xml:space="preserve"> renewed every five years. </w:t>
      </w:r>
      <w:proofErr w:type="gramStart"/>
      <w:r w:rsidR="006A667A">
        <w:rPr>
          <w:color w:val="040505"/>
        </w:rPr>
        <w:t>In order for</w:t>
      </w:r>
      <w:proofErr w:type="gramEnd"/>
      <w:r w:rsidR="006A667A">
        <w:rPr>
          <w:color w:val="040505"/>
        </w:rPr>
        <w:t xml:space="preserve"> a Map-Staked Mineral Licence to remain in good standing with the Government of Newfoundland and Labrador, the Map-Staked Mineral Licence has to be renewed every fifth year on the anniversary date. </w:t>
      </w:r>
      <w:r w:rsidR="00744FC3">
        <w:rPr>
          <w:color w:val="040505"/>
        </w:rPr>
        <w:t xml:space="preserve">Renewal fees escalate at year 5, year 10 and year 15 of the </w:t>
      </w:r>
      <w:r w:rsidR="005533AD">
        <w:rPr>
          <w:color w:val="040505"/>
        </w:rPr>
        <w:t xml:space="preserve">Map-Staked Mineral Licence </w:t>
      </w:r>
      <w:r w:rsidR="00744FC3">
        <w:rPr>
          <w:color w:val="040505"/>
        </w:rPr>
        <w:t>(CDN $25/claim, CDN$50/</w:t>
      </w:r>
      <w:proofErr w:type="gramStart"/>
      <w:r w:rsidR="00744FC3">
        <w:rPr>
          <w:color w:val="040505"/>
        </w:rPr>
        <w:t>claim</w:t>
      </w:r>
      <w:proofErr w:type="gramEnd"/>
      <w:r w:rsidR="00744FC3">
        <w:rPr>
          <w:color w:val="040505"/>
        </w:rPr>
        <w:t xml:space="preserve"> and CDN$100/claim respectively)</w:t>
      </w:r>
      <w:r w:rsidR="00102691">
        <w:rPr>
          <w:color w:val="040505"/>
        </w:rPr>
        <w:t>.</w:t>
      </w:r>
      <w:r w:rsidR="00344115">
        <w:rPr>
          <w:color w:val="040505"/>
        </w:rPr>
        <w:t xml:space="preserve"> </w:t>
      </w:r>
      <w:r w:rsidR="00344115" w:rsidRPr="00344115">
        <w:rPr>
          <w:color w:val="040505"/>
          <w:lang w:val="en-US"/>
        </w:rPr>
        <w:t xml:space="preserve">A </w:t>
      </w:r>
      <w:r w:rsidR="00102691">
        <w:rPr>
          <w:color w:val="040505"/>
          <w:lang w:val="en-US"/>
        </w:rPr>
        <w:t>Map-Staked Mineral Licence</w:t>
      </w:r>
      <w:r w:rsidR="00344115" w:rsidRPr="00344115">
        <w:rPr>
          <w:color w:val="040505"/>
          <w:lang w:val="en-US"/>
        </w:rPr>
        <w:t xml:space="preserve"> may </w:t>
      </w:r>
      <w:r w:rsidR="006A667A">
        <w:rPr>
          <w:color w:val="040505"/>
          <w:lang w:val="en-US"/>
        </w:rPr>
        <w:t xml:space="preserve">additionally </w:t>
      </w:r>
      <w:r w:rsidR="00344115" w:rsidRPr="00344115">
        <w:rPr>
          <w:color w:val="040505"/>
          <w:lang w:val="en-US"/>
        </w:rPr>
        <w:t xml:space="preserve">be converted to a mining lease at any time if the owner deems there to be sufficient mineral resources to warrant conversion and further work.  </w:t>
      </w:r>
      <w:r w:rsidR="00222FDA" w:rsidRPr="00222FDA">
        <w:rPr>
          <w:color w:val="040505"/>
          <w:lang w:val="en-US"/>
        </w:rPr>
        <w:t xml:space="preserve">Any cancellation of a </w:t>
      </w:r>
      <w:r w:rsidR="00222FDA">
        <w:rPr>
          <w:color w:val="040505"/>
        </w:rPr>
        <w:t xml:space="preserve">Map-Staked Mineral Licence </w:t>
      </w:r>
      <w:r w:rsidR="00222FDA" w:rsidRPr="00222FDA">
        <w:rPr>
          <w:color w:val="040505"/>
          <w:lang w:val="en-US"/>
        </w:rPr>
        <w:t>would have a material adverse impact on the Group’s operation and financial condition.</w:t>
      </w:r>
    </w:p>
    <w:p w14:paraId="46B1ECCE" w14:textId="32D66B16" w:rsidR="00E569D7" w:rsidRDefault="00E569D7" w:rsidP="000968B7">
      <w:pPr>
        <w:pStyle w:val="BodyText"/>
        <w:kinsoku w:val="0"/>
        <w:overflowPunct w:val="0"/>
        <w:ind w:right="1189"/>
        <w:jc w:val="both"/>
        <w:rPr>
          <w:color w:val="040505"/>
        </w:rPr>
      </w:pPr>
    </w:p>
    <w:p w14:paraId="66440E89" w14:textId="72502608" w:rsidR="000968B7" w:rsidRPr="00BE4577" w:rsidRDefault="00E569D7" w:rsidP="00BE4577">
      <w:pPr>
        <w:pStyle w:val="BodyText"/>
        <w:kinsoku w:val="0"/>
        <w:overflowPunct w:val="0"/>
        <w:ind w:left="300" w:right="1189"/>
        <w:jc w:val="both"/>
        <w:rPr>
          <w:color w:val="040505"/>
        </w:rPr>
      </w:pPr>
      <w:r>
        <w:rPr>
          <w:color w:val="040505"/>
        </w:rPr>
        <w:t xml:space="preserve">In Newfoundland and Labrador, a company holding mineral lands and wishing to complete exploration work on those mineral lands must be registered with the Government of Newfoundland and Labrador’s Registry of Companies and maintain their registration while actively exploring and/or holding mineral titles. All proposed exploration work must be approved by the Department of Industry, Energy and Technology through a Mineral </w:t>
      </w:r>
      <w:r w:rsidRPr="00E569D7">
        <w:rPr>
          <w:color w:val="040505"/>
        </w:rPr>
        <w:t>Exploration Approval Application that documents</w:t>
      </w:r>
      <w:r>
        <w:rPr>
          <w:color w:val="040505"/>
        </w:rPr>
        <w:t xml:space="preserve"> the proposed work. All work must meet with current environmental best practices and if so merited, could require a further level of permitting issued by the Department of Environment that could range from an environmental registration up to environmental assessment</w:t>
      </w:r>
      <w:r w:rsidR="00744FC3">
        <w:rPr>
          <w:color w:val="040505"/>
        </w:rPr>
        <w:t>, resulting in delays</w:t>
      </w:r>
      <w:r w:rsidR="00CD322F">
        <w:rPr>
          <w:color w:val="040505"/>
        </w:rPr>
        <w:t xml:space="preserve"> which could have a material adverse impact on operations</w:t>
      </w:r>
      <w:r>
        <w:rPr>
          <w:color w:val="040505"/>
        </w:rPr>
        <w:t xml:space="preserve">. </w:t>
      </w:r>
      <w:r w:rsidR="000968B7" w:rsidRPr="000968B7">
        <w:rPr>
          <w:color w:val="040505"/>
          <w:lang w:val="en-US"/>
        </w:rPr>
        <w:t>All Mineral Exploration Approval Applications received will be referred to various government departments, as well as certain stakeholders in the area (e.g., Environment and Wildlife, Forestry, Fisheries, Protected Lands Committees, Municipal Government, Indigenous groups, etc.).  The referral process and the agencies to be included in the referral process hinges on the location of the proposed work and scope of the work proposed.</w:t>
      </w:r>
      <w:r w:rsidR="00DB6421">
        <w:rPr>
          <w:color w:val="040505"/>
          <w:lang w:val="en-US"/>
        </w:rPr>
        <w:t xml:space="preserve">  T</w:t>
      </w:r>
      <w:r w:rsidR="00DB6421" w:rsidRPr="00DB6421">
        <w:rPr>
          <w:color w:val="040505"/>
          <w:lang w:val="en-US"/>
        </w:rPr>
        <w:t xml:space="preserve">here can be no guarantee that the Group will be able to maintain all required approvals, </w:t>
      </w:r>
      <w:proofErr w:type="spellStart"/>
      <w:r w:rsidR="00DB6421" w:rsidRPr="00DB6421">
        <w:rPr>
          <w:color w:val="040505"/>
          <w:lang w:val="en-US"/>
        </w:rPr>
        <w:t>licences</w:t>
      </w:r>
      <w:proofErr w:type="spellEnd"/>
      <w:r w:rsidR="00DB6421" w:rsidRPr="00DB6421">
        <w:rPr>
          <w:color w:val="040505"/>
          <w:lang w:val="en-US"/>
        </w:rPr>
        <w:t xml:space="preserve"> and permits relating to its exploration and development activities</w:t>
      </w:r>
      <w:r w:rsidR="00DB6421">
        <w:rPr>
          <w:color w:val="040505"/>
          <w:lang w:val="en-US"/>
        </w:rPr>
        <w:t>.</w:t>
      </w:r>
      <w:r w:rsidR="00352881">
        <w:rPr>
          <w:color w:val="040505"/>
          <w:lang w:val="en-US"/>
        </w:rPr>
        <w:t xml:space="preserve"> </w:t>
      </w:r>
    </w:p>
    <w:p w14:paraId="05A16C4A" w14:textId="77777777" w:rsidR="00783288" w:rsidRDefault="00783288">
      <w:pPr>
        <w:pStyle w:val="BodyText"/>
        <w:kinsoku w:val="0"/>
        <w:overflowPunct w:val="0"/>
        <w:spacing w:before="10"/>
        <w:rPr>
          <w:sz w:val="17"/>
          <w:szCs w:val="17"/>
        </w:rPr>
      </w:pPr>
    </w:p>
    <w:p w14:paraId="1CC3F6B3" w14:textId="77777777" w:rsidR="00783288" w:rsidRDefault="00E31420">
      <w:pPr>
        <w:pStyle w:val="Heading2"/>
        <w:kinsoku w:val="0"/>
        <w:overflowPunct w:val="0"/>
        <w:rPr>
          <w:color w:val="040505"/>
        </w:rPr>
      </w:pPr>
      <w:r>
        <w:rPr>
          <w:color w:val="040505"/>
        </w:rPr>
        <w:t>Title to resource properties or interests may be disputed or subject to defects</w:t>
      </w:r>
    </w:p>
    <w:p w14:paraId="24DC0420" w14:textId="77777777" w:rsidR="00783288" w:rsidRDefault="00783288">
      <w:pPr>
        <w:pStyle w:val="BodyText"/>
        <w:kinsoku w:val="0"/>
        <w:overflowPunct w:val="0"/>
        <w:spacing w:before="1"/>
        <w:rPr>
          <w:b/>
          <w:bCs/>
          <w:i/>
          <w:iCs/>
        </w:rPr>
      </w:pPr>
    </w:p>
    <w:p w14:paraId="41960F73" w14:textId="5518AE47" w:rsidR="00E41BEA" w:rsidRDefault="00E31420">
      <w:pPr>
        <w:pStyle w:val="BodyText"/>
        <w:kinsoku w:val="0"/>
        <w:overflowPunct w:val="0"/>
        <w:ind w:left="300" w:right="1188"/>
        <w:jc w:val="both"/>
        <w:rPr>
          <w:color w:val="040505"/>
        </w:rPr>
      </w:pPr>
      <w:r>
        <w:rPr>
          <w:color w:val="040505"/>
        </w:rPr>
        <w:t>In</w:t>
      </w:r>
      <w:r>
        <w:rPr>
          <w:color w:val="040505"/>
          <w:spacing w:val="-10"/>
        </w:rPr>
        <w:t xml:space="preserve"> </w:t>
      </w:r>
      <w:r>
        <w:rPr>
          <w:color w:val="040505"/>
        </w:rPr>
        <w:t>Cyprus,</w:t>
      </w:r>
      <w:r>
        <w:rPr>
          <w:color w:val="040505"/>
          <w:spacing w:val="-12"/>
        </w:rPr>
        <w:t xml:space="preserve"> </w:t>
      </w:r>
      <w:r w:rsidR="0091432D">
        <w:rPr>
          <w:color w:val="040505"/>
        </w:rPr>
        <w:t>subject to Article 20 of the Mines Law, if an application is received with respect to the same area or for successive areas by two or more persons on the same day, the application received first and which is in accordance with the provisions of the Mines Law or any regulations issued under it shall be deemed to have priority over the others.</w:t>
      </w:r>
      <w:r>
        <w:rPr>
          <w:color w:val="040505"/>
        </w:rPr>
        <w:t xml:space="preserve"> Whilst the title to and rights and interests in permits or licences may be diligently investigated, permits or licences may still be subject to defects and, if a defect does exist, then it is possible that part or all of the interest in those permits or licences to which the defect relates may be lost or adversely affected, which could have a material adverse impact on the results of operations, financial condition and prospects of the Group. </w:t>
      </w:r>
    </w:p>
    <w:p w14:paraId="5FAF8797" w14:textId="6BF1A310" w:rsidR="000968B7" w:rsidRDefault="000968B7">
      <w:pPr>
        <w:pStyle w:val="BodyText"/>
        <w:kinsoku w:val="0"/>
        <w:overflowPunct w:val="0"/>
        <w:ind w:left="300" w:right="1188"/>
        <w:jc w:val="both"/>
        <w:rPr>
          <w:color w:val="040505"/>
        </w:rPr>
      </w:pPr>
    </w:p>
    <w:p w14:paraId="3AAD9C07" w14:textId="795A9270" w:rsidR="000968B7" w:rsidRDefault="000968B7" w:rsidP="000968B7">
      <w:pPr>
        <w:pStyle w:val="BodyText"/>
        <w:kinsoku w:val="0"/>
        <w:overflowPunct w:val="0"/>
        <w:ind w:left="300" w:right="1188"/>
        <w:jc w:val="both"/>
      </w:pPr>
      <w:r>
        <w:rPr>
          <w:color w:val="040505"/>
        </w:rPr>
        <w:t>In Labrador and Newfoundland,</w:t>
      </w:r>
      <w:r w:rsidR="00B808BE">
        <w:rPr>
          <w:color w:val="040505"/>
        </w:rPr>
        <w:t xml:space="preserve"> </w:t>
      </w:r>
      <w:r>
        <w:rPr>
          <w:color w:val="040505"/>
        </w:rPr>
        <w:t xml:space="preserve">the Adeline Copper Project falls in an area </w:t>
      </w:r>
      <w:r>
        <w:t xml:space="preserve">that the Labrador Innu (a regional </w:t>
      </w:r>
      <w:r>
        <w:lastRenderedPageBreak/>
        <w:t>indigenous group with traditional ties to area) ha</w:t>
      </w:r>
      <w:r w:rsidR="00CD322F">
        <w:t>s</w:t>
      </w:r>
      <w:r>
        <w:t xml:space="preserve"> asserted </w:t>
      </w:r>
      <w:r w:rsidR="00CD322F">
        <w:t xml:space="preserve">its </w:t>
      </w:r>
      <w:r>
        <w:t xml:space="preserve">traditional rights. The Labrador Innu </w:t>
      </w:r>
      <w:r w:rsidR="00CD322F">
        <w:t xml:space="preserve">are </w:t>
      </w:r>
      <w:r>
        <w:t xml:space="preserve">currently negotiating a Land Claims agreement with the Provincial and Federal governments. As part of the exploration permitting process any mineral exploration approval application submitted to the Provincial Government for work on the </w:t>
      </w:r>
      <w:r w:rsidR="00CD7CFF">
        <w:t>Adeline Copper Project</w:t>
      </w:r>
      <w:r>
        <w:t xml:space="preserve"> will be sent to the Labrador Innu and any other stake-</w:t>
      </w:r>
      <w:r w:rsidRPr="00BF0A59">
        <w:t xml:space="preserve">holder </w:t>
      </w:r>
      <w:r w:rsidRPr="00BD74CB">
        <w:t>groups</w:t>
      </w:r>
      <w:r>
        <w:t xml:space="preserve"> wh</w:t>
      </w:r>
      <w:r w:rsidR="00FB086B">
        <w:t>ich</w:t>
      </w:r>
      <w:r>
        <w:t xml:space="preserve"> might have an interest in the area.</w:t>
      </w:r>
    </w:p>
    <w:p w14:paraId="1E80310A" w14:textId="77777777" w:rsidR="000968B7" w:rsidRDefault="000968B7" w:rsidP="000968B7">
      <w:pPr>
        <w:pStyle w:val="BodyText"/>
        <w:kinsoku w:val="0"/>
        <w:overflowPunct w:val="0"/>
        <w:ind w:left="300" w:right="1188"/>
        <w:jc w:val="both"/>
      </w:pPr>
    </w:p>
    <w:p w14:paraId="0C7F04B2" w14:textId="1EC16DBB" w:rsidR="00375BDF" w:rsidRDefault="000968B7" w:rsidP="0062720B">
      <w:pPr>
        <w:pStyle w:val="BodyText"/>
        <w:kinsoku w:val="0"/>
        <w:overflowPunct w:val="0"/>
        <w:ind w:left="300" w:right="1188"/>
        <w:jc w:val="both"/>
      </w:pPr>
      <w:r>
        <w:t>There has never been a Treaty agreement signed between the Labrador Innu and the Crown with respect to areas of central Labrador, including the</w:t>
      </w:r>
      <w:r w:rsidR="00FB086B">
        <w:t xml:space="preserve"> Adeline Copper</w:t>
      </w:r>
      <w:r>
        <w:t xml:space="preserve"> Project area, claimed by the Labrador Innu to be their traditional territory. The Labrador Innu has been in negotiations for a land claims agreement with the federal (and indirectly provincial) government since 1978 and these negotiations are ongoing. No final designation of the Innu land claims area has been promulgated. The Labrador Innu ha</w:t>
      </w:r>
      <w:r w:rsidR="00CD322F">
        <w:t>ve</w:t>
      </w:r>
      <w:r>
        <w:t xml:space="preserve"> not explicitly expressed opposition to mineral exploration and mining and in fact signed an Impact Benefits Agreement with INCO and the governments of Canada and Newfoundland and Labrador which led to the establishment of the </w:t>
      </w:r>
      <w:proofErr w:type="spellStart"/>
      <w:r>
        <w:t>Voisey’s</w:t>
      </w:r>
      <w:proofErr w:type="spellEnd"/>
      <w:r>
        <w:t xml:space="preserve"> Bay Mine in northern Labrador. Many Innu people are actively employed at that mine.</w:t>
      </w:r>
      <w:r w:rsidR="0062720B">
        <w:t xml:space="preserve"> </w:t>
      </w:r>
      <w:r w:rsidR="00375BDF">
        <w:t xml:space="preserve">Nevertheless, there is a risk </w:t>
      </w:r>
      <w:r w:rsidR="00BD34BD">
        <w:t>that members of the Labrador Innu could asse</w:t>
      </w:r>
      <w:r w:rsidR="00DC6B1B">
        <w:t>r</w:t>
      </w:r>
      <w:r w:rsidR="00BD34BD">
        <w:t xml:space="preserve">t traditional rights over the Adeline Copper Project area and, as such, title to the Adeline Copper Project Area and the </w:t>
      </w:r>
      <w:r w:rsidR="00BC4D83">
        <w:t xml:space="preserve">Granted </w:t>
      </w:r>
      <w:r w:rsidR="00BD34BD">
        <w:t>Map-Staked Mineral Licences may be disputed.</w:t>
      </w:r>
      <w:r w:rsidR="00DD0DED">
        <w:t xml:space="preserve"> In a worst case scenario, were some or all of </w:t>
      </w:r>
      <w:r w:rsidR="00667EC2">
        <w:t>any disputed</w:t>
      </w:r>
      <w:r w:rsidR="00DD0DED">
        <w:t xml:space="preserve"> </w:t>
      </w:r>
      <w:r w:rsidR="00BC4D83">
        <w:t xml:space="preserve">Granted </w:t>
      </w:r>
      <w:r w:rsidR="00DD0DED">
        <w:t xml:space="preserve">Map-Staked Mineral Licences to be revoked, the Group would be effectively prevented from carrying on its mineral resource operations on the affected licence areas, which could have a material adverse effect on the Adeline Copper Project’s explorational potential and its value, which would in turn impact the Group’s operational and financial performance. </w:t>
      </w:r>
    </w:p>
    <w:p w14:paraId="39EB1FA3" w14:textId="77777777" w:rsidR="00DD0DED" w:rsidRDefault="00DD0DED" w:rsidP="00667EC2">
      <w:pPr>
        <w:pStyle w:val="BodyText"/>
        <w:kinsoku w:val="0"/>
        <w:overflowPunct w:val="0"/>
        <w:ind w:right="1188"/>
        <w:jc w:val="both"/>
      </w:pPr>
    </w:p>
    <w:p w14:paraId="6C14FC94" w14:textId="77777777" w:rsidR="00B85051" w:rsidRDefault="00B85051" w:rsidP="0062720B">
      <w:pPr>
        <w:pStyle w:val="BodyText"/>
        <w:kinsoku w:val="0"/>
        <w:overflowPunct w:val="0"/>
        <w:ind w:left="300" w:right="1188"/>
        <w:jc w:val="both"/>
      </w:pPr>
    </w:p>
    <w:p w14:paraId="2B1CAFB0" w14:textId="77777777" w:rsidR="00783288" w:rsidRDefault="00E31420">
      <w:pPr>
        <w:pStyle w:val="Heading1"/>
        <w:kinsoku w:val="0"/>
        <w:overflowPunct w:val="0"/>
        <w:jc w:val="both"/>
        <w:rPr>
          <w:color w:val="070808"/>
        </w:rPr>
      </w:pPr>
      <w:r>
        <w:rPr>
          <w:color w:val="070808"/>
        </w:rPr>
        <w:t>COVID-19 RISK</w:t>
      </w:r>
    </w:p>
    <w:p w14:paraId="068CC8BC" w14:textId="77777777" w:rsidR="00783288" w:rsidRDefault="00783288">
      <w:pPr>
        <w:pStyle w:val="BodyText"/>
        <w:kinsoku w:val="0"/>
        <w:overflowPunct w:val="0"/>
        <w:spacing w:before="3"/>
        <w:rPr>
          <w:b/>
          <w:bCs/>
          <w:sz w:val="21"/>
          <w:szCs w:val="21"/>
        </w:rPr>
      </w:pPr>
    </w:p>
    <w:p w14:paraId="61FD86F2" w14:textId="4AA03DE5" w:rsidR="00783288" w:rsidRDefault="00E31420">
      <w:pPr>
        <w:pStyle w:val="BodyText"/>
        <w:kinsoku w:val="0"/>
        <w:overflowPunct w:val="0"/>
        <w:ind w:left="300" w:right="1188"/>
        <w:jc w:val="both"/>
        <w:rPr>
          <w:color w:val="070808"/>
        </w:rPr>
      </w:pPr>
      <w:r>
        <w:rPr>
          <w:color w:val="070808"/>
        </w:rPr>
        <w:t xml:space="preserve">The Group’s exploration and development projects may have to be put on hold or operate at reduced capacity or </w:t>
      </w:r>
      <w:r w:rsidR="00216EFD">
        <w:rPr>
          <w:color w:val="070808"/>
        </w:rPr>
        <w:t xml:space="preserve">be </w:t>
      </w:r>
      <w:r>
        <w:rPr>
          <w:color w:val="070808"/>
        </w:rPr>
        <w:t>subject</w:t>
      </w:r>
      <w:r>
        <w:rPr>
          <w:color w:val="070808"/>
          <w:spacing w:val="-14"/>
        </w:rPr>
        <w:t xml:space="preserve"> </w:t>
      </w:r>
      <w:r>
        <w:rPr>
          <w:color w:val="070808"/>
        </w:rPr>
        <w:t>to</w:t>
      </w:r>
      <w:r>
        <w:rPr>
          <w:color w:val="070808"/>
          <w:spacing w:val="-11"/>
        </w:rPr>
        <w:t xml:space="preserve"> </w:t>
      </w:r>
      <w:r>
        <w:rPr>
          <w:color w:val="070808"/>
        </w:rPr>
        <w:t>restriction</w:t>
      </w:r>
      <w:r w:rsidR="00CD322F">
        <w:rPr>
          <w:color w:val="070808"/>
        </w:rPr>
        <w:t>s</w:t>
      </w:r>
      <w:r>
        <w:rPr>
          <w:color w:val="070808"/>
          <w:spacing w:val="-11"/>
        </w:rPr>
        <w:t xml:space="preserve"> </w:t>
      </w:r>
      <w:r>
        <w:rPr>
          <w:color w:val="070808"/>
        </w:rPr>
        <w:t>due</w:t>
      </w:r>
      <w:r>
        <w:rPr>
          <w:color w:val="070808"/>
          <w:spacing w:val="-12"/>
        </w:rPr>
        <w:t xml:space="preserve"> </w:t>
      </w:r>
      <w:r>
        <w:rPr>
          <w:color w:val="070808"/>
        </w:rPr>
        <w:t>to</w:t>
      </w:r>
      <w:r>
        <w:rPr>
          <w:color w:val="070808"/>
          <w:spacing w:val="-11"/>
        </w:rPr>
        <w:t xml:space="preserve"> </w:t>
      </w:r>
      <w:r>
        <w:rPr>
          <w:color w:val="070808"/>
        </w:rPr>
        <w:t>COVID</w:t>
      </w:r>
      <w:r>
        <w:rPr>
          <w:color w:val="070808"/>
          <w:spacing w:val="-12"/>
        </w:rPr>
        <w:t xml:space="preserve"> </w:t>
      </w:r>
      <w:r>
        <w:rPr>
          <w:color w:val="070808"/>
        </w:rPr>
        <w:t>19</w:t>
      </w:r>
      <w:r>
        <w:rPr>
          <w:color w:val="070808"/>
          <w:spacing w:val="-11"/>
        </w:rPr>
        <w:t xml:space="preserve"> </w:t>
      </w:r>
      <w:r>
        <w:rPr>
          <w:color w:val="070808"/>
        </w:rPr>
        <w:t>and</w:t>
      </w:r>
      <w:r>
        <w:rPr>
          <w:color w:val="070808"/>
          <w:spacing w:val="-13"/>
        </w:rPr>
        <w:t xml:space="preserve"> </w:t>
      </w:r>
      <w:r>
        <w:rPr>
          <w:color w:val="070808"/>
        </w:rPr>
        <w:t>the</w:t>
      </w:r>
      <w:r>
        <w:rPr>
          <w:color w:val="070808"/>
          <w:spacing w:val="-13"/>
        </w:rPr>
        <w:t xml:space="preserve"> </w:t>
      </w:r>
      <w:r>
        <w:rPr>
          <w:color w:val="070808"/>
        </w:rPr>
        <w:t>associated</w:t>
      </w:r>
      <w:r>
        <w:rPr>
          <w:color w:val="070808"/>
          <w:spacing w:val="-11"/>
        </w:rPr>
        <w:t xml:space="preserve"> </w:t>
      </w:r>
      <w:r>
        <w:rPr>
          <w:color w:val="070808"/>
        </w:rPr>
        <w:t>measures</w:t>
      </w:r>
      <w:r>
        <w:rPr>
          <w:color w:val="070808"/>
          <w:spacing w:val="-10"/>
        </w:rPr>
        <w:t xml:space="preserve"> </w:t>
      </w:r>
      <w:r>
        <w:rPr>
          <w:color w:val="070808"/>
        </w:rPr>
        <w:t>put</w:t>
      </w:r>
      <w:r>
        <w:rPr>
          <w:color w:val="070808"/>
          <w:spacing w:val="-11"/>
        </w:rPr>
        <w:t xml:space="preserve"> </w:t>
      </w:r>
      <w:r>
        <w:rPr>
          <w:color w:val="070808"/>
        </w:rPr>
        <w:t>in</w:t>
      </w:r>
      <w:r>
        <w:rPr>
          <w:color w:val="070808"/>
          <w:spacing w:val="-13"/>
        </w:rPr>
        <w:t xml:space="preserve"> </w:t>
      </w:r>
      <w:r>
        <w:rPr>
          <w:color w:val="070808"/>
        </w:rPr>
        <w:t>place</w:t>
      </w:r>
      <w:r>
        <w:rPr>
          <w:color w:val="070808"/>
          <w:spacing w:val="-11"/>
        </w:rPr>
        <w:t xml:space="preserve"> </w:t>
      </w:r>
      <w:r>
        <w:rPr>
          <w:color w:val="070808"/>
        </w:rPr>
        <w:t>by</w:t>
      </w:r>
      <w:r>
        <w:rPr>
          <w:color w:val="070808"/>
          <w:spacing w:val="-13"/>
        </w:rPr>
        <w:t xml:space="preserve"> </w:t>
      </w:r>
      <w:r>
        <w:rPr>
          <w:color w:val="070808"/>
        </w:rPr>
        <w:t>national</w:t>
      </w:r>
      <w:r>
        <w:rPr>
          <w:color w:val="070808"/>
          <w:spacing w:val="-13"/>
        </w:rPr>
        <w:t xml:space="preserve"> </w:t>
      </w:r>
      <w:r>
        <w:rPr>
          <w:color w:val="070808"/>
        </w:rPr>
        <w:t>governments</w:t>
      </w:r>
      <w:r>
        <w:rPr>
          <w:color w:val="070808"/>
          <w:spacing w:val="-13"/>
        </w:rPr>
        <w:t xml:space="preserve"> </w:t>
      </w:r>
      <w:r>
        <w:rPr>
          <w:color w:val="070808"/>
        </w:rPr>
        <w:t>to</w:t>
      </w:r>
      <w:r>
        <w:rPr>
          <w:color w:val="070808"/>
          <w:spacing w:val="-11"/>
        </w:rPr>
        <w:t xml:space="preserve"> </w:t>
      </w:r>
      <w:r>
        <w:rPr>
          <w:color w:val="070808"/>
        </w:rPr>
        <w:t>control COVID 19, including social distancing measures and travel restrictions. This will cause delays to the Group’s projects and in turn further delay the date at which the Company can generate revenues and make progress towards profitability. In addition, it is also likely to cause the Company to incur additional costs as machinery and staff may be required to remain idle whilst projects are on hold due to the government restrictions implemented in response to COVID 19. Such delays and additional costs may have a material adverse impact on the Group’s financial condition and</w:t>
      </w:r>
      <w:r>
        <w:rPr>
          <w:color w:val="070808"/>
          <w:spacing w:val="2"/>
        </w:rPr>
        <w:t xml:space="preserve"> </w:t>
      </w:r>
      <w:r>
        <w:rPr>
          <w:color w:val="070808"/>
        </w:rPr>
        <w:t>operations.</w:t>
      </w:r>
    </w:p>
    <w:p w14:paraId="562EEA06" w14:textId="77777777" w:rsidR="00783288" w:rsidRDefault="00783288">
      <w:pPr>
        <w:pStyle w:val="BodyText"/>
        <w:kinsoku w:val="0"/>
        <w:overflowPunct w:val="0"/>
        <w:spacing w:before="1"/>
      </w:pPr>
    </w:p>
    <w:p w14:paraId="60D4C889" w14:textId="1AF1A79D" w:rsidR="00783288" w:rsidRDefault="00E31420">
      <w:pPr>
        <w:pStyle w:val="BodyText"/>
        <w:kinsoku w:val="0"/>
        <w:overflowPunct w:val="0"/>
        <w:spacing w:before="1"/>
        <w:ind w:left="300" w:right="1190"/>
        <w:jc w:val="both"/>
        <w:rPr>
          <w:color w:val="040505"/>
        </w:rPr>
      </w:pPr>
      <w:r>
        <w:rPr>
          <w:color w:val="040505"/>
        </w:rPr>
        <w:t xml:space="preserve">During 2020, local measures implemented by the Cyprus government meant the Group was required to defer its drilling activities on its Troodos West copper-gold exploration licences by approximately four months. </w:t>
      </w:r>
      <w:r>
        <w:rPr>
          <w:color w:val="070808"/>
        </w:rPr>
        <w:t>The Group also</w:t>
      </w:r>
      <w:r>
        <w:rPr>
          <w:color w:val="070808"/>
          <w:spacing w:val="-14"/>
        </w:rPr>
        <w:t xml:space="preserve"> </w:t>
      </w:r>
      <w:proofErr w:type="gramStart"/>
      <w:r>
        <w:rPr>
          <w:color w:val="070808"/>
        </w:rPr>
        <w:t>experienced</w:t>
      </w:r>
      <w:r>
        <w:rPr>
          <w:color w:val="070808"/>
          <w:spacing w:val="-11"/>
        </w:rPr>
        <w:t xml:space="preserve"> </w:t>
      </w:r>
      <w:r>
        <w:rPr>
          <w:color w:val="070808"/>
        </w:rPr>
        <w:t>difficulty</w:t>
      </w:r>
      <w:proofErr w:type="gramEnd"/>
      <w:r>
        <w:rPr>
          <w:color w:val="070808"/>
          <w:spacing w:val="-14"/>
        </w:rPr>
        <w:t xml:space="preserve"> </w:t>
      </w:r>
      <w:r>
        <w:rPr>
          <w:color w:val="070808"/>
        </w:rPr>
        <w:t>in</w:t>
      </w:r>
      <w:r>
        <w:rPr>
          <w:color w:val="070808"/>
          <w:spacing w:val="-11"/>
        </w:rPr>
        <w:t xml:space="preserve"> </w:t>
      </w:r>
      <w:r>
        <w:rPr>
          <w:color w:val="070808"/>
        </w:rPr>
        <w:t>obtaining</w:t>
      </w:r>
      <w:r>
        <w:rPr>
          <w:color w:val="070808"/>
          <w:spacing w:val="-11"/>
        </w:rPr>
        <w:t xml:space="preserve"> </w:t>
      </w:r>
      <w:r>
        <w:rPr>
          <w:color w:val="070808"/>
        </w:rPr>
        <w:t>the</w:t>
      </w:r>
      <w:r>
        <w:rPr>
          <w:color w:val="070808"/>
          <w:spacing w:val="-14"/>
        </w:rPr>
        <w:t xml:space="preserve"> </w:t>
      </w:r>
      <w:r>
        <w:rPr>
          <w:color w:val="070808"/>
        </w:rPr>
        <w:t>services</w:t>
      </w:r>
      <w:r>
        <w:rPr>
          <w:color w:val="070808"/>
          <w:spacing w:val="-10"/>
        </w:rPr>
        <w:t xml:space="preserve"> </w:t>
      </w:r>
      <w:r>
        <w:rPr>
          <w:color w:val="070808"/>
        </w:rPr>
        <w:t>of</w:t>
      </w:r>
      <w:r>
        <w:rPr>
          <w:color w:val="070808"/>
          <w:spacing w:val="-14"/>
        </w:rPr>
        <w:t xml:space="preserve"> </w:t>
      </w:r>
      <w:r>
        <w:rPr>
          <w:color w:val="070808"/>
        </w:rPr>
        <w:t>contractors</w:t>
      </w:r>
      <w:r>
        <w:rPr>
          <w:color w:val="070808"/>
          <w:spacing w:val="-11"/>
        </w:rPr>
        <w:t xml:space="preserve"> </w:t>
      </w:r>
      <w:r>
        <w:rPr>
          <w:color w:val="070808"/>
        </w:rPr>
        <w:t>from</w:t>
      </w:r>
      <w:r>
        <w:rPr>
          <w:color w:val="070808"/>
          <w:spacing w:val="-10"/>
        </w:rPr>
        <w:t xml:space="preserve"> </w:t>
      </w:r>
      <w:r>
        <w:rPr>
          <w:color w:val="070808"/>
        </w:rPr>
        <w:t>Spain</w:t>
      </w:r>
      <w:r>
        <w:rPr>
          <w:color w:val="070808"/>
          <w:spacing w:val="-14"/>
        </w:rPr>
        <w:t xml:space="preserve"> </w:t>
      </w:r>
      <w:r>
        <w:rPr>
          <w:color w:val="070808"/>
        </w:rPr>
        <w:t>and</w:t>
      </w:r>
      <w:r>
        <w:rPr>
          <w:color w:val="070808"/>
          <w:spacing w:val="-11"/>
        </w:rPr>
        <w:t xml:space="preserve"> </w:t>
      </w:r>
      <w:r>
        <w:rPr>
          <w:color w:val="070808"/>
        </w:rPr>
        <w:t>Bulgaria</w:t>
      </w:r>
      <w:r>
        <w:rPr>
          <w:color w:val="070808"/>
          <w:spacing w:val="-12"/>
        </w:rPr>
        <w:t xml:space="preserve"> </w:t>
      </w:r>
      <w:r>
        <w:rPr>
          <w:color w:val="070808"/>
        </w:rPr>
        <w:t>due</w:t>
      </w:r>
      <w:r>
        <w:rPr>
          <w:color w:val="070808"/>
          <w:spacing w:val="-11"/>
        </w:rPr>
        <w:t xml:space="preserve"> </w:t>
      </w:r>
      <w:r>
        <w:rPr>
          <w:color w:val="070808"/>
        </w:rPr>
        <w:t>to</w:t>
      </w:r>
      <w:r>
        <w:rPr>
          <w:color w:val="070808"/>
          <w:spacing w:val="-12"/>
        </w:rPr>
        <w:t xml:space="preserve"> </w:t>
      </w:r>
      <w:r>
        <w:rPr>
          <w:color w:val="070808"/>
        </w:rPr>
        <w:t>COVID</w:t>
      </w:r>
      <w:r>
        <w:rPr>
          <w:color w:val="070808"/>
          <w:spacing w:val="-12"/>
        </w:rPr>
        <w:t xml:space="preserve"> </w:t>
      </w:r>
      <w:r>
        <w:rPr>
          <w:color w:val="070808"/>
        </w:rPr>
        <w:t>19</w:t>
      </w:r>
      <w:r>
        <w:rPr>
          <w:color w:val="070808"/>
          <w:spacing w:val="-11"/>
        </w:rPr>
        <w:t xml:space="preserve"> </w:t>
      </w:r>
      <w:r>
        <w:rPr>
          <w:color w:val="070808"/>
        </w:rPr>
        <w:t>related travel</w:t>
      </w:r>
      <w:r>
        <w:rPr>
          <w:color w:val="070808"/>
          <w:spacing w:val="-5"/>
        </w:rPr>
        <w:t xml:space="preserve"> </w:t>
      </w:r>
      <w:r>
        <w:rPr>
          <w:color w:val="070808"/>
        </w:rPr>
        <w:t>restrictions</w:t>
      </w:r>
      <w:r>
        <w:rPr>
          <w:color w:val="070808"/>
          <w:spacing w:val="-7"/>
        </w:rPr>
        <w:t xml:space="preserve"> </w:t>
      </w:r>
      <w:r>
        <w:rPr>
          <w:color w:val="070808"/>
        </w:rPr>
        <w:t>which</w:t>
      </w:r>
      <w:r>
        <w:rPr>
          <w:color w:val="070808"/>
          <w:spacing w:val="-7"/>
        </w:rPr>
        <w:t xml:space="preserve"> </w:t>
      </w:r>
      <w:r>
        <w:rPr>
          <w:color w:val="070808"/>
        </w:rPr>
        <w:t>contributed</w:t>
      </w:r>
      <w:r>
        <w:rPr>
          <w:color w:val="070808"/>
          <w:spacing w:val="-6"/>
        </w:rPr>
        <w:t xml:space="preserve"> </w:t>
      </w:r>
      <w:r>
        <w:rPr>
          <w:color w:val="070808"/>
        </w:rPr>
        <w:t>to</w:t>
      </w:r>
      <w:r>
        <w:rPr>
          <w:color w:val="070808"/>
          <w:spacing w:val="-7"/>
        </w:rPr>
        <w:t xml:space="preserve"> </w:t>
      </w:r>
      <w:r>
        <w:rPr>
          <w:color w:val="070808"/>
        </w:rPr>
        <w:t>delays.</w:t>
      </w:r>
      <w:r>
        <w:rPr>
          <w:color w:val="070808"/>
          <w:spacing w:val="-5"/>
        </w:rPr>
        <w:t xml:space="preserve"> </w:t>
      </w:r>
      <w:r w:rsidR="00BD2B8A" w:rsidRPr="0071285F">
        <w:rPr>
          <w:color w:val="040505"/>
        </w:rPr>
        <w:t>The Group recommenced drilling activities in September 2020, as the situation had improved</w:t>
      </w:r>
      <w:r w:rsidR="00BD2B8A">
        <w:rPr>
          <w:color w:val="040505"/>
        </w:rPr>
        <w:t xml:space="preserve"> and t</w:t>
      </w:r>
      <w:r w:rsidR="00BD2B8A" w:rsidRPr="00BD2B8A">
        <w:rPr>
          <w:color w:val="040505"/>
        </w:rPr>
        <w:t xml:space="preserve">he Group’s 2021 exploration campaign in Cyprus is running on schedule, </w:t>
      </w:r>
      <w:r w:rsidR="0071285F">
        <w:rPr>
          <w:color w:val="231F20"/>
        </w:rPr>
        <w:t xml:space="preserve">However, given the spread of </w:t>
      </w:r>
      <w:r w:rsidR="0071285F">
        <w:rPr>
          <w:color w:val="040505"/>
        </w:rPr>
        <w:t xml:space="preserve">COVID 19 </w:t>
      </w:r>
      <w:r w:rsidR="0071285F">
        <w:rPr>
          <w:color w:val="231F20"/>
        </w:rPr>
        <w:t xml:space="preserve">variants and notwithstanding ongoing vaccination programmes, </w:t>
      </w:r>
      <w:r w:rsidR="0071285F">
        <w:rPr>
          <w:color w:val="040505"/>
        </w:rPr>
        <w:t>it</w:t>
      </w:r>
      <w:r w:rsidR="0071285F">
        <w:rPr>
          <w:color w:val="040505"/>
          <w:spacing w:val="-13"/>
        </w:rPr>
        <w:t xml:space="preserve"> </w:t>
      </w:r>
      <w:r w:rsidR="0071285F">
        <w:rPr>
          <w:color w:val="040505"/>
        </w:rPr>
        <w:t>is</w:t>
      </w:r>
      <w:r w:rsidR="0071285F">
        <w:rPr>
          <w:color w:val="040505"/>
          <w:spacing w:val="-13"/>
        </w:rPr>
        <w:t xml:space="preserve"> </w:t>
      </w:r>
      <w:r w:rsidR="0071285F">
        <w:rPr>
          <w:color w:val="040505"/>
        </w:rPr>
        <w:t>conceivable</w:t>
      </w:r>
      <w:r w:rsidR="0071285F">
        <w:rPr>
          <w:color w:val="040505"/>
          <w:spacing w:val="-13"/>
        </w:rPr>
        <w:t xml:space="preserve"> </w:t>
      </w:r>
      <w:r w:rsidR="0071285F">
        <w:rPr>
          <w:color w:val="040505"/>
        </w:rPr>
        <w:t>that</w:t>
      </w:r>
      <w:r w:rsidR="0071285F">
        <w:rPr>
          <w:color w:val="040505"/>
          <w:spacing w:val="-14"/>
        </w:rPr>
        <w:t xml:space="preserve"> existing or </w:t>
      </w:r>
      <w:r w:rsidR="0071285F">
        <w:rPr>
          <w:color w:val="040505"/>
        </w:rPr>
        <w:t>new</w:t>
      </w:r>
      <w:r w:rsidR="0071285F">
        <w:rPr>
          <w:color w:val="040505"/>
          <w:spacing w:val="-16"/>
        </w:rPr>
        <w:t xml:space="preserve"> </w:t>
      </w:r>
      <w:r w:rsidR="0071285F">
        <w:rPr>
          <w:color w:val="040505"/>
        </w:rPr>
        <w:t>lock-down</w:t>
      </w:r>
      <w:r w:rsidR="0071285F">
        <w:rPr>
          <w:color w:val="040505"/>
          <w:spacing w:val="-13"/>
        </w:rPr>
        <w:t xml:space="preserve"> </w:t>
      </w:r>
      <w:r w:rsidR="00300EFA">
        <w:rPr>
          <w:color w:val="040505"/>
        </w:rPr>
        <w:t>restrictions, including restrictions on the entry of perso</w:t>
      </w:r>
      <w:r w:rsidR="00D54C5D">
        <w:rPr>
          <w:color w:val="040505"/>
        </w:rPr>
        <w:t>n</w:t>
      </w:r>
      <w:r w:rsidR="00300EFA">
        <w:rPr>
          <w:color w:val="040505"/>
        </w:rPr>
        <w:t>nel into Cyprus</w:t>
      </w:r>
      <w:r w:rsidR="00742C76">
        <w:rPr>
          <w:color w:val="040505"/>
        </w:rPr>
        <w:t xml:space="preserve"> or Canada,</w:t>
      </w:r>
      <w:r w:rsidR="0071285F">
        <w:rPr>
          <w:color w:val="040505"/>
          <w:spacing w:val="-7"/>
        </w:rPr>
        <w:t xml:space="preserve"> </w:t>
      </w:r>
      <w:r w:rsidR="0071285F">
        <w:rPr>
          <w:color w:val="040505"/>
        </w:rPr>
        <w:t>could</w:t>
      </w:r>
      <w:r w:rsidR="0071285F">
        <w:rPr>
          <w:color w:val="040505"/>
          <w:spacing w:val="-6"/>
        </w:rPr>
        <w:t xml:space="preserve"> </w:t>
      </w:r>
      <w:r w:rsidR="0071285F">
        <w:rPr>
          <w:color w:val="040505"/>
        </w:rPr>
        <w:t>be</w:t>
      </w:r>
      <w:r w:rsidR="0071285F">
        <w:rPr>
          <w:color w:val="040505"/>
          <w:spacing w:val="-6"/>
        </w:rPr>
        <w:t xml:space="preserve"> maintained for longer than expected, introduced or </w:t>
      </w:r>
      <w:r w:rsidR="0071285F">
        <w:rPr>
          <w:color w:val="040505"/>
        </w:rPr>
        <w:t>re-introduced</w:t>
      </w:r>
      <w:r w:rsidR="0071285F">
        <w:rPr>
          <w:color w:val="040505"/>
          <w:spacing w:val="-6"/>
        </w:rPr>
        <w:t xml:space="preserve"> </w:t>
      </w:r>
      <w:r w:rsidR="0071285F">
        <w:rPr>
          <w:color w:val="040505"/>
        </w:rPr>
        <w:t>at</w:t>
      </w:r>
      <w:r w:rsidR="0071285F">
        <w:rPr>
          <w:color w:val="040505"/>
          <w:spacing w:val="-6"/>
        </w:rPr>
        <w:t xml:space="preserve"> </w:t>
      </w:r>
      <w:r w:rsidR="0071285F">
        <w:rPr>
          <w:color w:val="040505"/>
        </w:rPr>
        <w:t>any</w:t>
      </w:r>
      <w:r w:rsidR="0071285F">
        <w:rPr>
          <w:color w:val="040505"/>
          <w:spacing w:val="-8"/>
        </w:rPr>
        <w:t xml:space="preserve"> </w:t>
      </w:r>
      <w:r w:rsidR="0071285F">
        <w:rPr>
          <w:color w:val="040505"/>
        </w:rPr>
        <w:t>time</w:t>
      </w:r>
      <w:r w:rsidR="0071285F">
        <w:rPr>
          <w:color w:val="040505"/>
          <w:spacing w:val="-6"/>
        </w:rPr>
        <w:t xml:space="preserve"> </w:t>
      </w:r>
      <w:r w:rsidR="0071285F">
        <w:rPr>
          <w:color w:val="040505"/>
        </w:rPr>
        <w:t>in</w:t>
      </w:r>
      <w:r w:rsidR="0071285F">
        <w:rPr>
          <w:color w:val="040505"/>
          <w:spacing w:val="-7"/>
        </w:rPr>
        <w:t xml:space="preserve"> </w:t>
      </w:r>
      <w:r w:rsidR="0071285F">
        <w:rPr>
          <w:color w:val="040505"/>
        </w:rPr>
        <w:t>Cyprus</w:t>
      </w:r>
      <w:r w:rsidR="00BD2B8A">
        <w:rPr>
          <w:color w:val="040505"/>
        </w:rPr>
        <w:t>, Canada</w:t>
      </w:r>
      <w:r w:rsidR="0071285F">
        <w:rPr>
          <w:color w:val="040505"/>
          <w:spacing w:val="-6"/>
        </w:rPr>
        <w:t xml:space="preserve"> </w:t>
      </w:r>
      <w:r w:rsidR="0071285F">
        <w:rPr>
          <w:color w:val="040505"/>
        </w:rPr>
        <w:t>and</w:t>
      </w:r>
      <w:r w:rsidR="0071285F">
        <w:rPr>
          <w:color w:val="040505"/>
          <w:spacing w:val="-6"/>
        </w:rPr>
        <w:t xml:space="preserve"> </w:t>
      </w:r>
      <w:r w:rsidR="0071285F">
        <w:rPr>
          <w:color w:val="040505"/>
        </w:rPr>
        <w:t>the</w:t>
      </w:r>
      <w:r w:rsidR="0071285F">
        <w:rPr>
          <w:color w:val="040505"/>
          <w:spacing w:val="-6"/>
        </w:rPr>
        <w:t xml:space="preserve"> </w:t>
      </w:r>
      <w:r w:rsidR="0071285F">
        <w:rPr>
          <w:color w:val="040505"/>
        </w:rPr>
        <w:t>United</w:t>
      </w:r>
      <w:r w:rsidR="0071285F">
        <w:rPr>
          <w:color w:val="040505"/>
          <w:spacing w:val="-6"/>
        </w:rPr>
        <w:t xml:space="preserve"> </w:t>
      </w:r>
      <w:r w:rsidR="0071285F">
        <w:rPr>
          <w:color w:val="040505"/>
        </w:rPr>
        <w:t>Kingdom</w:t>
      </w:r>
      <w:r w:rsidR="0071285F">
        <w:rPr>
          <w:color w:val="040505"/>
          <w:spacing w:val="-6"/>
        </w:rPr>
        <w:t xml:space="preserve"> </w:t>
      </w:r>
      <w:r>
        <w:rPr>
          <w:color w:val="040505"/>
        </w:rPr>
        <w:t>(either on a semi-permanent or temporary</w:t>
      </w:r>
      <w:r>
        <w:rPr>
          <w:color w:val="040505"/>
          <w:spacing w:val="-5"/>
        </w:rPr>
        <w:t xml:space="preserve"> </w:t>
      </w:r>
      <w:r>
        <w:rPr>
          <w:color w:val="040505"/>
        </w:rPr>
        <w:t>basis).</w:t>
      </w:r>
    </w:p>
    <w:p w14:paraId="43B7FE9D" w14:textId="04AF98F1" w:rsidR="003D5361" w:rsidRDefault="003D5361">
      <w:pPr>
        <w:pStyle w:val="BodyText"/>
        <w:kinsoku w:val="0"/>
        <w:overflowPunct w:val="0"/>
        <w:spacing w:before="1"/>
        <w:ind w:left="300" w:right="1190"/>
        <w:jc w:val="both"/>
        <w:rPr>
          <w:color w:val="040505"/>
        </w:rPr>
      </w:pPr>
    </w:p>
    <w:p w14:paraId="367CB109" w14:textId="46F813EE" w:rsidR="00E41BEA" w:rsidRDefault="003D5361" w:rsidP="00637A80">
      <w:pPr>
        <w:pStyle w:val="BodyText"/>
        <w:kinsoku w:val="0"/>
        <w:overflowPunct w:val="0"/>
        <w:spacing w:before="1"/>
        <w:ind w:left="300" w:right="1190"/>
        <w:jc w:val="both"/>
        <w:rPr>
          <w:color w:val="040505"/>
        </w:rPr>
      </w:pPr>
      <w:r>
        <w:rPr>
          <w:color w:val="040505"/>
        </w:rPr>
        <w:t xml:space="preserve">In </w:t>
      </w:r>
      <w:r w:rsidR="00AB644F">
        <w:rPr>
          <w:color w:val="040505"/>
        </w:rPr>
        <w:t>Labrador, there are currently no COVID</w:t>
      </w:r>
      <w:r w:rsidR="00637A80">
        <w:rPr>
          <w:color w:val="040505"/>
        </w:rPr>
        <w:t xml:space="preserve"> </w:t>
      </w:r>
      <w:r w:rsidR="00AB644F">
        <w:rPr>
          <w:color w:val="040505"/>
        </w:rPr>
        <w:t>19 restrictions prevent</w:t>
      </w:r>
      <w:r w:rsidR="00637A80">
        <w:rPr>
          <w:color w:val="040505"/>
        </w:rPr>
        <w:t>ing</w:t>
      </w:r>
      <w:r w:rsidR="00AB644F">
        <w:rPr>
          <w:color w:val="040505"/>
        </w:rPr>
        <w:t xml:space="preserve"> the Company’s exploration field work, nor does the Company anticipate any such restrictions. However, it is conceivable that COVID 19 restrictions could be introduced which would serve to prevent exploration field work. Whilst the Company’s minimum expenditure obligation of $250,000 </w:t>
      </w:r>
      <w:r w:rsidR="00637A80">
        <w:rPr>
          <w:color w:val="040505"/>
        </w:rPr>
        <w:t xml:space="preserve">pursuant to the Share Purchase Agreement </w:t>
      </w:r>
      <w:r w:rsidR="00AB644F">
        <w:rPr>
          <w:color w:val="040505"/>
        </w:rPr>
        <w:t xml:space="preserve">is spread over the first 18 months of the Adeline Copper Project, which would appear to be sufficient time for any such COVID 19 restrictions to be lifted, should this not occur, the Company would be required to extend the 18 month period by </w:t>
      </w:r>
      <w:r w:rsidR="008413E0">
        <w:rPr>
          <w:color w:val="040505"/>
        </w:rPr>
        <w:t xml:space="preserve">requesting an extension of the expenditure period </w:t>
      </w:r>
      <w:r w:rsidR="00BC4D83">
        <w:rPr>
          <w:color w:val="040505"/>
        </w:rPr>
        <w:t xml:space="preserve">applicable to the Granted Map-Staked Mineral Licences and </w:t>
      </w:r>
      <w:r w:rsidR="00AB644F">
        <w:rPr>
          <w:color w:val="040505"/>
        </w:rPr>
        <w:t xml:space="preserve">triggering force majeure </w:t>
      </w:r>
      <w:r w:rsidR="00BC4D83">
        <w:rPr>
          <w:color w:val="040505"/>
        </w:rPr>
        <w:t xml:space="preserve">provisions </w:t>
      </w:r>
      <w:r w:rsidR="00637A80">
        <w:rPr>
          <w:color w:val="040505"/>
        </w:rPr>
        <w:t>under the Share Purchase Agreement</w:t>
      </w:r>
      <w:r w:rsidR="00AB644F">
        <w:rPr>
          <w:color w:val="040505"/>
        </w:rPr>
        <w:t xml:space="preserve">.  </w:t>
      </w:r>
      <w:r w:rsidR="00BC4D83">
        <w:t xml:space="preserve">In a worst case scenario, the Group would be effectively prevented from carrying on its mineral resource operations on the affected licence areas and fulfilling its obligations under the Share Purchase Agreement, which could have a material adverse effect on the Adeline Copper Project’s explorational potential and its value and/or require return of the </w:t>
      </w:r>
      <w:r w:rsidR="00BC4D83">
        <w:rPr>
          <w:color w:val="040505"/>
        </w:rPr>
        <w:t>Granted Map-Staked Mineral Licences to Altius</w:t>
      </w:r>
      <w:r w:rsidR="00BC4D83">
        <w:t>, which would in turn impact the Group’s operational and financial performance.</w:t>
      </w:r>
    </w:p>
    <w:p w14:paraId="19052BE2" w14:textId="77777777" w:rsidR="001A7FEF" w:rsidRDefault="001A7FEF" w:rsidP="003566E4">
      <w:pPr>
        <w:pStyle w:val="BodyText"/>
        <w:kinsoku w:val="0"/>
        <w:overflowPunct w:val="0"/>
        <w:ind w:left="300" w:right="1189"/>
        <w:jc w:val="both"/>
        <w:rPr>
          <w:color w:val="040505"/>
        </w:rPr>
      </w:pPr>
    </w:p>
    <w:p w14:paraId="44C7904A" w14:textId="24A06FC9" w:rsidR="00783288" w:rsidRDefault="00E31420" w:rsidP="00693964">
      <w:pPr>
        <w:pStyle w:val="BodyText"/>
        <w:kinsoku w:val="0"/>
        <w:overflowPunct w:val="0"/>
        <w:ind w:left="300" w:right="1189"/>
        <w:jc w:val="both"/>
        <w:rPr>
          <w:color w:val="040505"/>
        </w:rPr>
      </w:pPr>
      <w:r>
        <w:rPr>
          <w:color w:val="040505"/>
        </w:rPr>
        <w:t>There is therefore a risk of potential disruption to the Group’s planned exploration activities. If the Group’s exploration</w:t>
      </w:r>
      <w:r>
        <w:rPr>
          <w:color w:val="040505"/>
          <w:spacing w:val="-10"/>
        </w:rPr>
        <w:t xml:space="preserve"> </w:t>
      </w:r>
      <w:r>
        <w:rPr>
          <w:color w:val="040505"/>
        </w:rPr>
        <w:t>and</w:t>
      </w:r>
      <w:r>
        <w:rPr>
          <w:color w:val="040505"/>
          <w:spacing w:val="-9"/>
        </w:rPr>
        <w:t xml:space="preserve"> </w:t>
      </w:r>
      <w:r>
        <w:rPr>
          <w:color w:val="040505"/>
        </w:rPr>
        <w:t>development</w:t>
      </w:r>
      <w:r>
        <w:rPr>
          <w:color w:val="040505"/>
          <w:spacing w:val="-9"/>
        </w:rPr>
        <w:t xml:space="preserve"> </w:t>
      </w:r>
      <w:r>
        <w:rPr>
          <w:color w:val="040505"/>
        </w:rPr>
        <w:t>projects</w:t>
      </w:r>
      <w:r>
        <w:rPr>
          <w:color w:val="040505"/>
          <w:spacing w:val="-9"/>
        </w:rPr>
        <w:t xml:space="preserve"> </w:t>
      </w:r>
      <w:r>
        <w:rPr>
          <w:color w:val="040505"/>
        </w:rPr>
        <w:t>are</w:t>
      </w:r>
      <w:r>
        <w:rPr>
          <w:color w:val="040505"/>
          <w:spacing w:val="-9"/>
        </w:rPr>
        <w:t xml:space="preserve"> </w:t>
      </w:r>
      <w:r>
        <w:rPr>
          <w:color w:val="040505"/>
        </w:rPr>
        <w:t>delayed,</w:t>
      </w:r>
      <w:r>
        <w:rPr>
          <w:color w:val="040505"/>
          <w:spacing w:val="-9"/>
        </w:rPr>
        <w:t xml:space="preserve"> </w:t>
      </w:r>
      <w:r>
        <w:rPr>
          <w:color w:val="040505"/>
        </w:rPr>
        <w:t>this</w:t>
      </w:r>
      <w:r>
        <w:rPr>
          <w:color w:val="040505"/>
          <w:spacing w:val="-9"/>
        </w:rPr>
        <w:t xml:space="preserve"> </w:t>
      </w:r>
      <w:r>
        <w:rPr>
          <w:color w:val="040505"/>
        </w:rPr>
        <w:t>would</w:t>
      </w:r>
      <w:r>
        <w:rPr>
          <w:color w:val="040505"/>
          <w:spacing w:val="-11"/>
        </w:rPr>
        <w:t xml:space="preserve"> </w:t>
      </w:r>
      <w:r>
        <w:rPr>
          <w:color w:val="040505"/>
        </w:rPr>
        <w:t>mean</w:t>
      </w:r>
      <w:r>
        <w:rPr>
          <w:color w:val="040505"/>
          <w:spacing w:val="-11"/>
        </w:rPr>
        <w:t xml:space="preserve"> </w:t>
      </w:r>
      <w:r>
        <w:rPr>
          <w:color w:val="040505"/>
        </w:rPr>
        <w:t>that</w:t>
      </w:r>
      <w:r>
        <w:rPr>
          <w:color w:val="040505"/>
          <w:spacing w:val="-11"/>
        </w:rPr>
        <w:t xml:space="preserve"> </w:t>
      </w:r>
      <w:r>
        <w:rPr>
          <w:color w:val="040505"/>
        </w:rPr>
        <w:t>the</w:t>
      </w:r>
      <w:r>
        <w:rPr>
          <w:color w:val="040505"/>
          <w:spacing w:val="-10"/>
        </w:rPr>
        <w:t xml:space="preserve"> </w:t>
      </w:r>
      <w:r>
        <w:rPr>
          <w:color w:val="040505"/>
        </w:rPr>
        <w:t>Group</w:t>
      </w:r>
      <w:r>
        <w:rPr>
          <w:color w:val="040505"/>
          <w:spacing w:val="-9"/>
        </w:rPr>
        <w:t xml:space="preserve"> </w:t>
      </w:r>
      <w:r>
        <w:rPr>
          <w:color w:val="040505"/>
        </w:rPr>
        <w:t>is</w:t>
      </w:r>
      <w:r>
        <w:rPr>
          <w:color w:val="040505"/>
          <w:spacing w:val="-8"/>
        </w:rPr>
        <w:t xml:space="preserve"> </w:t>
      </w:r>
      <w:r>
        <w:rPr>
          <w:color w:val="040505"/>
        </w:rPr>
        <w:t>likely</w:t>
      </w:r>
      <w:r>
        <w:rPr>
          <w:color w:val="040505"/>
          <w:spacing w:val="-11"/>
        </w:rPr>
        <w:t xml:space="preserve"> </w:t>
      </w:r>
      <w:r>
        <w:rPr>
          <w:color w:val="040505"/>
        </w:rPr>
        <w:t>to</w:t>
      </w:r>
      <w:r>
        <w:rPr>
          <w:color w:val="040505"/>
          <w:spacing w:val="-11"/>
        </w:rPr>
        <w:t xml:space="preserve"> </w:t>
      </w:r>
      <w:r>
        <w:rPr>
          <w:color w:val="040505"/>
        </w:rPr>
        <w:t>incur</w:t>
      </w:r>
      <w:r>
        <w:rPr>
          <w:color w:val="040505"/>
          <w:spacing w:val="-12"/>
        </w:rPr>
        <w:t xml:space="preserve"> </w:t>
      </w:r>
      <w:r>
        <w:rPr>
          <w:color w:val="040505"/>
        </w:rPr>
        <w:t>additional</w:t>
      </w:r>
      <w:r>
        <w:rPr>
          <w:color w:val="040505"/>
          <w:spacing w:val="-11"/>
        </w:rPr>
        <w:t xml:space="preserve"> </w:t>
      </w:r>
      <w:r>
        <w:rPr>
          <w:color w:val="040505"/>
        </w:rPr>
        <w:t>costs and</w:t>
      </w:r>
      <w:r>
        <w:rPr>
          <w:color w:val="040505"/>
          <w:spacing w:val="-10"/>
        </w:rPr>
        <w:t xml:space="preserve"> </w:t>
      </w:r>
      <w:r>
        <w:rPr>
          <w:color w:val="040505"/>
        </w:rPr>
        <w:t>the</w:t>
      </w:r>
      <w:r>
        <w:rPr>
          <w:color w:val="040505"/>
          <w:spacing w:val="-10"/>
        </w:rPr>
        <w:t xml:space="preserve"> </w:t>
      </w:r>
      <w:r>
        <w:rPr>
          <w:color w:val="040505"/>
        </w:rPr>
        <w:t>expected</w:t>
      </w:r>
      <w:r>
        <w:rPr>
          <w:color w:val="040505"/>
          <w:spacing w:val="-10"/>
        </w:rPr>
        <w:t xml:space="preserve"> </w:t>
      </w:r>
      <w:r>
        <w:rPr>
          <w:color w:val="040505"/>
        </w:rPr>
        <w:t>timeline</w:t>
      </w:r>
      <w:r>
        <w:rPr>
          <w:color w:val="040505"/>
          <w:spacing w:val="-12"/>
        </w:rPr>
        <w:t xml:space="preserve"> </w:t>
      </w:r>
      <w:r>
        <w:rPr>
          <w:color w:val="040505"/>
        </w:rPr>
        <w:t>for</w:t>
      </w:r>
      <w:r>
        <w:rPr>
          <w:color w:val="040505"/>
          <w:spacing w:val="-12"/>
        </w:rPr>
        <w:t xml:space="preserve"> </w:t>
      </w:r>
      <w:r>
        <w:rPr>
          <w:color w:val="040505"/>
        </w:rPr>
        <w:t>the</w:t>
      </w:r>
      <w:r>
        <w:rPr>
          <w:color w:val="040505"/>
          <w:spacing w:val="-10"/>
        </w:rPr>
        <w:t xml:space="preserve"> </w:t>
      </w:r>
      <w:r>
        <w:rPr>
          <w:color w:val="040505"/>
        </w:rPr>
        <w:t>conclusion</w:t>
      </w:r>
      <w:r>
        <w:rPr>
          <w:color w:val="040505"/>
          <w:spacing w:val="-12"/>
        </w:rPr>
        <w:t xml:space="preserve"> </w:t>
      </w:r>
      <w:r>
        <w:rPr>
          <w:color w:val="040505"/>
        </w:rPr>
        <w:t>of,</w:t>
      </w:r>
      <w:r>
        <w:rPr>
          <w:color w:val="040505"/>
          <w:spacing w:val="-11"/>
        </w:rPr>
        <w:t xml:space="preserve"> </w:t>
      </w:r>
      <w:r>
        <w:rPr>
          <w:color w:val="040505"/>
        </w:rPr>
        <w:t>and</w:t>
      </w:r>
      <w:r>
        <w:rPr>
          <w:color w:val="040505"/>
          <w:spacing w:val="-12"/>
        </w:rPr>
        <w:t xml:space="preserve"> </w:t>
      </w:r>
      <w:r>
        <w:rPr>
          <w:color w:val="040505"/>
        </w:rPr>
        <w:t>revenue</w:t>
      </w:r>
      <w:r>
        <w:rPr>
          <w:color w:val="040505"/>
          <w:spacing w:val="-12"/>
        </w:rPr>
        <w:t xml:space="preserve"> </w:t>
      </w:r>
      <w:r>
        <w:rPr>
          <w:color w:val="040505"/>
        </w:rPr>
        <w:t>generation</w:t>
      </w:r>
      <w:r>
        <w:rPr>
          <w:color w:val="040505"/>
          <w:spacing w:val="-10"/>
        </w:rPr>
        <w:t xml:space="preserve"> </w:t>
      </w:r>
      <w:r>
        <w:rPr>
          <w:color w:val="040505"/>
        </w:rPr>
        <w:t>from,</w:t>
      </w:r>
      <w:r>
        <w:rPr>
          <w:color w:val="040505"/>
          <w:spacing w:val="-9"/>
        </w:rPr>
        <w:t xml:space="preserve"> </w:t>
      </w:r>
      <w:proofErr w:type="gramStart"/>
      <w:r>
        <w:rPr>
          <w:color w:val="040505"/>
        </w:rPr>
        <w:t>particular</w:t>
      </w:r>
      <w:r>
        <w:rPr>
          <w:color w:val="040505"/>
          <w:spacing w:val="-10"/>
        </w:rPr>
        <w:t xml:space="preserve"> </w:t>
      </w:r>
      <w:r>
        <w:rPr>
          <w:color w:val="040505"/>
        </w:rPr>
        <w:t>projects</w:t>
      </w:r>
      <w:proofErr w:type="gramEnd"/>
      <w:r>
        <w:rPr>
          <w:color w:val="040505"/>
          <w:spacing w:val="-11"/>
        </w:rPr>
        <w:t xml:space="preserve"> </w:t>
      </w:r>
      <w:r>
        <w:rPr>
          <w:color w:val="040505"/>
        </w:rPr>
        <w:t>would</w:t>
      </w:r>
      <w:r>
        <w:rPr>
          <w:color w:val="040505"/>
          <w:spacing w:val="-10"/>
        </w:rPr>
        <w:t xml:space="preserve"> </w:t>
      </w:r>
      <w:r>
        <w:rPr>
          <w:color w:val="040505"/>
        </w:rPr>
        <w:t>be</w:t>
      </w:r>
      <w:r>
        <w:rPr>
          <w:color w:val="040505"/>
          <w:spacing w:val="-9"/>
        </w:rPr>
        <w:t xml:space="preserve"> </w:t>
      </w:r>
      <w:r>
        <w:rPr>
          <w:color w:val="040505"/>
        </w:rPr>
        <w:t>delayed. If</w:t>
      </w:r>
      <w:r>
        <w:rPr>
          <w:color w:val="040505"/>
          <w:spacing w:val="-3"/>
        </w:rPr>
        <w:t xml:space="preserve"> </w:t>
      </w:r>
      <w:r>
        <w:rPr>
          <w:color w:val="040505"/>
        </w:rPr>
        <w:t>such</w:t>
      </w:r>
      <w:r>
        <w:rPr>
          <w:color w:val="040505"/>
          <w:spacing w:val="-4"/>
        </w:rPr>
        <w:t xml:space="preserve"> </w:t>
      </w:r>
      <w:r>
        <w:rPr>
          <w:color w:val="040505"/>
        </w:rPr>
        <w:t>risk</w:t>
      </w:r>
      <w:r>
        <w:rPr>
          <w:color w:val="040505"/>
          <w:spacing w:val="-4"/>
        </w:rPr>
        <w:t xml:space="preserve"> </w:t>
      </w:r>
      <w:r>
        <w:rPr>
          <w:color w:val="040505"/>
        </w:rPr>
        <w:t>were</w:t>
      </w:r>
      <w:r>
        <w:rPr>
          <w:color w:val="040505"/>
          <w:spacing w:val="-1"/>
        </w:rPr>
        <w:t xml:space="preserve"> </w:t>
      </w:r>
      <w:r>
        <w:rPr>
          <w:color w:val="040505"/>
        </w:rPr>
        <w:t>to</w:t>
      </w:r>
      <w:r>
        <w:rPr>
          <w:color w:val="040505"/>
          <w:spacing w:val="-4"/>
        </w:rPr>
        <w:t xml:space="preserve"> </w:t>
      </w:r>
      <w:r>
        <w:rPr>
          <w:color w:val="040505"/>
        </w:rPr>
        <w:t>materialise,</w:t>
      </w:r>
      <w:r>
        <w:rPr>
          <w:color w:val="040505"/>
          <w:spacing w:val="-3"/>
        </w:rPr>
        <w:t xml:space="preserve"> </w:t>
      </w:r>
      <w:r>
        <w:rPr>
          <w:color w:val="040505"/>
        </w:rPr>
        <w:t>this</w:t>
      </w:r>
      <w:r>
        <w:rPr>
          <w:color w:val="040505"/>
          <w:spacing w:val="-3"/>
        </w:rPr>
        <w:t xml:space="preserve"> </w:t>
      </w:r>
      <w:r>
        <w:rPr>
          <w:color w:val="040505"/>
        </w:rPr>
        <w:t>could</w:t>
      </w:r>
      <w:r>
        <w:rPr>
          <w:color w:val="040505"/>
          <w:spacing w:val="-5"/>
        </w:rPr>
        <w:t xml:space="preserve"> </w:t>
      </w:r>
      <w:r>
        <w:rPr>
          <w:color w:val="040505"/>
        </w:rPr>
        <w:t>have</w:t>
      </w:r>
      <w:r>
        <w:rPr>
          <w:color w:val="040505"/>
          <w:spacing w:val="-4"/>
        </w:rPr>
        <w:t xml:space="preserve"> </w:t>
      </w:r>
      <w:r>
        <w:rPr>
          <w:color w:val="040505"/>
        </w:rPr>
        <w:t>an</w:t>
      </w:r>
      <w:r>
        <w:rPr>
          <w:color w:val="040505"/>
          <w:spacing w:val="-4"/>
        </w:rPr>
        <w:t xml:space="preserve"> </w:t>
      </w:r>
      <w:r>
        <w:rPr>
          <w:color w:val="040505"/>
        </w:rPr>
        <w:t>adverse</w:t>
      </w:r>
      <w:r>
        <w:rPr>
          <w:color w:val="040505"/>
          <w:spacing w:val="-5"/>
        </w:rPr>
        <w:t xml:space="preserve"> </w:t>
      </w:r>
      <w:r>
        <w:rPr>
          <w:color w:val="040505"/>
        </w:rPr>
        <w:t>effect</w:t>
      </w:r>
      <w:r>
        <w:rPr>
          <w:color w:val="040505"/>
          <w:spacing w:val="-4"/>
        </w:rPr>
        <w:t xml:space="preserve"> </w:t>
      </w:r>
      <w:r>
        <w:rPr>
          <w:color w:val="040505"/>
        </w:rPr>
        <w:t>on</w:t>
      </w:r>
      <w:r>
        <w:rPr>
          <w:color w:val="040505"/>
          <w:spacing w:val="-4"/>
        </w:rPr>
        <w:t xml:space="preserve"> </w:t>
      </w:r>
      <w:r>
        <w:rPr>
          <w:color w:val="040505"/>
        </w:rPr>
        <w:t>the</w:t>
      </w:r>
      <w:r>
        <w:rPr>
          <w:color w:val="040505"/>
          <w:spacing w:val="-2"/>
        </w:rPr>
        <w:t xml:space="preserve"> </w:t>
      </w:r>
      <w:r>
        <w:rPr>
          <w:color w:val="040505"/>
        </w:rPr>
        <w:t>financial</w:t>
      </w:r>
      <w:r>
        <w:rPr>
          <w:color w:val="040505"/>
          <w:spacing w:val="-4"/>
        </w:rPr>
        <w:t xml:space="preserve"> </w:t>
      </w:r>
      <w:r>
        <w:rPr>
          <w:color w:val="040505"/>
        </w:rPr>
        <w:t>condition</w:t>
      </w:r>
      <w:r>
        <w:rPr>
          <w:color w:val="040505"/>
          <w:spacing w:val="-6"/>
        </w:rPr>
        <w:t xml:space="preserve"> </w:t>
      </w:r>
      <w:r>
        <w:rPr>
          <w:color w:val="040505"/>
        </w:rPr>
        <w:t>of</w:t>
      </w:r>
      <w:r>
        <w:rPr>
          <w:color w:val="040505"/>
          <w:spacing w:val="-3"/>
        </w:rPr>
        <w:t xml:space="preserve"> </w:t>
      </w:r>
      <w:r>
        <w:rPr>
          <w:color w:val="040505"/>
        </w:rPr>
        <w:t>the</w:t>
      </w:r>
      <w:r>
        <w:rPr>
          <w:color w:val="040505"/>
          <w:spacing w:val="-1"/>
        </w:rPr>
        <w:t xml:space="preserve"> </w:t>
      </w:r>
      <w:r>
        <w:rPr>
          <w:color w:val="040505"/>
        </w:rPr>
        <w:t>Group.</w:t>
      </w:r>
      <w:r>
        <w:rPr>
          <w:color w:val="040505"/>
          <w:spacing w:val="-4"/>
        </w:rPr>
        <w:t xml:space="preserve"> </w:t>
      </w:r>
      <w:r>
        <w:rPr>
          <w:color w:val="040505"/>
        </w:rPr>
        <w:t>However</w:t>
      </w:r>
      <w:r w:rsidR="00BD2B8A">
        <w:rPr>
          <w:color w:val="040505"/>
        </w:rPr>
        <w:t>,</w:t>
      </w:r>
      <w:r>
        <w:rPr>
          <w:color w:val="040505"/>
        </w:rPr>
        <w:t xml:space="preserve"> the Group </w:t>
      </w:r>
      <w:proofErr w:type="gramStart"/>
      <w:r>
        <w:rPr>
          <w:color w:val="040505"/>
        </w:rPr>
        <w:t>is able to</w:t>
      </w:r>
      <w:proofErr w:type="gramEnd"/>
      <w:r>
        <w:rPr>
          <w:color w:val="040505"/>
        </w:rPr>
        <w:t xml:space="preserve"> mitigate the adverse impact of COVID 19 on the financial condition of the Group to an extent by deferring the deployment of capital resources on capital intensive activities until local lock-down or social distancing</w:t>
      </w:r>
      <w:r>
        <w:rPr>
          <w:color w:val="040505"/>
          <w:spacing w:val="-7"/>
        </w:rPr>
        <w:t xml:space="preserve"> </w:t>
      </w:r>
      <w:r>
        <w:rPr>
          <w:color w:val="040505"/>
        </w:rPr>
        <w:t>measures</w:t>
      </w:r>
      <w:r>
        <w:rPr>
          <w:color w:val="040505"/>
          <w:spacing w:val="-3"/>
        </w:rPr>
        <w:t xml:space="preserve"> </w:t>
      </w:r>
      <w:r>
        <w:rPr>
          <w:color w:val="040505"/>
        </w:rPr>
        <w:t>are</w:t>
      </w:r>
      <w:r>
        <w:rPr>
          <w:color w:val="040505"/>
          <w:spacing w:val="-5"/>
        </w:rPr>
        <w:t xml:space="preserve"> </w:t>
      </w:r>
      <w:r>
        <w:rPr>
          <w:color w:val="040505"/>
        </w:rPr>
        <w:t>lifted.</w:t>
      </w:r>
      <w:r>
        <w:rPr>
          <w:color w:val="040505"/>
          <w:spacing w:val="-6"/>
        </w:rPr>
        <w:t xml:space="preserve"> </w:t>
      </w:r>
      <w:r>
        <w:rPr>
          <w:color w:val="040505"/>
        </w:rPr>
        <w:t>As</w:t>
      </w:r>
      <w:r>
        <w:rPr>
          <w:color w:val="040505"/>
          <w:spacing w:val="-4"/>
        </w:rPr>
        <w:t xml:space="preserve"> </w:t>
      </w:r>
      <w:r>
        <w:rPr>
          <w:color w:val="040505"/>
        </w:rPr>
        <w:t>a</w:t>
      </w:r>
      <w:r>
        <w:rPr>
          <w:color w:val="040505"/>
          <w:spacing w:val="-4"/>
        </w:rPr>
        <w:t xml:space="preserve"> </w:t>
      </w:r>
      <w:r>
        <w:rPr>
          <w:color w:val="040505"/>
        </w:rPr>
        <w:t>result,</w:t>
      </w:r>
      <w:r>
        <w:rPr>
          <w:color w:val="040505"/>
          <w:spacing w:val="-5"/>
        </w:rPr>
        <w:t xml:space="preserve"> </w:t>
      </w:r>
      <w:r>
        <w:rPr>
          <w:color w:val="040505"/>
        </w:rPr>
        <w:t>COVID</w:t>
      </w:r>
      <w:r w:rsidR="00637A80">
        <w:rPr>
          <w:color w:val="040505"/>
        </w:rPr>
        <w:t xml:space="preserve"> </w:t>
      </w:r>
      <w:r>
        <w:rPr>
          <w:color w:val="040505"/>
        </w:rPr>
        <w:t>19</w:t>
      </w:r>
      <w:r>
        <w:rPr>
          <w:color w:val="040505"/>
          <w:spacing w:val="-8"/>
        </w:rPr>
        <w:t xml:space="preserve"> </w:t>
      </w:r>
      <w:r>
        <w:rPr>
          <w:color w:val="040505"/>
        </w:rPr>
        <w:t>could</w:t>
      </w:r>
      <w:r>
        <w:rPr>
          <w:color w:val="040505"/>
          <w:spacing w:val="-6"/>
        </w:rPr>
        <w:t xml:space="preserve"> </w:t>
      </w:r>
      <w:r>
        <w:rPr>
          <w:color w:val="040505"/>
        </w:rPr>
        <w:t>impact</w:t>
      </w:r>
      <w:r>
        <w:rPr>
          <w:color w:val="040505"/>
          <w:spacing w:val="-6"/>
        </w:rPr>
        <w:t xml:space="preserve"> </w:t>
      </w:r>
      <w:r>
        <w:rPr>
          <w:color w:val="040505"/>
        </w:rPr>
        <w:t>the</w:t>
      </w:r>
      <w:r>
        <w:rPr>
          <w:color w:val="040505"/>
          <w:spacing w:val="-6"/>
        </w:rPr>
        <w:t xml:space="preserve"> </w:t>
      </w:r>
      <w:r>
        <w:rPr>
          <w:color w:val="040505"/>
        </w:rPr>
        <w:t>timeline</w:t>
      </w:r>
      <w:r>
        <w:rPr>
          <w:color w:val="040505"/>
          <w:spacing w:val="-7"/>
        </w:rPr>
        <w:t xml:space="preserve"> </w:t>
      </w:r>
      <w:r>
        <w:rPr>
          <w:color w:val="040505"/>
        </w:rPr>
        <w:t>for</w:t>
      </w:r>
      <w:r>
        <w:rPr>
          <w:color w:val="040505"/>
          <w:spacing w:val="-8"/>
        </w:rPr>
        <w:t xml:space="preserve"> </w:t>
      </w:r>
      <w:r>
        <w:rPr>
          <w:color w:val="040505"/>
        </w:rPr>
        <w:t>the</w:t>
      </w:r>
      <w:r>
        <w:rPr>
          <w:color w:val="040505"/>
          <w:spacing w:val="-9"/>
        </w:rPr>
        <w:t xml:space="preserve"> </w:t>
      </w:r>
      <w:r>
        <w:rPr>
          <w:color w:val="040505"/>
        </w:rPr>
        <w:t>completion</w:t>
      </w:r>
      <w:r>
        <w:rPr>
          <w:color w:val="040505"/>
          <w:spacing w:val="-6"/>
        </w:rPr>
        <w:t xml:space="preserve"> </w:t>
      </w:r>
      <w:r>
        <w:rPr>
          <w:color w:val="040505"/>
        </w:rPr>
        <w:t>of</w:t>
      </w:r>
      <w:r>
        <w:rPr>
          <w:color w:val="040505"/>
          <w:spacing w:val="-9"/>
        </w:rPr>
        <w:t xml:space="preserve"> </w:t>
      </w:r>
      <w:r>
        <w:rPr>
          <w:color w:val="040505"/>
        </w:rPr>
        <w:t>certain</w:t>
      </w:r>
      <w:r>
        <w:rPr>
          <w:color w:val="040505"/>
          <w:spacing w:val="-6"/>
        </w:rPr>
        <w:t xml:space="preserve"> </w:t>
      </w:r>
      <w:r>
        <w:rPr>
          <w:color w:val="040505"/>
        </w:rPr>
        <w:t>projects</w:t>
      </w:r>
      <w:r>
        <w:rPr>
          <w:color w:val="040505"/>
          <w:spacing w:val="-8"/>
        </w:rPr>
        <w:t xml:space="preserve"> </w:t>
      </w:r>
      <w:r>
        <w:rPr>
          <w:color w:val="040505"/>
        </w:rPr>
        <w:t>and</w:t>
      </w:r>
      <w:r>
        <w:rPr>
          <w:color w:val="040505"/>
          <w:spacing w:val="-9"/>
        </w:rPr>
        <w:t xml:space="preserve"> </w:t>
      </w:r>
      <w:r>
        <w:rPr>
          <w:color w:val="040505"/>
        </w:rPr>
        <w:t>the</w:t>
      </w:r>
      <w:r>
        <w:rPr>
          <w:color w:val="040505"/>
          <w:spacing w:val="-6"/>
        </w:rPr>
        <w:t xml:space="preserve"> </w:t>
      </w:r>
      <w:r>
        <w:rPr>
          <w:color w:val="040505"/>
        </w:rPr>
        <w:t>Group</w:t>
      </w:r>
      <w:r>
        <w:rPr>
          <w:color w:val="040505"/>
          <w:spacing w:val="-9"/>
        </w:rPr>
        <w:t xml:space="preserve"> </w:t>
      </w:r>
      <w:r>
        <w:rPr>
          <w:color w:val="040505"/>
        </w:rPr>
        <w:t>could</w:t>
      </w:r>
      <w:r>
        <w:rPr>
          <w:color w:val="040505"/>
          <w:spacing w:val="-6"/>
        </w:rPr>
        <w:t xml:space="preserve"> </w:t>
      </w:r>
      <w:r>
        <w:rPr>
          <w:color w:val="040505"/>
        </w:rPr>
        <w:t>incur</w:t>
      </w:r>
      <w:r>
        <w:rPr>
          <w:color w:val="040505"/>
          <w:spacing w:val="-9"/>
        </w:rPr>
        <w:t xml:space="preserve"> </w:t>
      </w:r>
      <w:r>
        <w:rPr>
          <w:color w:val="040505"/>
        </w:rPr>
        <w:t>additional and unanticipated costs connected with the postponement or deferment of such</w:t>
      </w:r>
      <w:r>
        <w:rPr>
          <w:color w:val="040505"/>
          <w:spacing w:val="-8"/>
        </w:rPr>
        <w:t xml:space="preserve"> </w:t>
      </w:r>
      <w:r>
        <w:rPr>
          <w:color w:val="040505"/>
        </w:rPr>
        <w:t>projects.</w:t>
      </w:r>
    </w:p>
    <w:p w14:paraId="36F72F57" w14:textId="77777777" w:rsidR="00783288" w:rsidRDefault="00783288">
      <w:pPr>
        <w:pStyle w:val="BodyText"/>
        <w:kinsoku w:val="0"/>
        <w:overflowPunct w:val="0"/>
      </w:pPr>
    </w:p>
    <w:p w14:paraId="43DFE8E2" w14:textId="2F261158" w:rsidR="00783288" w:rsidRDefault="00E31420">
      <w:pPr>
        <w:pStyle w:val="BodyText"/>
        <w:kinsoku w:val="0"/>
        <w:overflowPunct w:val="0"/>
        <w:ind w:left="300" w:right="1191"/>
        <w:jc w:val="both"/>
        <w:rPr>
          <w:color w:val="070808"/>
        </w:rPr>
      </w:pPr>
      <w:r>
        <w:rPr>
          <w:color w:val="070808"/>
        </w:rPr>
        <w:t>The</w:t>
      </w:r>
      <w:r>
        <w:rPr>
          <w:color w:val="070808"/>
          <w:spacing w:val="-14"/>
        </w:rPr>
        <w:t xml:space="preserve"> </w:t>
      </w:r>
      <w:r>
        <w:rPr>
          <w:color w:val="070808"/>
        </w:rPr>
        <w:t>impact</w:t>
      </w:r>
      <w:r>
        <w:rPr>
          <w:color w:val="070808"/>
          <w:spacing w:val="-14"/>
        </w:rPr>
        <w:t xml:space="preserve"> </w:t>
      </w:r>
      <w:r>
        <w:rPr>
          <w:color w:val="070808"/>
        </w:rPr>
        <w:t>of</w:t>
      </w:r>
      <w:r>
        <w:rPr>
          <w:color w:val="070808"/>
          <w:spacing w:val="-15"/>
        </w:rPr>
        <w:t xml:space="preserve"> </w:t>
      </w:r>
      <w:r>
        <w:rPr>
          <w:color w:val="070808"/>
        </w:rPr>
        <w:t>COVID</w:t>
      </w:r>
      <w:r w:rsidR="00637A80">
        <w:rPr>
          <w:color w:val="070808"/>
          <w:spacing w:val="-14"/>
        </w:rPr>
        <w:t xml:space="preserve"> </w:t>
      </w:r>
      <w:r>
        <w:rPr>
          <w:color w:val="070808"/>
        </w:rPr>
        <w:t>19</w:t>
      </w:r>
      <w:r>
        <w:rPr>
          <w:color w:val="070808"/>
          <w:spacing w:val="-14"/>
        </w:rPr>
        <w:t xml:space="preserve"> </w:t>
      </w:r>
      <w:r>
        <w:rPr>
          <w:color w:val="070808"/>
        </w:rPr>
        <w:t>has</w:t>
      </w:r>
      <w:r>
        <w:rPr>
          <w:color w:val="070808"/>
          <w:spacing w:val="-15"/>
        </w:rPr>
        <w:t xml:space="preserve"> </w:t>
      </w:r>
      <w:r>
        <w:rPr>
          <w:color w:val="070808"/>
        </w:rPr>
        <w:t>had</w:t>
      </w:r>
      <w:r>
        <w:rPr>
          <w:color w:val="070808"/>
          <w:spacing w:val="-14"/>
        </w:rPr>
        <w:t xml:space="preserve"> </w:t>
      </w:r>
      <w:r>
        <w:rPr>
          <w:color w:val="070808"/>
        </w:rPr>
        <w:t>a</w:t>
      </w:r>
      <w:r>
        <w:rPr>
          <w:color w:val="070808"/>
          <w:spacing w:val="-13"/>
        </w:rPr>
        <w:t xml:space="preserve"> </w:t>
      </w:r>
      <w:r>
        <w:rPr>
          <w:color w:val="070808"/>
        </w:rPr>
        <w:t>materially</w:t>
      </w:r>
      <w:r>
        <w:rPr>
          <w:color w:val="070808"/>
          <w:spacing w:val="-16"/>
        </w:rPr>
        <w:t xml:space="preserve"> </w:t>
      </w:r>
      <w:r>
        <w:rPr>
          <w:color w:val="070808"/>
        </w:rPr>
        <w:t>adverse</w:t>
      </w:r>
      <w:r>
        <w:rPr>
          <w:color w:val="070808"/>
          <w:spacing w:val="-13"/>
        </w:rPr>
        <w:t xml:space="preserve"> </w:t>
      </w:r>
      <w:r>
        <w:rPr>
          <w:color w:val="070808"/>
        </w:rPr>
        <w:t>effect</w:t>
      </w:r>
      <w:r>
        <w:rPr>
          <w:color w:val="070808"/>
          <w:spacing w:val="-15"/>
        </w:rPr>
        <w:t xml:space="preserve"> </w:t>
      </w:r>
      <w:r>
        <w:rPr>
          <w:color w:val="070808"/>
        </w:rPr>
        <w:t>on</w:t>
      </w:r>
      <w:r>
        <w:rPr>
          <w:color w:val="070808"/>
          <w:spacing w:val="-13"/>
        </w:rPr>
        <w:t xml:space="preserve"> </w:t>
      </w:r>
      <w:r>
        <w:rPr>
          <w:color w:val="070808"/>
        </w:rPr>
        <w:t>the</w:t>
      </w:r>
      <w:r>
        <w:rPr>
          <w:color w:val="070808"/>
          <w:spacing w:val="-14"/>
        </w:rPr>
        <w:t xml:space="preserve"> </w:t>
      </w:r>
      <w:r>
        <w:rPr>
          <w:color w:val="070808"/>
        </w:rPr>
        <w:t>global</w:t>
      </w:r>
      <w:r>
        <w:rPr>
          <w:color w:val="070808"/>
          <w:spacing w:val="-13"/>
        </w:rPr>
        <w:t xml:space="preserve"> </w:t>
      </w:r>
      <w:r>
        <w:rPr>
          <w:color w:val="070808"/>
        </w:rPr>
        <w:t>economy</w:t>
      </w:r>
      <w:r>
        <w:rPr>
          <w:color w:val="070808"/>
          <w:spacing w:val="-16"/>
        </w:rPr>
        <w:t xml:space="preserve"> </w:t>
      </w:r>
      <w:r>
        <w:rPr>
          <w:color w:val="070808"/>
        </w:rPr>
        <w:t>and</w:t>
      </w:r>
      <w:r>
        <w:rPr>
          <w:color w:val="070808"/>
          <w:spacing w:val="-13"/>
        </w:rPr>
        <w:t xml:space="preserve"> </w:t>
      </w:r>
      <w:r>
        <w:rPr>
          <w:color w:val="070808"/>
        </w:rPr>
        <w:t>overall</w:t>
      </w:r>
      <w:r>
        <w:rPr>
          <w:color w:val="070808"/>
          <w:spacing w:val="-14"/>
        </w:rPr>
        <w:t xml:space="preserve"> </w:t>
      </w:r>
      <w:r>
        <w:rPr>
          <w:color w:val="070808"/>
        </w:rPr>
        <w:t>business</w:t>
      </w:r>
      <w:r>
        <w:rPr>
          <w:color w:val="070808"/>
          <w:spacing w:val="-13"/>
        </w:rPr>
        <w:t xml:space="preserve"> </w:t>
      </w:r>
      <w:r>
        <w:rPr>
          <w:color w:val="070808"/>
        </w:rPr>
        <w:t xml:space="preserve">sentiment, which has the potential to negatively impact the demand and price for commodities and have an impact on the </w:t>
      </w:r>
      <w:r>
        <w:rPr>
          <w:color w:val="070808"/>
        </w:rPr>
        <w:lastRenderedPageBreak/>
        <w:t xml:space="preserve">financial position and prospects of the Group. However, despite falls in the copper and gold price during the </w:t>
      </w:r>
      <w:r w:rsidR="000246C0">
        <w:rPr>
          <w:color w:val="070808"/>
        </w:rPr>
        <w:t xml:space="preserve">first wave </w:t>
      </w:r>
      <w:r>
        <w:rPr>
          <w:color w:val="070808"/>
        </w:rPr>
        <w:t>of the COVID 19 pandemic</w:t>
      </w:r>
      <w:r w:rsidR="000246C0">
        <w:rPr>
          <w:color w:val="070808"/>
        </w:rPr>
        <w:t xml:space="preserve"> in </w:t>
      </w:r>
      <w:r w:rsidR="00D97138">
        <w:rPr>
          <w:color w:val="070808"/>
        </w:rPr>
        <w:t>spring 2020</w:t>
      </w:r>
      <w:r>
        <w:rPr>
          <w:color w:val="070808"/>
        </w:rPr>
        <w:t>, at present the demand for copper is emerging strong</w:t>
      </w:r>
      <w:r w:rsidR="00D97138">
        <w:rPr>
          <w:color w:val="070808"/>
        </w:rPr>
        <w:t>ly</w:t>
      </w:r>
      <w:r>
        <w:rPr>
          <w:color w:val="070808"/>
        </w:rPr>
        <w:t xml:space="preserve"> from the pandemic particularly due to increased demand (particularly from China)</w:t>
      </w:r>
      <w:r w:rsidR="0093201A">
        <w:rPr>
          <w:color w:val="070808"/>
        </w:rPr>
        <w:t xml:space="preserve"> </w:t>
      </w:r>
      <w:r w:rsidR="00046867">
        <w:rPr>
          <w:i/>
          <w:color w:val="070808"/>
        </w:rPr>
        <w:t>(</w:t>
      </w:r>
      <w:r w:rsidR="0093201A" w:rsidRPr="00A75B49">
        <w:rPr>
          <w:i/>
          <w:color w:val="070808"/>
        </w:rPr>
        <w:t>Source: Mining Journal</w:t>
      </w:r>
      <w:r w:rsidR="00D45179" w:rsidRPr="00A75B49">
        <w:rPr>
          <w:i/>
          <w:color w:val="070808"/>
        </w:rPr>
        <w:t xml:space="preserve">, </w:t>
      </w:r>
      <w:r w:rsidR="00BE00C2">
        <w:rPr>
          <w:i/>
          <w:color w:val="070808"/>
        </w:rPr>
        <w:t xml:space="preserve">“Ballooning copper demand in China”, </w:t>
      </w:r>
      <w:r w:rsidR="00A75B49">
        <w:rPr>
          <w:i/>
          <w:color w:val="070808"/>
        </w:rPr>
        <w:t>19</w:t>
      </w:r>
      <w:r w:rsidR="00D45179" w:rsidRPr="00A75B49">
        <w:rPr>
          <w:i/>
          <w:color w:val="070808"/>
        </w:rPr>
        <w:t>.</w:t>
      </w:r>
      <w:r w:rsidR="00A75B49">
        <w:rPr>
          <w:i/>
          <w:color w:val="070808"/>
        </w:rPr>
        <w:t>01</w:t>
      </w:r>
      <w:r w:rsidR="00D45179" w:rsidRPr="00A75B49">
        <w:rPr>
          <w:i/>
          <w:color w:val="070808"/>
        </w:rPr>
        <w:t>.</w:t>
      </w:r>
      <w:r w:rsidR="00A75B49">
        <w:rPr>
          <w:i/>
          <w:color w:val="070808"/>
        </w:rPr>
        <w:t>21</w:t>
      </w:r>
      <w:r w:rsidR="00046867">
        <w:rPr>
          <w:i/>
          <w:color w:val="070808"/>
        </w:rPr>
        <w:t>)</w:t>
      </w:r>
      <w:r w:rsidRPr="00D45179">
        <w:rPr>
          <w:i/>
          <w:color w:val="070808"/>
        </w:rPr>
        <w:t xml:space="preserve"> </w:t>
      </w:r>
      <w:r>
        <w:rPr>
          <w:color w:val="070808"/>
        </w:rPr>
        <w:t>and COVID 19. The price of copper has also seen a particular appreciation in recent years since it is an important commodity</w:t>
      </w:r>
      <w:r>
        <w:rPr>
          <w:color w:val="070808"/>
          <w:spacing w:val="-9"/>
        </w:rPr>
        <w:t xml:space="preserve"> </w:t>
      </w:r>
      <w:r>
        <w:rPr>
          <w:color w:val="070808"/>
        </w:rPr>
        <w:t>in</w:t>
      </w:r>
      <w:r>
        <w:rPr>
          <w:color w:val="070808"/>
          <w:spacing w:val="-6"/>
        </w:rPr>
        <w:t xml:space="preserve"> </w:t>
      </w:r>
      <w:r>
        <w:rPr>
          <w:color w:val="070808"/>
        </w:rPr>
        <w:t>the</w:t>
      </w:r>
      <w:r>
        <w:rPr>
          <w:color w:val="070808"/>
          <w:spacing w:val="-6"/>
        </w:rPr>
        <w:t xml:space="preserve"> </w:t>
      </w:r>
      <w:r>
        <w:rPr>
          <w:color w:val="070808"/>
        </w:rPr>
        <w:t>electrification</w:t>
      </w:r>
      <w:r>
        <w:rPr>
          <w:color w:val="070808"/>
          <w:spacing w:val="-9"/>
        </w:rPr>
        <w:t xml:space="preserve"> </w:t>
      </w:r>
      <w:r>
        <w:rPr>
          <w:color w:val="070808"/>
        </w:rPr>
        <w:t>of</w:t>
      </w:r>
      <w:r>
        <w:rPr>
          <w:color w:val="070808"/>
          <w:spacing w:val="-6"/>
        </w:rPr>
        <w:t xml:space="preserve"> </w:t>
      </w:r>
      <w:r>
        <w:rPr>
          <w:color w:val="070808"/>
        </w:rPr>
        <w:t>energy</w:t>
      </w:r>
      <w:r>
        <w:rPr>
          <w:color w:val="070808"/>
          <w:spacing w:val="-8"/>
        </w:rPr>
        <w:t xml:space="preserve"> </w:t>
      </w:r>
      <w:r>
        <w:rPr>
          <w:color w:val="070808"/>
        </w:rPr>
        <w:t>and</w:t>
      </w:r>
      <w:r>
        <w:rPr>
          <w:color w:val="070808"/>
          <w:spacing w:val="-6"/>
        </w:rPr>
        <w:t xml:space="preserve"> </w:t>
      </w:r>
      <w:r>
        <w:rPr>
          <w:color w:val="070808"/>
        </w:rPr>
        <w:t>transport</w:t>
      </w:r>
      <w:r w:rsidR="00A75B49">
        <w:rPr>
          <w:color w:val="070808"/>
        </w:rPr>
        <w:t xml:space="preserve"> </w:t>
      </w:r>
      <w:r w:rsidR="00046867">
        <w:rPr>
          <w:i/>
          <w:color w:val="070808"/>
        </w:rPr>
        <w:t>(</w:t>
      </w:r>
      <w:r w:rsidR="00A75B49" w:rsidRPr="00A75B49">
        <w:rPr>
          <w:i/>
          <w:color w:val="070808"/>
        </w:rPr>
        <w:t xml:space="preserve">Source: Ernst &amp; Young, </w:t>
      </w:r>
      <w:r w:rsidR="008323AE">
        <w:rPr>
          <w:i/>
          <w:color w:val="070808"/>
        </w:rPr>
        <w:t xml:space="preserve">“How advancing mobility will disrupt the mining and metals sector”, </w:t>
      </w:r>
      <w:r w:rsidR="00A75B49" w:rsidRPr="00A75B49">
        <w:rPr>
          <w:i/>
          <w:color w:val="070808"/>
        </w:rPr>
        <w:t>02.12.20</w:t>
      </w:r>
      <w:r w:rsidR="00046867">
        <w:rPr>
          <w:i/>
          <w:color w:val="070808"/>
        </w:rPr>
        <w:t>)</w:t>
      </w:r>
      <w:r>
        <w:rPr>
          <w:color w:val="070808"/>
        </w:rPr>
        <w:t>.</w:t>
      </w:r>
      <w:r w:rsidR="00D97138">
        <w:rPr>
          <w:color w:val="070808"/>
        </w:rPr>
        <w:t xml:space="preserve"> Gold has </w:t>
      </w:r>
      <w:r w:rsidR="00D97138" w:rsidRPr="0032078A">
        <w:rPr>
          <w:color w:val="070808"/>
        </w:rPr>
        <w:t>benefitted from speculative buying due to lingering uncertainties and a general increase of liquidity in the hands of speculators</w:t>
      </w:r>
      <w:r w:rsidR="00D45179" w:rsidRPr="0032078A">
        <w:rPr>
          <w:color w:val="070808"/>
        </w:rPr>
        <w:t xml:space="preserve"> </w:t>
      </w:r>
      <w:r w:rsidR="00046867">
        <w:rPr>
          <w:i/>
          <w:color w:val="070808"/>
        </w:rPr>
        <w:t>(</w:t>
      </w:r>
      <w:r w:rsidR="00D45179" w:rsidRPr="0032078A">
        <w:rPr>
          <w:i/>
          <w:color w:val="070808"/>
        </w:rPr>
        <w:t xml:space="preserve">Source: </w:t>
      </w:r>
      <w:r w:rsidR="0032078A" w:rsidRPr="0032078A">
        <w:rPr>
          <w:i/>
          <w:color w:val="070808"/>
        </w:rPr>
        <w:t>Forbes</w:t>
      </w:r>
      <w:r w:rsidR="00D45179" w:rsidRPr="0032078A">
        <w:rPr>
          <w:i/>
          <w:color w:val="070808"/>
        </w:rPr>
        <w:t>,</w:t>
      </w:r>
      <w:r w:rsidR="0032078A" w:rsidRPr="0032078A">
        <w:rPr>
          <w:i/>
          <w:color w:val="070808"/>
        </w:rPr>
        <w:t xml:space="preserve"> “What’s Driving Gold Prices So High, And What Might the Future Hold?”,</w:t>
      </w:r>
      <w:r w:rsidR="00D45179" w:rsidRPr="0032078A">
        <w:rPr>
          <w:i/>
          <w:color w:val="070808"/>
        </w:rPr>
        <w:t xml:space="preserve"> </w:t>
      </w:r>
      <w:r w:rsidR="0032078A" w:rsidRPr="0032078A">
        <w:rPr>
          <w:i/>
          <w:color w:val="070808"/>
        </w:rPr>
        <w:t>22</w:t>
      </w:r>
      <w:r w:rsidR="00D45179" w:rsidRPr="0032078A">
        <w:rPr>
          <w:i/>
          <w:color w:val="070808"/>
        </w:rPr>
        <w:t>.0</w:t>
      </w:r>
      <w:r w:rsidR="0032078A" w:rsidRPr="0032078A">
        <w:rPr>
          <w:i/>
          <w:color w:val="070808"/>
        </w:rPr>
        <w:t>9</w:t>
      </w:r>
      <w:r w:rsidR="00D45179" w:rsidRPr="0032078A">
        <w:rPr>
          <w:i/>
          <w:color w:val="070808"/>
        </w:rPr>
        <w:t>.2</w:t>
      </w:r>
      <w:r w:rsidR="0032078A" w:rsidRPr="0032078A">
        <w:rPr>
          <w:i/>
          <w:color w:val="070808"/>
        </w:rPr>
        <w:t>0</w:t>
      </w:r>
      <w:r w:rsidR="00046867">
        <w:rPr>
          <w:i/>
          <w:color w:val="070808"/>
        </w:rPr>
        <w:t>)</w:t>
      </w:r>
      <w:r w:rsidR="00D97138" w:rsidRPr="0032078A">
        <w:rPr>
          <w:color w:val="070808"/>
        </w:rPr>
        <w:t>.</w:t>
      </w:r>
      <w:r>
        <w:rPr>
          <w:color w:val="070808"/>
          <w:spacing w:val="-6"/>
        </w:rPr>
        <w:t xml:space="preserve"> </w:t>
      </w:r>
      <w:r>
        <w:rPr>
          <w:color w:val="070808"/>
        </w:rPr>
        <w:t>Prices</w:t>
      </w:r>
      <w:r>
        <w:rPr>
          <w:color w:val="070808"/>
          <w:spacing w:val="-6"/>
        </w:rPr>
        <w:t xml:space="preserve"> </w:t>
      </w:r>
      <w:r>
        <w:rPr>
          <w:color w:val="070808"/>
        </w:rPr>
        <w:t>for</w:t>
      </w:r>
      <w:r>
        <w:rPr>
          <w:color w:val="070808"/>
          <w:spacing w:val="-7"/>
        </w:rPr>
        <w:t xml:space="preserve"> </w:t>
      </w:r>
      <w:r>
        <w:rPr>
          <w:color w:val="070808"/>
        </w:rPr>
        <w:t>these</w:t>
      </w:r>
      <w:r>
        <w:rPr>
          <w:color w:val="070808"/>
          <w:spacing w:val="-7"/>
        </w:rPr>
        <w:t xml:space="preserve"> </w:t>
      </w:r>
      <w:r>
        <w:rPr>
          <w:color w:val="070808"/>
        </w:rPr>
        <w:t>commodities</w:t>
      </w:r>
      <w:r>
        <w:rPr>
          <w:color w:val="070808"/>
          <w:spacing w:val="-6"/>
        </w:rPr>
        <w:t xml:space="preserve"> </w:t>
      </w:r>
      <w:r>
        <w:rPr>
          <w:color w:val="070808"/>
        </w:rPr>
        <w:t>are</w:t>
      </w:r>
      <w:r>
        <w:rPr>
          <w:color w:val="070808"/>
          <w:spacing w:val="-6"/>
        </w:rPr>
        <w:t xml:space="preserve"> </w:t>
      </w:r>
      <w:r>
        <w:rPr>
          <w:color w:val="070808"/>
        </w:rPr>
        <w:t>now</w:t>
      </w:r>
      <w:r>
        <w:rPr>
          <w:color w:val="070808"/>
          <w:spacing w:val="-10"/>
        </w:rPr>
        <w:t xml:space="preserve"> </w:t>
      </w:r>
      <w:r>
        <w:rPr>
          <w:color w:val="070808"/>
        </w:rPr>
        <w:t>currently</w:t>
      </w:r>
      <w:r>
        <w:rPr>
          <w:color w:val="070808"/>
          <w:spacing w:val="-8"/>
        </w:rPr>
        <w:t xml:space="preserve"> </w:t>
      </w:r>
      <w:r>
        <w:rPr>
          <w:color w:val="070808"/>
        </w:rPr>
        <w:t>exceeding their prevailing market prices prior to the COVID 19 pandemic, which is a positive sign for the</w:t>
      </w:r>
      <w:r>
        <w:rPr>
          <w:color w:val="070808"/>
          <w:spacing w:val="-21"/>
        </w:rPr>
        <w:t xml:space="preserve"> </w:t>
      </w:r>
      <w:r>
        <w:rPr>
          <w:color w:val="070808"/>
        </w:rPr>
        <w:t>Group</w:t>
      </w:r>
      <w:r w:rsidR="00A75B49">
        <w:rPr>
          <w:color w:val="070808"/>
        </w:rPr>
        <w:t xml:space="preserve"> </w:t>
      </w:r>
      <w:r w:rsidR="00046867">
        <w:rPr>
          <w:i/>
          <w:color w:val="070808"/>
        </w:rPr>
        <w:t>(</w:t>
      </w:r>
      <w:r w:rsidR="00A75B49" w:rsidRPr="0026107B">
        <w:rPr>
          <w:i/>
          <w:color w:val="070808"/>
        </w:rPr>
        <w:t>Source: London Metal Exchange,</w:t>
      </w:r>
      <w:r w:rsidR="00A75B49" w:rsidRPr="0026107B">
        <w:rPr>
          <w:b/>
          <w:i/>
          <w:color w:val="070808"/>
        </w:rPr>
        <w:t xml:space="preserve"> </w:t>
      </w:r>
      <w:hyperlink r:id="rId13" w:history="1">
        <w:r w:rsidR="009C1D2E" w:rsidRPr="00EF2315">
          <w:rPr>
            <w:rStyle w:val="Hyperlink"/>
            <w:i/>
          </w:rPr>
          <w:t>www.lme.com/Metals</w:t>
        </w:r>
      </w:hyperlink>
      <w:r w:rsidR="009C1D2E">
        <w:rPr>
          <w:i/>
        </w:rPr>
        <w:t xml:space="preserve">, </w:t>
      </w:r>
      <w:r w:rsidR="000C5E9B">
        <w:rPr>
          <w:i/>
        </w:rPr>
        <w:t>0</w:t>
      </w:r>
      <w:r w:rsidR="00117CD0">
        <w:rPr>
          <w:i/>
        </w:rPr>
        <w:t>1</w:t>
      </w:r>
      <w:r w:rsidR="000C5E9B">
        <w:rPr>
          <w:i/>
        </w:rPr>
        <w:t>.07.21</w:t>
      </w:r>
      <w:r w:rsidR="00046867">
        <w:rPr>
          <w:i/>
          <w:color w:val="070808"/>
        </w:rPr>
        <w:t>)</w:t>
      </w:r>
      <w:r w:rsidRPr="0026107B">
        <w:rPr>
          <w:i/>
          <w:color w:val="070808"/>
        </w:rPr>
        <w:t>.</w:t>
      </w:r>
    </w:p>
    <w:p w14:paraId="69F48F94" w14:textId="524A57DD" w:rsidR="003566E4" w:rsidRDefault="003566E4">
      <w:pPr>
        <w:pStyle w:val="BodyText"/>
        <w:kinsoku w:val="0"/>
        <w:overflowPunct w:val="0"/>
        <w:ind w:left="300" w:right="1191"/>
        <w:jc w:val="both"/>
        <w:rPr>
          <w:color w:val="070808"/>
        </w:rPr>
      </w:pPr>
    </w:p>
    <w:p w14:paraId="1BD4C315" w14:textId="77777777" w:rsidR="003566E4" w:rsidRDefault="003566E4">
      <w:pPr>
        <w:pStyle w:val="BodyText"/>
        <w:kinsoku w:val="0"/>
        <w:overflowPunct w:val="0"/>
        <w:ind w:left="300" w:right="1191"/>
        <w:jc w:val="both"/>
        <w:rPr>
          <w:color w:val="070808"/>
        </w:rPr>
      </w:pPr>
    </w:p>
    <w:p w14:paraId="1AE4582D" w14:textId="77777777" w:rsidR="00783288" w:rsidRDefault="00E31420">
      <w:pPr>
        <w:pStyle w:val="Heading1"/>
        <w:kinsoku w:val="0"/>
        <w:overflowPunct w:val="0"/>
        <w:jc w:val="both"/>
        <w:rPr>
          <w:color w:val="070808"/>
        </w:rPr>
      </w:pPr>
      <w:r>
        <w:rPr>
          <w:color w:val="070808"/>
        </w:rPr>
        <w:t>EXPLORATION, DEVELOPMENT AND OPERATIONAL RISK</w:t>
      </w:r>
    </w:p>
    <w:p w14:paraId="45176720" w14:textId="77777777" w:rsidR="00783288" w:rsidRDefault="00783288">
      <w:pPr>
        <w:pStyle w:val="BodyText"/>
        <w:kinsoku w:val="0"/>
        <w:overflowPunct w:val="0"/>
        <w:rPr>
          <w:b/>
          <w:bCs/>
          <w:sz w:val="21"/>
          <w:szCs w:val="21"/>
        </w:rPr>
      </w:pPr>
    </w:p>
    <w:p w14:paraId="2DDC19FB" w14:textId="77777777" w:rsidR="00783288" w:rsidRDefault="00E31420">
      <w:pPr>
        <w:pStyle w:val="Heading2"/>
        <w:kinsoku w:val="0"/>
        <w:overflowPunct w:val="0"/>
        <w:spacing w:before="1"/>
        <w:ind w:right="1188"/>
        <w:rPr>
          <w:color w:val="070808"/>
        </w:rPr>
      </w:pPr>
      <w:r>
        <w:rPr>
          <w:color w:val="070808"/>
        </w:rPr>
        <w:t>There is no certainty that exploration and development expenditure by the Group will result in the discovery of economic, commercially mineable deposits or lead to profitable commercial operations</w:t>
      </w:r>
    </w:p>
    <w:p w14:paraId="6FDD867A" w14:textId="77777777" w:rsidR="00783288" w:rsidRDefault="00783288">
      <w:pPr>
        <w:pStyle w:val="BodyText"/>
        <w:kinsoku w:val="0"/>
        <w:overflowPunct w:val="0"/>
        <w:spacing w:before="2"/>
        <w:rPr>
          <w:b/>
          <w:bCs/>
          <w:i/>
          <w:iCs/>
        </w:rPr>
      </w:pPr>
    </w:p>
    <w:p w14:paraId="207CDD6D" w14:textId="77777777" w:rsidR="00783288" w:rsidRDefault="00E31420">
      <w:pPr>
        <w:pStyle w:val="BodyText"/>
        <w:kinsoku w:val="0"/>
        <w:overflowPunct w:val="0"/>
        <w:spacing w:before="1"/>
        <w:ind w:left="300" w:right="1188"/>
        <w:jc w:val="both"/>
        <w:rPr>
          <w:color w:val="040505"/>
        </w:rPr>
      </w:pPr>
      <w:r>
        <w:rPr>
          <w:color w:val="070808"/>
        </w:rPr>
        <w:t xml:space="preserve">The exploration and development of mineral resource properties is speculative and subject to </w:t>
      </w:r>
      <w:proofErr w:type="gramStart"/>
      <w:r>
        <w:rPr>
          <w:color w:val="070808"/>
        </w:rPr>
        <w:t>a number of</w:t>
      </w:r>
      <w:proofErr w:type="gramEnd"/>
      <w:r>
        <w:rPr>
          <w:color w:val="070808"/>
        </w:rPr>
        <w:t xml:space="preserve"> uncertainties, which careful evaluation, experience and knowledge may not eliminate. Many mineral exploration projects do not result in the discovery of commercially mineable deposits and initial results from the Group’s Portfolio may be materially different from those anticipated. </w:t>
      </w:r>
      <w:r>
        <w:rPr>
          <w:color w:val="040505"/>
        </w:rPr>
        <w:t xml:space="preserve">Failure to discover new resources or to enhance existing resources in sufficient amounts and in a timely manner would materially and adversely affect the Group’s results of operations, cash flows, financial </w:t>
      </w:r>
      <w:proofErr w:type="gramStart"/>
      <w:r>
        <w:rPr>
          <w:color w:val="040505"/>
        </w:rPr>
        <w:t>condition</w:t>
      </w:r>
      <w:proofErr w:type="gramEnd"/>
      <w:r>
        <w:rPr>
          <w:color w:val="040505"/>
        </w:rPr>
        <w:t xml:space="preserve"> and prospects. In addition, the Group may not be able to recover the funds used in any exploration programme to identify new opportunities.</w:t>
      </w:r>
    </w:p>
    <w:p w14:paraId="71474FAC" w14:textId="77777777" w:rsidR="00783288" w:rsidRDefault="00783288">
      <w:pPr>
        <w:pStyle w:val="BodyText"/>
        <w:kinsoku w:val="0"/>
        <w:overflowPunct w:val="0"/>
        <w:spacing w:before="11"/>
        <w:rPr>
          <w:sz w:val="17"/>
          <w:szCs w:val="17"/>
        </w:rPr>
      </w:pPr>
    </w:p>
    <w:p w14:paraId="5394A043" w14:textId="297DB3C6" w:rsidR="00E41BEA" w:rsidRDefault="00E31420" w:rsidP="001273E1">
      <w:pPr>
        <w:pStyle w:val="BodyText"/>
        <w:kinsoku w:val="0"/>
        <w:overflowPunct w:val="0"/>
        <w:ind w:left="300" w:right="1190"/>
        <w:jc w:val="both"/>
        <w:rPr>
          <w:color w:val="231F20"/>
        </w:rPr>
      </w:pPr>
      <w:r>
        <w:rPr>
          <w:color w:val="231F20"/>
        </w:rPr>
        <w:t>The</w:t>
      </w:r>
      <w:r>
        <w:rPr>
          <w:color w:val="231F20"/>
          <w:spacing w:val="-5"/>
        </w:rPr>
        <w:t xml:space="preserve"> </w:t>
      </w:r>
      <w:r>
        <w:rPr>
          <w:color w:val="231F20"/>
        </w:rPr>
        <w:t>Group</w:t>
      </w:r>
      <w:r>
        <w:rPr>
          <w:color w:val="231F20"/>
          <w:spacing w:val="-4"/>
        </w:rPr>
        <w:t xml:space="preserve"> </w:t>
      </w:r>
      <w:r>
        <w:rPr>
          <w:color w:val="231F20"/>
        </w:rPr>
        <w:t>will</w:t>
      </w:r>
      <w:r>
        <w:rPr>
          <w:color w:val="231F20"/>
          <w:spacing w:val="-4"/>
        </w:rPr>
        <w:t xml:space="preserve"> </w:t>
      </w:r>
      <w:r>
        <w:rPr>
          <w:color w:val="231F20"/>
        </w:rPr>
        <w:t>initially</w:t>
      </w:r>
      <w:r>
        <w:rPr>
          <w:color w:val="231F20"/>
          <w:spacing w:val="-6"/>
        </w:rPr>
        <w:t xml:space="preserve"> </w:t>
      </w:r>
      <w:r>
        <w:rPr>
          <w:color w:val="231F20"/>
        </w:rPr>
        <w:t>focus</w:t>
      </w:r>
      <w:r>
        <w:rPr>
          <w:color w:val="231F20"/>
          <w:spacing w:val="-4"/>
        </w:rPr>
        <w:t xml:space="preserve"> </w:t>
      </w:r>
      <w:r>
        <w:rPr>
          <w:color w:val="231F20"/>
        </w:rPr>
        <w:t>on</w:t>
      </w:r>
      <w:r>
        <w:rPr>
          <w:color w:val="231F20"/>
          <w:spacing w:val="-4"/>
        </w:rPr>
        <w:t xml:space="preserve"> </w:t>
      </w:r>
      <w:r>
        <w:rPr>
          <w:color w:val="231F20"/>
        </w:rPr>
        <w:t>exploring</w:t>
      </w:r>
      <w:r>
        <w:rPr>
          <w:color w:val="231F20"/>
          <w:spacing w:val="-4"/>
        </w:rPr>
        <w:t xml:space="preserve"> </w:t>
      </w:r>
      <w:r>
        <w:rPr>
          <w:color w:val="231F20"/>
        </w:rPr>
        <w:t>the</w:t>
      </w:r>
      <w:r>
        <w:rPr>
          <w:color w:val="231F20"/>
          <w:spacing w:val="-5"/>
        </w:rPr>
        <w:t xml:space="preserve"> </w:t>
      </w:r>
      <w:r>
        <w:rPr>
          <w:color w:val="231F20"/>
        </w:rPr>
        <w:t>Portfolio</w:t>
      </w:r>
      <w:r>
        <w:rPr>
          <w:color w:val="231F20"/>
          <w:spacing w:val="-6"/>
        </w:rPr>
        <w:t xml:space="preserve"> </w:t>
      </w:r>
      <w:r>
        <w:rPr>
          <w:color w:val="231F20"/>
        </w:rPr>
        <w:t>in</w:t>
      </w:r>
      <w:r>
        <w:rPr>
          <w:color w:val="231F20"/>
          <w:spacing w:val="-4"/>
        </w:rPr>
        <w:t xml:space="preserve"> </w:t>
      </w:r>
      <w:r>
        <w:rPr>
          <w:color w:val="231F20"/>
        </w:rPr>
        <w:t>Cyprus</w:t>
      </w:r>
      <w:r w:rsidR="001273E1">
        <w:rPr>
          <w:color w:val="231F20"/>
        </w:rPr>
        <w:t xml:space="preserve"> and in Canada</w:t>
      </w:r>
      <w:r>
        <w:rPr>
          <w:color w:val="231F20"/>
        </w:rPr>
        <w:t>.</w:t>
      </w:r>
      <w:r>
        <w:rPr>
          <w:color w:val="231F20"/>
          <w:spacing w:val="-4"/>
        </w:rPr>
        <w:t xml:space="preserve"> </w:t>
      </w:r>
      <w:r>
        <w:rPr>
          <w:color w:val="231F20"/>
        </w:rPr>
        <w:t>There</w:t>
      </w:r>
      <w:r>
        <w:rPr>
          <w:color w:val="231F20"/>
          <w:spacing w:val="-6"/>
        </w:rPr>
        <w:t xml:space="preserve"> </w:t>
      </w:r>
      <w:r>
        <w:rPr>
          <w:color w:val="231F20"/>
        </w:rPr>
        <w:t>can</w:t>
      </w:r>
      <w:r>
        <w:rPr>
          <w:color w:val="231F20"/>
          <w:spacing w:val="-5"/>
        </w:rPr>
        <w:t xml:space="preserve"> </w:t>
      </w:r>
      <w:r>
        <w:rPr>
          <w:color w:val="231F20"/>
        </w:rPr>
        <w:t>be</w:t>
      </w:r>
      <w:r>
        <w:rPr>
          <w:color w:val="231F20"/>
          <w:spacing w:val="-6"/>
        </w:rPr>
        <w:t xml:space="preserve"> </w:t>
      </w:r>
      <w:r>
        <w:rPr>
          <w:color w:val="231F20"/>
        </w:rPr>
        <w:t>no</w:t>
      </w:r>
      <w:r>
        <w:rPr>
          <w:color w:val="231F20"/>
          <w:spacing w:val="-6"/>
        </w:rPr>
        <w:t xml:space="preserve"> </w:t>
      </w:r>
      <w:r>
        <w:rPr>
          <w:color w:val="231F20"/>
        </w:rPr>
        <w:t>assurance</w:t>
      </w:r>
      <w:r>
        <w:rPr>
          <w:color w:val="231F20"/>
          <w:spacing w:val="-4"/>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Portfolio</w:t>
      </w:r>
      <w:r>
        <w:rPr>
          <w:color w:val="231F20"/>
          <w:spacing w:val="-6"/>
        </w:rPr>
        <w:t xml:space="preserve"> </w:t>
      </w:r>
      <w:r>
        <w:rPr>
          <w:color w:val="231F20"/>
        </w:rPr>
        <w:t>has the levels of resources anticipated, that it holds any commercially mineable resources or that it will generate meaningful revenues or be profitable (whether realised through a trade sale, joint venture, strategic partnership or otherwise).</w:t>
      </w:r>
      <w:r>
        <w:rPr>
          <w:color w:val="231F20"/>
          <w:spacing w:val="-15"/>
        </w:rPr>
        <w:t xml:space="preserve"> </w:t>
      </w:r>
      <w:r>
        <w:rPr>
          <w:color w:val="231F20"/>
        </w:rPr>
        <w:t>The</w:t>
      </w:r>
      <w:r>
        <w:rPr>
          <w:color w:val="231F20"/>
          <w:spacing w:val="-14"/>
        </w:rPr>
        <w:t xml:space="preserve"> </w:t>
      </w:r>
      <w:r>
        <w:rPr>
          <w:color w:val="231F20"/>
        </w:rPr>
        <w:t>commercial</w:t>
      </w:r>
      <w:r>
        <w:rPr>
          <w:color w:val="231F20"/>
          <w:spacing w:val="-14"/>
        </w:rPr>
        <w:t xml:space="preserve"> </w:t>
      </w:r>
      <w:r>
        <w:rPr>
          <w:color w:val="231F20"/>
        </w:rPr>
        <w:t>viability</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mineral</w:t>
      </w:r>
      <w:r>
        <w:rPr>
          <w:color w:val="231F20"/>
          <w:spacing w:val="-14"/>
        </w:rPr>
        <w:t xml:space="preserve"> </w:t>
      </w:r>
      <w:r>
        <w:rPr>
          <w:color w:val="231F20"/>
        </w:rPr>
        <w:t>deposits</w:t>
      </w:r>
      <w:r>
        <w:rPr>
          <w:color w:val="231F20"/>
          <w:spacing w:val="-13"/>
        </w:rPr>
        <w:t xml:space="preserve"> </w:t>
      </w:r>
      <w:r>
        <w:rPr>
          <w:color w:val="231F20"/>
        </w:rPr>
        <w:t>located</w:t>
      </w:r>
      <w:r>
        <w:rPr>
          <w:color w:val="231F20"/>
          <w:spacing w:val="-14"/>
        </w:rPr>
        <w:t xml:space="preserve"> </w:t>
      </w:r>
      <w:r>
        <w:rPr>
          <w:color w:val="231F20"/>
        </w:rPr>
        <w:t>within</w:t>
      </w:r>
      <w:r>
        <w:rPr>
          <w:color w:val="231F20"/>
          <w:spacing w:val="-14"/>
        </w:rPr>
        <w:t xml:space="preserve"> </w:t>
      </w:r>
      <w:r>
        <w:rPr>
          <w:color w:val="231F20"/>
        </w:rPr>
        <w:t>the</w:t>
      </w:r>
      <w:r>
        <w:rPr>
          <w:color w:val="231F20"/>
          <w:spacing w:val="-14"/>
        </w:rPr>
        <w:t xml:space="preserve"> </w:t>
      </w:r>
      <w:r>
        <w:rPr>
          <w:color w:val="231F20"/>
        </w:rPr>
        <w:t>Portfolio</w:t>
      </w:r>
      <w:r>
        <w:rPr>
          <w:color w:val="231F20"/>
          <w:spacing w:val="-13"/>
        </w:rPr>
        <w:t xml:space="preserve"> </w:t>
      </w:r>
      <w:r>
        <w:rPr>
          <w:color w:val="231F20"/>
        </w:rPr>
        <w:t>is</w:t>
      </w:r>
      <w:r>
        <w:rPr>
          <w:color w:val="231F20"/>
          <w:spacing w:val="-14"/>
        </w:rPr>
        <w:t xml:space="preserve"> </w:t>
      </w:r>
      <w:r>
        <w:rPr>
          <w:color w:val="231F20"/>
        </w:rPr>
        <w:t>dependent</w:t>
      </w:r>
      <w:r>
        <w:rPr>
          <w:color w:val="231F20"/>
          <w:spacing w:val="-15"/>
        </w:rPr>
        <w:t xml:space="preserve"> </w:t>
      </w:r>
      <w:r>
        <w:rPr>
          <w:color w:val="231F20"/>
        </w:rPr>
        <w:t>upon</w:t>
      </w:r>
      <w:r>
        <w:rPr>
          <w:color w:val="231F20"/>
          <w:spacing w:val="-14"/>
        </w:rPr>
        <w:t xml:space="preserve"> </w:t>
      </w:r>
      <w:r>
        <w:rPr>
          <w:color w:val="231F20"/>
        </w:rPr>
        <w:t>a</w:t>
      </w:r>
      <w:r>
        <w:rPr>
          <w:color w:val="231F20"/>
          <w:spacing w:val="-14"/>
        </w:rPr>
        <w:t xml:space="preserve"> </w:t>
      </w:r>
      <w:r>
        <w:rPr>
          <w:color w:val="231F20"/>
        </w:rPr>
        <w:t>number of factors, including but not limited to, the market price of copper, gold or any other relevant metals, the quality, size, grade, metallurgy and other attributes of the deposits and proximity to and availability of infrastructure necessary to develop and exploit minerals on a commercial scale. If any of the above factors prove to be adverse for</w:t>
      </w:r>
      <w:r>
        <w:rPr>
          <w:color w:val="231F20"/>
          <w:spacing w:val="-5"/>
        </w:rPr>
        <w:t xml:space="preserve"> </w:t>
      </w:r>
      <w:r>
        <w:rPr>
          <w:color w:val="231F20"/>
        </w:rPr>
        <w:t>the</w:t>
      </w:r>
      <w:r>
        <w:rPr>
          <w:color w:val="231F20"/>
          <w:spacing w:val="-4"/>
        </w:rPr>
        <w:t xml:space="preserve"> </w:t>
      </w:r>
      <w:r>
        <w:rPr>
          <w:color w:val="231F20"/>
        </w:rPr>
        <w:t>Group</w:t>
      </w:r>
      <w:r>
        <w:rPr>
          <w:color w:val="231F20"/>
          <w:spacing w:val="-6"/>
        </w:rPr>
        <w:t xml:space="preserve"> </w:t>
      </w:r>
      <w:r>
        <w:rPr>
          <w:color w:val="231F20"/>
        </w:rPr>
        <w:t>on</w:t>
      </w:r>
      <w:r>
        <w:rPr>
          <w:color w:val="231F20"/>
          <w:spacing w:val="-4"/>
        </w:rPr>
        <w:t xml:space="preserve"> </w:t>
      </w:r>
      <w:r>
        <w:rPr>
          <w:color w:val="231F20"/>
        </w:rPr>
        <w:t>a</w:t>
      </w:r>
      <w:r>
        <w:rPr>
          <w:color w:val="231F20"/>
          <w:spacing w:val="-5"/>
        </w:rPr>
        <w:t xml:space="preserve"> </w:t>
      </w:r>
      <w:r>
        <w:rPr>
          <w:color w:val="231F20"/>
        </w:rPr>
        <w:t>consistent</w:t>
      </w:r>
      <w:r>
        <w:rPr>
          <w:color w:val="231F20"/>
          <w:spacing w:val="-6"/>
        </w:rPr>
        <w:t xml:space="preserve"> </w:t>
      </w:r>
      <w:r>
        <w:rPr>
          <w:color w:val="231F20"/>
        </w:rPr>
        <w:t>basis,</w:t>
      </w:r>
      <w:r>
        <w:rPr>
          <w:color w:val="231F20"/>
          <w:spacing w:val="-4"/>
        </w:rPr>
        <w:t xml:space="preserve"> </w:t>
      </w:r>
      <w:r>
        <w:rPr>
          <w:color w:val="231F20"/>
        </w:rPr>
        <w:t>then</w:t>
      </w:r>
      <w:r>
        <w:rPr>
          <w:color w:val="231F20"/>
          <w:spacing w:val="-4"/>
        </w:rPr>
        <w:t xml:space="preserve"> </w:t>
      </w:r>
      <w:r>
        <w:rPr>
          <w:color w:val="231F20"/>
        </w:rPr>
        <w:t>this</w:t>
      </w:r>
      <w:r>
        <w:rPr>
          <w:color w:val="231F20"/>
          <w:spacing w:val="-4"/>
        </w:rPr>
        <w:t xml:space="preserve"> </w:t>
      </w:r>
      <w:r>
        <w:rPr>
          <w:color w:val="231F20"/>
        </w:rPr>
        <w:t>could</w:t>
      </w:r>
      <w:r>
        <w:rPr>
          <w:color w:val="231F20"/>
          <w:spacing w:val="-4"/>
        </w:rPr>
        <w:t xml:space="preserve"> </w:t>
      </w:r>
      <w:r>
        <w:rPr>
          <w:color w:val="231F20"/>
        </w:rPr>
        <w:t>materially</w:t>
      </w:r>
      <w:r>
        <w:rPr>
          <w:color w:val="231F20"/>
          <w:spacing w:val="-5"/>
        </w:rPr>
        <w:t xml:space="preserve"> </w:t>
      </w:r>
      <w:r>
        <w:rPr>
          <w:color w:val="231F20"/>
        </w:rPr>
        <w:t>affect</w:t>
      </w:r>
      <w:r>
        <w:rPr>
          <w:color w:val="231F20"/>
          <w:spacing w:val="-4"/>
        </w:rPr>
        <w:t xml:space="preserve"> </w:t>
      </w:r>
      <w:r>
        <w:rPr>
          <w:color w:val="231F20"/>
        </w:rPr>
        <w:t>the</w:t>
      </w:r>
      <w:r>
        <w:rPr>
          <w:color w:val="231F20"/>
          <w:spacing w:val="-5"/>
        </w:rPr>
        <w:t xml:space="preserve"> </w:t>
      </w:r>
      <w:r>
        <w:rPr>
          <w:color w:val="231F20"/>
        </w:rPr>
        <w:t>Group’s</w:t>
      </w:r>
      <w:r>
        <w:rPr>
          <w:color w:val="231F20"/>
          <w:spacing w:val="-3"/>
        </w:rPr>
        <w:t xml:space="preserve"> </w:t>
      </w:r>
      <w:r>
        <w:rPr>
          <w:color w:val="231F20"/>
        </w:rPr>
        <w:t>financial</w:t>
      </w:r>
      <w:r>
        <w:rPr>
          <w:color w:val="231F20"/>
          <w:spacing w:val="-6"/>
        </w:rPr>
        <w:t xml:space="preserve"> </w:t>
      </w:r>
      <w:r>
        <w:rPr>
          <w:color w:val="231F20"/>
        </w:rPr>
        <w:t>condition</w:t>
      </w:r>
      <w:r>
        <w:rPr>
          <w:color w:val="231F20"/>
          <w:spacing w:val="-4"/>
        </w:rPr>
        <w:t xml:space="preserve"> </w:t>
      </w:r>
      <w:r>
        <w:rPr>
          <w:color w:val="231F20"/>
        </w:rPr>
        <w:t>and</w:t>
      </w:r>
      <w:r>
        <w:rPr>
          <w:color w:val="231F20"/>
          <w:spacing w:val="-5"/>
        </w:rPr>
        <w:t xml:space="preserve"> </w:t>
      </w:r>
      <w:r>
        <w:rPr>
          <w:color w:val="231F20"/>
        </w:rPr>
        <w:t>prospects.</w:t>
      </w:r>
    </w:p>
    <w:p w14:paraId="40CBC871" w14:textId="77777777" w:rsidR="00783288" w:rsidRDefault="00783288">
      <w:pPr>
        <w:pStyle w:val="BodyText"/>
        <w:kinsoku w:val="0"/>
        <w:overflowPunct w:val="0"/>
        <w:spacing w:before="6"/>
        <w:rPr>
          <w:sz w:val="17"/>
          <w:szCs w:val="17"/>
        </w:rPr>
      </w:pPr>
    </w:p>
    <w:p w14:paraId="64D56739" w14:textId="77777777" w:rsidR="00783288" w:rsidRDefault="00E31420">
      <w:pPr>
        <w:pStyle w:val="Heading1"/>
        <w:kinsoku w:val="0"/>
        <w:overflowPunct w:val="0"/>
        <w:ind w:right="1192"/>
        <w:jc w:val="both"/>
        <w:rPr>
          <w:color w:val="070808"/>
        </w:rPr>
      </w:pPr>
      <w:r>
        <w:rPr>
          <w:color w:val="070808"/>
        </w:rPr>
        <w:t xml:space="preserve">Mineral resource exploration and development activities may be disrupted, </w:t>
      </w:r>
      <w:proofErr w:type="gramStart"/>
      <w:r>
        <w:rPr>
          <w:color w:val="070808"/>
        </w:rPr>
        <w:t>damaged</w:t>
      </w:r>
      <w:proofErr w:type="gramEnd"/>
      <w:r>
        <w:rPr>
          <w:color w:val="070808"/>
        </w:rPr>
        <w:t xml:space="preserve"> or delayed by a variety of problems outside of the Group’s control</w:t>
      </w:r>
    </w:p>
    <w:p w14:paraId="69E5DD2E" w14:textId="77777777" w:rsidR="00783288" w:rsidRDefault="00783288">
      <w:pPr>
        <w:pStyle w:val="BodyText"/>
        <w:kinsoku w:val="0"/>
        <w:overflowPunct w:val="0"/>
        <w:spacing w:before="5"/>
        <w:rPr>
          <w:b/>
          <w:bCs/>
        </w:rPr>
      </w:pPr>
    </w:p>
    <w:p w14:paraId="326327FF" w14:textId="77777777" w:rsidR="00783288" w:rsidRDefault="00E31420">
      <w:pPr>
        <w:pStyle w:val="BodyText"/>
        <w:kinsoku w:val="0"/>
        <w:overflowPunct w:val="0"/>
        <w:spacing w:before="1"/>
        <w:ind w:left="300" w:right="1194"/>
        <w:jc w:val="both"/>
        <w:rPr>
          <w:color w:val="070808"/>
        </w:rPr>
      </w:pPr>
      <w:r>
        <w:rPr>
          <w:color w:val="070808"/>
        </w:rPr>
        <w:t xml:space="preserve">Mineral resource exploration and development activities may be disrupted, </w:t>
      </w:r>
      <w:proofErr w:type="gramStart"/>
      <w:r>
        <w:rPr>
          <w:color w:val="070808"/>
        </w:rPr>
        <w:t>damaged</w:t>
      </w:r>
      <w:proofErr w:type="gramEnd"/>
      <w:r>
        <w:rPr>
          <w:color w:val="070808"/>
        </w:rPr>
        <w:t xml:space="preserve"> or delayed by a variety of problems outside of the Group’s control, such as:</w:t>
      </w:r>
    </w:p>
    <w:p w14:paraId="210225E6" w14:textId="77777777" w:rsidR="00783288" w:rsidRDefault="00783288">
      <w:pPr>
        <w:pStyle w:val="BodyText"/>
        <w:kinsoku w:val="0"/>
        <w:overflowPunct w:val="0"/>
        <w:spacing w:before="9"/>
        <w:rPr>
          <w:sz w:val="17"/>
          <w:szCs w:val="17"/>
        </w:rPr>
      </w:pPr>
    </w:p>
    <w:p w14:paraId="6A74AE3C" w14:textId="77777777" w:rsidR="00783288" w:rsidRDefault="00E31420" w:rsidP="00512495">
      <w:pPr>
        <w:pStyle w:val="ListParagraph"/>
        <w:numPr>
          <w:ilvl w:val="0"/>
          <w:numId w:val="22"/>
        </w:numPr>
        <w:tabs>
          <w:tab w:val="left" w:pos="867"/>
        </w:tabs>
        <w:kinsoku w:val="0"/>
        <w:overflowPunct w:val="0"/>
        <w:ind w:right="1189"/>
        <w:rPr>
          <w:rFonts w:ascii="Symbol" w:hAnsi="Symbol" w:cs="Symbol"/>
          <w:color w:val="070808"/>
          <w:sz w:val="18"/>
          <w:szCs w:val="18"/>
        </w:rPr>
      </w:pPr>
      <w:r>
        <w:rPr>
          <w:color w:val="070808"/>
          <w:sz w:val="18"/>
          <w:szCs w:val="18"/>
        </w:rPr>
        <w:t xml:space="preserve">variations in grade, deposit size, density, unusual or unexpected rock formations and other geological </w:t>
      </w:r>
      <w:proofErr w:type="gramStart"/>
      <w:r>
        <w:rPr>
          <w:color w:val="070808"/>
          <w:sz w:val="18"/>
          <w:szCs w:val="18"/>
        </w:rPr>
        <w:t>problems;</w:t>
      </w:r>
      <w:proofErr w:type="gramEnd"/>
    </w:p>
    <w:p w14:paraId="194D3128" w14:textId="77777777" w:rsidR="00783288" w:rsidRDefault="00E31420" w:rsidP="00512495">
      <w:pPr>
        <w:pStyle w:val="ListParagraph"/>
        <w:numPr>
          <w:ilvl w:val="0"/>
          <w:numId w:val="22"/>
        </w:numPr>
        <w:tabs>
          <w:tab w:val="left" w:pos="867"/>
        </w:tabs>
        <w:kinsoku w:val="0"/>
        <w:overflowPunct w:val="0"/>
        <w:spacing w:before="2" w:line="237" w:lineRule="auto"/>
        <w:ind w:right="1191"/>
        <w:rPr>
          <w:rFonts w:ascii="Symbol" w:hAnsi="Symbol" w:cs="Symbol"/>
          <w:color w:val="070808"/>
          <w:sz w:val="18"/>
          <w:szCs w:val="18"/>
        </w:rPr>
      </w:pPr>
      <w:r>
        <w:rPr>
          <w:color w:val="070808"/>
          <w:sz w:val="18"/>
          <w:szCs w:val="18"/>
        </w:rPr>
        <w:t>seismic</w:t>
      </w:r>
      <w:r>
        <w:rPr>
          <w:color w:val="070808"/>
          <w:spacing w:val="-12"/>
          <w:sz w:val="18"/>
          <w:szCs w:val="18"/>
        </w:rPr>
        <w:t xml:space="preserve"> </w:t>
      </w:r>
      <w:r>
        <w:rPr>
          <w:color w:val="070808"/>
          <w:sz w:val="18"/>
          <w:szCs w:val="18"/>
        </w:rPr>
        <w:t>activity,</w:t>
      </w:r>
      <w:r>
        <w:rPr>
          <w:color w:val="070808"/>
          <w:spacing w:val="-15"/>
          <w:sz w:val="18"/>
          <w:szCs w:val="18"/>
        </w:rPr>
        <w:t xml:space="preserve"> </w:t>
      </w:r>
      <w:r>
        <w:rPr>
          <w:color w:val="070808"/>
          <w:sz w:val="18"/>
          <w:szCs w:val="18"/>
        </w:rPr>
        <w:t>structural</w:t>
      </w:r>
      <w:r>
        <w:rPr>
          <w:color w:val="070808"/>
          <w:spacing w:val="-13"/>
          <w:sz w:val="18"/>
          <w:szCs w:val="18"/>
        </w:rPr>
        <w:t xml:space="preserve"> </w:t>
      </w:r>
      <w:r>
        <w:rPr>
          <w:color w:val="070808"/>
          <w:sz w:val="18"/>
          <w:szCs w:val="18"/>
        </w:rPr>
        <w:t>cave-ins</w:t>
      </w:r>
      <w:r>
        <w:rPr>
          <w:color w:val="070808"/>
          <w:spacing w:val="-14"/>
          <w:sz w:val="18"/>
          <w:szCs w:val="18"/>
        </w:rPr>
        <w:t xml:space="preserve"> </w:t>
      </w:r>
      <w:r>
        <w:rPr>
          <w:color w:val="070808"/>
          <w:sz w:val="18"/>
          <w:szCs w:val="18"/>
        </w:rPr>
        <w:t>or</w:t>
      </w:r>
      <w:r>
        <w:rPr>
          <w:color w:val="070808"/>
          <w:spacing w:val="-13"/>
          <w:sz w:val="18"/>
          <w:szCs w:val="18"/>
        </w:rPr>
        <w:t xml:space="preserve"> </w:t>
      </w:r>
      <w:r>
        <w:rPr>
          <w:color w:val="070808"/>
          <w:sz w:val="18"/>
          <w:szCs w:val="18"/>
        </w:rPr>
        <w:t>slides,</w:t>
      </w:r>
      <w:r>
        <w:rPr>
          <w:color w:val="070808"/>
          <w:spacing w:val="-13"/>
          <w:sz w:val="18"/>
          <w:szCs w:val="18"/>
        </w:rPr>
        <w:t xml:space="preserve"> </w:t>
      </w:r>
      <w:r>
        <w:rPr>
          <w:color w:val="070808"/>
          <w:sz w:val="18"/>
          <w:szCs w:val="18"/>
        </w:rPr>
        <w:t>flooding,</w:t>
      </w:r>
      <w:r>
        <w:rPr>
          <w:color w:val="070808"/>
          <w:spacing w:val="-12"/>
          <w:sz w:val="18"/>
          <w:szCs w:val="18"/>
        </w:rPr>
        <w:t xml:space="preserve"> </w:t>
      </w:r>
      <w:r>
        <w:rPr>
          <w:color w:val="070808"/>
          <w:sz w:val="18"/>
          <w:szCs w:val="18"/>
        </w:rPr>
        <w:t>drought,</w:t>
      </w:r>
      <w:r>
        <w:rPr>
          <w:color w:val="070808"/>
          <w:spacing w:val="-13"/>
          <w:sz w:val="18"/>
          <w:szCs w:val="18"/>
        </w:rPr>
        <w:t xml:space="preserve"> </w:t>
      </w:r>
      <w:r>
        <w:rPr>
          <w:color w:val="070808"/>
          <w:sz w:val="18"/>
          <w:szCs w:val="18"/>
        </w:rPr>
        <w:t>fires,</w:t>
      </w:r>
      <w:r>
        <w:rPr>
          <w:color w:val="070808"/>
          <w:spacing w:val="-12"/>
          <w:sz w:val="18"/>
          <w:szCs w:val="18"/>
        </w:rPr>
        <w:t xml:space="preserve"> </w:t>
      </w:r>
      <w:r>
        <w:rPr>
          <w:color w:val="070808"/>
          <w:sz w:val="18"/>
          <w:szCs w:val="18"/>
        </w:rPr>
        <w:t>explosions,</w:t>
      </w:r>
      <w:r>
        <w:rPr>
          <w:color w:val="070808"/>
          <w:spacing w:val="-13"/>
          <w:sz w:val="18"/>
          <w:szCs w:val="18"/>
        </w:rPr>
        <w:t xml:space="preserve"> </w:t>
      </w:r>
      <w:r>
        <w:rPr>
          <w:color w:val="070808"/>
          <w:sz w:val="18"/>
          <w:szCs w:val="18"/>
        </w:rPr>
        <w:t>storms,</w:t>
      </w:r>
      <w:r>
        <w:rPr>
          <w:color w:val="070808"/>
          <w:spacing w:val="-12"/>
          <w:sz w:val="18"/>
          <w:szCs w:val="18"/>
        </w:rPr>
        <w:t xml:space="preserve"> </w:t>
      </w:r>
      <w:r>
        <w:rPr>
          <w:color w:val="070808"/>
          <w:sz w:val="18"/>
          <w:szCs w:val="18"/>
        </w:rPr>
        <w:t>the</w:t>
      </w:r>
      <w:r>
        <w:rPr>
          <w:color w:val="070808"/>
          <w:spacing w:val="-14"/>
          <w:sz w:val="18"/>
          <w:szCs w:val="18"/>
        </w:rPr>
        <w:t xml:space="preserve"> </w:t>
      </w:r>
      <w:r>
        <w:rPr>
          <w:color w:val="070808"/>
          <w:sz w:val="18"/>
          <w:szCs w:val="18"/>
        </w:rPr>
        <w:t>physical</w:t>
      </w:r>
      <w:r>
        <w:rPr>
          <w:color w:val="070808"/>
          <w:spacing w:val="-13"/>
          <w:sz w:val="18"/>
          <w:szCs w:val="18"/>
        </w:rPr>
        <w:t xml:space="preserve"> </w:t>
      </w:r>
      <w:r>
        <w:rPr>
          <w:color w:val="070808"/>
          <w:sz w:val="18"/>
          <w:szCs w:val="18"/>
        </w:rPr>
        <w:t>effects of climate change or other natural</w:t>
      </w:r>
      <w:r>
        <w:rPr>
          <w:color w:val="070808"/>
          <w:spacing w:val="-4"/>
          <w:sz w:val="18"/>
          <w:szCs w:val="18"/>
        </w:rPr>
        <w:t xml:space="preserve"> </w:t>
      </w:r>
      <w:proofErr w:type="gramStart"/>
      <w:r>
        <w:rPr>
          <w:color w:val="070808"/>
          <w:sz w:val="18"/>
          <w:szCs w:val="18"/>
        </w:rPr>
        <w:t>disasters;</w:t>
      </w:r>
      <w:proofErr w:type="gramEnd"/>
    </w:p>
    <w:p w14:paraId="41637A96" w14:textId="77777777" w:rsidR="00783288" w:rsidRDefault="00E31420" w:rsidP="00512495">
      <w:pPr>
        <w:pStyle w:val="ListParagraph"/>
        <w:numPr>
          <w:ilvl w:val="0"/>
          <w:numId w:val="22"/>
        </w:numPr>
        <w:tabs>
          <w:tab w:val="left" w:pos="867"/>
        </w:tabs>
        <w:kinsoku w:val="0"/>
        <w:overflowPunct w:val="0"/>
        <w:ind w:right="1192"/>
        <w:rPr>
          <w:rFonts w:ascii="Symbol" w:hAnsi="Symbol" w:cs="Symbol"/>
          <w:color w:val="070808"/>
          <w:sz w:val="18"/>
          <w:szCs w:val="18"/>
        </w:rPr>
      </w:pPr>
      <w:r>
        <w:rPr>
          <w:color w:val="070808"/>
          <w:sz w:val="18"/>
          <w:szCs w:val="18"/>
        </w:rPr>
        <w:t>operational and technical difficulties encountered in trenching, drilling, development, production and treatment</w:t>
      </w:r>
      <w:r>
        <w:rPr>
          <w:color w:val="070808"/>
          <w:spacing w:val="-3"/>
          <w:sz w:val="18"/>
          <w:szCs w:val="18"/>
        </w:rPr>
        <w:t xml:space="preserve"> </w:t>
      </w:r>
      <w:proofErr w:type="gramStart"/>
      <w:r>
        <w:rPr>
          <w:color w:val="070808"/>
          <w:sz w:val="18"/>
          <w:szCs w:val="18"/>
        </w:rPr>
        <w:t>activities;</w:t>
      </w:r>
      <w:proofErr w:type="gramEnd"/>
    </w:p>
    <w:p w14:paraId="2062A908" w14:textId="77777777" w:rsidR="00783288" w:rsidRDefault="00E31420" w:rsidP="00512495">
      <w:pPr>
        <w:pStyle w:val="ListParagraph"/>
        <w:numPr>
          <w:ilvl w:val="0"/>
          <w:numId w:val="22"/>
        </w:numPr>
        <w:tabs>
          <w:tab w:val="left" w:pos="867"/>
        </w:tabs>
        <w:kinsoku w:val="0"/>
        <w:overflowPunct w:val="0"/>
        <w:spacing w:line="219" w:lineRule="exact"/>
        <w:rPr>
          <w:rFonts w:ascii="Symbol" w:hAnsi="Symbol" w:cs="Symbol"/>
          <w:color w:val="070808"/>
          <w:sz w:val="18"/>
          <w:szCs w:val="18"/>
        </w:rPr>
      </w:pPr>
      <w:r>
        <w:rPr>
          <w:color w:val="070808"/>
          <w:sz w:val="18"/>
          <w:szCs w:val="18"/>
        </w:rPr>
        <w:t>metallurgical and other processing</w:t>
      </w:r>
      <w:r>
        <w:rPr>
          <w:color w:val="070808"/>
          <w:spacing w:val="-3"/>
          <w:sz w:val="18"/>
          <w:szCs w:val="18"/>
        </w:rPr>
        <w:t xml:space="preserve"> </w:t>
      </w:r>
      <w:proofErr w:type="gramStart"/>
      <w:r>
        <w:rPr>
          <w:color w:val="070808"/>
          <w:sz w:val="18"/>
          <w:szCs w:val="18"/>
        </w:rPr>
        <w:t>problems;</w:t>
      </w:r>
      <w:proofErr w:type="gramEnd"/>
    </w:p>
    <w:p w14:paraId="03FB57E6" w14:textId="77777777" w:rsidR="00783288" w:rsidRDefault="00E31420" w:rsidP="00512495">
      <w:pPr>
        <w:pStyle w:val="ListParagraph"/>
        <w:numPr>
          <w:ilvl w:val="0"/>
          <w:numId w:val="22"/>
        </w:numPr>
        <w:tabs>
          <w:tab w:val="left" w:pos="867"/>
        </w:tabs>
        <w:kinsoku w:val="0"/>
        <w:overflowPunct w:val="0"/>
        <w:spacing w:line="219" w:lineRule="exact"/>
        <w:rPr>
          <w:rFonts w:ascii="Symbol" w:hAnsi="Symbol" w:cs="Symbol"/>
          <w:color w:val="070808"/>
          <w:sz w:val="18"/>
          <w:szCs w:val="18"/>
        </w:rPr>
      </w:pPr>
      <w:r>
        <w:rPr>
          <w:color w:val="070808"/>
          <w:sz w:val="18"/>
          <w:szCs w:val="18"/>
        </w:rPr>
        <w:t>failure to locate or identify mineral</w:t>
      </w:r>
      <w:r>
        <w:rPr>
          <w:color w:val="070808"/>
          <w:spacing w:val="-4"/>
          <w:sz w:val="18"/>
          <w:szCs w:val="18"/>
        </w:rPr>
        <w:t xml:space="preserve"> </w:t>
      </w:r>
      <w:proofErr w:type="gramStart"/>
      <w:r>
        <w:rPr>
          <w:color w:val="070808"/>
          <w:sz w:val="18"/>
          <w:szCs w:val="18"/>
        </w:rPr>
        <w:t>deposits;</w:t>
      </w:r>
      <w:proofErr w:type="gramEnd"/>
    </w:p>
    <w:p w14:paraId="5C67CAAD" w14:textId="77777777" w:rsidR="00783288" w:rsidRDefault="00E31420" w:rsidP="00512495">
      <w:pPr>
        <w:pStyle w:val="ListParagraph"/>
        <w:numPr>
          <w:ilvl w:val="0"/>
          <w:numId w:val="22"/>
        </w:numPr>
        <w:tabs>
          <w:tab w:val="left" w:pos="867"/>
        </w:tabs>
        <w:kinsoku w:val="0"/>
        <w:overflowPunct w:val="0"/>
        <w:spacing w:line="219" w:lineRule="exact"/>
        <w:rPr>
          <w:rFonts w:ascii="Symbol" w:hAnsi="Symbol" w:cs="Symbol"/>
          <w:color w:val="070808"/>
          <w:sz w:val="18"/>
          <w:szCs w:val="18"/>
        </w:rPr>
      </w:pPr>
      <w:r>
        <w:rPr>
          <w:color w:val="070808"/>
          <w:sz w:val="18"/>
          <w:szCs w:val="18"/>
        </w:rPr>
        <w:t>delays to or failure to obtain regulatory or landowner consents or</w:t>
      </w:r>
      <w:r>
        <w:rPr>
          <w:color w:val="070808"/>
          <w:spacing w:val="-4"/>
          <w:sz w:val="18"/>
          <w:szCs w:val="18"/>
        </w:rPr>
        <w:t xml:space="preserve"> </w:t>
      </w:r>
      <w:proofErr w:type="gramStart"/>
      <w:r>
        <w:rPr>
          <w:color w:val="070808"/>
          <w:sz w:val="18"/>
          <w:szCs w:val="18"/>
        </w:rPr>
        <w:t>approvals;</w:t>
      </w:r>
      <w:proofErr w:type="gramEnd"/>
    </w:p>
    <w:p w14:paraId="14D72A90" w14:textId="77777777" w:rsidR="00783288" w:rsidRDefault="00E31420" w:rsidP="00512495">
      <w:pPr>
        <w:pStyle w:val="ListParagraph"/>
        <w:numPr>
          <w:ilvl w:val="0"/>
          <w:numId w:val="22"/>
        </w:numPr>
        <w:tabs>
          <w:tab w:val="left" w:pos="867"/>
        </w:tabs>
        <w:kinsoku w:val="0"/>
        <w:overflowPunct w:val="0"/>
        <w:spacing w:line="237" w:lineRule="auto"/>
        <w:ind w:right="1193"/>
        <w:rPr>
          <w:rFonts w:ascii="Symbol" w:hAnsi="Symbol" w:cs="Symbol"/>
          <w:color w:val="070808"/>
          <w:sz w:val="18"/>
          <w:szCs w:val="18"/>
        </w:rPr>
      </w:pPr>
      <w:r>
        <w:rPr>
          <w:color w:val="070808"/>
          <w:sz w:val="18"/>
          <w:szCs w:val="18"/>
        </w:rPr>
        <w:t>unavailability or significant increases in the cost of drilling, mining, processing and other equipment or supplies, including water, fuel, power and transportation</w:t>
      </w:r>
      <w:r>
        <w:rPr>
          <w:color w:val="070808"/>
          <w:spacing w:val="-7"/>
          <w:sz w:val="18"/>
          <w:szCs w:val="18"/>
        </w:rPr>
        <w:t xml:space="preserve"> </w:t>
      </w:r>
      <w:proofErr w:type="gramStart"/>
      <w:r>
        <w:rPr>
          <w:color w:val="070808"/>
          <w:sz w:val="18"/>
          <w:szCs w:val="18"/>
        </w:rPr>
        <w:t>facilities;</w:t>
      </w:r>
      <w:proofErr w:type="gramEnd"/>
    </w:p>
    <w:p w14:paraId="1D889661" w14:textId="77777777" w:rsidR="00783288" w:rsidRDefault="00E31420" w:rsidP="00512495">
      <w:pPr>
        <w:pStyle w:val="ListParagraph"/>
        <w:numPr>
          <w:ilvl w:val="0"/>
          <w:numId w:val="22"/>
        </w:numPr>
        <w:tabs>
          <w:tab w:val="left" w:pos="867"/>
        </w:tabs>
        <w:kinsoku w:val="0"/>
        <w:overflowPunct w:val="0"/>
        <w:spacing w:line="220" w:lineRule="exact"/>
        <w:rPr>
          <w:rFonts w:ascii="Symbol" w:hAnsi="Symbol" w:cs="Symbol"/>
          <w:color w:val="070808"/>
          <w:sz w:val="18"/>
          <w:szCs w:val="18"/>
        </w:rPr>
      </w:pPr>
      <w:r>
        <w:rPr>
          <w:color w:val="070808"/>
          <w:sz w:val="18"/>
          <w:szCs w:val="18"/>
        </w:rPr>
        <w:t>industrial disputes and labour force disruptions or shortages of skilled workers and</w:t>
      </w:r>
      <w:r>
        <w:rPr>
          <w:color w:val="070808"/>
          <w:spacing w:val="-9"/>
          <w:sz w:val="18"/>
          <w:szCs w:val="18"/>
        </w:rPr>
        <w:t xml:space="preserve"> </w:t>
      </w:r>
      <w:proofErr w:type="gramStart"/>
      <w:r>
        <w:rPr>
          <w:color w:val="070808"/>
          <w:sz w:val="18"/>
          <w:szCs w:val="18"/>
        </w:rPr>
        <w:t>management;</w:t>
      </w:r>
      <w:proofErr w:type="gramEnd"/>
    </w:p>
    <w:p w14:paraId="1BFDC655" w14:textId="77777777" w:rsidR="00783288" w:rsidRDefault="00E31420" w:rsidP="00512495">
      <w:pPr>
        <w:pStyle w:val="ListParagraph"/>
        <w:numPr>
          <w:ilvl w:val="0"/>
          <w:numId w:val="22"/>
        </w:numPr>
        <w:tabs>
          <w:tab w:val="left" w:pos="867"/>
        </w:tabs>
        <w:kinsoku w:val="0"/>
        <w:overflowPunct w:val="0"/>
        <w:spacing w:before="1" w:line="219" w:lineRule="exact"/>
        <w:rPr>
          <w:rFonts w:ascii="Symbol" w:hAnsi="Symbol" w:cs="Symbol"/>
          <w:color w:val="070808"/>
          <w:sz w:val="18"/>
          <w:szCs w:val="18"/>
        </w:rPr>
      </w:pPr>
      <w:r>
        <w:rPr>
          <w:color w:val="070808"/>
          <w:sz w:val="18"/>
          <w:szCs w:val="18"/>
        </w:rPr>
        <w:t>delays in installing and commissioning plant and</w:t>
      </w:r>
      <w:r>
        <w:rPr>
          <w:color w:val="070808"/>
          <w:spacing w:val="-9"/>
          <w:sz w:val="18"/>
          <w:szCs w:val="18"/>
        </w:rPr>
        <w:t xml:space="preserve"> </w:t>
      </w:r>
      <w:proofErr w:type="gramStart"/>
      <w:r>
        <w:rPr>
          <w:color w:val="070808"/>
          <w:sz w:val="18"/>
          <w:szCs w:val="18"/>
        </w:rPr>
        <w:t>equipment;</w:t>
      </w:r>
      <w:proofErr w:type="gramEnd"/>
    </w:p>
    <w:p w14:paraId="71AE5C1B" w14:textId="77777777" w:rsidR="00783288" w:rsidRDefault="00E31420" w:rsidP="00512495">
      <w:pPr>
        <w:pStyle w:val="ListParagraph"/>
        <w:numPr>
          <w:ilvl w:val="0"/>
          <w:numId w:val="22"/>
        </w:numPr>
        <w:tabs>
          <w:tab w:val="left" w:pos="867"/>
        </w:tabs>
        <w:kinsoku w:val="0"/>
        <w:overflowPunct w:val="0"/>
        <w:spacing w:line="237" w:lineRule="auto"/>
        <w:ind w:right="1191"/>
        <w:rPr>
          <w:rFonts w:ascii="Symbol" w:hAnsi="Symbol" w:cs="Symbol"/>
          <w:color w:val="070808"/>
          <w:sz w:val="18"/>
          <w:szCs w:val="18"/>
        </w:rPr>
      </w:pPr>
      <w:r>
        <w:rPr>
          <w:color w:val="070808"/>
          <w:sz w:val="18"/>
          <w:szCs w:val="18"/>
        </w:rPr>
        <w:t>difficulty in commissioning mechanical equipment or performance problems, break down or failures and other technical problems with mechanical</w:t>
      </w:r>
      <w:r>
        <w:rPr>
          <w:color w:val="070808"/>
          <w:spacing w:val="-4"/>
          <w:sz w:val="18"/>
          <w:szCs w:val="18"/>
        </w:rPr>
        <w:t xml:space="preserve"> </w:t>
      </w:r>
      <w:proofErr w:type="gramStart"/>
      <w:r>
        <w:rPr>
          <w:color w:val="070808"/>
          <w:sz w:val="18"/>
          <w:szCs w:val="18"/>
        </w:rPr>
        <w:t>equipment;</w:t>
      </w:r>
      <w:proofErr w:type="gramEnd"/>
    </w:p>
    <w:p w14:paraId="49105E9C" w14:textId="77777777" w:rsidR="00783288" w:rsidRDefault="00E31420" w:rsidP="00512495">
      <w:pPr>
        <w:pStyle w:val="ListParagraph"/>
        <w:numPr>
          <w:ilvl w:val="0"/>
          <w:numId w:val="22"/>
        </w:numPr>
        <w:tabs>
          <w:tab w:val="left" w:pos="867"/>
        </w:tabs>
        <w:kinsoku w:val="0"/>
        <w:overflowPunct w:val="0"/>
        <w:spacing w:before="2" w:line="219" w:lineRule="exact"/>
        <w:rPr>
          <w:rFonts w:ascii="Symbol" w:hAnsi="Symbol" w:cs="Symbol"/>
          <w:color w:val="070808"/>
          <w:sz w:val="18"/>
          <w:szCs w:val="18"/>
        </w:rPr>
      </w:pPr>
      <w:r>
        <w:rPr>
          <w:color w:val="070808"/>
          <w:sz w:val="18"/>
          <w:szCs w:val="18"/>
        </w:rPr>
        <w:t>default or non-performance by third parties providing essential</w:t>
      </w:r>
      <w:r>
        <w:rPr>
          <w:color w:val="070808"/>
          <w:spacing w:val="-12"/>
          <w:sz w:val="18"/>
          <w:szCs w:val="18"/>
        </w:rPr>
        <w:t xml:space="preserve"> </w:t>
      </w:r>
      <w:proofErr w:type="gramStart"/>
      <w:r>
        <w:rPr>
          <w:color w:val="070808"/>
          <w:sz w:val="18"/>
          <w:szCs w:val="18"/>
        </w:rPr>
        <w:t>services;</w:t>
      </w:r>
      <w:proofErr w:type="gramEnd"/>
    </w:p>
    <w:p w14:paraId="140A689B" w14:textId="77777777" w:rsidR="00783288" w:rsidRDefault="00E31420" w:rsidP="00512495">
      <w:pPr>
        <w:pStyle w:val="ListParagraph"/>
        <w:numPr>
          <w:ilvl w:val="0"/>
          <w:numId w:val="22"/>
        </w:numPr>
        <w:tabs>
          <w:tab w:val="left" w:pos="867"/>
        </w:tabs>
        <w:kinsoku w:val="0"/>
        <w:overflowPunct w:val="0"/>
        <w:spacing w:line="218" w:lineRule="exact"/>
        <w:rPr>
          <w:rFonts w:ascii="Symbol" w:hAnsi="Symbol" w:cs="Symbol"/>
          <w:color w:val="070808"/>
          <w:sz w:val="18"/>
          <w:szCs w:val="18"/>
        </w:rPr>
      </w:pPr>
      <w:r>
        <w:rPr>
          <w:color w:val="070808"/>
          <w:sz w:val="18"/>
          <w:szCs w:val="18"/>
        </w:rPr>
        <w:t>interruptions due to adverse or hazardous weather</w:t>
      </w:r>
      <w:r>
        <w:rPr>
          <w:color w:val="070808"/>
          <w:spacing w:val="-9"/>
          <w:sz w:val="18"/>
          <w:szCs w:val="18"/>
        </w:rPr>
        <w:t xml:space="preserve"> </w:t>
      </w:r>
      <w:proofErr w:type="gramStart"/>
      <w:r>
        <w:rPr>
          <w:color w:val="070808"/>
          <w:sz w:val="18"/>
          <w:szCs w:val="18"/>
        </w:rPr>
        <w:t>conditions;</w:t>
      </w:r>
      <w:proofErr w:type="gramEnd"/>
    </w:p>
    <w:p w14:paraId="7228C9E2" w14:textId="2BB41FEE" w:rsidR="00EE4EC1" w:rsidRPr="00B325E0" w:rsidRDefault="00E31420" w:rsidP="00512495">
      <w:pPr>
        <w:pStyle w:val="ListParagraph"/>
        <w:numPr>
          <w:ilvl w:val="0"/>
          <w:numId w:val="22"/>
        </w:numPr>
        <w:tabs>
          <w:tab w:val="left" w:pos="867"/>
        </w:tabs>
        <w:kinsoku w:val="0"/>
        <w:overflowPunct w:val="0"/>
        <w:spacing w:before="80" w:line="237" w:lineRule="auto"/>
        <w:ind w:right="1191"/>
        <w:rPr>
          <w:rFonts w:ascii="Symbol" w:hAnsi="Symbol" w:cs="Symbol"/>
          <w:color w:val="070808"/>
          <w:sz w:val="18"/>
          <w:szCs w:val="18"/>
        </w:rPr>
      </w:pPr>
      <w:r>
        <w:rPr>
          <w:color w:val="070808"/>
          <w:sz w:val="18"/>
          <w:szCs w:val="18"/>
        </w:rPr>
        <w:t>environmental and industrial hazards and</w:t>
      </w:r>
      <w:r>
        <w:rPr>
          <w:color w:val="070808"/>
          <w:spacing w:val="3"/>
          <w:sz w:val="18"/>
          <w:szCs w:val="18"/>
        </w:rPr>
        <w:t xml:space="preserve"> </w:t>
      </w:r>
      <w:proofErr w:type="gramStart"/>
      <w:r>
        <w:rPr>
          <w:color w:val="070808"/>
          <w:sz w:val="18"/>
          <w:szCs w:val="18"/>
        </w:rPr>
        <w:t>accidents;</w:t>
      </w:r>
      <w:proofErr w:type="gramEnd"/>
    </w:p>
    <w:p w14:paraId="69F24C21" w14:textId="4104D9EA" w:rsidR="00783288" w:rsidRDefault="00E31420" w:rsidP="00512495">
      <w:pPr>
        <w:pStyle w:val="ListParagraph"/>
        <w:numPr>
          <w:ilvl w:val="0"/>
          <w:numId w:val="22"/>
        </w:numPr>
        <w:tabs>
          <w:tab w:val="left" w:pos="867"/>
        </w:tabs>
        <w:kinsoku w:val="0"/>
        <w:overflowPunct w:val="0"/>
        <w:spacing w:before="80" w:line="237" w:lineRule="auto"/>
        <w:ind w:right="1191"/>
        <w:rPr>
          <w:rFonts w:ascii="Symbol" w:hAnsi="Symbol" w:cs="Symbol"/>
          <w:color w:val="070808"/>
          <w:sz w:val="18"/>
          <w:szCs w:val="18"/>
        </w:rPr>
      </w:pPr>
      <w:r>
        <w:rPr>
          <w:color w:val="070808"/>
          <w:sz w:val="18"/>
          <w:szCs w:val="18"/>
        </w:rPr>
        <w:t>changes in government regulations relating to matters such as prices, taxes, equity participation, royalties, land use, importing and exporting of minerals and environmental protection;</w:t>
      </w:r>
      <w:r>
        <w:rPr>
          <w:color w:val="070808"/>
          <w:spacing w:val="-14"/>
          <w:sz w:val="18"/>
          <w:szCs w:val="18"/>
        </w:rPr>
        <w:t xml:space="preserve"> </w:t>
      </w:r>
      <w:r>
        <w:rPr>
          <w:color w:val="070808"/>
          <w:sz w:val="18"/>
          <w:szCs w:val="18"/>
        </w:rPr>
        <w:t>and</w:t>
      </w:r>
    </w:p>
    <w:p w14:paraId="0F5F8A5F" w14:textId="77777777" w:rsidR="00783288" w:rsidRDefault="00E31420" w:rsidP="00512495">
      <w:pPr>
        <w:pStyle w:val="ListParagraph"/>
        <w:numPr>
          <w:ilvl w:val="0"/>
          <w:numId w:val="22"/>
        </w:numPr>
        <w:tabs>
          <w:tab w:val="left" w:pos="867"/>
        </w:tabs>
        <w:kinsoku w:val="0"/>
        <w:overflowPunct w:val="0"/>
        <w:spacing w:before="3"/>
        <w:rPr>
          <w:rFonts w:ascii="Symbol" w:hAnsi="Symbol" w:cs="Symbol"/>
          <w:color w:val="070808"/>
          <w:sz w:val="18"/>
          <w:szCs w:val="18"/>
        </w:rPr>
      </w:pPr>
      <w:r>
        <w:rPr>
          <w:color w:val="070808"/>
          <w:sz w:val="18"/>
          <w:szCs w:val="18"/>
        </w:rPr>
        <w:t>civil unrest, an outbreak of hostilities and other force majeure</w:t>
      </w:r>
      <w:r>
        <w:rPr>
          <w:color w:val="070808"/>
          <w:spacing w:val="-9"/>
          <w:sz w:val="18"/>
          <w:szCs w:val="18"/>
        </w:rPr>
        <w:t xml:space="preserve"> </w:t>
      </w:r>
      <w:r>
        <w:rPr>
          <w:color w:val="070808"/>
          <w:sz w:val="18"/>
          <w:szCs w:val="18"/>
        </w:rPr>
        <w:t>events.</w:t>
      </w:r>
    </w:p>
    <w:p w14:paraId="5F4C2611" w14:textId="77777777" w:rsidR="00783288" w:rsidRDefault="00783288">
      <w:pPr>
        <w:pStyle w:val="BodyText"/>
        <w:kinsoku w:val="0"/>
        <w:overflowPunct w:val="0"/>
        <w:spacing w:before="8"/>
        <w:rPr>
          <w:sz w:val="17"/>
          <w:szCs w:val="17"/>
        </w:rPr>
      </w:pPr>
    </w:p>
    <w:p w14:paraId="075D45ED" w14:textId="7456D1A2" w:rsidR="00783288" w:rsidRDefault="00E31420">
      <w:pPr>
        <w:pStyle w:val="BodyText"/>
        <w:kinsoku w:val="0"/>
        <w:overflowPunct w:val="0"/>
        <w:ind w:left="300" w:right="1189"/>
        <w:jc w:val="both"/>
        <w:rPr>
          <w:color w:val="040505"/>
        </w:rPr>
      </w:pPr>
      <w:r>
        <w:rPr>
          <w:color w:val="040505"/>
        </w:rPr>
        <w:t xml:space="preserve">If the Group’s operations were to be subject to any of the issues listed above, this could affect the costs, </w:t>
      </w:r>
      <w:proofErr w:type="gramStart"/>
      <w:r>
        <w:rPr>
          <w:color w:val="040505"/>
        </w:rPr>
        <w:t>timelines</w:t>
      </w:r>
      <w:proofErr w:type="gramEnd"/>
      <w:r>
        <w:rPr>
          <w:color w:val="040505"/>
        </w:rPr>
        <w:t xml:space="preserve"> and viability of the Group’s operations for indeterminate periods and its overall financial condition and prospects. Although</w:t>
      </w:r>
      <w:r>
        <w:rPr>
          <w:color w:val="040505"/>
          <w:spacing w:val="-5"/>
        </w:rPr>
        <w:t xml:space="preserve"> </w:t>
      </w:r>
      <w:r>
        <w:rPr>
          <w:color w:val="040505"/>
        </w:rPr>
        <w:t>the</w:t>
      </w:r>
      <w:r>
        <w:rPr>
          <w:color w:val="040505"/>
          <w:spacing w:val="-4"/>
        </w:rPr>
        <w:t xml:space="preserve"> </w:t>
      </w:r>
      <w:r>
        <w:rPr>
          <w:color w:val="040505"/>
        </w:rPr>
        <w:t>Group</w:t>
      </w:r>
      <w:r>
        <w:rPr>
          <w:color w:val="040505"/>
          <w:spacing w:val="-4"/>
        </w:rPr>
        <w:t xml:space="preserve"> </w:t>
      </w:r>
      <w:r>
        <w:rPr>
          <w:color w:val="040505"/>
        </w:rPr>
        <w:t>intends</w:t>
      </w:r>
      <w:r>
        <w:rPr>
          <w:color w:val="040505"/>
          <w:spacing w:val="-3"/>
        </w:rPr>
        <w:t xml:space="preserve"> </w:t>
      </w:r>
      <w:r>
        <w:rPr>
          <w:color w:val="040505"/>
        </w:rPr>
        <w:t>to</w:t>
      </w:r>
      <w:r>
        <w:rPr>
          <w:color w:val="040505"/>
          <w:spacing w:val="-6"/>
        </w:rPr>
        <w:t xml:space="preserve"> </w:t>
      </w:r>
      <w:r>
        <w:rPr>
          <w:color w:val="040505"/>
        </w:rPr>
        <w:t>maintain</w:t>
      </w:r>
      <w:r>
        <w:rPr>
          <w:color w:val="040505"/>
          <w:spacing w:val="-6"/>
        </w:rPr>
        <w:t xml:space="preserve"> </w:t>
      </w:r>
      <w:r>
        <w:rPr>
          <w:color w:val="040505"/>
        </w:rPr>
        <w:t>suitable</w:t>
      </w:r>
      <w:r>
        <w:rPr>
          <w:color w:val="040505"/>
          <w:spacing w:val="-4"/>
        </w:rPr>
        <w:t xml:space="preserve"> </w:t>
      </w:r>
      <w:r>
        <w:rPr>
          <w:color w:val="040505"/>
        </w:rPr>
        <w:t>insurance</w:t>
      </w:r>
      <w:r>
        <w:rPr>
          <w:color w:val="040505"/>
          <w:spacing w:val="-4"/>
        </w:rPr>
        <w:t xml:space="preserve"> </w:t>
      </w:r>
      <w:r>
        <w:rPr>
          <w:color w:val="040505"/>
        </w:rPr>
        <w:t>policies</w:t>
      </w:r>
      <w:r>
        <w:rPr>
          <w:color w:val="040505"/>
          <w:spacing w:val="-4"/>
        </w:rPr>
        <w:t xml:space="preserve"> </w:t>
      </w:r>
      <w:r>
        <w:rPr>
          <w:color w:val="040505"/>
        </w:rPr>
        <w:t>to</w:t>
      </w:r>
      <w:r>
        <w:rPr>
          <w:color w:val="040505"/>
          <w:spacing w:val="-4"/>
        </w:rPr>
        <w:t xml:space="preserve"> </w:t>
      </w:r>
      <w:r>
        <w:rPr>
          <w:color w:val="040505"/>
        </w:rPr>
        <w:t>cover</w:t>
      </w:r>
      <w:r>
        <w:rPr>
          <w:color w:val="040505"/>
          <w:spacing w:val="-4"/>
        </w:rPr>
        <w:t xml:space="preserve"> </w:t>
      </w:r>
      <w:r>
        <w:rPr>
          <w:color w:val="040505"/>
        </w:rPr>
        <w:t>certain</w:t>
      </w:r>
      <w:r>
        <w:rPr>
          <w:color w:val="040505"/>
          <w:spacing w:val="-4"/>
        </w:rPr>
        <w:t xml:space="preserve"> </w:t>
      </w:r>
      <w:r>
        <w:rPr>
          <w:color w:val="040505"/>
        </w:rPr>
        <w:t>of</w:t>
      </w:r>
      <w:r>
        <w:rPr>
          <w:color w:val="040505"/>
          <w:spacing w:val="-4"/>
        </w:rPr>
        <w:t xml:space="preserve"> </w:t>
      </w:r>
      <w:r>
        <w:rPr>
          <w:color w:val="040505"/>
        </w:rPr>
        <w:t>the</w:t>
      </w:r>
      <w:r>
        <w:rPr>
          <w:color w:val="040505"/>
          <w:spacing w:val="-4"/>
        </w:rPr>
        <w:t xml:space="preserve"> </w:t>
      </w:r>
      <w:r>
        <w:rPr>
          <w:color w:val="040505"/>
        </w:rPr>
        <w:t>above</w:t>
      </w:r>
      <w:r>
        <w:rPr>
          <w:color w:val="040505"/>
          <w:spacing w:val="-1"/>
        </w:rPr>
        <w:t xml:space="preserve"> </w:t>
      </w:r>
      <w:r>
        <w:rPr>
          <w:color w:val="040505"/>
        </w:rPr>
        <w:t>risks,</w:t>
      </w:r>
      <w:r>
        <w:rPr>
          <w:color w:val="040505"/>
          <w:spacing w:val="-3"/>
        </w:rPr>
        <w:t xml:space="preserve"> </w:t>
      </w:r>
      <w:r>
        <w:rPr>
          <w:color w:val="040505"/>
        </w:rPr>
        <w:t>the</w:t>
      </w:r>
      <w:r>
        <w:rPr>
          <w:color w:val="040505"/>
          <w:spacing w:val="-4"/>
        </w:rPr>
        <w:t xml:space="preserve"> </w:t>
      </w:r>
      <w:r>
        <w:rPr>
          <w:color w:val="040505"/>
        </w:rPr>
        <w:t>Group’s insurance</w:t>
      </w:r>
      <w:r>
        <w:rPr>
          <w:color w:val="040505"/>
          <w:spacing w:val="-13"/>
        </w:rPr>
        <w:t xml:space="preserve"> </w:t>
      </w:r>
      <w:r>
        <w:rPr>
          <w:color w:val="040505"/>
        </w:rPr>
        <w:t>may</w:t>
      </w:r>
      <w:r>
        <w:rPr>
          <w:color w:val="040505"/>
          <w:spacing w:val="-14"/>
        </w:rPr>
        <w:t xml:space="preserve"> </w:t>
      </w:r>
      <w:r>
        <w:rPr>
          <w:color w:val="040505"/>
        </w:rPr>
        <w:t>not</w:t>
      </w:r>
      <w:r>
        <w:rPr>
          <w:color w:val="040505"/>
          <w:spacing w:val="-12"/>
        </w:rPr>
        <w:t xml:space="preserve"> </w:t>
      </w:r>
      <w:r>
        <w:rPr>
          <w:color w:val="040505"/>
        </w:rPr>
        <w:t>cover</w:t>
      </w:r>
      <w:r>
        <w:rPr>
          <w:color w:val="040505"/>
          <w:spacing w:val="-13"/>
        </w:rPr>
        <w:t xml:space="preserve"> </w:t>
      </w:r>
      <w:r>
        <w:rPr>
          <w:color w:val="040505"/>
        </w:rPr>
        <w:t>every</w:t>
      </w:r>
      <w:r>
        <w:rPr>
          <w:color w:val="040505"/>
          <w:spacing w:val="-14"/>
        </w:rPr>
        <w:t xml:space="preserve"> </w:t>
      </w:r>
      <w:r>
        <w:rPr>
          <w:color w:val="040505"/>
        </w:rPr>
        <w:t>potential</w:t>
      </w:r>
      <w:r>
        <w:rPr>
          <w:color w:val="040505"/>
          <w:spacing w:val="-12"/>
        </w:rPr>
        <w:t xml:space="preserve"> </w:t>
      </w:r>
      <w:r>
        <w:rPr>
          <w:color w:val="040505"/>
        </w:rPr>
        <w:t>risk</w:t>
      </w:r>
      <w:r>
        <w:rPr>
          <w:color w:val="040505"/>
          <w:spacing w:val="-11"/>
        </w:rPr>
        <w:t xml:space="preserve"> </w:t>
      </w:r>
      <w:r>
        <w:rPr>
          <w:color w:val="040505"/>
        </w:rPr>
        <w:t>associated</w:t>
      </w:r>
      <w:r>
        <w:rPr>
          <w:color w:val="040505"/>
          <w:spacing w:val="-13"/>
        </w:rPr>
        <w:t xml:space="preserve"> </w:t>
      </w:r>
      <w:r>
        <w:rPr>
          <w:color w:val="040505"/>
        </w:rPr>
        <w:t>with</w:t>
      </w:r>
      <w:r>
        <w:rPr>
          <w:color w:val="040505"/>
          <w:spacing w:val="-12"/>
        </w:rPr>
        <w:t xml:space="preserve"> </w:t>
      </w:r>
      <w:r>
        <w:rPr>
          <w:color w:val="040505"/>
        </w:rPr>
        <w:t>its</w:t>
      </w:r>
      <w:r>
        <w:rPr>
          <w:color w:val="040505"/>
          <w:spacing w:val="-11"/>
        </w:rPr>
        <w:t xml:space="preserve"> </w:t>
      </w:r>
      <w:r>
        <w:rPr>
          <w:color w:val="040505"/>
        </w:rPr>
        <w:t>operations.</w:t>
      </w:r>
      <w:r>
        <w:rPr>
          <w:color w:val="040505"/>
          <w:spacing w:val="-12"/>
        </w:rPr>
        <w:t xml:space="preserve"> </w:t>
      </w:r>
      <w:r>
        <w:rPr>
          <w:color w:val="040505"/>
        </w:rPr>
        <w:t>Adequate</w:t>
      </w:r>
      <w:r>
        <w:rPr>
          <w:color w:val="040505"/>
          <w:spacing w:val="-14"/>
        </w:rPr>
        <w:t xml:space="preserve"> </w:t>
      </w:r>
      <w:r>
        <w:rPr>
          <w:color w:val="040505"/>
        </w:rPr>
        <w:t>coverage</w:t>
      </w:r>
      <w:r>
        <w:rPr>
          <w:color w:val="040505"/>
          <w:spacing w:val="-13"/>
        </w:rPr>
        <w:t xml:space="preserve"> </w:t>
      </w:r>
      <w:r>
        <w:rPr>
          <w:color w:val="040505"/>
        </w:rPr>
        <w:t>at</w:t>
      </w:r>
      <w:r>
        <w:rPr>
          <w:color w:val="040505"/>
          <w:spacing w:val="-12"/>
        </w:rPr>
        <w:t xml:space="preserve"> </w:t>
      </w:r>
      <w:r>
        <w:rPr>
          <w:color w:val="040505"/>
        </w:rPr>
        <w:t>reasonable</w:t>
      </w:r>
      <w:r>
        <w:rPr>
          <w:color w:val="040505"/>
          <w:spacing w:val="-12"/>
        </w:rPr>
        <w:t xml:space="preserve"> </w:t>
      </w:r>
      <w:r>
        <w:rPr>
          <w:color w:val="040505"/>
        </w:rPr>
        <w:t xml:space="preserve">rates </w:t>
      </w:r>
      <w:r>
        <w:rPr>
          <w:color w:val="040505"/>
        </w:rPr>
        <w:lastRenderedPageBreak/>
        <w:t>is</w:t>
      </w:r>
      <w:r>
        <w:rPr>
          <w:color w:val="040505"/>
          <w:spacing w:val="-9"/>
        </w:rPr>
        <w:t xml:space="preserve"> </w:t>
      </w:r>
      <w:r>
        <w:rPr>
          <w:color w:val="040505"/>
        </w:rPr>
        <w:t>not</w:t>
      </w:r>
      <w:r>
        <w:rPr>
          <w:color w:val="040505"/>
          <w:spacing w:val="-9"/>
        </w:rPr>
        <w:t xml:space="preserve"> </w:t>
      </w:r>
      <w:r>
        <w:rPr>
          <w:color w:val="040505"/>
        </w:rPr>
        <w:t>always</w:t>
      </w:r>
      <w:r>
        <w:rPr>
          <w:color w:val="040505"/>
          <w:spacing w:val="-6"/>
        </w:rPr>
        <w:t xml:space="preserve"> </w:t>
      </w:r>
      <w:r>
        <w:rPr>
          <w:color w:val="040505"/>
        </w:rPr>
        <w:t>obtainable</w:t>
      </w:r>
      <w:r>
        <w:rPr>
          <w:color w:val="040505"/>
          <w:spacing w:val="-10"/>
        </w:rPr>
        <w:t xml:space="preserve"> </w:t>
      </w:r>
      <w:r>
        <w:rPr>
          <w:color w:val="040505"/>
        </w:rPr>
        <w:t>and</w:t>
      </w:r>
      <w:r>
        <w:rPr>
          <w:color w:val="040505"/>
          <w:spacing w:val="-9"/>
        </w:rPr>
        <w:t xml:space="preserve"> </w:t>
      </w:r>
      <w:r>
        <w:rPr>
          <w:color w:val="040505"/>
        </w:rPr>
        <w:t>may</w:t>
      </w:r>
      <w:r>
        <w:rPr>
          <w:color w:val="040505"/>
          <w:spacing w:val="-8"/>
        </w:rPr>
        <w:t xml:space="preserve"> </w:t>
      </w:r>
      <w:r>
        <w:rPr>
          <w:color w:val="040505"/>
        </w:rPr>
        <w:t>not</w:t>
      </w:r>
      <w:r>
        <w:rPr>
          <w:color w:val="040505"/>
          <w:spacing w:val="-10"/>
        </w:rPr>
        <w:t xml:space="preserve"> </w:t>
      </w:r>
      <w:r>
        <w:rPr>
          <w:color w:val="040505"/>
        </w:rPr>
        <w:t>cover</w:t>
      </w:r>
      <w:r>
        <w:rPr>
          <w:color w:val="040505"/>
          <w:spacing w:val="-9"/>
        </w:rPr>
        <w:t xml:space="preserve"> </w:t>
      </w:r>
      <w:r>
        <w:rPr>
          <w:color w:val="040505"/>
        </w:rPr>
        <w:t>any</w:t>
      </w:r>
      <w:r>
        <w:rPr>
          <w:color w:val="040505"/>
          <w:spacing w:val="-10"/>
        </w:rPr>
        <w:t xml:space="preserve"> </w:t>
      </w:r>
      <w:r>
        <w:rPr>
          <w:color w:val="040505"/>
        </w:rPr>
        <w:t>business</w:t>
      </w:r>
      <w:r>
        <w:rPr>
          <w:color w:val="040505"/>
          <w:spacing w:val="-8"/>
        </w:rPr>
        <w:t xml:space="preserve"> </w:t>
      </w:r>
      <w:r>
        <w:rPr>
          <w:color w:val="040505"/>
        </w:rPr>
        <w:t>interruptions</w:t>
      </w:r>
      <w:r>
        <w:rPr>
          <w:color w:val="040505"/>
          <w:spacing w:val="-9"/>
        </w:rPr>
        <w:t xml:space="preserve"> </w:t>
      </w:r>
      <w:r>
        <w:rPr>
          <w:color w:val="040505"/>
        </w:rPr>
        <w:t>such</w:t>
      </w:r>
      <w:r>
        <w:rPr>
          <w:color w:val="040505"/>
          <w:spacing w:val="-9"/>
        </w:rPr>
        <w:t xml:space="preserve"> </w:t>
      </w:r>
      <w:r>
        <w:rPr>
          <w:color w:val="040505"/>
        </w:rPr>
        <w:t>as</w:t>
      </w:r>
      <w:r>
        <w:rPr>
          <w:color w:val="040505"/>
          <w:spacing w:val="-6"/>
        </w:rPr>
        <w:t xml:space="preserve"> </w:t>
      </w:r>
      <w:r>
        <w:rPr>
          <w:color w:val="040505"/>
        </w:rPr>
        <w:t>equipment</w:t>
      </w:r>
      <w:r>
        <w:rPr>
          <w:color w:val="040505"/>
          <w:spacing w:val="-10"/>
        </w:rPr>
        <w:t xml:space="preserve"> </w:t>
      </w:r>
      <w:r>
        <w:rPr>
          <w:color w:val="040505"/>
        </w:rPr>
        <w:t>failure</w:t>
      </w:r>
      <w:r>
        <w:rPr>
          <w:color w:val="040505"/>
          <w:spacing w:val="-9"/>
        </w:rPr>
        <w:t xml:space="preserve"> </w:t>
      </w:r>
      <w:r>
        <w:rPr>
          <w:color w:val="040505"/>
        </w:rPr>
        <w:t>or</w:t>
      </w:r>
      <w:r>
        <w:rPr>
          <w:color w:val="040505"/>
          <w:spacing w:val="-9"/>
        </w:rPr>
        <w:t xml:space="preserve"> </w:t>
      </w:r>
      <w:r>
        <w:rPr>
          <w:color w:val="040505"/>
        </w:rPr>
        <w:t>labour</w:t>
      </w:r>
      <w:r>
        <w:rPr>
          <w:color w:val="040505"/>
          <w:spacing w:val="-9"/>
        </w:rPr>
        <w:t xml:space="preserve"> </w:t>
      </w:r>
      <w:r>
        <w:rPr>
          <w:color w:val="040505"/>
        </w:rPr>
        <w:t>dispute</w:t>
      </w:r>
      <w:r>
        <w:rPr>
          <w:color w:val="231F20"/>
        </w:rPr>
        <w:t xml:space="preserve">. </w:t>
      </w:r>
      <w:r>
        <w:rPr>
          <w:color w:val="040505"/>
        </w:rPr>
        <w:t>The</w:t>
      </w:r>
      <w:r>
        <w:rPr>
          <w:color w:val="040505"/>
          <w:spacing w:val="-10"/>
        </w:rPr>
        <w:t xml:space="preserve"> </w:t>
      </w:r>
      <w:r>
        <w:rPr>
          <w:color w:val="040505"/>
        </w:rPr>
        <w:t>occurrence</w:t>
      </w:r>
      <w:r>
        <w:rPr>
          <w:color w:val="040505"/>
          <w:spacing w:val="-11"/>
        </w:rPr>
        <w:t xml:space="preserve"> </w:t>
      </w:r>
      <w:r>
        <w:rPr>
          <w:color w:val="040505"/>
        </w:rPr>
        <w:t>of</w:t>
      </w:r>
      <w:r>
        <w:rPr>
          <w:color w:val="040505"/>
          <w:spacing w:val="-12"/>
        </w:rPr>
        <w:t xml:space="preserve"> </w:t>
      </w:r>
      <w:r>
        <w:rPr>
          <w:color w:val="040505"/>
        </w:rPr>
        <w:t>a</w:t>
      </w:r>
      <w:r>
        <w:rPr>
          <w:color w:val="040505"/>
          <w:spacing w:val="-9"/>
        </w:rPr>
        <w:t xml:space="preserve"> </w:t>
      </w:r>
      <w:r>
        <w:rPr>
          <w:color w:val="040505"/>
        </w:rPr>
        <w:t>significant</w:t>
      </w:r>
      <w:r>
        <w:rPr>
          <w:color w:val="040505"/>
          <w:spacing w:val="-12"/>
        </w:rPr>
        <w:t xml:space="preserve"> </w:t>
      </w:r>
      <w:r>
        <w:rPr>
          <w:color w:val="040505"/>
        </w:rPr>
        <w:t>adverse</w:t>
      </w:r>
      <w:r>
        <w:rPr>
          <w:color w:val="040505"/>
          <w:spacing w:val="-9"/>
        </w:rPr>
        <w:t xml:space="preserve"> </w:t>
      </w:r>
      <w:r>
        <w:rPr>
          <w:color w:val="040505"/>
        </w:rPr>
        <w:t>event</w:t>
      </w:r>
      <w:r>
        <w:rPr>
          <w:color w:val="040505"/>
          <w:spacing w:val="-11"/>
        </w:rPr>
        <w:t xml:space="preserve"> </w:t>
      </w:r>
      <w:r>
        <w:rPr>
          <w:color w:val="040505"/>
        </w:rPr>
        <w:t>that</w:t>
      </w:r>
      <w:r>
        <w:rPr>
          <w:color w:val="040505"/>
          <w:spacing w:val="-10"/>
        </w:rPr>
        <w:t xml:space="preserve"> </w:t>
      </w:r>
      <w:r>
        <w:rPr>
          <w:color w:val="040505"/>
        </w:rPr>
        <w:t>is</w:t>
      </w:r>
      <w:r>
        <w:rPr>
          <w:color w:val="040505"/>
          <w:spacing w:val="-8"/>
        </w:rPr>
        <w:t xml:space="preserve"> </w:t>
      </w:r>
      <w:r>
        <w:rPr>
          <w:color w:val="040505"/>
        </w:rPr>
        <w:t>not</w:t>
      </w:r>
      <w:r>
        <w:rPr>
          <w:color w:val="040505"/>
          <w:spacing w:val="-12"/>
        </w:rPr>
        <w:t xml:space="preserve"> </w:t>
      </w:r>
      <w:r>
        <w:rPr>
          <w:color w:val="040505"/>
        </w:rPr>
        <w:t>covered</w:t>
      </w:r>
      <w:r>
        <w:rPr>
          <w:color w:val="040505"/>
          <w:spacing w:val="-9"/>
        </w:rPr>
        <w:t xml:space="preserve"> </w:t>
      </w:r>
      <w:r>
        <w:rPr>
          <w:color w:val="040505"/>
        </w:rPr>
        <w:t>by</w:t>
      </w:r>
      <w:r>
        <w:rPr>
          <w:color w:val="040505"/>
          <w:spacing w:val="-11"/>
        </w:rPr>
        <w:t xml:space="preserve"> </w:t>
      </w:r>
      <w:r>
        <w:rPr>
          <w:color w:val="040505"/>
        </w:rPr>
        <w:t>insurance</w:t>
      </w:r>
      <w:r>
        <w:rPr>
          <w:color w:val="040505"/>
          <w:spacing w:val="-11"/>
        </w:rPr>
        <w:t xml:space="preserve"> </w:t>
      </w:r>
      <w:r>
        <w:rPr>
          <w:color w:val="040505"/>
        </w:rPr>
        <w:t>could</w:t>
      </w:r>
      <w:r>
        <w:rPr>
          <w:color w:val="040505"/>
          <w:spacing w:val="-11"/>
        </w:rPr>
        <w:t xml:space="preserve"> </w:t>
      </w:r>
      <w:r>
        <w:rPr>
          <w:color w:val="040505"/>
        </w:rPr>
        <w:t>have</w:t>
      </w:r>
      <w:r>
        <w:rPr>
          <w:color w:val="040505"/>
          <w:spacing w:val="-10"/>
        </w:rPr>
        <w:t xml:space="preserve"> </w:t>
      </w:r>
      <w:r>
        <w:rPr>
          <w:color w:val="040505"/>
        </w:rPr>
        <w:t>a</w:t>
      </w:r>
      <w:r>
        <w:rPr>
          <w:color w:val="040505"/>
          <w:spacing w:val="-13"/>
        </w:rPr>
        <w:t xml:space="preserve"> </w:t>
      </w:r>
      <w:r>
        <w:rPr>
          <w:color w:val="040505"/>
        </w:rPr>
        <w:t>material</w:t>
      </w:r>
      <w:r>
        <w:rPr>
          <w:color w:val="040505"/>
          <w:spacing w:val="-11"/>
        </w:rPr>
        <w:t xml:space="preserve"> </w:t>
      </w:r>
      <w:r>
        <w:rPr>
          <w:color w:val="040505"/>
        </w:rPr>
        <w:t>adverse</w:t>
      </w:r>
      <w:r>
        <w:rPr>
          <w:color w:val="040505"/>
          <w:spacing w:val="-10"/>
        </w:rPr>
        <w:t xml:space="preserve"> </w:t>
      </w:r>
      <w:r>
        <w:rPr>
          <w:color w:val="040505"/>
        </w:rPr>
        <w:t xml:space="preserve">effect on the Group’s business, results of operations, financial </w:t>
      </w:r>
      <w:proofErr w:type="gramStart"/>
      <w:r>
        <w:rPr>
          <w:color w:val="040505"/>
        </w:rPr>
        <w:t>condition</w:t>
      </w:r>
      <w:proofErr w:type="gramEnd"/>
      <w:r>
        <w:rPr>
          <w:color w:val="040505"/>
        </w:rPr>
        <w:t xml:space="preserve"> and</w:t>
      </w:r>
      <w:r>
        <w:rPr>
          <w:color w:val="040505"/>
          <w:spacing w:val="-14"/>
        </w:rPr>
        <w:t xml:space="preserve"> </w:t>
      </w:r>
      <w:r>
        <w:rPr>
          <w:color w:val="040505"/>
        </w:rPr>
        <w:t>prospects.</w:t>
      </w:r>
    </w:p>
    <w:p w14:paraId="41B53567" w14:textId="3AA8C84C" w:rsidR="006F5F26" w:rsidRDefault="006F5F26">
      <w:pPr>
        <w:pStyle w:val="BodyText"/>
        <w:kinsoku w:val="0"/>
        <w:overflowPunct w:val="0"/>
        <w:ind w:left="300" w:right="1189"/>
        <w:jc w:val="both"/>
        <w:rPr>
          <w:color w:val="040505"/>
        </w:rPr>
      </w:pPr>
    </w:p>
    <w:p w14:paraId="7818E419" w14:textId="7A296AE9" w:rsidR="00445FFB" w:rsidRPr="00445FFB" w:rsidRDefault="00445FFB">
      <w:pPr>
        <w:pStyle w:val="BodyText"/>
        <w:kinsoku w:val="0"/>
        <w:overflowPunct w:val="0"/>
        <w:ind w:left="300" w:right="1189"/>
        <w:jc w:val="both"/>
        <w:rPr>
          <w:b/>
          <w:i/>
          <w:color w:val="040505"/>
        </w:rPr>
      </w:pPr>
      <w:r w:rsidRPr="00445FFB">
        <w:rPr>
          <w:b/>
          <w:i/>
          <w:color w:val="040505"/>
        </w:rPr>
        <w:t>Climate change in Labrador</w:t>
      </w:r>
      <w:r w:rsidR="00084390">
        <w:rPr>
          <w:b/>
          <w:i/>
          <w:color w:val="040505"/>
        </w:rPr>
        <w:t xml:space="preserve"> could adversely affect mineral exploration</w:t>
      </w:r>
    </w:p>
    <w:p w14:paraId="60D3DBEC" w14:textId="77777777" w:rsidR="00445FFB" w:rsidRDefault="00445FFB">
      <w:pPr>
        <w:pStyle w:val="BodyText"/>
        <w:kinsoku w:val="0"/>
        <w:overflowPunct w:val="0"/>
        <w:ind w:left="300" w:right="1189"/>
        <w:jc w:val="both"/>
        <w:rPr>
          <w:color w:val="040505"/>
        </w:rPr>
      </w:pPr>
    </w:p>
    <w:p w14:paraId="6C2FCBF5" w14:textId="125484F4" w:rsidR="00050F3D" w:rsidRPr="00A16C86" w:rsidRDefault="006F5F26" w:rsidP="00A16C86">
      <w:pPr>
        <w:pStyle w:val="BodyText"/>
        <w:kinsoku w:val="0"/>
        <w:overflowPunct w:val="0"/>
        <w:ind w:left="300" w:right="1189"/>
        <w:jc w:val="both"/>
      </w:pPr>
      <w:r>
        <w:rPr>
          <w:color w:val="040505"/>
        </w:rPr>
        <w:t xml:space="preserve">In relation to the Adeline Copper Project, climate change could affect exploration and mining operations in central Labrador. The past winter </w:t>
      </w:r>
      <w:r>
        <w:t xml:space="preserve">has been the warmest on record in Labrador with the amount of sea-ice at record levels. </w:t>
      </w:r>
      <w:r w:rsidR="00084390">
        <w:t>There</w:t>
      </w:r>
      <w:r>
        <w:t xml:space="preserve"> has </w:t>
      </w:r>
      <w:r w:rsidR="00084390">
        <w:t xml:space="preserve">therefore </w:t>
      </w:r>
      <w:r>
        <w:t>been much concern in Labrador communities about the increasing warming effects of climate change. These concerns are mainly related to the decreasing sea-ice and winter snow covers and their effects on transportation and hunting. Conversely for mineral exploration and mining, these warming conditions might improve working conditions by decreasing the severity of winter weather. Warming</w:t>
      </w:r>
      <w:r w:rsidR="00445FFB">
        <w:t xml:space="preserve"> conditions </w:t>
      </w:r>
      <w:r>
        <w:t xml:space="preserve">could </w:t>
      </w:r>
      <w:r w:rsidR="00445FFB">
        <w:t xml:space="preserve">however </w:t>
      </w:r>
      <w:r>
        <w:t>adversely affect mineral exploration by limiting the ability to conduct winter drilling through ice-covered bodies of water.</w:t>
      </w:r>
      <w:r w:rsidR="00A16C86">
        <w:t xml:space="preserve"> This would serve to restrict the drilling programme of the Company</w:t>
      </w:r>
      <w:r w:rsidR="00637A80">
        <w:t xml:space="preserve"> to land as opposed to lakes</w:t>
      </w:r>
      <w:r w:rsidR="00A16C86">
        <w:t xml:space="preserve"> and the Company would be required to explore alternative drilling methods, such as creating drilling platforms on the surrounding sloping terrain using platforms created by local timber or inclining drilling to drill under lakes from the shore. </w:t>
      </w:r>
      <w:r w:rsidR="00BC4D83">
        <w:t>This, in turn, might lead to additional costs which would adversely affect the Company’s financial performance.</w:t>
      </w:r>
    </w:p>
    <w:p w14:paraId="20505038" w14:textId="77777777" w:rsidR="00783288" w:rsidRDefault="00783288">
      <w:pPr>
        <w:pStyle w:val="BodyText"/>
        <w:kinsoku w:val="0"/>
        <w:overflowPunct w:val="0"/>
        <w:spacing w:before="9"/>
        <w:rPr>
          <w:sz w:val="17"/>
          <w:szCs w:val="17"/>
        </w:rPr>
      </w:pPr>
    </w:p>
    <w:p w14:paraId="442233E2" w14:textId="77777777" w:rsidR="00783288" w:rsidRDefault="00E31420">
      <w:pPr>
        <w:pStyle w:val="Heading2"/>
        <w:kinsoku w:val="0"/>
        <w:overflowPunct w:val="0"/>
        <w:rPr>
          <w:color w:val="070808"/>
        </w:rPr>
      </w:pPr>
      <w:r>
        <w:rPr>
          <w:color w:val="070808"/>
        </w:rPr>
        <w:t>The duration and cost of the Group’s activities are estimated and may not produce the anticipated results.</w:t>
      </w:r>
    </w:p>
    <w:p w14:paraId="6F2D4023" w14:textId="77777777" w:rsidR="00783288" w:rsidRDefault="00783288">
      <w:pPr>
        <w:pStyle w:val="BodyText"/>
        <w:kinsoku w:val="0"/>
        <w:overflowPunct w:val="0"/>
        <w:spacing w:before="4"/>
        <w:rPr>
          <w:b/>
          <w:bCs/>
          <w:i/>
          <w:iCs/>
        </w:rPr>
      </w:pPr>
    </w:p>
    <w:p w14:paraId="36027328" w14:textId="77777777" w:rsidR="00783288" w:rsidRDefault="00E31420">
      <w:pPr>
        <w:pStyle w:val="BodyText"/>
        <w:kinsoku w:val="0"/>
        <w:overflowPunct w:val="0"/>
        <w:ind w:left="300" w:right="1191"/>
        <w:jc w:val="both"/>
        <w:rPr>
          <w:color w:val="070808"/>
        </w:rPr>
      </w:pPr>
      <w:r>
        <w:rPr>
          <w:color w:val="070808"/>
        </w:rPr>
        <w:t>The</w:t>
      </w:r>
      <w:r>
        <w:rPr>
          <w:color w:val="070808"/>
          <w:spacing w:val="-2"/>
        </w:rPr>
        <w:t xml:space="preserve"> </w:t>
      </w:r>
      <w:r>
        <w:rPr>
          <w:color w:val="070808"/>
        </w:rPr>
        <w:t>Group</w:t>
      </w:r>
      <w:r>
        <w:rPr>
          <w:color w:val="070808"/>
          <w:spacing w:val="-5"/>
        </w:rPr>
        <w:t xml:space="preserve"> </w:t>
      </w:r>
      <w:r>
        <w:rPr>
          <w:color w:val="070808"/>
        </w:rPr>
        <w:t>currently</w:t>
      </w:r>
      <w:r>
        <w:rPr>
          <w:color w:val="070808"/>
          <w:spacing w:val="-7"/>
        </w:rPr>
        <w:t xml:space="preserve"> </w:t>
      </w:r>
      <w:r>
        <w:rPr>
          <w:color w:val="070808"/>
        </w:rPr>
        <w:t>aims</w:t>
      </w:r>
      <w:r>
        <w:rPr>
          <w:color w:val="070808"/>
          <w:spacing w:val="-3"/>
        </w:rPr>
        <w:t xml:space="preserve"> </w:t>
      </w:r>
      <w:r>
        <w:rPr>
          <w:color w:val="070808"/>
        </w:rPr>
        <w:t>to</w:t>
      </w:r>
      <w:r>
        <w:rPr>
          <w:color w:val="070808"/>
          <w:spacing w:val="-5"/>
        </w:rPr>
        <w:t xml:space="preserve"> </w:t>
      </w:r>
      <w:r>
        <w:rPr>
          <w:color w:val="070808"/>
        </w:rPr>
        <w:t>identify</w:t>
      </w:r>
      <w:r>
        <w:rPr>
          <w:color w:val="070808"/>
          <w:spacing w:val="-4"/>
        </w:rPr>
        <w:t xml:space="preserve"> </w:t>
      </w:r>
      <w:r>
        <w:rPr>
          <w:color w:val="070808"/>
        </w:rPr>
        <w:t>the</w:t>
      </w:r>
      <w:r>
        <w:rPr>
          <w:color w:val="070808"/>
          <w:spacing w:val="-5"/>
        </w:rPr>
        <w:t xml:space="preserve"> </w:t>
      </w:r>
      <w:r>
        <w:rPr>
          <w:color w:val="070808"/>
        </w:rPr>
        <w:t>most</w:t>
      </w:r>
      <w:r>
        <w:rPr>
          <w:color w:val="070808"/>
          <w:spacing w:val="-4"/>
        </w:rPr>
        <w:t xml:space="preserve"> </w:t>
      </w:r>
      <w:r>
        <w:rPr>
          <w:color w:val="070808"/>
        </w:rPr>
        <w:t>prospective</w:t>
      </w:r>
      <w:r>
        <w:rPr>
          <w:color w:val="070808"/>
          <w:spacing w:val="-5"/>
        </w:rPr>
        <w:t xml:space="preserve"> </w:t>
      </w:r>
      <w:r>
        <w:rPr>
          <w:color w:val="070808"/>
        </w:rPr>
        <w:t>areas</w:t>
      </w:r>
      <w:r>
        <w:rPr>
          <w:color w:val="070808"/>
          <w:spacing w:val="-1"/>
        </w:rPr>
        <w:t xml:space="preserve"> </w:t>
      </w:r>
      <w:r>
        <w:rPr>
          <w:color w:val="070808"/>
        </w:rPr>
        <w:t>within</w:t>
      </w:r>
      <w:r>
        <w:rPr>
          <w:color w:val="070808"/>
          <w:spacing w:val="-2"/>
        </w:rPr>
        <w:t xml:space="preserve"> </w:t>
      </w:r>
      <w:r>
        <w:rPr>
          <w:color w:val="070808"/>
        </w:rPr>
        <w:t>the</w:t>
      </w:r>
      <w:r>
        <w:rPr>
          <w:color w:val="070808"/>
          <w:spacing w:val="-2"/>
        </w:rPr>
        <w:t xml:space="preserve"> </w:t>
      </w:r>
      <w:r>
        <w:rPr>
          <w:color w:val="070808"/>
        </w:rPr>
        <w:t>Portfolio</w:t>
      </w:r>
      <w:r>
        <w:rPr>
          <w:color w:val="070808"/>
          <w:spacing w:val="-4"/>
        </w:rPr>
        <w:t xml:space="preserve"> </w:t>
      </w:r>
      <w:r>
        <w:rPr>
          <w:color w:val="070808"/>
        </w:rPr>
        <w:t>and</w:t>
      </w:r>
      <w:r>
        <w:rPr>
          <w:color w:val="070808"/>
          <w:spacing w:val="-5"/>
        </w:rPr>
        <w:t xml:space="preserve"> </w:t>
      </w:r>
      <w:r>
        <w:rPr>
          <w:color w:val="070808"/>
        </w:rPr>
        <w:t>prioritise</w:t>
      </w:r>
      <w:r>
        <w:rPr>
          <w:color w:val="070808"/>
          <w:spacing w:val="-2"/>
        </w:rPr>
        <w:t xml:space="preserve"> </w:t>
      </w:r>
      <w:r>
        <w:rPr>
          <w:color w:val="070808"/>
        </w:rPr>
        <w:t>field</w:t>
      </w:r>
      <w:r>
        <w:rPr>
          <w:color w:val="070808"/>
          <w:spacing w:val="-2"/>
        </w:rPr>
        <w:t xml:space="preserve"> </w:t>
      </w:r>
      <w:r>
        <w:rPr>
          <w:color w:val="070808"/>
        </w:rPr>
        <w:t>work.</w:t>
      </w:r>
      <w:r>
        <w:rPr>
          <w:color w:val="070808"/>
          <w:spacing w:val="-4"/>
        </w:rPr>
        <w:t xml:space="preserve"> </w:t>
      </w:r>
      <w:r>
        <w:rPr>
          <w:color w:val="070808"/>
        </w:rPr>
        <w:t>There are risks that the data used in this analysis may be flawed at the point of collection and/or may be misinterpreted when analysed. Confirmatory field studies which typically follow the identification process involve geological and structural</w:t>
      </w:r>
      <w:r>
        <w:rPr>
          <w:color w:val="070808"/>
          <w:spacing w:val="-9"/>
        </w:rPr>
        <w:t xml:space="preserve"> </w:t>
      </w:r>
      <w:r>
        <w:rPr>
          <w:color w:val="070808"/>
        </w:rPr>
        <w:t>mapping,</w:t>
      </w:r>
      <w:r>
        <w:rPr>
          <w:color w:val="070808"/>
          <w:spacing w:val="-9"/>
        </w:rPr>
        <w:t xml:space="preserve"> </w:t>
      </w:r>
      <w:r>
        <w:rPr>
          <w:color w:val="070808"/>
        </w:rPr>
        <w:t>rock</w:t>
      </w:r>
      <w:r>
        <w:rPr>
          <w:color w:val="070808"/>
          <w:spacing w:val="-10"/>
        </w:rPr>
        <w:t xml:space="preserve"> </w:t>
      </w:r>
      <w:r>
        <w:rPr>
          <w:color w:val="070808"/>
        </w:rPr>
        <w:t>chip</w:t>
      </w:r>
      <w:r>
        <w:rPr>
          <w:color w:val="070808"/>
          <w:spacing w:val="-9"/>
        </w:rPr>
        <w:t xml:space="preserve"> </w:t>
      </w:r>
      <w:r>
        <w:rPr>
          <w:color w:val="070808"/>
        </w:rPr>
        <w:t>and</w:t>
      </w:r>
      <w:r>
        <w:rPr>
          <w:color w:val="070808"/>
          <w:spacing w:val="-10"/>
        </w:rPr>
        <w:t xml:space="preserve"> </w:t>
      </w:r>
      <w:r>
        <w:rPr>
          <w:color w:val="070808"/>
        </w:rPr>
        <w:t>trench</w:t>
      </w:r>
      <w:r>
        <w:rPr>
          <w:color w:val="070808"/>
          <w:spacing w:val="-11"/>
        </w:rPr>
        <w:t xml:space="preserve"> </w:t>
      </w:r>
      <w:r>
        <w:rPr>
          <w:color w:val="070808"/>
        </w:rPr>
        <w:t>sampling</w:t>
      </w:r>
      <w:r>
        <w:rPr>
          <w:color w:val="070808"/>
          <w:spacing w:val="-9"/>
        </w:rPr>
        <w:t xml:space="preserve"> </w:t>
      </w:r>
      <w:r>
        <w:rPr>
          <w:color w:val="070808"/>
        </w:rPr>
        <w:t>and</w:t>
      </w:r>
      <w:r>
        <w:rPr>
          <w:color w:val="070808"/>
          <w:spacing w:val="-9"/>
        </w:rPr>
        <w:t xml:space="preserve"> </w:t>
      </w:r>
      <w:r>
        <w:rPr>
          <w:color w:val="070808"/>
        </w:rPr>
        <w:t>ground</w:t>
      </w:r>
      <w:r>
        <w:rPr>
          <w:color w:val="070808"/>
          <w:spacing w:val="-11"/>
        </w:rPr>
        <w:t xml:space="preserve"> </w:t>
      </w:r>
      <w:r>
        <w:rPr>
          <w:color w:val="070808"/>
        </w:rPr>
        <w:t>geophysics</w:t>
      </w:r>
      <w:r>
        <w:rPr>
          <w:color w:val="070808"/>
          <w:spacing w:val="-9"/>
        </w:rPr>
        <w:t xml:space="preserve"> </w:t>
      </w:r>
      <w:r>
        <w:rPr>
          <w:color w:val="070808"/>
        </w:rPr>
        <w:t>need</w:t>
      </w:r>
      <w:r>
        <w:rPr>
          <w:color w:val="070808"/>
          <w:spacing w:val="-9"/>
        </w:rPr>
        <w:t xml:space="preserve"> </w:t>
      </w:r>
      <w:r>
        <w:rPr>
          <w:color w:val="070808"/>
        </w:rPr>
        <w:t>to</w:t>
      </w:r>
      <w:r>
        <w:rPr>
          <w:color w:val="070808"/>
          <w:spacing w:val="-11"/>
        </w:rPr>
        <w:t xml:space="preserve"> </w:t>
      </w:r>
      <w:r>
        <w:rPr>
          <w:color w:val="070808"/>
        </w:rPr>
        <w:t>be</w:t>
      </w:r>
      <w:r>
        <w:rPr>
          <w:color w:val="070808"/>
          <w:spacing w:val="-9"/>
        </w:rPr>
        <w:t xml:space="preserve"> </w:t>
      </w:r>
      <w:r>
        <w:rPr>
          <w:color w:val="070808"/>
        </w:rPr>
        <w:t>carried</w:t>
      </w:r>
      <w:r>
        <w:rPr>
          <w:color w:val="070808"/>
          <w:spacing w:val="-11"/>
        </w:rPr>
        <w:t xml:space="preserve"> </w:t>
      </w:r>
      <w:r>
        <w:rPr>
          <w:color w:val="070808"/>
        </w:rPr>
        <w:t>out</w:t>
      </w:r>
      <w:r>
        <w:rPr>
          <w:color w:val="070808"/>
          <w:spacing w:val="-9"/>
        </w:rPr>
        <w:t xml:space="preserve"> </w:t>
      </w:r>
      <w:r>
        <w:rPr>
          <w:color w:val="070808"/>
        </w:rPr>
        <w:t>before</w:t>
      </w:r>
      <w:r>
        <w:rPr>
          <w:color w:val="070808"/>
          <w:spacing w:val="-12"/>
        </w:rPr>
        <w:t xml:space="preserve"> </w:t>
      </w:r>
      <w:r>
        <w:rPr>
          <w:color w:val="070808"/>
        </w:rPr>
        <w:t xml:space="preserve">conclusive assessments can be made about the </w:t>
      </w:r>
      <w:proofErr w:type="spellStart"/>
      <w:r>
        <w:rPr>
          <w:color w:val="070808"/>
        </w:rPr>
        <w:t>prospectivity</w:t>
      </w:r>
      <w:proofErr w:type="spellEnd"/>
      <w:r>
        <w:rPr>
          <w:color w:val="070808"/>
        </w:rPr>
        <w:t xml:space="preserve"> of the Portfolio. However, these are all subjective areas and, despite</w:t>
      </w:r>
      <w:r>
        <w:rPr>
          <w:color w:val="070808"/>
          <w:spacing w:val="-6"/>
        </w:rPr>
        <w:t xml:space="preserve"> </w:t>
      </w:r>
      <w:r>
        <w:rPr>
          <w:color w:val="070808"/>
        </w:rPr>
        <w:t>the</w:t>
      </w:r>
      <w:r>
        <w:rPr>
          <w:color w:val="070808"/>
          <w:spacing w:val="-5"/>
        </w:rPr>
        <w:t xml:space="preserve"> </w:t>
      </w:r>
      <w:r>
        <w:rPr>
          <w:color w:val="070808"/>
        </w:rPr>
        <w:t>experience</w:t>
      </w:r>
      <w:r>
        <w:rPr>
          <w:color w:val="070808"/>
          <w:spacing w:val="-2"/>
        </w:rPr>
        <w:t xml:space="preserve"> </w:t>
      </w:r>
      <w:r>
        <w:rPr>
          <w:color w:val="070808"/>
        </w:rPr>
        <w:t>of</w:t>
      </w:r>
      <w:r>
        <w:rPr>
          <w:color w:val="070808"/>
          <w:spacing w:val="-5"/>
        </w:rPr>
        <w:t xml:space="preserve"> </w:t>
      </w:r>
      <w:r>
        <w:rPr>
          <w:color w:val="070808"/>
        </w:rPr>
        <w:t>those</w:t>
      </w:r>
      <w:r>
        <w:rPr>
          <w:color w:val="070808"/>
          <w:spacing w:val="-2"/>
        </w:rPr>
        <w:t xml:space="preserve"> </w:t>
      </w:r>
      <w:r>
        <w:rPr>
          <w:color w:val="070808"/>
        </w:rPr>
        <w:t>undertaking</w:t>
      </w:r>
      <w:r>
        <w:rPr>
          <w:color w:val="070808"/>
          <w:spacing w:val="-3"/>
        </w:rPr>
        <w:t xml:space="preserve"> </w:t>
      </w:r>
      <w:r>
        <w:rPr>
          <w:color w:val="070808"/>
        </w:rPr>
        <w:t>the</w:t>
      </w:r>
      <w:r>
        <w:rPr>
          <w:color w:val="070808"/>
          <w:spacing w:val="-2"/>
        </w:rPr>
        <w:t xml:space="preserve"> </w:t>
      </w:r>
      <w:r>
        <w:rPr>
          <w:color w:val="070808"/>
        </w:rPr>
        <w:t>work,</w:t>
      </w:r>
      <w:r>
        <w:rPr>
          <w:color w:val="070808"/>
          <w:spacing w:val="-5"/>
        </w:rPr>
        <w:t xml:space="preserve"> </w:t>
      </w:r>
      <w:r>
        <w:rPr>
          <w:color w:val="070808"/>
        </w:rPr>
        <w:t>may</w:t>
      </w:r>
      <w:r>
        <w:rPr>
          <w:color w:val="070808"/>
          <w:spacing w:val="-4"/>
        </w:rPr>
        <w:t xml:space="preserve"> </w:t>
      </w:r>
      <w:r>
        <w:rPr>
          <w:color w:val="070808"/>
        </w:rPr>
        <w:t>be</w:t>
      </w:r>
      <w:r>
        <w:rPr>
          <w:color w:val="070808"/>
          <w:spacing w:val="-2"/>
        </w:rPr>
        <w:t xml:space="preserve"> </w:t>
      </w:r>
      <w:r>
        <w:rPr>
          <w:color w:val="070808"/>
        </w:rPr>
        <w:t>open</w:t>
      </w:r>
      <w:r>
        <w:rPr>
          <w:color w:val="070808"/>
          <w:spacing w:val="-3"/>
        </w:rPr>
        <w:t xml:space="preserve"> </w:t>
      </w:r>
      <w:r>
        <w:rPr>
          <w:color w:val="070808"/>
        </w:rPr>
        <w:t>to</w:t>
      </w:r>
      <w:r>
        <w:rPr>
          <w:color w:val="070808"/>
          <w:spacing w:val="-2"/>
        </w:rPr>
        <w:t xml:space="preserve"> </w:t>
      </w:r>
      <w:r>
        <w:rPr>
          <w:color w:val="070808"/>
        </w:rPr>
        <w:t>misinterpretation.</w:t>
      </w:r>
      <w:r>
        <w:rPr>
          <w:color w:val="070808"/>
          <w:spacing w:val="-3"/>
        </w:rPr>
        <w:t xml:space="preserve"> </w:t>
      </w:r>
      <w:r>
        <w:rPr>
          <w:color w:val="070808"/>
        </w:rPr>
        <w:t>The</w:t>
      </w:r>
      <w:r>
        <w:rPr>
          <w:color w:val="070808"/>
          <w:spacing w:val="-3"/>
        </w:rPr>
        <w:t xml:space="preserve"> </w:t>
      </w:r>
      <w:r>
        <w:rPr>
          <w:color w:val="070808"/>
        </w:rPr>
        <w:t>drilling</w:t>
      </w:r>
      <w:r>
        <w:rPr>
          <w:color w:val="070808"/>
          <w:spacing w:val="-2"/>
        </w:rPr>
        <w:t xml:space="preserve"> </w:t>
      </w:r>
      <w:r>
        <w:rPr>
          <w:color w:val="070808"/>
        </w:rPr>
        <w:t>which</w:t>
      </w:r>
      <w:r>
        <w:rPr>
          <w:color w:val="070808"/>
          <w:spacing w:val="-5"/>
        </w:rPr>
        <w:t xml:space="preserve"> </w:t>
      </w:r>
      <w:r>
        <w:rPr>
          <w:color w:val="070808"/>
        </w:rPr>
        <w:t>follows identification and field studies is intended to provide the data necessary for the definition of mineral resources but there</w:t>
      </w:r>
      <w:r>
        <w:rPr>
          <w:color w:val="070808"/>
          <w:spacing w:val="-5"/>
        </w:rPr>
        <w:t xml:space="preserve"> </w:t>
      </w:r>
      <w:r>
        <w:rPr>
          <w:color w:val="070808"/>
        </w:rPr>
        <w:t>is</w:t>
      </w:r>
      <w:r>
        <w:rPr>
          <w:color w:val="070808"/>
          <w:spacing w:val="-4"/>
        </w:rPr>
        <w:t xml:space="preserve"> </w:t>
      </w:r>
      <w:r>
        <w:rPr>
          <w:color w:val="070808"/>
        </w:rPr>
        <w:t>a</w:t>
      </w:r>
      <w:r>
        <w:rPr>
          <w:color w:val="070808"/>
          <w:spacing w:val="-4"/>
        </w:rPr>
        <w:t xml:space="preserve"> </w:t>
      </w:r>
      <w:r>
        <w:rPr>
          <w:color w:val="070808"/>
        </w:rPr>
        <w:t>risk</w:t>
      </w:r>
      <w:r>
        <w:rPr>
          <w:color w:val="070808"/>
          <w:spacing w:val="-4"/>
        </w:rPr>
        <w:t xml:space="preserve"> </w:t>
      </w:r>
      <w:r>
        <w:rPr>
          <w:color w:val="070808"/>
        </w:rPr>
        <w:t>that</w:t>
      </w:r>
      <w:r>
        <w:rPr>
          <w:color w:val="070808"/>
          <w:spacing w:val="-3"/>
        </w:rPr>
        <w:t xml:space="preserve"> </w:t>
      </w:r>
      <w:r>
        <w:rPr>
          <w:color w:val="070808"/>
        </w:rPr>
        <w:t>the</w:t>
      </w:r>
      <w:r>
        <w:rPr>
          <w:color w:val="070808"/>
          <w:spacing w:val="-4"/>
        </w:rPr>
        <w:t xml:space="preserve"> </w:t>
      </w:r>
      <w:r>
        <w:rPr>
          <w:color w:val="070808"/>
        </w:rPr>
        <w:t>results</w:t>
      </w:r>
      <w:r>
        <w:rPr>
          <w:color w:val="070808"/>
          <w:spacing w:val="-2"/>
        </w:rPr>
        <w:t xml:space="preserve"> </w:t>
      </w:r>
      <w:r>
        <w:rPr>
          <w:color w:val="070808"/>
        </w:rPr>
        <w:t>of</w:t>
      </w:r>
      <w:r>
        <w:rPr>
          <w:color w:val="070808"/>
          <w:spacing w:val="-3"/>
        </w:rPr>
        <w:t xml:space="preserve"> </w:t>
      </w:r>
      <w:r>
        <w:rPr>
          <w:color w:val="070808"/>
        </w:rPr>
        <w:t>drilling</w:t>
      </w:r>
      <w:r>
        <w:rPr>
          <w:color w:val="070808"/>
          <w:spacing w:val="-4"/>
        </w:rPr>
        <w:t xml:space="preserve"> </w:t>
      </w:r>
      <w:r>
        <w:rPr>
          <w:color w:val="070808"/>
        </w:rPr>
        <w:t>may</w:t>
      </w:r>
      <w:r>
        <w:rPr>
          <w:color w:val="070808"/>
          <w:spacing w:val="-7"/>
        </w:rPr>
        <w:t xml:space="preserve"> </w:t>
      </w:r>
      <w:r>
        <w:rPr>
          <w:color w:val="070808"/>
        </w:rPr>
        <w:t>prove</w:t>
      </w:r>
      <w:r>
        <w:rPr>
          <w:color w:val="070808"/>
          <w:spacing w:val="-5"/>
        </w:rPr>
        <w:t xml:space="preserve"> </w:t>
      </w:r>
      <w:r>
        <w:rPr>
          <w:color w:val="070808"/>
        </w:rPr>
        <w:t>insufficient,</w:t>
      </w:r>
      <w:r>
        <w:rPr>
          <w:color w:val="070808"/>
          <w:spacing w:val="-2"/>
        </w:rPr>
        <w:t xml:space="preserve"> </w:t>
      </w:r>
      <w:proofErr w:type="gramStart"/>
      <w:r>
        <w:rPr>
          <w:color w:val="070808"/>
        </w:rPr>
        <w:t>inaccurate</w:t>
      </w:r>
      <w:proofErr w:type="gramEnd"/>
      <w:r>
        <w:rPr>
          <w:color w:val="070808"/>
          <w:spacing w:val="-5"/>
        </w:rPr>
        <w:t xml:space="preserve"> </w:t>
      </w:r>
      <w:r>
        <w:rPr>
          <w:color w:val="070808"/>
        </w:rPr>
        <w:t>or</w:t>
      </w:r>
      <w:r>
        <w:rPr>
          <w:color w:val="070808"/>
          <w:spacing w:val="-3"/>
        </w:rPr>
        <w:t xml:space="preserve"> </w:t>
      </w:r>
      <w:r>
        <w:rPr>
          <w:color w:val="070808"/>
        </w:rPr>
        <w:t>inappropriate</w:t>
      </w:r>
      <w:r>
        <w:rPr>
          <w:color w:val="070808"/>
          <w:spacing w:val="-4"/>
        </w:rPr>
        <w:t xml:space="preserve"> </w:t>
      </w:r>
      <w:r>
        <w:rPr>
          <w:color w:val="070808"/>
        </w:rPr>
        <w:t>for</w:t>
      </w:r>
      <w:r>
        <w:rPr>
          <w:color w:val="070808"/>
          <w:spacing w:val="-3"/>
        </w:rPr>
        <w:t xml:space="preserve"> </w:t>
      </w:r>
      <w:r>
        <w:rPr>
          <w:color w:val="070808"/>
        </w:rPr>
        <w:t>the</w:t>
      </w:r>
      <w:r>
        <w:rPr>
          <w:color w:val="070808"/>
          <w:spacing w:val="-4"/>
        </w:rPr>
        <w:t xml:space="preserve"> </w:t>
      </w:r>
      <w:r>
        <w:rPr>
          <w:color w:val="070808"/>
        </w:rPr>
        <w:t>purpose.</w:t>
      </w:r>
      <w:r>
        <w:rPr>
          <w:color w:val="070808"/>
          <w:spacing w:val="-5"/>
        </w:rPr>
        <w:t xml:space="preserve"> </w:t>
      </w:r>
      <w:r>
        <w:rPr>
          <w:color w:val="070808"/>
        </w:rPr>
        <w:t>Flawed analysis or misleading interpretations of data or samples may result in elements of the relevant phase needing to be repeated, which may delay the projects or result in additional costs being incurred by the</w:t>
      </w:r>
      <w:r>
        <w:rPr>
          <w:color w:val="070808"/>
          <w:spacing w:val="-25"/>
        </w:rPr>
        <w:t xml:space="preserve"> </w:t>
      </w:r>
      <w:r>
        <w:rPr>
          <w:color w:val="070808"/>
        </w:rPr>
        <w:t>Group.</w:t>
      </w:r>
    </w:p>
    <w:p w14:paraId="17088380" w14:textId="77777777" w:rsidR="00783288" w:rsidRDefault="00783288">
      <w:pPr>
        <w:pStyle w:val="BodyText"/>
        <w:kinsoku w:val="0"/>
        <w:overflowPunct w:val="0"/>
        <w:spacing w:before="7"/>
        <w:rPr>
          <w:sz w:val="17"/>
          <w:szCs w:val="17"/>
        </w:rPr>
      </w:pPr>
    </w:p>
    <w:p w14:paraId="3CA9814B" w14:textId="77777777" w:rsidR="00783288" w:rsidRDefault="00E31420">
      <w:pPr>
        <w:pStyle w:val="Heading2"/>
        <w:kinsoku w:val="0"/>
        <w:overflowPunct w:val="0"/>
        <w:ind w:right="1190"/>
        <w:rPr>
          <w:color w:val="0F1010"/>
        </w:rPr>
      </w:pPr>
      <w:r>
        <w:rPr>
          <w:color w:val="020303"/>
        </w:rPr>
        <w:t>T</w:t>
      </w:r>
      <w:r>
        <w:rPr>
          <w:color w:val="0F1010"/>
        </w:rPr>
        <w:t>he Group’s b</w:t>
      </w:r>
      <w:r>
        <w:rPr>
          <w:color w:val="020303"/>
        </w:rPr>
        <w:t>u</w:t>
      </w:r>
      <w:r>
        <w:rPr>
          <w:color w:val="0F1010"/>
        </w:rPr>
        <w:t xml:space="preserve">siness </w:t>
      </w:r>
      <w:r>
        <w:rPr>
          <w:color w:val="282829"/>
        </w:rPr>
        <w:t>s</w:t>
      </w:r>
      <w:r>
        <w:rPr>
          <w:color w:val="0F1010"/>
        </w:rPr>
        <w:t>trategy d</w:t>
      </w:r>
      <w:r>
        <w:rPr>
          <w:color w:val="282829"/>
        </w:rPr>
        <w:t>e</w:t>
      </w:r>
      <w:r>
        <w:rPr>
          <w:color w:val="0F1010"/>
        </w:rPr>
        <w:t>pends on the effective</w:t>
      </w:r>
      <w:r>
        <w:rPr>
          <w:color w:val="020303"/>
        </w:rPr>
        <w:t>n</w:t>
      </w:r>
      <w:r>
        <w:rPr>
          <w:color w:val="0F1010"/>
        </w:rPr>
        <w:t>ess of the operating strategi</w:t>
      </w:r>
      <w:r>
        <w:rPr>
          <w:color w:val="282829"/>
        </w:rPr>
        <w:t xml:space="preserve">es </w:t>
      </w:r>
      <w:r>
        <w:rPr>
          <w:color w:val="0F1010"/>
        </w:rPr>
        <w:t>devised by the Board</w:t>
      </w:r>
    </w:p>
    <w:p w14:paraId="4DD1F223" w14:textId="77777777" w:rsidR="00783288" w:rsidRDefault="00783288">
      <w:pPr>
        <w:pStyle w:val="BodyText"/>
        <w:kinsoku w:val="0"/>
        <w:overflowPunct w:val="0"/>
        <w:spacing w:before="3"/>
        <w:rPr>
          <w:b/>
          <w:bCs/>
          <w:i/>
          <w:iCs/>
        </w:rPr>
      </w:pPr>
    </w:p>
    <w:p w14:paraId="0A430508" w14:textId="25C87C8A" w:rsidR="00783288" w:rsidRPr="000A1164" w:rsidRDefault="00E31420">
      <w:pPr>
        <w:pStyle w:val="BodyText"/>
        <w:kinsoku w:val="0"/>
        <w:overflowPunct w:val="0"/>
        <w:ind w:left="300" w:right="1188"/>
        <w:jc w:val="both"/>
        <w:rPr>
          <w:b/>
          <w:i/>
          <w:color w:val="0F1010"/>
        </w:rPr>
      </w:pPr>
      <w:r>
        <w:rPr>
          <w:color w:val="0F1010"/>
        </w:rPr>
        <w:t>Despite the Board being highly experienced in the natural resources sector, ther</w:t>
      </w:r>
      <w:r>
        <w:rPr>
          <w:color w:val="282829"/>
        </w:rPr>
        <w:t>e c</w:t>
      </w:r>
      <w:r>
        <w:rPr>
          <w:color w:val="0F1010"/>
        </w:rPr>
        <w:t>an be no as</w:t>
      </w:r>
      <w:r>
        <w:rPr>
          <w:color w:val="282829"/>
        </w:rPr>
        <w:t>s</w:t>
      </w:r>
      <w:r>
        <w:rPr>
          <w:color w:val="0F1010"/>
        </w:rPr>
        <w:t>uran</w:t>
      </w:r>
      <w:r>
        <w:rPr>
          <w:color w:val="282829"/>
        </w:rPr>
        <w:t xml:space="preserve">ce </w:t>
      </w:r>
      <w:r>
        <w:rPr>
          <w:color w:val="0F1010"/>
        </w:rPr>
        <w:t xml:space="preserve">that </w:t>
      </w:r>
      <w:r>
        <w:rPr>
          <w:color w:val="0F1010"/>
          <w:spacing w:val="-2"/>
        </w:rPr>
        <w:t xml:space="preserve">the </w:t>
      </w:r>
      <w:r>
        <w:rPr>
          <w:color w:val="0F1010"/>
        </w:rPr>
        <w:t>Board</w:t>
      </w:r>
      <w:r>
        <w:rPr>
          <w:color w:val="0F1010"/>
          <w:spacing w:val="-8"/>
        </w:rPr>
        <w:t xml:space="preserve"> </w:t>
      </w:r>
      <w:r>
        <w:rPr>
          <w:color w:val="0F1010"/>
        </w:rPr>
        <w:t>and</w:t>
      </w:r>
      <w:r>
        <w:rPr>
          <w:color w:val="0F1010"/>
          <w:spacing w:val="-7"/>
        </w:rPr>
        <w:t xml:space="preserve"> </w:t>
      </w:r>
      <w:r>
        <w:rPr>
          <w:color w:val="0F1010"/>
        </w:rPr>
        <w:t>management</w:t>
      </w:r>
      <w:r>
        <w:rPr>
          <w:color w:val="0F1010"/>
          <w:spacing w:val="-8"/>
        </w:rPr>
        <w:t xml:space="preserve"> </w:t>
      </w:r>
      <w:r>
        <w:rPr>
          <w:color w:val="0F1010"/>
        </w:rPr>
        <w:t>w</w:t>
      </w:r>
      <w:r>
        <w:rPr>
          <w:color w:val="020303"/>
        </w:rPr>
        <w:t>i</w:t>
      </w:r>
      <w:r>
        <w:rPr>
          <w:color w:val="0F1010"/>
        </w:rPr>
        <w:t>ll</w:t>
      </w:r>
      <w:r>
        <w:rPr>
          <w:color w:val="0F1010"/>
          <w:spacing w:val="-7"/>
        </w:rPr>
        <w:t xml:space="preserve"> </w:t>
      </w:r>
      <w:r>
        <w:rPr>
          <w:color w:val="0F1010"/>
        </w:rPr>
        <w:t>b</w:t>
      </w:r>
      <w:r>
        <w:rPr>
          <w:color w:val="282829"/>
        </w:rPr>
        <w:t>e</w:t>
      </w:r>
      <w:r>
        <w:rPr>
          <w:color w:val="282829"/>
          <w:spacing w:val="-7"/>
        </w:rPr>
        <w:t xml:space="preserve"> </w:t>
      </w:r>
      <w:r>
        <w:rPr>
          <w:color w:val="282829"/>
        </w:rPr>
        <w:t>a</w:t>
      </w:r>
      <w:r>
        <w:rPr>
          <w:color w:val="0F1010"/>
        </w:rPr>
        <w:t>bl</w:t>
      </w:r>
      <w:r>
        <w:rPr>
          <w:color w:val="282829"/>
        </w:rPr>
        <w:t>e</w:t>
      </w:r>
      <w:r>
        <w:rPr>
          <w:color w:val="282829"/>
          <w:spacing w:val="-8"/>
        </w:rPr>
        <w:t xml:space="preserve"> </w:t>
      </w:r>
      <w:r>
        <w:rPr>
          <w:color w:val="0F1010"/>
        </w:rPr>
        <w:t>to</w:t>
      </w:r>
      <w:r>
        <w:rPr>
          <w:color w:val="0F1010"/>
          <w:spacing w:val="-7"/>
        </w:rPr>
        <w:t xml:space="preserve"> </w:t>
      </w:r>
      <w:r>
        <w:rPr>
          <w:color w:val="0F1010"/>
        </w:rPr>
        <w:t>imp</w:t>
      </w:r>
      <w:r>
        <w:rPr>
          <w:color w:val="282829"/>
        </w:rPr>
        <w:t>l</w:t>
      </w:r>
      <w:r>
        <w:rPr>
          <w:color w:val="0F1010"/>
        </w:rPr>
        <w:t>ement</w:t>
      </w:r>
      <w:r>
        <w:rPr>
          <w:color w:val="0F1010"/>
          <w:spacing w:val="-7"/>
        </w:rPr>
        <w:t xml:space="preserve"> </w:t>
      </w:r>
      <w:r>
        <w:rPr>
          <w:color w:val="0F1010"/>
        </w:rPr>
        <w:t>effecti</w:t>
      </w:r>
      <w:r>
        <w:rPr>
          <w:color w:val="282829"/>
        </w:rPr>
        <w:t>v</w:t>
      </w:r>
      <w:r>
        <w:rPr>
          <w:color w:val="0F1010"/>
        </w:rPr>
        <w:t>e</w:t>
      </w:r>
      <w:r>
        <w:rPr>
          <w:color w:val="0F1010"/>
          <w:spacing w:val="-8"/>
        </w:rPr>
        <w:t xml:space="preserve"> </w:t>
      </w:r>
      <w:r>
        <w:rPr>
          <w:color w:val="282829"/>
        </w:rPr>
        <w:t>o</w:t>
      </w:r>
      <w:r>
        <w:rPr>
          <w:color w:val="0F1010"/>
        </w:rPr>
        <w:t>p</w:t>
      </w:r>
      <w:r>
        <w:rPr>
          <w:color w:val="282829"/>
        </w:rPr>
        <w:t>e</w:t>
      </w:r>
      <w:r>
        <w:rPr>
          <w:color w:val="0F1010"/>
        </w:rPr>
        <w:t>r</w:t>
      </w:r>
      <w:r>
        <w:rPr>
          <w:color w:val="282829"/>
        </w:rPr>
        <w:t>a</w:t>
      </w:r>
      <w:r>
        <w:rPr>
          <w:color w:val="0F1010"/>
        </w:rPr>
        <w:t>ti</w:t>
      </w:r>
      <w:r>
        <w:rPr>
          <w:color w:val="282829"/>
        </w:rPr>
        <w:t>ng</w:t>
      </w:r>
      <w:r>
        <w:rPr>
          <w:color w:val="282829"/>
          <w:spacing w:val="-7"/>
        </w:rPr>
        <w:t xml:space="preserve"> </w:t>
      </w:r>
      <w:r>
        <w:rPr>
          <w:color w:val="0F1010"/>
        </w:rPr>
        <w:t>strategies</w:t>
      </w:r>
      <w:r>
        <w:rPr>
          <w:color w:val="0F1010"/>
          <w:spacing w:val="-7"/>
        </w:rPr>
        <w:t xml:space="preserve"> </w:t>
      </w:r>
      <w:r>
        <w:rPr>
          <w:color w:val="0F1010"/>
        </w:rPr>
        <w:t>f</w:t>
      </w:r>
      <w:r>
        <w:rPr>
          <w:color w:val="282829"/>
        </w:rPr>
        <w:t>o</w:t>
      </w:r>
      <w:r>
        <w:rPr>
          <w:color w:val="0F1010"/>
        </w:rPr>
        <w:t>r</w:t>
      </w:r>
      <w:r>
        <w:rPr>
          <w:color w:val="0F1010"/>
          <w:spacing w:val="-10"/>
        </w:rPr>
        <w:t xml:space="preserve"> </w:t>
      </w:r>
      <w:r>
        <w:rPr>
          <w:color w:val="0F1010"/>
        </w:rPr>
        <w:t>the</w:t>
      </w:r>
      <w:r>
        <w:rPr>
          <w:color w:val="0F1010"/>
          <w:spacing w:val="-8"/>
        </w:rPr>
        <w:t xml:space="preserve"> </w:t>
      </w:r>
      <w:r>
        <w:rPr>
          <w:color w:val="0F1010"/>
        </w:rPr>
        <w:t>Group</w:t>
      </w:r>
      <w:r>
        <w:rPr>
          <w:color w:val="282829"/>
        </w:rPr>
        <w:t>.</w:t>
      </w:r>
      <w:r>
        <w:rPr>
          <w:color w:val="282829"/>
          <w:spacing w:val="-7"/>
        </w:rPr>
        <w:t xml:space="preserve"> </w:t>
      </w:r>
      <w:r>
        <w:rPr>
          <w:color w:val="231F20"/>
        </w:rPr>
        <w:t>The</w:t>
      </w:r>
      <w:r>
        <w:rPr>
          <w:color w:val="231F20"/>
          <w:spacing w:val="-7"/>
        </w:rPr>
        <w:t xml:space="preserve"> </w:t>
      </w:r>
      <w:r>
        <w:rPr>
          <w:color w:val="231F20"/>
        </w:rPr>
        <w:t xml:space="preserve">implementation of the Group’s business strategy will depend upon the ability of the Board and management to maintain, expand and upgrade effective operational, financial and management systems in line with the Group’s growth. </w:t>
      </w:r>
      <w:r>
        <w:rPr>
          <w:color w:val="0F1010"/>
        </w:rPr>
        <w:t>An</w:t>
      </w:r>
      <w:r>
        <w:rPr>
          <w:color w:val="282829"/>
        </w:rPr>
        <w:t xml:space="preserve">y </w:t>
      </w:r>
      <w:r>
        <w:rPr>
          <w:color w:val="0F1010"/>
        </w:rPr>
        <w:t>fail</w:t>
      </w:r>
      <w:r>
        <w:rPr>
          <w:color w:val="282829"/>
        </w:rPr>
        <w:t>u</w:t>
      </w:r>
      <w:r>
        <w:rPr>
          <w:color w:val="0F1010"/>
        </w:rPr>
        <w:t>re to implement th</w:t>
      </w:r>
      <w:r>
        <w:rPr>
          <w:color w:val="282829"/>
        </w:rPr>
        <w:t>es</w:t>
      </w:r>
      <w:r>
        <w:rPr>
          <w:color w:val="0F1010"/>
        </w:rPr>
        <w:t>e st</w:t>
      </w:r>
      <w:r>
        <w:rPr>
          <w:color w:val="020303"/>
        </w:rPr>
        <w:t>r</w:t>
      </w:r>
      <w:r>
        <w:rPr>
          <w:color w:val="0F1010"/>
        </w:rPr>
        <w:t>ate</w:t>
      </w:r>
      <w:r>
        <w:rPr>
          <w:color w:val="282829"/>
        </w:rPr>
        <w:t>g</w:t>
      </w:r>
      <w:r>
        <w:rPr>
          <w:color w:val="0F1010"/>
        </w:rPr>
        <w:t>ie</w:t>
      </w:r>
      <w:r>
        <w:rPr>
          <w:color w:val="282829"/>
        </w:rPr>
        <w:t>s s</w:t>
      </w:r>
      <w:r>
        <w:rPr>
          <w:color w:val="0F1010"/>
        </w:rPr>
        <w:t>u</w:t>
      </w:r>
      <w:r>
        <w:rPr>
          <w:color w:val="282829"/>
        </w:rPr>
        <w:t>c</w:t>
      </w:r>
      <w:r>
        <w:rPr>
          <w:color w:val="0F1010"/>
        </w:rPr>
        <w:t>cessfu</w:t>
      </w:r>
      <w:r>
        <w:rPr>
          <w:color w:val="020303"/>
        </w:rPr>
        <w:t>l</w:t>
      </w:r>
      <w:r>
        <w:rPr>
          <w:color w:val="0F1010"/>
        </w:rPr>
        <w:t>l</w:t>
      </w:r>
      <w:r>
        <w:rPr>
          <w:color w:val="282829"/>
        </w:rPr>
        <w:t xml:space="preserve">y </w:t>
      </w:r>
      <w:r>
        <w:rPr>
          <w:color w:val="0F1010"/>
        </w:rPr>
        <w:t>and</w:t>
      </w:r>
      <w:r>
        <w:rPr>
          <w:color w:val="282829"/>
        </w:rPr>
        <w:t>/</w:t>
      </w:r>
      <w:r>
        <w:rPr>
          <w:color w:val="0F1010"/>
        </w:rPr>
        <w:t>or the f</w:t>
      </w:r>
      <w:r>
        <w:rPr>
          <w:color w:val="282829"/>
        </w:rPr>
        <w:t>a</w:t>
      </w:r>
      <w:r>
        <w:rPr>
          <w:color w:val="0F1010"/>
        </w:rPr>
        <w:t>i</w:t>
      </w:r>
      <w:r>
        <w:rPr>
          <w:color w:val="020303"/>
        </w:rPr>
        <w:t>l</w:t>
      </w:r>
      <w:r>
        <w:rPr>
          <w:color w:val="282829"/>
        </w:rPr>
        <w:t>u</w:t>
      </w:r>
      <w:r>
        <w:rPr>
          <w:color w:val="0F1010"/>
        </w:rPr>
        <w:t>re of the</w:t>
      </w:r>
      <w:r>
        <w:rPr>
          <w:color w:val="282829"/>
        </w:rPr>
        <w:t>se s</w:t>
      </w:r>
      <w:r>
        <w:rPr>
          <w:color w:val="0F1010"/>
        </w:rPr>
        <w:t>tr</w:t>
      </w:r>
      <w:r>
        <w:rPr>
          <w:color w:val="282829"/>
        </w:rPr>
        <w:t>a</w:t>
      </w:r>
      <w:r>
        <w:rPr>
          <w:color w:val="0F1010"/>
        </w:rPr>
        <w:t>t</w:t>
      </w:r>
      <w:r>
        <w:rPr>
          <w:color w:val="282829"/>
        </w:rPr>
        <w:t>eg</w:t>
      </w:r>
      <w:r>
        <w:rPr>
          <w:color w:val="0F1010"/>
        </w:rPr>
        <w:t>i</w:t>
      </w:r>
      <w:r>
        <w:rPr>
          <w:color w:val="282829"/>
        </w:rPr>
        <w:t xml:space="preserve">es </w:t>
      </w:r>
      <w:r>
        <w:rPr>
          <w:color w:val="0F1010"/>
        </w:rPr>
        <w:t>t</w:t>
      </w:r>
      <w:r>
        <w:rPr>
          <w:color w:val="282829"/>
        </w:rPr>
        <w:t xml:space="preserve">o </w:t>
      </w:r>
      <w:r>
        <w:rPr>
          <w:color w:val="0F1010"/>
        </w:rPr>
        <w:t>de</w:t>
      </w:r>
      <w:r>
        <w:rPr>
          <w:color w:val="020303"/>
        </w:rPr>
        <w:t>l</w:t>
      </w:r>
      <w:r>
        <w:rPr>
          <w:color w:val="0F1010"/>
        </w:rPr>
        <w:t>ive</w:t>
      </w:r>
      <w:r>
        <w:rPr>
          <w:color w:val="020303"/>
        </w:rPr>
        <w:t xml:space="preserve">r </w:t>
      </w:r>
      <w:r>
        <w:rPr>
          <w:color w:val="0F1010"/>
        </w:rPr>
        <w:t xml:space="preserve">the </w:t>
      </w:r>
      <w:r>
        <w:rPr>
          <w:color w:val="282829"/>
        </w:rPr>
        <w:t>a</w:t>
      </w:r>
      <w:r>
        <w:rPr>
          <w:color w:val="0F1010"/>
        </w:rPr>
        <w:t>nti</w:t>
      </w:r>
      <w:r>
        <w:rPr>
          <w:color w:val="282829"/>
        </w:rPr>
        <w:t>c</w:t>
      </w:r>
      <w:r>
        <w:rPr>
          <w:color w:val="0F1010"/>
        </w:rPr>
        <w:t>ipated be</w:t>
      </w:r>
      <w:r>
        <w:rPr>
          <w:color w:val="020303"/>
        </w:rPr>
        <w:t>n</w:t>
      </w:r>
      <w:r>
        <w:rPr>
          <w:color w:val="0F1010"/>
        </w:rPr>
        <w:t>efit</w:t>
      </w:r>
      <w:r>
        <w:rPr>
          <w:color w:val="282829"/>
        </w:rPr>
        <w:t>s co</w:t>
      </w:r>
      <w:r>
        <w:rPr>
          <w:color w:val="0F1010"/>
        </w:rPr>
        <w:t>ul</w:t>
      </w:r>
      <w:r>
        <w:rPr>
          <w:color w:val="282829"/>
        </w:rPr>
        <w:t xml:space="preserve">d </w:t>
      </w:r>
      <w:r>
        <w:rPr>
          <w:color w:val="0F1010"/>
        </w:rPr>
        <w:t>h</w:t>
      </w:r>
      <w:r>
        <w:rPr>
          <w:color w:val="282829"/>
        </w:rPr>
        <w:t>av</w:t>
      </w:r>
      <w:r>
        <w:rPr>
          <w:color w:val="0F1010"/>
        </w:rPr>
        <w:t xml:space="preserve">e </w:t>
      </w:r>
      <w:r>
        <w:rPr>
          <w:color w:val="282829"/>
        </w:rPr>
        <w:t xml:space="preserve">a </w:t>
      </w:r>
      <w:r>
        <w:rPr>
          <w:color w:val="0F1010"/>
        </w:rPr>
        <w:t>m</w:t>
      </w:r>
      <w:r>
        <w:rPr>
          <w:color w:val="282829"/>
        </w:rPr>
        <w:t>ate</w:t>
      </w:r>
      <w:r>
        <w:rPr>
          <w:color w:val="0F1010"/>
        </w:rPr>
        <w:t>ri</w:t>
      </w:r>
      <w:r>
        <w:rPr>
          <w:color w:val="282829"/>
        </w:rPr>
        <w:t>a</w:t>
      </w:r>
      <w:r>
        <w:rPr>
          <w:color w:val="0F1010"/>
        </w:rPr>
        <w:t xml:space="preserve">l </w:t>
      </w:r>
      <w:r>
        <w:rPr>
          <w:color w:val="282829"/>
        </w:rPr>
        <w:t>ad</w:t>
      </w:r>
      <w:r>
        <w:rPr>
          <w:color w:val="0F1010"/>
        </w:rPr>
        <w:t>vers</w:t>
      </w:r>
      <w:r>
        <w:rPr>
          <w:color w:val="282829"/>
        </w:rPr>
        <w:t xml:space="preserve">e </w:t>
      </w:r>
      <w:r>
        <w:rPr>
          <w:color w:val="0F1010"/>
        </w:rPr>
        <w:t>effect on the C</w:t>
      </w:r>
      <w:r>
        <w:rPr>
          <w:color w:val="282829"/>
        </w:rPr>
        <w:t>o</w:t>
      </w:r>
      <w:r>
        <w:rPr>
          <w:color w:val="0F1010"/>
        </w:rPr>
        <w:t>mp</w:t>
      </w:r>
      <w:r>
        <w:rPr>
          <w:color w:val="282829"/>
        </w:rPr>
        <w:t>a</w:t>
      </w:r>
      <w:r>
        <w:rPr>
          <w:color w:val="0F1010"/>
        </w:rPr>
        <w:t>n</w:t>
      </w:r>
      <w:r>
        <w:rPr>
          <w:color w:val="282829"/>
        </w:rPr>
        <w:t xml:space="preserve">y’s </w:t>
      </w:r>
      <w:r>
        <w:rPr>
          <w:color w:val="0F1010"/>
        </w:rPr>
        <w:t>re</w:t>
      </w:r>
      <w:r>
        <w:rPr>
          <w:color w:val="282829"/>
        </w:rPr>
        <w:t>s</w:t>
      </w:r>
      <w:r>
        <w:rPr>
          <w:color w:val="0F1010"/>
        </w:rPr>
        <w:t>u</w:t>
      </w:r>
      <w:r>
        <w:rPr>
          <w:color w:val="020303"/>
        </w:rPr>
        <w:t>l</w:t>
      </w:r>
      <w:r>
        <w:rPr>
          <w:color w:val="0F1010"/>
        </w:rPr>
        <w:t>t</w:t>
      </w:r>
      <w:r>
        <w:rPr>
          <w:color w:val="282829"/>
        </w:rPr>
        <w:t>s o</w:t>
      </w:r>
      <w:r>
        <w:rPr>
          <w:color w:val="0F1010"/>
        </w:rPr>
        <w:t>f op</w:t>
      </w:r>
      <w:r>
        <w:rPr>
          <w:color w:val="282829"/>
        </w:rPr>
        <w:t>e</w:t>
      </w:r>
      <w:r>
        <w:rPr>
          <w:color w:val="0F1010"/>
        </w:rPr>
        <w:t>ra</w:t>
      </w:r>
      <w:r>
        <w:rPr>
          <w:color w:val="282829"/>
        </w:rPr>
        <w:t>t</w:t>
      </w:r>
      <w:r>
        <w:rPr>
          <w:color w:val="0F1010"/>
        </w:rPr>
        <w:t>ion</w:t>
      </w:r>
      <w:r>
        <w:rPr>
          <w:color w:val="282829"/>
        </w:rPr>
        <w:t>s a</w:t>
      </w:r>
      <w:r>
        <w:rPr>
          <w:color w:val="0F1010"/>
        </w:rPr>
        <w:t>nd finan</w:t>
      </w:r>
      <w:r>
        <w:rPr>
          <w:color w:val="282829"/>
        </w:rPr>
        <w:t>c</w:t>
      </w:r>
      <w:r>
        <w:rPr>
          <w:color w:val="0F1010"/>
        </w:rPr>
        <w:t>i</w:t>
      </w:r>
      <w:r>
        <w:rPr>
          <w:color w:val="282829"/>
        </w:rPr>
        <w:t>a</w:t>
      </w:r>
      <w:r>
        <w:rPr>
          <w:color w:val="0F1010"/>
        </w:rPr>
        <w:t xml:space="preserve">l </w:t>
      </w:r>
      <w:r>
        <w:rPr>
          <w:color w:val="282829"/>
        </w:rPr>
        <w:t>c</w:t>
      </w:r>
      <w:r>
        <w:rPr>
          <w:color w:val="0F1010"/>
        </w:rPr>
        <w:t>ondit</w:t>
      </w:r>
      <w:r>
        <w:rPr>
          <w:color w:val="020303"/>
        </w:rPr>
        <w:t>i</w:t>
      </w:r>
      <w:r>
        <w:rPr>
          <w:color w:val="0F1010"/>
        </w:rPr>
        <w:t>on. The Group intends</w:t>
      </w:r>
      <w:r>
        <w:rPr>
          <w:color w:val="0F1010"/>
          <w:spacing w:val="-14"/>
        </w:rPr>
        <w:t xml:space="preserve"> </w:t>
      </w:r>
      <w:r>
        <w:rPr>
          <w:color w:val="0F1010"/>
        </w:rPr>
        <w:t>to</w:t>
      </w:r>
      <w:r>
        <w:rPr>
          <w:color w:val="0F1010"/>
          <w:spacing w:val="-13"/>
        </w:rPr>
        <w:t xml:space="preserve"> </w:t>
      </w:r>
      <w:r>
        <w:rPr>
          <w:color w:val="0F1010"/>
        </w:rPr>
        <w:t>appoint</w:t>
      </w:r>
      <w:r>
        <w:rPr>
          <w:color w:val="0F1010"/>
          <w:spacing w:val="-12"/>
        </w:rPr>
        <w:t xml:space="preserve"> </w:t>
      </w:r>
      <w:r>
        <w:rPr>
          <w:color w:val="0F1010"/>
        </w:rPr>
        <w:t>an</w:t>
      </w:r>
      <w:r>
        <w:rPr>
          <w:color w:val="0F1010"/>
          <w:spacing w:val="-13"/>
        </w:rPr>
        <w:t xml:space="preserve"> </w:t>
      </w:r>
      <w:r>
        <w:rPr>
          <w:color w:val="0F1010"/>
        </w:rPr>
        <w:t>experienced</w:t>
      </w:r>
      <w:r>
        <w:rPr>
          <w:color w:val="0F1010"/>
          <w:spacing w:val="-13"/>
        </w:rPr>
        <w:t xml:space="preserve"> </w:t>
      </w:r>
      <w:r>
        <w:rPr>
          <w:color w:val="0F1010"/>
        </w:rPr>
        <w:t>chief</w:t>
      </w:r>
      <w:r>
        <w:rPr>
          <w:color w:val="0F1010"/>
          <w:spacing w:val="-14"/>
        </w:rPr>
        <w:t xml:space="preserve"> </w:t>
      </w:r>
      <w:r>
        <w:rPr>
          <w:color w:val="0F1010"/>
        </w:rPr>
        <w:t>operating</w:t>
      </w:r>
      <w:r>
        <w:rPr>
          <w:color w:val="0F1010"/>
          <w:spacing w:val="-14"/>
        </w:rPr>
        <w:t xml:space="preserve"> </w:t>
      </w:r>
      <w:r>
        <w:rPr>
          <w:color w:val="0F1010"/>
        </w:rPr>
        <w:t>officer</w:t>
      </w:r>
      <w:r>
        <w:rPr>
          <w:color w:val="0F1010"/>
          <w:spacing w:val="-14"/>
        </w:rPr>
        <w:t xml:space="preserve"> </w:t>
      </w:r>
      <w:r w:rsidR="007574A5">
        <w:rPr>
          <w:color w:val="0F1010"/>
          <w:spacing w:val="-14"/>
        </w:rPr>
        <w:t xml:space="preserve">(COO) </w:t>
      </w:r>
      <w:r>
        <w:rPr>
          <w:color w:val="0F1010"/>
        </w:rPr>
        <w:t>during</w:t>
      </w:r>
      <w:r>
        <w:rPr>
          <w:color w:val="0F1010"/>
          <w:spacing w:val="-11"/>
        </w:rPr>
        <w:t xml:space="preserve"> </w:t>
      </w:r>
      <w:r>
        <w:rPr>
          <w:color w:val="0F1010"/>
        </w:rPr>
        <w:t>Q</w:t>
      </w:r>
      <w:r w:rsidR="00A16C86">
        <w:rPr>
          <w:color w:val="0F1010"/>
        </w:rPr>
        <w:t>3</w:t>
      </w:r>
      <w:r>
        <w:rPr>
          <w:color w:val="0F1010"/>
          <w:spacing w:val="-14"/>
        </w:rPr>
        <w:t xml:space="preserve"> </w:t>
      </w:r>
      <w:r>
        <w:rPr>
          <w:color w:val="0F1010"/>
        </w:rPr>
        <w:t>2021</w:t>
      </w:r>
      <w:r>
        <w:rPr>
          <w:color w:val="0F1010"/>
          <w:spacing w:val="-11"/>
        </w:rPr>
        <w:t xml:space="preserve"> </w:t>
      </w:r>
      <w:r>
        <w:rPr>
          <w:color w:val="0F1010"/>
        </w:rPr>
        <w:t>to</w:t>
      </w:r>
      <w:r>
        <w:rPr>
          <w:color w:val="0F1010"/>
          <w:spacing w:val="-13"/>
        </w:rPr>
        <w:t xml:space="preserve"> </w:t>
      </w:r>
      <w:r>
        <w:rPr>
          <w:color w:val="0F1010"/>
        </w:rPr>
        <w:t>ensure,</w:t>
      </w:r>
      <w:r>
        <w:rPr>
          <w:color w:val="0F1010"/>
          <w:spacing w:val="-15"/>
        </w:rPr>
        <w:t xml:space="preserve"> </w:t>
      </w:r>
      <w:r>
        <w:rPr>
          <w:color w:val="0F1010"/>
        </w:rPr>
        <w:t>as</w:t>
      </w:r>
      <w:r>
        <w:rPr>
          <w:color w:val="0F1010"/>
          <w:spacing w:val="-13"/>
        </w:rPr>
        <w:t xml:space="preserve"> </w:t>
      </w:r>
      <w:r>
        <w:rPr>
          <w:color w:val="0F1010"/>
        </w:rPr>
        <w:t>far</w:t>
      </w:r>
      <w:r>
        <w:rPr>
          <w:color w:val="0F1010"/>
          <w:spacing w:val="-14"/>
        </w:rPr>
        <w:t xml:space="preserve"> </w:t>
      </w:r>
      <w:r>
        <w:rPr>
          <w:color w:val="0F1010"/>
        </w:rPr>
        <w:t>as</w:t>
      </w:r>
      <w:r>
        <w:rPr>
          <w:color w:val="0F1010"/>
          <w:spacing w:val="-11"/>
        </w:rPr>
        <w:t xml:space="preserve"> </w:t>
      </w:r>
      <w:r>
        <w:rPr>
          <w:color w:val="0F1010"/>
        </w:rPr>
        <w:t>possible</w:t>
      </w:r>
      <w:r w:rsidR="0071285F">
        <w:rPr>
          <w:color w:val="0F1010"/>
        </w:rPr>
        <w:t>,</w:t>
      </w:r>
      <w:r>
        <w:rPr>
          <w:color w:val="0F1010"/>
          <w:spacing w:val="-13"/>
        </w:rPr>
        <w:t xml:space="preserve"> </w:t>
      </w:r>
      <w:r>
        <w:rPr>
          <w:color w:val="0F1010"/>
        </w:rPr>
        <w:t>that</w:t>
      </w:r>
      <w:r>
        <w:rPr>
          <w:color w:val="0F1010"/>
          <w:spacing w:val="-14"/>
        </w:rPr>
        <w:t xml:space="preserve"> </w:t>
      </w:r>
      <w:r>
        <w:rPr>
          <w:color w:val="0F1010"/>
        </w:rPr>
        <w:t>operating strategies are developed and implemented effectively for the</w:t>
      </w:r>
      <w:r>
        <w:rPr>
          <w:color w:val="0F1010"/>
          <w:spacing w:val="-6"/>
        </w:rPr>
        <w:t xml:space="preserve"> </w:t>
      </w:r>
      <w:r>
        <w:rPr>
          <w:color w:val="0F1010"/>
        </w:rPr>
        <w:t>Group.</w:t>
      </w:r>
      <w:r w:rsidR="00C932BB">
        <w:rPr>
          <w:color w:val="0F1010"/>
        </w:rPr>
        <w:t xml:space="preserve"> </w:t>
      </w:r>
      <w:r w:rsidR="007574A5">
        <w:rPr>
          <w:color w:val="0F1010"/>
        </w:rPr>
        <w:t>The group has engaged an</w:t>
      </w:r>
      <w:r w:rsidR="00A16C86">
        <w:rPr>
          <w:color w:val="0F1010"/>
        </w:rPr>
        <w:t xml:space="preserve"> experienced</w:t>
      </w:r>
      <w:r w:rsidR="007574A5">
        <w:rPr>
          <w:color w:val="0F1010"/>
        </w:rPr>
        <w:t xml:space="preserve"> interim</w:t>
      </w:r>
      <w:r w:rsidR="00C932BB">
        <w:rPr>
          <w:color w:val="0F1010"/>
        </w:rPr>
        <w:t xml:space="preserve"> COO</w:t>
      </w:r>
      <w:r w:rsidR="007574A5">
        <w:rPr>
          <w:color w:val="0F1010"/>
        </w:rPr>
        <w:t xml:space="preserve"> for </w:t>
      </w:r>
      <w:r w:rsidR="0017121F">
        <w:rPr>
          <w:color w:val="0F1010"/>
        </w:rPr>
        <w:t>2021</w:t>
      </w:r>
      <w:r w:rsidR="007574A5">
        <w:rPr>
          <w:color w:val="0F1010"/>
        </w:rPr>
        <w:t xml:space="preserve">. </w:t>
      </w:r>
      <w:r w:rsidR="0071285F">
        <w:rPr>
          <w:color w:val="0F1010"/>
        </w:rPr>
        <w:t xml:space="preserve"> </w:t>
      </w:r>
    </w:p>
    <w:p w14:paraId="4824AEFD" w14:textId="77777777" w:rsidR="00783288" w:rsidRDefault="00783288">
      <w:pPr>
        <w:pStyle w:val="BodyText"/>
        <w:kinsoku w:val="0"/>
        <w:overflowPunct w:val="0"/>
        <w:spacing w:before="5"/>
        <w:rPr>
          <w:sz w:val="20"/>
          <w:szCs w:val="20"/>
        </w:rPr>
      </w:pPr>
    </w:p>
    <w:p w14:paraId="425A0AC2" w14:textId="77777777" w:rsidR="00783288" w:rsidRDefault="00E31420">
      <w:pPr>
        <w:pStyle w:val="Heading1"/>
        <w:kinsoku w:val="0"/>
        <w:overflowPunct w:val="0"/>
        <w:spacing w:before="1"/>
        <w:jc w:val="both"/>
        <w:rPr>
          <w:color w:val="070808"/>
        </w:rPr>
      </w:pPr>
      <w:r>
        <w:rPr>
          <w:color w:val="070808"/>
        </w:rPr>
        <w:t>RISKS RELATING TO THE NATURAL RESOURCES SECTOR</w:t>
      </w:r>
    </w:p>
    <w:p w14:paraId="135B8F11" w14:textId="77777777" w:rsidR="00783288" w:rsidRDefault="00783288">
      <w:pPr>
        <w:pStyle w:val="BodyText"/>
        <w:kinsoku w:val="0"/>
        <w:overflowPunct w:val="0"/>
        <w:rPr>
          <w:b/>
          <w:bCs/>
          <w:sz w:val="21"/>
          <w:szCs w:val="21"/>
        </w:rPr>
      </w:pPr>
    </w:p>
    <w:p w14:paraId="3A8C49CE" w14:textId="77777777" w:rsidR="00783288" w:rsidRDefault="00E31420">
      <w:pPr>
        <w:pStyle w:val="Heading2"/>
        <w:kinsoku w:val="0"/>
        <w:overflowPunct w:val="0"/>
        <w:ind w:right="1188"/>
        <w:rPr>
          <w:color w:val="030404"/>
        </w:rPr>
      </w:pPr>
      <w:r>
        <w:rPr>
          <w:color w:val="030404"/>
        </w:rPr>
        <w:t>Failure</w:t>
      </w:r>
      <w:r>
        <w:rPr>
          <w:color w:val="030404"/>
          <w:spacing w:val="-12"/>
        </w:rPr>
        <w:t xml:space="preserve"> </w:t>
      </w:r>
      <w:r>
        <w:rPr>
          <w:color w:val="030404"/>
        </w:rPr>
        <w:t>to</w:t>
      </w:r>
      <w:r>
        <w:rPr>
          <w:color w:val="030404"/>
          <w:spacing w:val="-12"/>
        </w:rPr>
        <w:t xml:space="preserve"> </w:t>
      </w:r>
      <w:r>
        <w:rPr>
          <w:color w:val="030404"/>
        </w:rPr>
        <w:t>manage</w:t>
      </w:r>
      <w:r>
        <w:rPr>
          <w:color w:val="030404"/>
          <w:spacing w:val="-12"/>
        </w:rPr>
        <w:t xml:space="preserve"> </w:t>
      </w:r>
      <w:r>
        <w:rPr>
          <w:color w:val="030404"/>
        </w:rPr>
        <w:t>relationships</w:t>
      </w:r>
      <w:r>
        <w:rPr>
          <w:color w:val="030404"/>
          <w:spacing w:val="-12"/>
        </w:rPr>
        <w:t xml:space="preserve"> </w:t>
      </w:r>
      <w:r>
        <w:rPr>
          <w:color w:val="030404"/>
        </w:rPr>
        <w:t>with</w:t>
      </w:r>
      <w:r>
        <w:rPr>
          <w:color w:val="030404"/>
          <w:spacing w:val="-12"/>
        </w:rPr>
        <w:t xml:space="preserve"> </w:t>
      </w:r>
      <w:r>
        <w:rPr>
          <w:color w:val="030404"/>
        </w:rPr>
        <w:t>local</w:t>
      </w:r>
      <w:r>
        <w:rPr>
          <w:color w:val="030404"/>
          <w:spacing w:val="-12"/>
        </w:rPr>
        <w:t xml:space="preserve"> </w:t>
      </w:r>
      <w:r>
        <w:rPr>
          <w:color w:val="030404"/>
        </w:rPr>
        <w:t>communities</w:t>
      </w:r>
      <w:r>
        <w:rPr>
          <w:color w:val="030404"/>
          <w:spacing w:val="-12"/>
        </w:rPr>
        <w:t xml:space="preserve"> </w:t>
      </w:r>
      <w:r>
        <w:rPr>
          <w:color w:val="030404"/>
        </w:rPr>
        <w:t>or</w:t>
      </w:r>
      <w:r>
        <w:rPr>
          <w:color w:val="030404"/>
          <w:spacing w:val="-13"/>
        </w:rPr>
        <w:t xml:space="preserve"> </w:t>
      </w:r>
      <w:r>
        <w:rPr>
          <w:color w:val="030404"/>
        </w:rPr>
        <w:t>government</w:t>
      </w:r>
      <w:r>
        <w:rPr>
          <w:color w:val="030404"/>
          <w:spacing w:val="-12"/>
        </w:rPr>
        <w:t xml:space="preserve"> </w:t>
      </w:r>
      <w:r>
        <w:rPr>
          <w:color w:val="030404"/>
        </w:rPr>
        <w:t>and</w:t>
      </w:r>
      <w:r>
        <w:rPr>
          <w:color w:val="030404"/>
          <w:spacing w:val="-12"/>
        </w:rPr>
        <w:t xml:space="preserve"> </w:t>
      </w:r>
      <w:r>
        <w:rPr>
          <w:color w:val="030404"/>
        </w:rPr>
        <w:t>non-government</w:t>
      </w:r>
      <w:r>
        <w:rPr>
          <w:color w:val="030404"/>
          <w:spacing w:val="-13"/>
        </w:rPr>
        <w:t xml:space="preserve"> </w:t>
      </w:r>
      <w:r>
        <w:rPr>
          <w:color w:val="030404"/>
        </w:rPr>
        <w:t>organisations could adversely affect the Group’s reputation, as well as its ability to advance</w:t>
      </w:r>
      <w:r>
        <w:rPr>
          <w:color w:val="030404"/>
          <w:spacing w:val="-11"/>
        </w:rPr>
        <w:t xml:space="preserve"> </w:t>
      </w:r>
      <w:r>
        <w:rPr>
          <w:color w:val="030404"/>
        </w:rPr>
        <w:t>projects</w:t>
      </w:r>
    </w:p>
    <w:p w14:paraId="32F83A61" w14:textId="77777777" w:rsidR="00783288" w:rsidRDefault="00783288">
      <w:pPr>
        <w:pStyle w:val="BodyText"/>
        <w:kinsoku w:val="0"/>
        <w:overflowPunct w:val="0"/>
        <w:spacing w:before="3"/>
        <w:rPr>
          <w:b/>
          <w:bCs/>
          <w:i/>
          <w:iCs/>
        </w:rPr>
      </w:pPr>
    </w:p>
    <w:p w14:paraId="77E46D35" w14:textId="77777777" w:rsidR="00783288" w:rsidRDefault="00E31420">
      <w:pPr>
        <w:pStyle w:val="BodyText"/>
        <w:kinsoku w:val="0"/>
        <w:overflowPunct w:val="0"/>
        <w:ind w:left="300" w:right="1188"/>
        <w:jc w:val="both"/>
        <w:rPr>
          <w:color w:val="030404"/>
        </w:rPr>
      </w:pPr>
      <w:r>
        <w:rPr>
          <w:color w:val="030404"/>
        </w:rPr>
        <w:t>There</w:t>
      </w:r>
      <w:r>
        <w:rPr>
          <w:color w:val="030404"/>
          <w:spacing w:val="-6"/>
        </w:rPr>
        <w:t xml:space="preserve"> </w:t>
      </w:r>
      <w:r>
        <w:rPr>
          <w:color w:val="030404"/>
        </w:rPr>
        <w:t>are</w:t>
      </w:r>
      <w:r>
        <w:rPr>
          <w:color w:val="030404"/>
          <w:spacing w:val="-6"/>
        </w:rPr>
        <w:t xml:space="preserve"> </w:t>
      </w:r>
      <w:r>
        <w:rPr>
          <w:color w:val="030404"/>
        </w:rPr>
        <w:t>two</w:t>
      </w:r>
      <w:r>
        <w:rPr>
          <w:color w:val="030404"/>
          <w:spacing w:val="-6"/>
        </w:rPr>
        <w:t xml:space="preserve"> </w:t>
      </w:r>
      <w:r>
        <w:rPr>
          <w:color w:val="030404"/>
        </w:rPr>
        <w:t>villages</w:t>
      </w:r>
      <w:r>
        <w:rPr>
          <w:color w:val="030404"/>
          <w:spacing w:val="-6"/>
        </w:rPr>
        <w:t xml:space="preserve"> </w:t>
      </w:r>
      <w:r>
        <w:rPr>
          <w:color w:val="030404"/>
        </w:rPr>
        <w:t>located</w:t>
      </w:r>
      <w:r>
        <w:rPr>
          <w:color w:val="030404"/>
          <w:spacing w:val="-9"/>
        </w:rPr>
        <w:t xml:space="preserve"> </w:t>
      </w:r>
      <w:r>
        <w:rPr>
          <w:color w:val="030404"/>
        </w:rPr>
        <w:t>in</w:t>
      </w:r>
      <w:r>
        <w:rPr>
          <w:color w:val="030404"/>
          <w:spacing w:val="-6"/>
        </w:rPr>
        <w:t xml:space="preserve"> </w:t>
      </w:r>
      <w:r>
        <w:rPr>
          <w:color w:val="030404"/>
        </w:rPr>
        <w:t>proximity</w:t>
      </w:r>
      <w:r>
        <w:rPr>
          <w:color w:val="030404"/>
          <w:spacing w:val="-8"/>
        </w:rPr>
        <w:t xml:space="preserve"> </w:t>
      </w:r>
      <w:r>
        <w:rPr>
          <w:color w:val="030404"/>
        </w:rPr>
        <w:t>to</w:t>
      </w:r>
      <w:r>
        <w:rPr>
          <w:color w:val="030404"/>
          <w:spacing w:val="-6"/>
        </w:rPr>
        <w:t xml:space="preserve"> </w:t>
      </w:r>
      <w:r>
        <w:rPr>
          <w:color w:val="030404"/>
        </w:rPr>
        <w:t>the</w:t>
      </w:r>
      <w:r>
        <w:rPr>
          <w:color w:val="030404"/>
          <w:spacing w:val="-6"/>
        </w:rPr>
        <w:t xml:space="preserve"> </w:t>
      </w:r>
      <w:r>
        <w:rPr>
          <w:color w:val="030404"/>
        </w:rPr>
        <w:t>Group’s</w:t>
      </w:r>
      <w:r>
        <w:rPr>
          <w:color w:val="030404"/>
          <w:spacing w:val="-6"/>
        </w:rPr>
        <w:t xml:space="preserve"> </w:t>
      </w:r>
      <w:r>
        <w:rPr>
          <w:color w:val="030404"/>
        </w:rPr>
        <w:t>Troodos</w:t>
      </w:r>
      <w:r>
        <w:rPr>
          <w:color w:val="030404"/>
          <w:spacing w:val="-13"/>
        </w:rPr>
        <w:t xml:space="preserve"> </w:t>
      </w:r>
      <w:r>
        <w:rPr>
          <w:color w:val="030404"/>
        </w:rPr>
        <w:t>West</w:t>
      </w:r>
      <w:r>
        <w:rPr>
          <w:color w:val="030404"/>
          <w:spacing w:val="-6"/>
        </w:rPr>
        <w:t xml:space="preserve"> </w:t>
      </w:r>
      <w:r>
        <w:rPr>
          <w:color w:val="030404"/>
        </w:rPr>
        <w:t>licence</w:t>
      </w:r>
      <w:r>
        <w:rPr>
          <w:color w:val="030404"/>
          <w:spacing w:val="-8"/>
        </w:rPr>
        <w:t xml:space="preserve"> </w:t>
      </w:r>
      <w:r>
        <w:rPr>
          <w:color w:val="030404"/>
        </w:rPr>
        <w:t>area</w:t>
      </w:r>
      <w:r>
        <w:rPr>
          <w:color w:val="030404"/>
          <w:spacing w:val="-6"/>
        </w:rPr>
        <w:t xml:space="preserve"> </w:t>
      </w:r>
      <w:r>
        <w:rPr>
          <w:color w:val="030404"/>
        </w:rPr>
        <w:t>(at</w:t>
      </w:r>
      <w:r>
        <w:rPr>
          <w:color w:val="030404"/>
          <w:spacing w:val="-6"/>
        </w:rPr>
        <w:t xml:space="preserve"> </w:t>
      </w:r>
      <w:proofErr w:type="spellStart"/>
      <w:r>
        <w:rPr>
          <w:color w:val="030404"/>
        </w:rPr>
        <w:t>Kinousa</w:t>
      </w:r>
      <w:proofErr w:type="spellEnd"/>
      <w:r>
        <w:rPr>
          <w:color w:val="030404"/>
          <w:spacing w:val="-9"/>
        </w:rPr>
        <w:t xml:space="preserve"> </w:t>
      </w:r>
      <w:r>
        <w:rPr>
          <w:color w:val="030404"/>
        </w:rPr>
        <w:t>between</w:t>
      </w:r>
      <w:r>
        <w:rPr>
          <w:color w:val="030404"/>
          <w:spacing w:val="-6"/>
        </w:rPr>
        <w:t xml:space="preserve"> </w:t>
      </w:r>
      <w:r>
        <w:rPr>
          <w:color w:val="030404"/>
        </w:rPr>
        <w:t xml:space="preserve">AE4659 and AE3661 and </w:t>
      </w:r>
      <w:proofErr w:type="spellStart"/>
      <w:r>
        <w:rPr>
          <w:color w:val="030404"/>
        </w:rPr>
        <w:t>Lysos</w:t>
      </w:r>
      <w:proofErr w:type="spellEnd"/>
      <w:r>
        <w:rPr>
          <w:color w:val="030404"/>
        </w:rPr>
        <w:t xml:space="preserve"> within AE4664) (“</w:t>
      </w:r>
      <w:r>
        <w:rPr>
          <w:b/>
          <w:bCs/>
          <w:color w:val="030404"/>
        </w:rPr>
        <w:t>Local Villages</w:t>
      </w:r>
      <w:r>
        <w:rPr>
          <w:color w:val="030404"/>
        </w:rPr>
        <w:t>”), but these have been specifically carved out of the licence area with a buffer space between the Local Villages and the beginning of the licence areas. Despite this, there is a risk that local communities, such as those at the Local Villages, or at new sites the Group may seek to explore may regard the Group’s exploration operations as detrimental to their environmental</w:t>
      </w:r>
      <w:r>
        <w:rPr>
          <w:color w:val="3D3C3E"/>
        </w:rPr>
        <w:t xml:space="preserve">, </w:t>
      </w:r>
      <w:r>
        <w:rPr>
          <w:color w:val="030404"/>
        </w:rPr>
        <w:t>economic or social circumstances and seek to object to the Group’s activities. Negative community reaction to such operations could cause impediment or delay to the Group’s operations which in turn may have an adverse impact on the cost, profitability, ability to finance or even the viability of an</w:t>
      </w:r>
      <w:r>
        <w:rPr>
          <w:color w:val="030404"/>
          <w:spacing w:val="-6"/>
        </w:rPr>
        <w:t xml:space="preserve"> </w:t>
      </w:r>
      <w:r>
        <w:rPr>
          <w:color w:val="030404"/>
        </w:rPr>
        <w:t>operation.</w:t>
      </w:r>
    </w:p>
    <w:p w14:paraId="113E7F85" w14:textId="77777777" w:rsidR="00783288" w:rsidRDefault="00783288">
      <w:pPr>
        <w:pStyle w:val="BodyText"/>
        <w:kinsoku w:val="0"/>
        <w:overflowPunct w:val="0"/>
        <w:spacing w:before="10"/>
        <w:rPr>
          <w:sz w:val="17"/>
          <w:szCs w:val="17"/>
        </w:rPr>
      </w:pPr>
    </w:p>
    <w:p w14:paraId="25AECF22" w14:textId="77777777" w:rsidR="00783288" w:rsidRDefault="00E31420">
      <w:pPr>
        <w:pStyle w:val="BodyText"/>
        <w:kinsoku w:val="0"/>
        <w:overflowPunct w:val="0"/>
        <w:spacing w:before="1"/>
        <w:ind w:left="300" w:right="1189"/>
        <w:jc w:val="both"/>
        <w:rPr>
          <w:color w:val="030404"/>
        </w:rPr>
      </w:pPr>
      <w:r>
        <w:rPr>
          <w:color w:val="030404"/>
        </w:rPr>
        <w:t>However, the Group has been operating in Cyprus for over two years and has a good relationship with the local communities</w:t>
      </w:r>
      <w:r>
        <w:rPr>
          <w:color w:val="030404"/>
          <w:spacing w:val="-9"/>
        </w:rPr>
        <w:t xml:space="preserve"> </w:t>
      </w:r>
      <w:r>
        <w:rPr>
          <w:color w:val="030404"/>
        </w:rPr>
        <w:t>and</w:t>
      </w:r>
      <w:r>
        <w:rPr>
          <w:color w:val="030404"/>
          <w:spacing w:val="-10"/>
        </w:rPr>
        <w:t xml:space="preserve"> </w:t>
      </w:r>
      <w:r>
        <w:rPr>
          <w:color w:val="030404"/>
        </w:rPr>
        <w:t>mayors</w:t>
      </w:r>
      <w:r>
        <w:rPr>
          <w:color w:val="030404"/>
          <w:spacing w:val="-9"/>
        </w:rPr>
        <w:t xml:space="preserve"> </w:t>
      </w:r>
      <w:r>
        <w:rPr>
          <w:color w:val="030404"/>
        </w:rPr>
        <w:t>of</w:t>
      </w:r>
      <w:r>
        <w:rPr>
          <w:color w:val="030404"/>
          <w:spacing w:val="-9"/>
        </w:rPr>
        <w:t xml:space="preserve"> </w:t>
      </w:r>
      <w:r>
        <w:rPr>
          <w:color w:val="030404"/>
        </w:rPr>
        <w:t>the</w:t>
      </w:r>
      <w:r>
        <w:rPr>
          <w:color w:val="030404"/>
          <w:spacing w:val="-10"/>
        </w:rPr>
        <w:t xml:space="preserve"> </w:t>
      </w:r>
      <w:r>
        <w:rPr>
          <w:color w:val="030404"/>
        </w:rPr>
        <w:t>Local</w:t>
      </w:r>
      <w:r>
        <w:rPr>
          <w:color w:val="030404"/>
          <w:spacing w:val="-9"/>
        </w:rPr>
        <w:t xml:space="preserve"> </w:t>
      </w:r>
      <w:r>
        <w:rPr>
          <w:color w:val="030404"/>
        </w:rPr>
        <w:t>Villages.</w:t>
      </w:r>
      <w:r>
        <w:rPr>
          <w:color w:val="030404"/>
          <w:spacing w:val="-9"/>
        </w:rPr>
        <w:t xml:space="preserve"> </w:t>
      </w:r>
      <w:r>
        <w:rPr>
          <w:color w:val="030404"/>
        </w:rPr>
        <w:t>There</w:t>
      </w:r>
      <w:r>
        <w:rPr>
          <w:color w:val="030404"/>
          <w:spacing w:val="-10"/>
        </w:rPr>
        <w:t xml:space="preserve"> </w:t>
      </w:r>
      <w:r>
        <w:rPr>
          <w:color w:val="030404"/>
        </w:rPr>
        <w:t>is</w:t>
      </w:r>
      <w:r>
        <w:rPr>
          <w:color w:val="030404"/>
          <w:spacing w:val="-8"/>
        </w:rPr>
        <w:t xml:space="preserve"> </w:t>
      </w:r>
      <w:r>
        <w:rPr>
          <w:color w:val="030404"/>
        </w:rPr>
        <w:t>sufficient</w:t>
      </w:r>
      <w:r>
        <w:rPr>
          <w:color w:val="030404"/>
          <w:spacing w:val="-10"/>
        </w:rPr>
        <w:t xml:space="preserve"> </w:t>
      </w:r>
      <w:r>
        <w:rPr>
          <w:color w:val="030404"/>
        </w:rPr>
        <w:t>distance</w:t>
      </w:r>
      <w:r>
        <w:rPr>
          <w:color w:val="030404"/>
          <w:spacing w:val="-10"/>
        </w:rPr>
        <w:t xml:space="preserve"> </w:t>
      </w:r>
      <w:r>
        <w:rPr>
          <w:color w:val="030404"/>
        </w:rPr>
        <w:t>between</w:t>
      </w:r>
      <w:r>
        <w:rPr>
          <w:color w:val="030404"/>
          <w:spacing w:val="-9"/>
        </w:rPr>
        <w:t xml:space="preserve"> </w:t>
      </w:r>
      <w:r>
        <w:rPr>
          <w:color w:val="030404"/>
        </w:rPr>
        <w:t>the</w:t>
      </w:r>
      <w:r>
        <w:rPr>
          <w:color w:val="030404"/>
          <w:spacing w:val="-10"/>
        </w:rPr>
        <w:t xml:space="preserve"> </w:t>
      </w:r>
      <w:r>
        <w:rPr>
          <w:color w:val="030404"/>
        </w:rPr>
        <w:t>Local</w:t>
      </w:r>
      <w:r>
        <w:rPr>
          <w:color w:val="030404"/>
          <w:spacing w:val="-10"/>
        </w:rPr>
        <w:t xml:space="preserve"> </w:t>
      </w:r>
      <w:r>
        <w:rPr>
          <w:color w:val="030404"/>
        </w:rPr>
        <w:t>Villages</w:t>
      </w:r>
      <w:r>
        <w:rPr>
          <w:color w:val="030404"/>
          <w:spacing w:val="-8"/>
        </w:rPr>
        <w:t xml:space="preserve"> </w:t>
      </w:r>
      <w:r>
        <w:rPr>
          <w:color w:val="030404"/>
        </w:rPr>
        <w:t>and</w:t>
      </w:r>
      <w:r>
        <w:rPr>
          <w:color w:val="030404"/>
          <w:spacing w:val="-10"/>
        </w:rPr>
        <w:t xml:space="preserve"> </w:t>
      </w:r>
      <w:r>
        <w:rPr>
          <w:color w:val="030404"/>
        </w:rPr>
        <w:t>the</w:t>
      </w:r>
      <w:r>
        <w:rPr>
          <w:color w:val="030404"/>
          <w:spacing w:val="-10"/>
        </w:rPr>
        <w:t xml:space="preserve"> </w:t>
      </w:r>
      <w:r>
        <w:rPr>
          <w:color w:val="030404"/>
        </w:rPr>
        <w:t>start of the licence areas such that it is unlikely for noise or dust to impact these communities and the Prospecting Permits were granted by the Mines Service having taken these factors into account. There are no current issues between</w:t>
      </w:r>
      <w:r>
        <w:rPr>
          <w:color w:val="030404"/>
          <w:spacing w:val="-7"/>
        </w:rPr>
        <w:t xml:space="preserve"> </w:t>
      </w:r>
      <w:r>
        <w:rPr>
          <w:color w:val="030404"/>
        </w:rPr>
        <w:t>the</w:t>
      </w:r>
      <w:r>
        <w:rPr>
          <w:color w:val="030404"/>
          <w:spacing w:val="-6"/>
        </w:rPr>
        <w:t xml:space="preserve"> </w:t>
      </w:r>
      <w:r>
        <w:rPr>
          <w:color w:val="030404"/>
        </w:rPr>
        <w:t>Group</w:t>
      </w:r>
      <w:r>
        <w:rPr>
          <w:color w:val="030404"/>
          <w:spacing w:val="-6"/>
        </w:rPr>
        <w:t xml:space="preserve"> </w:t>
      </w:r>
      <w:r>
        <w:rPr>
          <w:color w:val="030404"/>
        </w:rPr>
        <w:t>and</w:t>
      </w:r>
      <w:r>
        <w:rPr>
          <w:color w:val="030404"/>
          <w:spacing w:val="-7"/>
        </w:rPr>
        <w:t xml:space="preserve"> </w:t>
      </w:r>
      <w:r>
        <w:rPr>
          <w:color w:val="030404"/>
        </w:rPr>
        <w:t>any</w:t>
      </w:r>
      <w:r>
        <w:rPr>
          <w:color w:val="030404"/>
          <w:spacing w:val="-8"/>
        </w:rPr>
        <w:t xml:space="preserve"> </w:t>
      </w:r>
      <w:r>
        <w:rPr>
          <w:color w:val="030404"/>
        </w:rPr>
        <w:t>local</w:t>
      </w:r>
      <w:r>
        <w:rPr>
          <w:color w:val="030404"/>
          <w:spacing w:val="-9"/>
        </w:rPr>
        <w:t xml:space="preserve"> </w:t>
      </w:r>
      <w:r>
        <w:rPr>
          <w:color w:val="030404"/>
        </w:rPr>
        <w:t>communities</w:t>
      </w:r>
      <w:r>
        <w:rPr>
          <w:color w:val="030404"/>
          <w:spacing w:val="-6"/>
        </w:rPr>
        <w:t xml:space="preserve"> </w:t>
      </w:r>
      <w:r>
        <w:rPr>
          <w:color w:val="030404"/>
        </w:rPr>
        <w:t>which</w:t>
      </w:r>
      <w:r>
        <w:rPr>
          <w:color w:val="030404"/>
          <w:spacing w:val="-6"/>
        </w:rPr>
        <w:t xml:space="preserve"> </w:t>
      </w:r>
      <w:r>
        <w:rPr>
          <w:color w:val="030404"/>
        </w:rPr>
        <w:t>are</w:t>
      </w:r>
      <w:r>
        <w:rPr>
          <w:color w:val="030404"/>
          <w:spacing w:val="-9"/>
        </w:rPr>
        <w:t xml:space="preserve"> </w:t>
      </w:r>
      <w:r>
        <w:rPr>
          <w:color w:val="030404"/>
        </w:rPr>
        <w:t>likely</w:t>
      </w:r>
      <w:r>
        <w:rPr>
          <w:color w:val="030404"/>
          <w:spacing w:val="-9"/>
        </w:rPr>
        <w:t xml:space="preserve"> </w:t>
      </w:r>
      <w:r>
        <w:rPr>
          <w:color w:val="030404"/>
        </w:rPr>
        <w:t>to</w:t>
      </w:r>
      <w:r>
        <w:rPr>
          <w:color w:val="030404"/>
          <w:spacing w:val="-4"/>
        </w:rPr>
        <w:t xml:space="preserve"> </w:t>
      </w:r>
      <w:r>
        <w:rPr>
          <w:color w:val="030404"/>
        </w:rPr>
        <w:t>have</w:t>
      </w:r>
      <w:r>
        <w:rPr>
          <w:color w:val="030404"/>
          <w:spacing w:val="-6"/>
        </w:rPr>
        <w:t xml:space="preserve"> </w:t>
      </w:r>
      <w:r>
        <w:rPr>
          <w:color w:val="030404"/>
        </w:rPr>
        <w:t>an</w:t>
      </w:r>
      <w:r>
        <w:rPr>
          <w:color w:val="030404"/>
          <w:spacing w:val="-9"/>
        </w:rPr>
        <w:t xml:space="preserve"> </w:t>
      </w:r>
      <w:r>
        <w:rPr>
          <w:color w:val="030404"/>
        </w:rPr>
        <w:t>adverse</w:t>
      </w:r>
      <w:r>
        <w:rPr>
          <w:color w:val="030404"/>
          <w:spacing w:val="-9"/>
        </w:rPr>
        <w:t xml:space="preserve"> </w:t>
      </w:r>
      <w:r>
        <w:rPr>
          <w:color w:val="030404"/>
        </w:rPr>
        <w:t>impact</w:t>
      </w:r>
      <w:r>
        <w:rPr>
          <w:color w:val="030404"/>
          <w:spacing w:val="-7"/>
        </w:rPr>
        <w:t xml:space="preserve"> </w:t>
      </w:r>
      <w:r>
        <w:rPr>
          <w:color w:val="030404"/>
        </w:rPr>
        <w:t>on</w:t>
      </w:r>
      <w:r>
        <w:rPr>
          <w:color w:val="030404"/>
          <w:spacing w:val="-6"/>
        </w:rPr>
        <w:t xml:space="preserve"> </w:t>
      </w:r>
      <w:r>
        <w:rPr>
          <w:color w:val="030404"/>
        </w:rPr>
        <w:t>the</w:t>
      </w:r>
      <w:r>
        <w:rPr>
          <w:color w:val="030404"/>
          <w:spacing w:val="-6"/>
        </w:rPr>
        <w:t xml:space="preserve"> </w:t>
      </w:r>
      <w:r>
        <w:rPr>
          <w:color w:val="030404"/>
        </w:rPr>
        <w:t>Group.</w:t>
      </w:r>
      <w:r>
        <w:rPr>
          <w:color w:val="030404"/>
          <w:spacing w:val="-6"/>
        </w:rPr>
        <w:t xml:space="preserve"> </w:t>
      </w:r>
      <w:r>
        <w:rPr>
          <w:color w:val="030404"/>
        </w:rPr>
        <w:t>There</w:t>
      </w:r>
      <w:r>
        <w:rPr>
          <w:color w:val="030404"/>
          <w:spacing w:val="-7"/>
        </w:rPr>
        <w:t xml:space="preserve"> </w:t>
      </w:r>
      <w:r>
        <w:rPr>
          <w:color w:val="030404"/>
        </w:rPr>
        <w:t>are also no significant communities within the Group’s Troodos North and Discovery South licence areas. Despite these factors, there remains a risk that issues could arise in future, whether in relation to the Local Villages or in new areas which the Group may explore which may have an adverse impact on the Group’s</w:t>
      </w:r>
      <w:r>
        <w:rPr>
          <w:color w:val="030404"/>
          <w:spacing w:val="-24"/>
        </w:rPr>
        <w:t xml:space="preserve"> </w:t>
      </w:r>
      <w:r>
        <w:rPr>
          <w:color w:val="030404"/>
        </w:rPr>
        <w:t>operations.</w:t>
      </w:r>
    </w:p>
    <w:p w14:paraId="3E4D1F92" w14:textId="77777777" w:rsidR="00783288" w:rsidRDefault="00783288">
      <w:pPr>
        <w:pStyle w:val="BodyText"/>
        <w:kinsoku w:val="0"/>
        <w:overflowPunct w:val="0"/>
        <w:spacing w:before="10"/>
        <w:rPr>
          <w:sz w:val="17"/>
          <w:szCs w:val="17"/>
        </w:rPr>
      </w:pPr>
    </w:p>
    <w:p w14:paraId="6BECAC4B" w14:textId="46E765CA" w:rsidR="00265B0E" w:rsidRDefault="00E31420" w:rsidP="00F73D14">
      <w:pPr>
        <w:pStyle w:val="BodyText"/>
        <w:kinsoku w:val="0"/>
        <w:overflowPunct w:val="0"/>
        <w:spacing w:before="1"/>
        <w:ind w:left="284" w:right="1191"/>
        <w:jc w:val="both"/>
        <w:rPr>
          <w:color w:val="030404"/>
        </w:rPr>
      </w:pPr>
      <w:r>
        <w:rPr>
          <w:color w:val="030404"/>
        </w:rPr>
        <w:t>In</w:t>
      </w:r>
      <w:r>
        <w:rPr>
          <w:color w:val="030404"/>
          <w:spacing w:val="-5"/>
        </w:rPr>
        <w:t xml:space="preserve"> </w:t>
      </w:r>
      <w:r>
        <w:rPr>
          <w:color w:val="030404"/>
        </w:rPr>
        <w:t>addition,</w:t>
      </w:r>
      <w:r>
        <w:rPr>
          <w:color w:val="030404"/>
          <w:spacing w:val="-7"/>
        </w:rPr>
        <w:t xml:space="preserve"> </w:t>
      </w:r>
      <w:r>
        <w:rPr>
          <w:color w:val="030404"/>
        </w:rPr>
        <w:t>drilling</w:t>
      </w:r>
      <w:r>
        <w:rPr>
          <w:color w:val="030404"/>
          <w:spacing w:val="-4"/>
        </w:rPr>
        <w:t xml:space="preserve"> </w:t>
      </w:r>
      <w:r>
        <w:rPr>
          <w:color w:val="030404"/>
        </w:rPr>
        <w:t>holes</w:t>
      </w:r>
      <w:r>
        <w:rPr>
          <w:color w:val="030404"/>
          <w:spacing w:val="-4"/>
        </w:rPr>
        <w:t xml:space="preserve"> </w:t>
      </w:r>
      <w:r>
        <w:rPr>
          <w:color w:val="030404"/>
        </w:rPr>
        <w:t>in</w:t>
      </w:r>
      <w:r>
        <w:rPr>
          <w:color w:val="030404"/>
          <w:spacing w:val="-5"/>
        </w:rPr>
        <w:t xml:space="preserve"> </w:t>
      </w:r>
      <w:r>
        <w:rPr>
          <w:color w:val="030404"/>
        </w:rPr>
        <w:t>new</w:t>
      </w:r>
      <w:r>
        <w:rPr>
          <w:color w:val="030404"/>
          <w:spacing w:val="-7"/>
        </w:rPr>
        <w:t xml:space="preserve"> </w:t>
      </w:r>
      <w:r>
        <w:rPr>
          <w:color w:val="030404"/>
        </w:rPr>
        <w:t>areas</w:t>
      </w:r>
      <w:r>
        <w:rPr>
          <w:color w:val="030404"/>
          <w:spacing w:val="-4"/>
        </w:rPr>
        <w:t xml:space="preserve"> </w:t>
      </w:r>
      <w:r>
        <w:rPr>
          <w:color w:val="030404"/>
        </w:rPr>
        <w:t>of</w:t>
      </w:r>
      <w:r>
        <w:rPr>
          <w:color w:val="030404"/>
          <w:spacing w:val="-7"/>
        </w:rPr>
        <w:t xml:space="preserve"> </w:t>
      </w:r>
      <w:r>
        <w:rPr>
          <w:color w:val="030404"/>
        </w:rPr>
        <w:t>the</w:t>
      </w:r>
      <w:r>
        <w:rPr>
          <w:color w:val="030404"/>
          <w:spacing w:val="-6"/>
        </w:rPr>
        <w:t xml:space="preserve"> </w:t>
      </w:r>
      <w:r>
        <w:rPr>
          <w:color w:val="030404"/>
        </w:rPr>
        <w:t>Group’s</w:t>
      </w:r>
      <w:r>
        <w:rPr>
          <w:color w:val="030404"/>
          <w:spacing w:val="-4"/>
        </w:rPr>
        <w:t xml:space="preserve"> </w:t>
      </w:r>
      <w:r>
        <w:rPr>
          <w:color w:val="030404"/>
        </w:rPr>
        <w:t>Portfolio</w:t>
      </w:r>
      <w:r>
        <w:rPr>
          <w:color w:val="030404"/>
          <w:spacing w:val="-5"/>
        </w:rPr>
        <w:t xml:space="preserve"> </w:t>
      </w:r>
      <w:r>
        <w:rPr>
          <w:color w:val="030404"/>
        </w:rPr>
        <w:t>(such</w:t>
      </w:r>
      <w:r>
        <w:rPr>
          <w:color w:val="030404"/>
          <w:spacing w:val="-6"/>
        </w:rPr>
        <w:t xml:space="preserve"> </w:t>
      </w:r>
      <w:r>
        <w:rPr>
          <w:color w:val="030404"/>
        </w:rPr>
        <w:t>as</w:t>
      </w:r>
      <w:r>
        <w:rPr>
          <w:color w:val="030404"/>
          <w:spacing w:val="-7"/>
        </w:rPr>
        <w:t xml:space="preserve"> </w:t>
      </w:r>
      <w:r>
        <w:rPr>
          <w:color w:val="030404"/>
        </w:rPr>
        <w:t>Discovery</w:t>
      </w:r>
      <w:r>
        <w:rPr>
          <w:color w:val="030404"/>
          <w:spacing w:val="-6"/>
        </w:rPr>
        <w:t xml:space="preserve"> </w:t>
      </w:r>
      <w:r>
        <w:rPr>
          <w:color w:val="030404"/>
        </w:rPr>
        <w:t>South)</w:t>
      </w:r>
      <w:r>
        <w:rPr>
          <w:color w:val="030404"/>
          <w:spacing w:val="-5"/>
        </w:rPr>
        <w:t xml:space="preserve"> </w:t>
      </w:r>
      <w:r>
        <w:rPr>
          <w:color w:val="030404"/>
        </w:rPr>
        <w:t>requires</w:t>
      </w:r>
      <w:r>
        <w:rPr>
          <w:color w:val="030404"/>
          <w:spacing w:val="-4"/>
        </w:rPr>
        <w:t xml:space="preserve"> </w:t>
      </w:r>
      <w:r>
        <w:rPr>
          <w:color w:val="030404"/>
        </w:rPr>
        <w:t>permission</w:t>
      </w:r>
      <w:r>
        <w:rPr>
          <w:color w:val="030404"/>
          <w:spacing w:val="-6"/>
        </w:rPr>
        <w:t xml:space="preserve"> </w:t>
      </w:r>
      <w:r>
        <w:rPr>
          <w:color w:val="030404"/>
        </w:rPr>
        <w:t xml:space="preserve">from </w:t>
      </w:r>
      <w:proofErr w:type="gramStart"/>
      <w:r>
        <w:rPr>
          <w:color w:val="030404"/>
        </w:rPr>
        <w:lastRenderedPageBreak/>
        <w:t>land</w:t>
      </w:r>
      <w:r>
        <w:rPr>
          <w:color w:val="030404"/>
          <w:spacing w:val="-4"/>
        </w:rPr>
        <w:t xml:space="preserve"> </w:t>
      </w:r>
      <w:r>
        <w:rPr>
          <w:color w:val="030404"/>
        </w:rPr>
        <w:t>owners</w:t>
      </w:r>
      <w:proofErr w:type="gramEnd"/>
      <w:r>
        <w:rPr>
          <w:color w:val="030404"/>
          <w:spacing w:val="-3"/>
        </w:rPr>
        <w:t xml:space="preserve"> </w:t>
      </w:r>
      <w:r>
        <w:rPr>
          <w:color w:val="030404"/>
        </w:rPr>
        <w:t>holding</w:t>
      </w:r>
      <w:r>
        <w:rPr>
          <w:color w:val="030404"/>
          <w:spacing w:val="-4"/>
        </w:rPr>
        <w:t xml:space="preserve"> </w:t>
      </w:r>
      <w:r>
        <w:rPr>
          <w:color w:val="030404"/>
        </w:rPr>
        <w:t>surface</w:t>
      </w:r>
      <w:r>
        <w:rPr>
          <w:color w:val="030404"/>
          <w:spacing w:val="-4"/>
        </w:rPr>
        <w:t xml:space="preserve"> </w:t>
      </w:r>
      <w:r>
        <w:rPr>
          <w:color w:val="030404"/>
        </w:rPr>
        <w:t>rights</w:t>
      </w:r>
      <w:r>
        <w:rPr>
          <w:color w:val="030404"/>
          <w:spacing w:val="-3"/>
        </w:rPr>
        <w:t xml:space="preserve"> </w:t>
      </w:r>
      <w:r>
        <w:rPr>
          <w:color w:val="030404"/>
        </w:rPr>
        <w:t>over</w:t>
      </w:r>
      <w:r>
        <w:rPr>
          <w:color w:val="030404"/>
          <w:spacing w:val="-3"/>
        </w:rPr>
        <w:t xml:space="preserve"> </w:t>
      </w:r>
      <w:r>
        <w:rPr>
          <w:color w:val="030404"/>
        </w:rPr>
        <w:t>the</w:t>
      </w:r>
      <w:r>
        <w:rPr>
          <w:color w:val="030404"/>
          <w:spacing w:val="-4"/>
        </w:rPr>
        <w:t xml:space="preserve"> </w:t>
      </w:r>
      <w:r>
        <w:rPr>
          <w:color w:val="030404"/>
        </w:rPr>
        <w:t>relevant</w:t>
      </w:r>
      <w:r>
        <w:rPr>
          <w:color w:val="030404"/>
          <w:spacing w:val="-6"/>
        </w:rPr>
        <w:t xml:space="preserve"> </w:t>
      </w:r>
      <w:r>
        <w:rPr>
          <w:color w:val="030404"/>
        </w:rPr>
        <w:t>land,</w:t>
      </w:r>
      <w:r>
        <w:rPr>
          <w:color w:val="030404"/>
          <w:spacing w:val="-4"/>
        </w:rPr>
        <w:t xml:space="preserve"> </w:t>
      </w:r>
      <w:r>
        <w:rPr>
          <w:color w:val="030404"/>
        </w:rPr>
        <w:t>in</w:t>
      </w:r>
      <w:r>
        <w:rPr>
          <w:color w:val="030404"/>
          <w:spacing w:val="-5"/>
        </w:rPr>
        <w:t xml:space="preserve"> </w:t>
      </w:r>
      <w:r>
        <w:rPr>
          <w:color w:val="030404"/>
        </w:rPr>
        <w:t>order</w:t>
      </w:r>
      <w:r>
        <w:rPr>
          <w:color w:val="030404"/>
          <w:spacing w:val="-4"/>
        </w:rPr>
        <w:t xml:space="preserve"> </w:t>
      </w:r>
      <w:r>
        <w:rPr>
          <w:color w:val="030404"/>
        </w:rPr>
        <w:t>to</w:t>
      </w:r>
      <w:r>
        <w:rPr>
          <w:color w:val="030404"/>
          <w:spacing w:val="-4"/>
        </w:rPr>
        <w:t xml:space="preserve"> </w:t>
      </w:r>
      <w:r>
        <w:rPr>
          <w:color w:val="030404"/>
        </w:rPr>
        <w:t>gain</w:t>
      </w:r>
      <w:r>
        <w:rPr>
          <w:color w:val="030404"/>
          <w:spacing w:val="-4"/>
        </w:rPr>
        <w:t xml:space="preserve"> </w:t>
      </w:r>
      <w:r>
        <w:rPr>
          <w:color w:val="030404"/>
        </w:rPr>
        <w:t>access</w:t>
      </w:r>
      <w:r>
        <w:rPr>
          <w:color w:val="030404"/>
          <w:spacing w:val="-2"/>
        </w:rPr>
        <w:t xml:space="preserve"> </w:t>
      </w:r>
      <w:r>
        <w:rPr>
          <w:color w:val="030404"/>
        </w:rPr>
        <w:t>for</w:t>
      </w:r>
      <w:r>
        <w:rPr>
          <w:color w:val="030404"/>
          <w:spacing w:val="-4"/>
        </w:rPr>
        <w:t xml:space="preserve"> </w:t>
      </w:r>
      <w:r>
        <w:rPr>
          <w:color w:val="030404"/>
        </w:rPr>
        <w:t>drilling</w:t>
      </w:r>
      <w:r>
        <w:rPr>
          <w:color w:val="030404"/>
          <w:spacing w:val="-6"/>
        </w:rPr>
        <w:t xml:space="preserve"> </w:t>
      </w:r>
      <w:r>
        <w:rPr>
          <w:color w:val="030404"/>
        </w:rPr>
        <w:t>(on</w:t>
      </w:r>
      <w:r>
        <w:rPr>
          <w:color w:val="030404"/>
          <w:spacing w:val="-4"/>
        </w:rPr>
        <w:t xml:space="preserve"> </w:t>
      </w:r>
      <w:r>
        <w:rPr>
          <w:color w:val="030404"/>
        </w:rPr>
        <w:t>top</w:t>
      </w:r>
      <w:r>
        <w:rPr>
          <w:color w:val="030404"/>
          <w:spacing w:val="-4"/>
        </w:rPr>
        <w:t xml:space="preserve"> </w:t>
      </w:r>
      <w:r>
        <w:rPr>
          <w:color w:val="030404"/>
        </w:rPr>
        <w:t>of</w:t>
      </w:r>
      <w:r>
        <w:rPr>
          <w:color w:val="030404"/>
          <w:spacing w:val="-3"/>
        </w:rPr>
        <w:t xml:space="preserve"> </w:t>
      </w:r>
      <w:r>
        <w:rPr>
          <w:color w:val="030404"/>
        </w:rPr>
        <w:t>the</w:t>
      </w:r>
      <w:r>
        <w:rPr>
          <w:color w:val="030404"/>
          <w:spacing w:val="-4"/>
        </w:rPr>
        <w:t xml:space="preserve"> </w:t>
      </w:r>
      <w:r>
        <w:rPr>
          <w:color w:val="030404"/>
        </w:rPr>
        <w:t>relevant Prospecting</w:t>
      </w:r>
      <w:r>
        <w:rPr>
          <w:color w:val="030404"/>
          <w:spacing w:val="-5"/>
        </w:rPr>
        <w:t xml:space="preserve"> </w:t>
      </w:r>
      <w:r>
        <w:rPr>
          <w:color w:val="030404"/>
        </w:rPr>
        <w:t>Permits).</w:t>
      </w:r>
      <w:r>
        <w:rPr>
          <w:color w:val="030404"/>
          <w:spacing w:val="-5"/>
        </w:rPr>
        <w:t xml:space="preserve"> </w:t>
      </w:r>
      <w:r>
        <w:rPr>
          <w:color w:val="030404"/>
        </w:rPr>
        <w:t>In</w:t>
      </w:r>
      <w:r>
        <w:rPr>
          <w:color w:val="030404"/>
          <w:spacing w:val="-4"/>
        </w:rPr>
        <w:t xml:space="preserve"> </w:t>
      </w:r>
      <w:r>
        <w:rPr>
          <w:color w:val="030404"/>
        </w:rPr>
        <w:t>relation</w:t>
      </w:r>
      <w:r>
        <w:rPr>
          <w:color w:val="030404"/>
          <w:spacing w:val="-5"/>
        </w:rPr>
        <w:t xml:space="preserve"> </w:t>
      </w:r>
      <w:r>
        <w:rPr>
          <w:color w:val="030404"/>
        </w:rPr>
        <w:t>to</w:t>
      </w:r>
      <w:r>
        <w:rPr>
          <w:color w:val="030404"/>
          <w:spacing w:val="-4"/>
        </w:rPr>
        <w:t xml:space="preserve"> </w:t>
      </w:r>
      <w:r>
        <w:rPr>
          <w:color w:val="030404"/>
        </w:rPr>
        <w:t>the</w:t>
      </w:r>
      <w:r>
        <w:rPr>
          <w:color w:val="030404"/>
          <w:spacing w:val="-5"/>
        </w:rPr>
        <w:t xml:space="preserve"> </w:t>
      </w:r>
      <w:r>
        <w:rPr>
          <w:color w:val="030404"/>
        </w:rPr>
        <w:t>Group’s</w:t>
      </w:r>
      <w:r>
        <w:rPr>
          <w:color w:val="030404"/>
          <w:spacing w:val="-4"/>
        </w:rPr>
        <w:t xml:space="preserve"> </w:t>
      </w:r>
      <w:r>
        <w:rPr>
          <w:color w:val="030404"/>
        </w:rPr>
        <w:t>Portfolio,</w:t>
      </w:r>
      <w:r>
        <w:rPr>
          <w:color w:val="030404"/>
          <w:spacing w:val="-4"/>
        </w:rPr>
        <w:t xml:space="preserve"> </w:t>
      </w:r>
      <w:r>
        <w:rPr>
          <w:color w:val="030404"/>
        </w:rPr>
        <w:t>the</w:t>
      </w:r>
      <w:r>
        <w:rPr>
          <w:color w:val="030404"/>
          <w:spacing w:val="-4"/>
        </w:rPr>
        <w:t xml:space="preserve"> </w:t>
      </w:r>
      <w:r>
        <w:rPr>
          <w:color w:val="030404"/>
        </w:rPr>
        <w:t>land</w:t>
      </w:r>
      <w:r>
        <w:rPr>
          <w:color w:val="030404"/>
          <w:spacing w:val="-4"/>
        </w:rPr>
        <w:t xml:space="preserve"> </w:t>
      </w:r>
      <w:r>
        <w:rPr>
          <w:color w:val="030404"/>
        </w:rPr>
        <w:t>is</w:t>
      </w:r>
      <w:r>
        <w:rPr>
          <w:color w:val="030404"/>
          <w:spacing w:val="-4"/>
        </w:rPr>
        <w:t xml:space="preserve"> </w:t>
      </w:r>
      <w:r>
        <w:rPr>
          <w:color w:val="030404"/>
        </w:rPr>
        <w:t>predominantly</w:t>
      </w:r>
      <w:r>
        <w:rPr>
          <w:color w:val="030404"/>
          <w:spacing w:val="-6"/>
        </w:rPr>
        <w:t xml:space="preserve"> </w:t>
      </w:r>
      <w:r>
        <w:rPr>
          <w:color w:val="030404"/>
        </w:rPr>
        <w:t>owned</w:t>
      </w:r>
      <w:r>
        <w:rPr>
          <w:color w:val="030404"/>
          <w:spacing w:val="-5"/>
        </w:rPr>
        <w:t xml:space="preserve"> </w:t>
      </w:r>
      <w:r>
        <w:rPr>
          <w:color w:val="030404"/>
        </w:rPr>
        <w:t>by</w:t>
      </w:r>
      <w:r>
        <w:rPr>
          <w:color w:val="030404"/>
          <w:spacing w:val="-6"/>
        </w:rPr>
        <w:t xml:space="preserve"> </w:t>
      </w:r>
      <w:r>
        <w:rPr>
          <w:color w:val="030404"/>
        </w:rPr>
        <w:t>the</w:t>
      </w:r>
      <w:r>
        <w:rPr>
          <w:color w:val="030404"/>
          <w:spacing w:val="-5"/>
        </w:rPr>
        <w:t xml:space="preserve"> </w:t>
      </w:r>
      <w:r>
        <w:rPr>
          <w:color w:val="030404"/>
        </w:rPr>
        <w:t>government</w:t>
      </w:r>
      <w:r>
        <w:rPr>
          <w:color w:val="030404"/>
          <w:spacing w:val="-5"/>
        </w:rPr>
        <w:t xml:space="preserve"> </w:t>
      </w:r>
      <w:r w:rsidR="004A5007">
        <w:rPr>
          <w:color w:val="030404"/>
        </w:rPr>
        <w:t xml:space="preserve">which </w:t>
      </w:r>
      <w:r>
        <w:rPr>
          <w:color w:val="030404"/>
        </w:rPr>
        <w:t>grant</w:t>
      </w:r>
      <w:r w:rsidR="004A5007">
        <w:rPr>
          <w:color w:val="030404"/>
        </w:rPr>
        <w:t>s</w:t>
      </w:r>
      <w:r>
        <w:rPr>
          <w:color w:val="030404"/>
        </w:rPr>
        <w:t xml:space="preserve"> the requisite permission promptly and without raising any concerns or requiring any fees. In other </w:t>
      </w:r>
      <w:proofErr w:type="gramStart"/>
      <w:r>
        <w:rPr>
          <w:color w:val="030404"/>
        </w:rPr>
        <w:t>instances</w:t>
      </w:r>
      <w:proofErr w:type="gramEnd"/>
      <w:r>
        <w:rPr>
          <w:color w:val="030404"/>
        </w:rPr>
        <w:t xml:space="preserve"> the land is privately owned and the Group typically pays a small compensation for the right to drill on the land, which usually does not present an issue for the Group. However, there is a risk that surface rights holders could refuse</w:t>
      </w:r>
      <w:r>
        <w:rPr>
          <w:color w:val="030404"/>
          <w:spacing w:val="-2"/>
        </w:rPr>
        <w:t xml:space="preserve"> </w:t>
      </w:r>
      <w:r>
        <w:rPr>
          <w:color w:val="030404"/>
        </w:rPr>
        <w:t>to</w:t>
      </w:r>
      <w:r>
        <w:rPr>
          <w:color w:val="030404"/>
          <w:spacing w:val="-5"/>
        </w:rPr>
        <w:t xml:space="preserve"> </w:t>
      </w:r>
      <w:r>
        <w:rPr>
          <w:color w:val="030404"/>
        </w:rPr>
        <w:t>grant</w:t>
      </w:r>
      <w:r>
        <w:rPr>
          <w:color w:val="030404"/>
          <w:spacing w:val="-5"/>
        </w:rPr>
        <w:t xml:space="preserve"> </w:t>
      </w:r>
      <w:r>
        <w:rPr>
          <w:color w:val="030404"/>
        </w:rPr>
        <w:t>such</w:t>
      </w:r>
      <w:r>
        <w:rPr>
          <w:color w:val="030404"/>
          <w:spacing w:val="-5"/>
        </w:rPr>
        <w:t xml:space="preserve"> </w:t>
      </w:r>
      <w:r>
        <w:rPr>
          <w:color w:val="030404"/>
        </w:rPr>
        <w:t>permission</w:t>
      </w:r>
      <w:r>
        <w:rPr>
          <w:color w:val="030404"/>
          <w:spacing w:val="-2"/>
        </w:rPr>
        <w:t xml:space="preserve"> </w:t>
      </w:r>
      <w:r>
        <w:rPr>
          <w:color w:val="030404"/>
        </w:rPr>
        <w:t>or</w:t>
      </w:r>
      <w:r>
        <w:rPr>
          <w:color w:val="030404"/>
          <w:spacing w:val="-5"/>
        </w:rPr>
        <w:t xml:space="preserve"> </w:t>
      </w:r>
      <w:r>
        <w:rPr>
          <w:color w:val="030404"/>
        </w:rPr>
        <w:t>request</w:t>
      </w:r>
      <w:r>
        <w:rPr>
          <w:color w:val="030404"/>
          <w:spacing w:val="-5"/>
        </w:rPr>
        <w:t xml:space="preserve"> </w:t>
      </w:r>
      <w:r>
        <w:rPr>
          <w:color w:val="030404"/>
        </w:rPr>
        <w:t>unreasonable</w:t>
      </w:r>
      <w:r>
        <w:rPr>
          <w:color w:val="030404"/>
          <w:spacing w:val="-2"/>
        </w:rPr>
        <w:t xml:space="preserve"> </w:t>
      </w:r>
      <w:r>
        <w:rPr>
          <w:color w:val="030404"/>
        </w:rPr>
        <w:t>fees</w:t>
      </w:r>
      <w:r>
        <w:rPr>
          <w:color w:val="030404"/>
          <w:spacing w:val="-1"/>
        </w:rPr>
        <w:t xml:space="preserve"> </w:t>
      </w:r>
      <w:r>
        <w:rPr>
          <w:color w:val="030404"/>
        </w:rPr>
        <w:t>from</w:t>
      </w:r>
      <w:r>
        <w:rPr>
          <w:color w:val="030404"/>
          <w:spacing w:val="-4"/>
        </w:rPr>
        <w:t xml:space="preserve"> </w:t>
      </w:r>
      <w:r>
        <w:rPr>
          <w:color w:val="030404"/>
        </w:rPr>
        <w:t>the</w:t>
      </w:r>
      <w:r>
        <w:rPr>
          <w:color w:val="030404"/>
          <w:spacing w:val="-5"/>
        </w:rPr>
        <w:t xml:space="preserve"> </w:t>
      </w:r>
      <w:r>
        <w:rPr>
          <w:color w:val="030404"/>
        </w:rPr>
        <w:t>Group</w:t>
      </w:r>
      <w:r>
        <w:rPr>
          <w:color w:val="030404"/>
          <w:spacing w:val="-5"/>
        </w:rPr>
        <w:t xml:space="preserve"> </w:t>
      </w:r>
      <w:r>
        <w:rPr>
          <w:color w:val="030404"/>
        </w:rPr>
        <w:t>in</w:t>
      </w:r>
      <w:r>
        <w:rPr>
          <w:color w:val="030404"/>
          <w:spacing w:val="-5"/>
        </w:rPr>
        <w:t xml:space="preserve"> </w:t>
      </w:r>
      <w:r>
        <w:rPr>
          <w:color w:val="030404"/>
        </w:rPr>
        <w:t>connection</w:t>
      </w:r>
      <w:r>
        <w:rPr>
          <w:color w:val="030404"/>
          <w:spacing w:val="-5"/>
        </w:rPr>
        <w:t xml:space="preserve"> </w:t>
      </w:r>
      <w:r>
        <w:rPr>
          <w:color w:val="030404"/>
        </w:rPr>
        <w:t>with</w:t>
      </w:r>
      <w:r>
        <w:rPr>
          <w:color w:val="030404"/>
          <w:spacing w:val="-2"/>
        </w:rPr>
        <w:t xml:space="preserve"> </w:t>
      </w:r>
      <w:r>
        <w:rPr>
          <w:color w:val="030404"/>
        </w:rPr>
        <w:t>such</w:t>
      </w:r>
      <w:r>
        <w:rPr>
          <w:color w:val="030404"/>
          <w:spacing w:val="-4"/>
        </w:rPr>
        <w:t xml:space="preserve"> </w:t>
      </w:r>
      <w:r>
        <w:rPr>
          <w:color w:val="030404"/>
        </w:rPr>
        <w:t>permission.</w:t>
      </w:r>
    </w:p>
    <w:p w14:paraId="3638BDE2" w14:textId="77777777" w:rsidR="00F73D14" w:rsidRDefault="00F73D14" w:rsidP="00F73D14">
      <w:pPr>
        <w:pStyle w:val="BodyText"/>
        <w:kinsoku w:val="0"/>
        <w:overflowPunct w:val="0"/>
        <w:spacing w:before="1"/>
        <w:ind w:left="284" w:right="1191"/>
        <w:jc w:val="both"/>
        <w:rPr>
          <w:color w:val="030404"/>
        </w:rPr>
      </w:pPr>
    </w:p>
    <w:p w14:paraId="35AB42E5" w14:textId="42BD4488" w:rsidR="00265B0E" w:rsidRPr="00265B0E" w:rsidRDefault="00265B0E" w:rsidP="00F73D14">
      <w:pPr>
        <w:pStyle w:val="BodyText"/>
        <w:kinsoku w:val="0"/>
        <w:overflowPunct w:val="0"/>
        <w:spacing w:before="1"/>
        <w:ind w:left="284" w:right="1191"/>
        <w:jc w:val="both"/>
        <w:rPr>
          <w:color w:val="030404"/>
        </w:rPr>
      </w:pPr>
      <w:r w:rsidRPr="00265B0E">
        <w:rPr>
          <w:color w:val="030404"/>
        </w:rPr>
        <w:t>In Labrador and Newfoundland, the Adeline Copper Project falls in an area that the Labrador Innu (a regional indigenous group with traditional ties to area) has asserted its traditional rights. The Labrador Innu are currently negotiating a Land Claims agreement with the Provincial and Federal governments. As part of the exploration permitting process any mineral exploration approval application submitted to the Provincial Government for work on the Adeline Copper Project will be sent to the Labrador Innu and any other stake-holder groups which might have an interest in the area.</w:t>
      </w:r>
    </w:p>
    <w:p w14:paraId="063215D3" w14:textId="77777777" w:rsidR="00265B0E" w:rsidRPr="00265B0E" w:rsidRDefault="00265B0E" w:rsidP="00F73D14">
      <w:pPr>
        <w:pStyle w:val="BodyText"/>
        <w:kinsoku w:val="0"/>
        <w:overflowPunct w:val="0"/>
        <w:spacing w:before="1"/>
        <w:ind w:left="284" w:right="1191"/>
        <w:jc w:val="both"/>
        <w:rPr>
          <w:color w:val="030404"/>
        </w:rPr>
      </w:pPr>
    </w:p>
    <w:p w14:paraId="472E86E6" w14:textId="3C6F6A52" w:rsidR="00EE4EC1" w:rsidRDefault="00265B0E" w:rsidP="00F73D14">
      <w:pPr>
        <w:pStyle w:val="BodyText"/>
        <w:kinsoku w:val="0"/>
        <w:overflowPunct w:val="0"/>
        <w:spacing w:before="1"/>
        <w:ind w:left="284" w:right="1191"/>
        <w:jc w:val="both"/>
        <w:rPr>
          <w:color w:val="030404"/>
        </w:rPr>
      </w:pPr>
      <w:r w:rsidRPr="00265B0E">
        <w:rPr>
          <w:color w:val="030404"/>
        </w:rPr>
        <w:t xml:space="preserve">There has never been a Treaty agreement signed between the Labrador Innu and the Crown with respect to areas of central Labrador, including the Adeline Copper Project area, claimed by the Labrador Innu to be their traditional territory. The Labrador Innu has been in negotiations for a land claims agreement with the federal (and indirectly provincial) government since 1978 and these negotiations are ongoing. No final designation of the Innu land claims area has been promulgated. The Labrador Innu have not explicitly expressed opposition to mineral exploration and mining and in fact signed an Impact Benefits Agreement with INCO and the governments of Canada and Newfoundland and Labrador which led to the establishment of the </w:t>
      </w:r>
      <w:proofErr w:type="spellStart"/>
      <w:r w:rsidRPr="00265B0E">
        <w:rPr>
          <w:color w:val="030404"/>
        </w:rPr>
        <w:t>Voisey’s</w:t>
      </w:r>
      <w:proofErr w:type="spellEnd"/>
      <w:r w:rsidRPr="00265B0E">
        <w:rPr>
          <w:color w:val="030404"/>
        </w:rPr>
        <w:t xml:space="preserve"> Bay Mine in northern Labrador. Many Innu people are actively employed at that mine. Nevertheless, there is a risk that members of the Labrador Innu could assert traditional rights over the Adeline Copper Project area and, as such, title to the Adeline Copper Project Area and the </w:t>
      </w:r>
      <w:r w:rsidR="005C470D">
        <w:rPr>
          <w:color w:val="030404"/>
        </w:rPr>
        <w:t xml:space="preserve">Granted </w:t>
      </w:r>
      <w:r w:rsidRPr="00265B0E">
        <w:rPr>
          <w:color w:val="030404"/>
        </w:rPr>
        <w:t xml:space="preserve">Map-Staked Mineral Licences may be disputed. </w:t>
      </w:r>
    </w:p>
    <w:p w14:paraId="126C3BB9" w14:textId="585F022A" w:rsidR="00EE4EC1" w:rsidRDefault="00E31420" w:rsidP="00B325E0">
      <w:pPr>
        <w:pStyle w:val="BodyText"/>
        <w:kinsoku w:val="0"/>
        <w:overflowPunct w:val="0"/>
        <w:spacing w:before="79"/>
        <w:ind w:left="284" w:right="1190"/>
        <w:jc w:val="both"/>
        <w:rPr>
          <w:color w:val="030404"/>
        </w:rPr>
      </w:pPr>
      <w:r>
        <w:rPr>
          <w:color w:val="030404"/>
        </w:rPr>
        <w:t>However</w:t>
      </w:r>
      <w:r w:rsidR="001E0909">
        <w:rPr>
          <w:color w:val="030404"/>
        </w:rPr>
        <w:t>,</w:t>
      </w:r>
      <w:r>
        <w:rPr>
          <w:color w:val="030404"/>
        </w:rPr>
        <w:t xml:space="preserve"> in </w:t>
      </w:r>
      <w:proofErr w:type="gramStart"/>
      <w:r>
        <w:rPr>
          <w:color w:val="030404"/>
        </w:rPr>
        <w:t>the vast majority of</w:t>
      </w:r>
      <w:proofErr w:type="gramEnd"/>
      <w:r>
        <w:rPr>
          <w:color w:val="030404"/>
        </w:rPr>
        <w:t xml:space="preserve"> cases obtaining this permission does not present any issues for the Group. Furthermore,</w:t>
      </w:r>
      <w:r>
        <w:rPr>
          <w:color w:val="030404"/>
          <w:spacing w:val="-5"/>
        </w:rPr>
        <w:t xml:space="preserve"> </w:t>
      </w:r>
      <w:r>
        <w:rPr>
          <w:color w:val="030404"/>
        </w:rPr>
        <w:t>the</w:t>
      </w:r>
      <w:r>
        <w:rPr>
          <w:color w:val="030404"/>
          <w:spacing w:val="-7"/>
        </w:rPr>
        <w:t xml:space="preserve"> </w:t>
      </w:r>
      <w:r>
        <w:rPr>
          <w:color w:val="030404"/>
        </w:rPr>
        <w:t>extractives</w:t>
      </w:r>
      <w:r>
        <w:rPr>
          <w:color w:val="030404"/>
          <w:spacing w:val="-7"/>
        </w:rPr>
        <w:t xml:space="preserve"> </w:t>
      </w:r>
      <w:r>
        <w:rPr>
          <w:color w:val="030404"/>
        </w:rPr>
        <w:t>mining</w:t>
      </w:r>
      <w:r>
        <w:rPr>
          <w:color w:val="030404"/>
          <w:spacing w:val="-5"/>
        </w:rPr>
        <w:t xml:space="preserve"> </w:t>
      </w:r>
      <w:r>
        <w:rPr>
          <w:color w:val="030404"/>
        </w:rPr>
        <w:t>industry</w:t>
      </w:r>
      <w:r>
        <w:rPr>
          <w:color w:val="030404"/>
          <w:spacing w:val="-6"/>
        </w:rPr>
        <w:t xml:space="preserve"> </w:t>
      </w:r>
      <w:r>
        <w:rPr>
          <w:color w:val="030404"/>
        </w:rPr>
        <w:t>in</w:t>
      </w:r>
      <w:r>
        <w:rPr>
          <w:color w:val="030404"/>
          <w:spacing w:val="-5"/>
        </w:rPr>
        <w:t xml:space="preserve"> </w:t>
      </w:r>
      <w:r>
        <w:rPr>
          <w:color w:val="030404"/>
        </w:rPr>
        <w:t>Cyprus</w:t>
      </w:r>
      <w:r>
        <w:rPr>
          <w:color w:val="030404"/>
          <w:spacing w:val="-4"/>
        </w:rPr>
        <w:t xml:space="preserve"> </w:t>
      </w:r>
      <w:r>
        <w:rPr>
          <w:color w:val="030404"/>
        </w:rPr>
        <w:t>has</w:t>
      </w:r>
      <w:r>
        <w:rPr>
          <w:color w:val="030404"/>
          <w:spacing w:val="-7"/>
        </w:rPr>
        <w:t xml:space="preserve"> </w:t>
      </w:r>
      <w:r>
        <w:rPr>
          <w:color w:val="030404"/>
        </w:rPr>
        <w:t>been</w:t>
      </w:r>
      <w:r>
        <w:rPr>
          <w:color w:val="030404"/>
          <w:spacing w:val="-4"/>
        </w:rPr>
        <w:t xml:space="preserve"> </w:t>
      </w:r>
      <w:r>
        <w:rPr>
          <w:color w:val="030404"/>
        </w:rPr>
        <w:t>active</w:t>
      </w:r>
      <w:r>
        <w:rPr>
          <w:color w:val="030404"/>
          <w:spacing w:val="-6"/>
        </w:rPr>
        <w:t xml:space="preserve"> </w:t>
      </w:r>
      <w:r>
        <w:rPr>
          <w:color w:val="030404"/>
        </w:rPr>
        <w:t>for</w:t>
      </w:r>
      <w:r>
        <w:rPr>
          <w:color w:val="030404"/>
          <w:spacing w:val="-8"/>
        </w:rPr>
        <w:t xml:space="preserve"> </w:t>
      </w:r>
      <w:r>
        <w:rPr>
          <w:color w:val="030404"/>
        </w:rPr>
        <w:t>some</w:t>
      </w:r>
      <w:r>
        <w:rPr>
          <w:color w:val="030404"/>
          <w:spacing w:val="-7"/>
        </w:rPr>
        <w:t xml:space="preserve"> </w:t>
      </w:r>
      <w:r>
        <w:rPr>
          <w:color w:val="030404"/>
        </w:rPr>
        <w:t>time,</w:t>
      </w:r>
      <w:r>
        <w:rPr>
          <w:color w:val="030404"/>
          <w:spacing w:val="-6"/>
        </w:rPr>
        <w:t xml:space="preserve"> </w:t>
      </w:r>
      <w:r>
        <w:rPr>
          <w:color w:val="030404"/>
        </w:rPr>
        <w:t>producing</w:t>
      </w:r>
      <w:r>
        <w:rPr>
          <w:color w:val="030404"/>
          <w:spacing w:val="-7"/>
        </w:rPr>
        <w:t xml:space="preserve"> </w:t>
      </w:r>
      <w:r>
        <w:rPr>
          <w:color w:val="030404"/>
        </w:rPr>
        <w:t>for</w:t>
      </w:r>
      <w:r>
        <w:rPr>
          <w:color w:val="030404"/>
          <w:spacing w:val="-8"/>
        </w:rPr>
        <w:t xml:space="preserve"> </w:t>
      </w:r>
      <w:r>
        <w:rPr>
          <w:color w:val="030404"/>
        </w:rPr>
        <w:t>both</w:t>
      </w:r>
      <w:r>
        <w:rPr>
          <w:color w:val="030404"/>
          <w:spacing w:val="-6"/>
        </w:rPr>
        <w:t xml:space="preserve"> </w:t>
      </w:r>
      <w:r>
        <w:rPr>
          <w:color w:val="030404"/>
        </w:rPr>
        <w:t>local</w:t>
      </w:r>
      <w:r>
        <w:rPr>
          <w:color w:val="030404"/>
          <w:spacing w:val="-7"/>
        </w:rPr>
        <w:t xml:space="preserve"> </w:t>
      </w:r>
      <w:r>
        <w:rPr>
          <w:color w:val="030404"/>
        </w:rPr>
        <w:t xml:space="preserve">use and export, and the Group has already engaged with numerous stakeholders in Cyprus, </w:t>
      </w:r>
      <w:proofErr w:type="gramStart"/>
      <w:r>
        <w:rPr>
          <w:color w:val="030404"/>
        </w:rPr>
        <w:t>in order to</w:t>
      </w:r>
      <w:proofErr w:type="gramEnd"/>
      <w:r>
        <w:rPr>
          <w:color w:val="030404"/>
        </w:rPr>
        <w:t xml:space="preserve"> mitigate these risks.</w:t>
      </w:r>
    </w:p>
    <w:p w14:paraId="6CC74A06" w14:textId="77777777" w:rsidR="00783288" w:rsidRDefault="00783288" w:rsidP="00B325E0">
      <w:pPr>
        <w:pStyle w:val="BodyText"/>
        <w:kinsoku w:val="0"/>
        <w:overflowPunct w:val="0"/>
        <w:spacing w:before="8"/>
        <w:ind w:left="284"/>
        <w:rPr>
          <w:sz w:val="17"/>
          <w:szCs w:val="17"/>
        </w:rPr>
      </w:pPr>
    </w:p>
    <w:p w14:paraId="346FC563" w14:textId="77777777" w:rsidR="00783288" w:rsidRDefault="00E31420">
      <w:pPr>
        <w:pStyle w:val="Heading2"/>
        <w:kinsoku w:val="0"/>
        <w:overflowPunct w:val="0"/>
        <w:rPr>
          <w:color w:val="040505"/>
        </w:rPr>
      </w:pPr>
      <w:r>
        <w:rPr>
          <w:color w:val="040505"/>
        </w:rPr>
        <w:t>Resource estimates are subject to assumptions and may be inaccurate</w:t>
      </w:r>
    </w:p>
    <w:p w14:paraId="3EF42E86" w14:textId="77777777" w:rsidR="00783288" w:rsidRDefault="00783288">
      <w:pPr>
        <w:pStyle w:val="BodyText"/>
        <w:kinsoku w:val="0"/>
        <w:overflowPunct w:val="0"/>
        <w:spacing w:before="4"/>
        <w:rPr>
          <w:b/>
          <w:bCs/>
          <w:i/>
          <w:iCs/>
        </w:rPr>
      </w:pPr>
    </w:p>
    <w:p w14:paraId="38A99010" w14:textId="77777777" w:rsidR="00783288" w:rsidRDefault="00E31420">
      <w:pPr>
        <w:pStyle w:val="BodyText"/>
        <w:kinsoku w:val="0"/>
        <w:overflowPunct w:val="0"/>
        <w:ind w:left="300" w:right="1191"/>
        <w:jc w:val="both"/>
        <w:rPr>
          <w:color w:val="2F3031"/>
        </w:rPr>
      </w:pPr>
      <w:r>
        <w:rPr>
          <w:color w:val="040505"/>
        </w:rPr>
        <w:t xml:space="preserve">The Group may engage experts to estimate the resources and reserves, which exist at its assets. Such estimates will be subject to </w:t>
      </w:r>
      <w:proofErr w:type="gramStart"/>
      <w:r>
        <w:rPr>
          <w:color w:val="040505"/>
        </w:rPr>
        <w:t>a number of</w:t>
      </w:r>
      <w:proofErr w:type="gramEnd"/>
      <w:r>
        <w:rPr>
          <w:color w:val="040505"/>
        </w:rPr>
        <w:t xml:space="preserve"> assumptions, including the price of relevant commodities, production costs and recovery rates. Fluctuations in the variables underlying the Group’s or </w:t>
      </w:r>
      <w:proofErr w:type="gramStart"/>
      <w:r>
        <w:rPr>
          <w:color w:val="040505"/>
        </w:rPr>
        <w:t>third party</w:t>
      </w:r>
      <w:proofErr w:type="gramEnd"/>
      <w:r>
        <w:rPr>
          <w:color w:val="040505"/>
        </w:rPr>
        <w:t xml:space="preserve"> expert’s estimates may result in material revisions to such reserve estimates and such changes may have a materially adverse impact on the financial condition and prospects of the</w:t>
      </w:r>
      <w:r>
        <w:rPr>
          <w:color w:val="040505"/>
          <w:spacing w:val="1"/>
        </w:rPr>
        <w:t xml:space="preserve"> </w:t>
      </w:r>
      <w:r>
        <w:rPr>
          <w:color w:val="040505"/>
        </w:rPr>
        <w:t>Group</w:t>
      </w:r>
      <w:r>
        <w:rPr>
          <w:color w:val="2F3031"/>
        </w:rPr>
        <w:t>.</w:t>
      </w:r>
    </w:p>
    <w:p w14:paraId="5C08974B" w14:textId="77777777" w:rsidR="00783288" w:rsidRDefault="00783288">
      <w:pPr>
        <w:pStyle w:val="BodyText"/>
        <w:kinsoku w:val="0"/>
        <w:overflowPunct w:val="0"/>
        <w:spacing w:before="7"/>
        <w:rPr>
          <w:sz w:val="17"/>
          <w:szCs w:val="17"/>
        </w:rPr>
      </w:pPr>
    </w:p>
    <w:p w14:paraId="50A0FE26" w14:textId="77777777" w:rsidR="00783288" w:rsidRDefault="00E31420">
      <w:pPr>
        <w:pStyle w:val="Heading2"/>
        <w:kinsoku w:val="0"/>
        <w:overflowPunct w:val="0"/>
        <w:spacing w:before="1"/>
        <w:rPr>
          <w:color w:val="09090A"/>
        </w:rPr>
      </w:pPr>
      <w:r>
        <w:rPr>
          <w:color w:val="09090A"/>
        </w:rPr>
        <w:t>Environmental and Health and Safety</w:t>
      </w:r>
      <w:r>
        <w:rPr>
          <w:color w:val="09090A"/>
          <w:spacing w:val="-11"/>
        </w:rPr>
        <w:t xml:space="preserve"> </w:t>
      </w:r>
      <w:r>
        <w:rPr>
          <w:color w:val="09090A"/>
        </w:rPr>
        <w:t>Laws</w:t>
      </w:r>
    </w:p>
    <w:p w14:paraId="4B42D2D8" w14:textId="77777777" w:rsidR="00783288" w:rsidRDefault="00783288">
      <w:pPr>
        <w:pStyle w:val="BodyText"/>
        <w:kinsoku w:val="0"/>
        <w:overflowPunct w:val="0"/>
        <w:spacing w:before="3"/>
        <w:rPr>
          <w:b/>
          <w:bCs/>
          <w:i/>
          <w:iCs/>
        </w:rPr>
      </w:pPr>
    </w:p>
    <w:p w14:paraId="5D9F768B" w14:textId="77777777" w:rsidR="00783288" w:rsidRDefault="00E31420">
      <w:pPr>
        <w:pStyle w:val="BodyText"/>
        <w:kinsoku w:val="0"/>
        <w:overflowPunct w:val="0"/>
        <w:ind w:left="300" w:right="1191"/>
        <w:jc w:val="both"/>
        <w:rPr>
          <w:color w:val="09090A"/>
        </w:rPr>
      </w:pPr>
      <w:r>
        <w:rPr>
          <w:color w:val="09090A"/>
        </w:rPr>
        <w:t>The</w:t>
      </w:r>
      <w:r>
        <w:rPr>
          <w:color w:val="09090A"/>
          <w:spacing w:val="-11"/>
        </w:rPr>
        <w:t xml:space="preserve"> </w:t>
      </w:r>
      <w:r>
        <w:rPr>
          <w:color w:val="09090A"/>
        </w:rPr>
        <w:t>natural</w:t>
      </w:r>
      <w:r>
        <w:rPr>
          <w:color w:val="09090A"/>
          <w:spacing w:val="-9"/>
        </w:rPr>
        <w:t xml:space="preserve"> </w:t>
      </w:r>
      <w:r>
        <w:rPr>
          <w:color w:val="09090A"/>
        </w:rPr>
        <w:t>resources</w:t>
      </w:r>
      <w:r>
        <w:rPr>
          <w:color w:val="09090A"/>
          <w:spacing w:val="-9"/>
        </w:rPr>
        <w:t xml:space="preserve"> </w:t>
      </w:r>
      <w:r>
        <w:rPr>
          <w:color w:val="09090A"/>
        </w:rPr>
        <w:t>sector</w:t>
      </w:r>
      <w:r>
        <w:rPr>
          <w:color w:val="09090A"/>
          <w:spacing w:val="-10"/>
        </w:rPr>
        <w:t xml:space="preserve"> </w:t>
      </w:r>
      <w:r>
        <w:rPr>
          <w:color w:val="09090A"/>
        </w:rPr>
        <w:t>is</w:t>
      </w:r>
      <w:r>
        <w:rPr>
          <w:color w:val="09090A"/>
          <w:spacing w:val="-11"/>
        </w:rPr>
        <w:t xml:space="preserve"> </w:t>
      </w:r>
      <w:r>
        <w:rPr>
          <w:color w:val="09090A"/>
        </w:rPr>
        <w:t>a</w:t>
      </w:r>
      <w:r>
        <w:rPr>
          <w:color w:val="09090A"/>
          <w:spacing w:val="-10"/>
        </w:rPr>
        <w:t xml:space="preserve"> </w:t>
      </w:r>
      <w:r>
        <w:rPr>
          <w:color w:val="09090A"/>
        </w:rPr>
        <w:t>hazardous</w:t>
      </w:r>
      <w:r>
        <w:rPr>
          <w:color w:val="09090A"/>
          <w:spacing w:val="-11"/>
        </w:rPr>
        <w:t xml:space="preserve"> </w:t>
      </w:r>
      <w:r>
        <w:rPr>
          <w:color w:val="09090A"/>
        </w:rPr>
        <w:t>industry,</w:t>
      </w:r>
      <w:r>
        <w:rPr>
          <w:color w:val="09090A"/>
          <w:spacing w:val="-10"/>
        </w:rPr>
        <w:t xml:space="preserve"> </w:t>
      </w:r>
      <w:r>
        <w:rPr>
          <w:color w:val="09090A"/>
        </w:rPr>
        <w:t>which</w:t>
      </w:r>
      <w:r>
        <w:rPr>
          <w:color w:val="09090A"/>
          <w:spacing w:val="-10"/>
        </w:rPr>
        <w:t xml:space="preserve"> </w:t>
      </w:r>
      <w:r>
        <w:rPr>
          <w:color w:val="09090A"/>
        </w:rPr>
        <w:t>is</w:t>
      </w:r>
      <w:r>
        <w:rPr>
          <w:color w:val="09090A"/>
          <w:spacing w:val="-10"/>
        </w:rPr>
        <w:t xml:space="preserve"> </w:t>
      </w:r>
      <w:r>
        <w:rPr>
          <w:color w:val="09090A"/>
        </w:rPr>
        <w:t>highly</w:t>
      </w:r>
      <w:r>
        <w:rPr>
          <w:color w:val="09090A"/>
          <w:spacing w:val="-11"/>
        </w:rPr>
        <w:t xml:space="preserve"> </w:t>
      </w:r>
      <w:r>
        <w:rPr>
          <w:color w:val="09090A"/>
        </w:rPr>
        <w:t>regulated</w:t>
      </w:r>
      <w:r>
        <w:rPr>
          <w:color w:val="09090A"/>
          <w:spacing w:val="-10"/>
        </w:rPr>
        <w:t xml:space="preserve"> </w:t>
      </w:r>
      <w:r>
        <w:rPr>
          <w:color w:val="09090A"/>
        </w:rPr>
        <w:t>by</w:t>
      </w:r>
      <w:r>
        <w:rPr>
          <w:color w:val="09090A"/>
          <w:spacing w:val="-11"/>
        </w:rPr>
        <w:t xml:space="preserve"> </w:t>
      </w:r>
      <w:r>
        <w:rPr>
          <w:color w:val="09090A"/>
        </w:rPr>
        <w:t>health,</w:t>
      </w:r>
      <w:r>
        <w:rPr>
          <w:color w:val="09090A"/>
          <w:spacing w:val="-10"/>
        </w:rPr>
        <w:t xml:space="preserve"> </w:t>
      </w:r>
      <w:r>
        <w:rPr>
          <w:color w:val="09090A"/>
        </w:rPr>
        <w:t>safety</w:t>
      </w:r>
      <w:r>
        <w:rPr>
          <w:color w:val="09090A"/>
          <w:spacing w:val="-11"/>
        </w:rPr>
        <w:t xml:space="preserve"> </w:t>
      </w:r>
      <w:r>
        <w:rPr>
          <w:color w:val="09090A"/>
        </w:rPr>
        <w:t>and</w:t>
      </w:r>
      <w:r>
        <w:rPr>
          <w:color w:val="09090A"/>
          <w:spacing w:val="-12"/>
        </w:rPr>
        <w:t xml:space="preserve"> </w:t>
      </w:r>
      <w:r>
        <w:rPr>
          <w:color w:val="09090A"/>
        </w:rPr>
        <w:t>environmental laws, including general and specific regulations and restrictions governing drilling and production, land tenure and use, environmental requirements (including site specific environmental licences, permits and remediation requirements), workplace health and safety, social impacts and other</w:t>
      </w:r>
      <w:r>
        <w:rPr>
          <w:color w:val="09090A"/>
          <w:spacing w:val="-5"/>
        </w:rPr>
        <w:t xml:space="preserve"> </w:t>
      </w:r>
      <w:r>
        <w:rPr>
          <w:color w:val="09090A"/>
        </w:rPr>
        <w:t>laws.</w:t>
      </w:r>
    </w:p>
    <w:p w14:paraId="499396AD" w14:textId="77777777" w:rsidR="00783288" w:rsidRDefault="00783288">
      <w:pPr>
        <w:pStyle w:val="BodyText"/>
        <w:kinsoku w:val="0"/>
        <w:overflowPunct w:val="0"/>
        <w:spacing w:before="11"/>
        <w:rPr>
          <w:sz w:val="17"/>
          <w:szCs w:val="17"/>
        </w:rPr>
      </w:pPr>
    </w:p>
    <w:p w14:paraId="3E083F11" w14:textId="77777777" w:rsidR="00783288" w:rsidRDefault="00E31420">
      <w:pPr>
        <w:pStyle w:val="BodyText"/>
        <w:kinsoku w:val="0"/>
        <w:overflowPunct w:val="0"/>
        <w:ind w:left="300" w:right="1189"/>
        <w:jc w:val="both"/>
        <w:rPr>
          <w:color w:val="1D1C1E"/>
        </w:rPr>
      </w:pPr>
      <w:r>
        <w:rPr>
          <w:color w:val="09090A"/>
        </w:rPr>
        <w:t>Certain of th</w:t>
      </w:r>
      <w:r>
        <w:rPr>
          <w:color w:val="1D1C1E"/>
        </w:rPr>
        <w:t>e Group’s o</w:t>
      </w:r>
      <w:r>
        <w:rPr>
          <w:color w:val="09090A"/>
        </w:rPr>
        <w:t>p</w:t>
      </w:r>
      <w:r>
        <w:rPr>
          <w:color w:val="1D1C1E"/>
        </w:rPr>
        <w:t>e</w:t>
      </w:r>
      <w:r>
        <w:rPr>
          <w:color w:val="09090A"/>
        </w:rPr>
        <w:t>r</w:t>
      </w:r>
      <w:r>
        <w:rPr>
          <w:color w:val="1D1C1E"/>
        </w:rPr>
        <w:t>at</w:t>
      </w:r>
      <w:r>
        <w:rPr>
          <w:color w:val="09090A"/>
        </w:rPr>
        <w:t>i</w:t>
      </w:r>
      <w:r>
        <w:rPr>
          <w:color w:val="1D1C1E"/>
        </w:rPr>
        <w:t>o</w:t>
      </w:r>
      <w:r>
        <w:rPr>
          <w:color w:val="09090A"/>
        </w:rPr>
        <w:t>n</w:t>
      </w:r>
      <w:r>
        <w:rPr>
          <w:color w:val="1D1C1E"/>
        </w:rPr>
        <w:t xml:space="preserve">s </w:t>
      </w:r>
      <w:r>
        <w:rPr>
          <w:color w:val="09090A"/>
        </w:rPr>
        <w:t>m</w:t>
      </w:r>
      <w:r>
        <w:rPr>
          <w:color w:val="1D1C1E"/>
        </w:rPr>
        <w:t>a</w:t>
      </w:r>
      <w:r>
        <w:rPr>
          <w:color w:val="09090A"/>
        </w:rPr>
        <w:t>y cr</w:t>
      </w:r>
      <w:r>
        <w:rPr>
          <w:color w:val="1D1C1E"/>
        </w:rPr>
        <w:t>ea</w:t>
      </w:r>
      <w:r>
        <w:rPr>
          <w:color w:val="09090A"/>
        </w:rPr>
        <w:t>te en</w:t>
      </w:r>
      <w:r>
        <w:rPr>
          <w:color w:val="1D1C1E"/>
        </w:rPr>
        <w:t>v</w:t>
      </w:r>
      <w:r>
        <w:rPr>
          <w:color w:val="09090A"/>
        </w:rPr>
        <w:t>ironm</w:t>
      </w:r>
      <w:r>
        <w:rPr>
          <w:color w:val="1D1C1E"/>
        </w:rPr>
        <w:t>e</w:t>
      </w:r>
      <w:r>
        <w:rPr>
          <w:color w:val="09090A"/>
        </w:rPr>
        <w:t>nt</w:t>
      </w:r>
      <w:r>
        <w:rPr>
          <w:color w:val="1D1C1E"/>
        </w:rPr>
        <w:t>al r</w:t>
      </w:r>
      <w:r>
        <w:rPr>
          <w:color w:val="09090A"/>
        </w:rPr>
        <w:t>i</w:t>
      </w:r>
      <w:r>
        <w:rPr>
          <w:color w:val="1D1C1E"/>
        </w:rPr>
        <w:t xml:space="preserve">sk </w:t>
      </w:r>
      <w:r>
        <w:rPr>
          <w:color w:val="09090A"/>
        </w:rPr>
        <w:t xml:space="preserve">in </w:t>
      </w:r>
      <w:r>
        <w:rPr>
          <w:color w:val="1D1C1E"/>
        </w:rPr>
        <w:t>t</w:t>
      </w:r>
      <w:r>
        <w:rPr>
          <w:color w:val="09090A"/>
        </w:rPr>
        <w:t xml:space="preserve">he form of dust, </w:t>
      </w:r>
      <w:proofErr w:type="gramStart"/>
      <w:r>
        <w:rPr>
          <w:color w:val="09090A"/>
        </w:rPr>
        <w:t>noi</w:t>
      </w:r>
      <w:r>
        <w:rPr>
          <w:color w:val="1D1C1E"/>
        </w:rPr>
        <w:t>s</w:t>
      </w:r>
      <w:r>
        <w:rPr>
          <w:color w:val="09090A"/>
        </w:rPr>
        <w:t>e</w:t>
      </w:r>
      <w:proofErr w:type="gramEnd"/>
      <w:r>
        <w:rPr>
          <w:color w:val="09090A"/>
        </w:rPr>
        <w:t xml:space="preserve"> or l</w:t>
      </w:r>
      <w:r>
        <w:rPr>
          <w:color w:val="1D1C1E"/>
        </w:rPr>
        <w:t>eakag</w:t>
      </w:r>
      <w:r>
        <w:rPr>
          <w:color w:val="09090A"/>
        </w:rPr>
        <w:t>e of p</w:t>
      </w:r>
      <w:r>
        <w:rPr>
          <w:color w:val="1D1C1E"/>
        </w:rPr>
        <w:t>o</w:t>
      </w:r>
      <w:r>
        <w:rPr>
          <w:color w:val="09090A"/>
        </w:rPr>
        <w:t>llutin</w:t>
      </w:r>
      <w:r>
        <w:rPr>
          <w:color w:val="1D1C1E"/>
        </w:rPr>
        <w:t>g s</w:t>
      </w:r>
      <w:r>
        <w:rPr>
          <w:color w:val="09090A"/>
        </w:rPr>
        <w:t>ubstan</w:t>
      </w:r>
      <w:r>
        <w:rPr>
          <w:color w:val="1D1C1E"/>
        </w:rPr>
        <w:t xml:space="preserve">ces </w:t>
      </w:r>
      <w:r>
        <w:rPr>
          <w:color w:val="09090A"/>
        </w:rPr>
        <w:t xml:space="preserve">from </w:t>
      </w:r>
      <w:r>
        <w:rPr>
          <w:color w:val="1D1C1E"/>
        </w:rPr>
        <w:t>s</w:t>
      </w:r>
      <w:r>
        <w:rPr>
          <w:color w:val="09090A"/>
        </w:rPr>
        <w:t>it</w:t>
      </w:r>
      <w:r>
        <w:rPr>
          <w:color w:val="1D1C1E"/>
        </w:rPr>
        <w:t xml:space="preserve">e </w:t>
      </w:r>
      <w:r>
        <w:rPr>
          <w:color w:val="09090A"/>
        </w:rPr>
        <w:t>oper</w:t>
      </w:r>
      <w:r>
        <w:rPr>
          <w:color w:val="1D1C1E"/>
        </w:rPr>
        <w:t>a</w:t>
      </w:r>
      <w:r>
        <w:rPr>
          <w:color w:val="09090A"/>
        </w:rPr>
        <w:t>tions</w:t>
      </w:r>
      <w:r>
        <w:rPr>
          <w:color w:val="1D1C1E"/>
        </w:rPr>
        <w:t>. It is likely that the environmental laws and standards that regulate the Group’s operations</w:t>
      </w:r>
      <w:r>
        <w:rPr>
          <w:color w:val="1D1C1E"/>
          <w:spacing w:val="-2"/>
        </w:rPr>
        <w:t xml:space="preserve"> </w:t>
      </w:r>
      <w:r>
        <w:rPr>
          <w:color w:val="1D1C1E"/>
        </w:rPr>
        <w:t>will</w:t>
      </w:r>
      <w:r>
        <w:rPr>
          <w:color w:val="1D1C1E"/>
          <w:spacing w:val="-5"/>
        </w:rPr>
        <w:t xml:space="preserve"> </w:t>
      </w:r>
      <w:r>
        <w:rPr>
          <w:color w:val="1D1C1E"/>
        </w:rPr>
        <w:t>become</w:t>
      </w:r>
      <w:r>
        <w:rPr>
          <w:color w:val="1D1C1E"/>
          <w:spacing w:val="-5"/>
        </w:rPr>
        <w:t xml:space="preserve"> </w:t>
      </w:r>
      <w:r>
        <w:rPr>
          <w:color w:val="1D1C1E"/>
        </w:rPr>
        <w:t>increasingly</w:t>
      </w:r>
      <w:r>
        <w:rPr>
          <w:color w:val="1D1C1E"/>
          <w:spacing w:val="-4"/>
        </w:rPr>
        <w:t xml:space="preserve"> </w:t>
      </w:r>
      <w:r>
        <w:rPr>
          <w:color w:val="1D1C1E"/>
        </w:rPr>
        <w:t>stringent</w:t>
      </w:r>
      <w:r>
        <w:rPr>
          <w:color w:val="1D1C1E"/>
          <w:spacing w:val="-4"/>
        </w:rPr>
        <w:t xml:space="preserve"> </w:t>
      </w:r>
      <w:r>
        <w:rPr>
          <w:color w:val="1D1C1E"/>
        </w:rPr>
        <w:t>in</w:t>
      </w:r>
      <w:r>
        <w:rPr>
          <w:color w:val="1D1C1E"/>
          <w:spacing w:val="-5"/>
        </w:rPr>
        <w:t xml:space="preserve"> </w:t>
      </w:r>
      <w:r>
        <w:rPr>
          <w:color w:val="1D1C1E"/>
        </w:rPr>
        <w:t>the</w:t>
      </w:r>
      <w:r>
        <w:rPr>
          <w:color w:val="1D1C1E"/>
          <w:spacing w:val="-5"/>
        </w:rPr>
        <w:t xml:space="preserve"> </w:t>
      </w:r>
      <w:r>
        <w:rPr>
          <w:color w:val="1D1C1E"/>
        </w:rPr>
        <w:t>future,</w:t>
      </w:r>
      <w:r>
        <w:rPr>
          <w:color w:val="1D1C1E"/>
          <w:spacing w:val="-5"/>
        </w:rPr>
        <w:t xml:space="preserve"> </w:t>
      </w:r>
      <w:r>
        <w:rPr>
          <w:color w:val="1D1C1E"/>
        </w:rPr>
        <w:t>particularly</w:t>
      </w:r>
      <w:r>
        <w:rPr>
          <w:color w:val="1D1C1E"/>
          <w:spacing w:val="-4"/>
        </w:rPr>
        <w:t xml:space="preserve"> </w:t>
      </w:r>
      <w:r>
        <w:rPr>
          <w:color w:val="1D1C1E"/>
        </w:rPr>
        <w:t>under</w:t>
      </w:r>
      <w:r>
        <w:rPr>
          <w:color w:val="1D1C1E"/>
          <w:spacing w:val="-4"/>
        </w:rPr>
        <w:t xml:space="preserve"> </w:t>
      </w:r>
      <w:r>
        <w:rPr>
          <w:color w:val="1D1C1E"/>
        </w:rPr>
        <w:t>air</w:t>
      </w:r>
      <w:r>
        <w:rPr>
          <w:color w:val="1D1C1E"/>
          <w:spacing w:val="-5"/>
        </w:rPr>
        <w:t xml:space="preserve"> </w:t>
      </w:r>
      <w:r>
        <w:rPr>
          <w:color w:val="1D1C1E"/>
        </w:rPr>
        <w:t>quality</w:t>
      </w:r>
      <w:r>
        <w:rPr>
          <w:color w:val="1D1C1E"/>
          <w:spacing w:val="-7"/>
        </w:rPr>
        <w:t xml:space="preserve"> </w:t>
      </w:r>
      <w:r>
        <w:rPr>
          <w:color w:val="1D1C1E"/>
        </w:rPr>
        <w:t>and</w:t>
      </w:r>
      <w:r>
        <w:rPr>
          <w:color w:val="1D1C1E"/>
          <w:spacing w:val="-4"/>
        </w:rPr>
        <w:t xml:space="preserve"> </w:t>
      </w:r>
      <w:r>
        <w:rPr>
          <w:color w:val="1D1C1E"/>
        </w:rPr>
        <w:t>water</w:t>
      </w:r>
      <w:r>
        <w:rPr>
          <w:color w:val="1D1C1E"/>
          <w:spacing w:val="-3"/>
        </w:rPr>
        <w:t xml:space="preserve"> </w:t>
      </w:r>
      <w:r>
        <w:rPr>
          <w:color w:val="1D1C1E"/>
        </w:rPr>
        <w:t>quality</w:t>
      </w:r>
      <w:r>
        <w:rPr>
          <w:color w:val="1D1C1E"/>
          <w:spacing w:val="-4"/>
        </w:rPr>
        <w:t xml:space="preserve"> </w:t>
      </w:r>
      <w:r>
        <w:rPr>
          <w:color w:val="1D1C1E"/>
        </w:rPr>
        <w:t>laws</w:t>
      </w:r>
      <w:r>
        <w:rPr>
          <w:color w:val="1D1C1E"/>
          <w:spacing w:val="-4"/>
        </w:rPr>
        <w:t xml:space="preserve"> </w:t>
      </w:r>
      <w:r>
        <w:rPr>
          <w:color w:val="1D1C1E"/>
        </w:rPr>
        <w:t>and regulations and standards related to climate change issues, such as the reporting of greenhouse gas emissions. Whilst the Group intends to operate in accordance with relevant safety, health and environmental regulations and requirements, the Group will remain susceptible to the risk that liabilities might arise as a result of accidents or other circumstances which may be beyond the control of the Group and/or be</w:t>
      </w:r>
      <w:r>
        <w:rPr>
          <w:color w:val="1D1C1E"/>
          <w:spacing w:val="-16"/>
        </w:rPr>
        <w:t xml:space="preserve"> </w:t>
      </w:r>
      <w:r>
        <w:rPr>
          <w:color w:val="1D1C1E"/>
        </w:rPr>
        <w:t>uninsurable.</w:t>
      </w:r>
    </w:p>
    <w:p w14:paraId="5D684F4F" w14:textId="77777777" w:rsidR="00783288" w:rsidRDefault="00783288">
      <w:pPr>
        <w:pStyle w:val="BodyText"/>
        <w:kinsoku w:val="0"/>
        <w:overflowPunct w:val="0"/>
      </w:pPr>
    </w:p>
    <w:p w14:paraId="05B76544" w14:textId="77777777" w:rsidR="00783288" w:rsidRDefault="00E31420">
      <w:pPr>
        <w:pStyle w:val="BodyText"/>
        <w:kinsoku w:val="0"/>
        <w:overflowPunct w:val="0"/>
        <w:ind w:left="300" w:right="1190"/>
        <w:jc w:val="both"/>
        <w:rPr>
          <w:color w:val="040505"/>
        </w:rPr>
      </w:pPr>
      <w:r>
        <w:rPr>
          <w:color w:val="09090A"/>
        </w:rPr>
        <w:t>F</w:t>
      </w:r>
      <w:r>
        <w:rPr>
          <w:color w:val="1D1C1E"/>
        </w:rPr>
        <w:t>a</w:t>
      </w:r>
      <w:r>
        <w:rPr>
          <w:color w:val="09090A"/>
        </w:rPr>
        <w:t>ilur</w:t>
      </w:r>
      <w:r>
        <w:rPr>
          <w:color w:val="1D1C1E"/>
        </w:rPr>
        <w:t>e</w:t>
      </w:r>
      <w:r>
        <w:rPr>
          <w:color w:val="1D1C1E"/>
          <w:spacing w:val="-5"/>
        </w:rPr>
        <w:t xml:space="preserve"> </w:t>
      </w:r>
      <w:r>
        <w:rPr>
          <w:color w:val="09090A"/>
        </w:rPr>
        <w:t>t</w:t>
      </w:r>
      <w:r>
        <w:rPr>
          <w:color w:val="1D1C1E"/>
        </w:rPr>
        <w:t>o</w:t>
      </w:r>
      <w:r>
        <w:rPr>
          <w:color w:val="1D1C1E"/>
          <w:spacing w:val="-6"/>
        </w:rPr>
        <w:t xml:space="preserve"> </w:t>
      </w:r>
      <w:r>
        <w:rPr>
          <w:color w:val="09090A"/>
        </w:rPr>
        <w:t>pr</w:t>
      </w:r>
      <w:r>
        <w:rPr>
          <w:color w:val="1D1C1E"/>
        </w:rPr>
        <w:t>o</w:t>
      </w:r>
      <w:r>
        <w:rPr>
          <w:color w:val="09090A"/>
        </w:rPr>
        <w:t>vid</w:t>
      </w:r>
      <w:r>
        <w:rPr>
          <w:color w:val="1D1C1E"/>
        </w:rPr>
        <w:t>e</w:t>
      </w:r>
      <w:r>
        <w:rPr>
          <w:color w:val="1D1C1E"/>
          <w:spacing w:val="-6"/>
        </w:rPr>
        <w:t xml:space="preserve"> </w:t>
      </w:r>
      <w:r>
        <w:rPr>
          <w:color w:val="1D1C1E"/>
        </w:rPr>
        <w:t>a</w:t>
      </w:r>
      <w:r>
        <w:rPr>
          <w:color w:val="1D1C1E"/>
          <w:spacing w:val="-5"/>
        </w:rPr>
        <w:t xml:space="preserve"> </w:t>
      </w:r>
      <w:r>
        <w:rPr>
          <w:color w:val="1D1C1E"/>
        </w:rPr>
        <w:t>sa</w:t>
      </w:r>
      <w:r>
        <w:rPr>
          <w:color w:val="09090A"/>
        </w:rPr>
        <w:t>f</w:t>
      </w:r>
      <w:r>
        <w:rPr>
          <w:color w:val="1D1C1E"/>
        </w:rPr>
        <w:t>e</w:t>
      </w:r>
      <w:r>
        <w:rPr>
          <w:color w:val="1D1C1E"/>
          <w:spacing w:val="-4"/>
        </w:rPr>
        <w:t xml:space="preserve"> </w:t>
      </w:r>
      <w:r>
        <w:rPr>
          <w:color w:val="1D1C1E"/>
        </w:rPr>
        <w:t>w</w:t>
      </w:r>
      <w:r>
        <w:rPr>
          <w:color w:val="09090A"/>
        </w:rPr>
        <w:t>orking</w:t>
      </w:r>
      <w:r>
        <w:rPr>
          <w:color w:val="09090A"/>
          <w:spacing w:val="-4"/>
        </w:rPr>
        <w:t xml:space="preserve"> </w:t>
      </w:r>
      <w:r>
        <w:rPr>
          <w:color w:val="09090A"/>
        </w:rPr>
        <w:t>en</w:t>
      </w:r>
      <w:r>
        <w:rPr>
          <w:color w:val="1D1C1E"/>
        </w:rPr>
        <w:t>v</w:t>
      </w:r>
      <w:r>
        <w:rPr>
          <w:color w:val="09090A"/>
        </w:rPr>
        <w:t>ironm</w:t>
      </w:r>
      <w:r>
        <w:rPr>
          <w:color w:val="1D1C1E"/>
        </w:rPr>
        <w:t>e</w:t>
      </w:r>
      <w:r>
        <w:rPr>
          <w:color w:val="09090A"/>
        </w:rPr>
        <w:t>nt</w:t>
      </w:r>
      <w:r>
        <w:rPr>
          <w:color w:val="09090A"/>
          <w:spacing w:val="-4"/>
        </w:rPr>
        <w:t xml:space="preserve"> </w:t>
      </w:r>
      <w:r>
        <w:rPr>
          <w:color w:val="1D1C1E"/>
        </w:rPr>
        <w:t>o</w:t>
      </w:r>
      <w:r>
        <w:rPr>
          <w:color w:val="09090A"/>
        </w:rPr>
        <w:t>r</w:t>
      </w:r>
      <w:r>
        <w:rPr>
          <w:color w:val="09090A"/>
          <w:spacing w:val="-5"/>
        </w:rPr>
        <w:t xml:space="preserve"> </w:t>
      </w:r>
      <w:r>
        <w:rPr>
          <w:color w:val="09090A"/>
        </w:rPr>
        <w:t>t</w:t>
      </w:r>
      <w:r>
        <w:rPr>
          <w:color w:val="1D1C1E"/>
        </w:rPr>
        <w:t>o</w:t>
      </w:r>
      <w:r>
        <w:rPr>
          <w:color w:val="1D1C1E"/>
          <w:spacing w:val="-4"/>
        </w:rPr>
        <w:t xml:space="preserve"> </w:t>
      </w:r>
      <w:r>
        <w:rPr>
          <w:color w:val="09090A"/>
        </w:rPr>
        <w:t>m</w:t>
      </w:r>
      <w:r>
        <w:rPr>
          <w:color w:val="1D1C1E"/>
        </w:rPr>
        <w:t>a</w:t>
      </w:r>
      <w:r>
        <w:rPr>
          <w:color w:val="09090A"/>
        </w:rPr>
        <w:t>n</w:t>
      </w:r>
      <w:r>
        <w:rPr>
          <w:color w:val="1D1C1E"/>
        </w:rPr>
        <w:t>age</w:t>
      </w:r>
      <w:r>
        <w:rPr>
          <w:color w:val="1D1C1E"/>
          <w:spacing w:val="-6"/>
        </w:rPr>
        <w:t xml:space="preserve"> </w:t>
      </w:r>
      <w:r>
        <w:rPr>
          <w:color w:val="09090A"/>
        </w:rPr>
        <w:t>en</w:t>
      </w:r>
      <w:r>
        <w:rPr>
          <w:color w:val="1D1C1E"/>
        </w:rPr>
        <w:t>v</w:t>
      </w:r>
      <w:r>
        <w:rPr>
          <w:color w:val="09090A"/>
        </w:rPr>
        <w:t>ironm</w:t>
      </w:r>
      <w:r>
        <w:rPr>
          <w:color w:val="1D1C1E"/>
        </w:rPr>
        <w:t>e</w:t>
      </w:r>
      <w:r>
        <w:rPr>
          <w:color w:val="09090A"/>
        </w:rPr>
        <w:t>nt</w:t>
      </w:r>
      <w:r>
        <w:rPr>
          <w:color w:val="1D1C1E"/>
        </w:rPr>
        <w:t>a</w:t>
      </w:r>
      <w:r>
        <w:rPr>
          <w:color w:val="09090A"/>
        </w:rPr>
        <w:t>l</w:t>
      </w:r>
      <w:r>
        <w:rPr>
          <w:color w:val="09090A"/>
          <w:spacing w:val="-5"/>
        </w:rPr>
        <w:t xml:space="preserve"> </w:t>
      </w:r>
      <w:r>
        <w:rPr>
          <w:color w:val="09090A"/>
        </w:rPr>
        <w:t>ri</w:t>
      </w:r>
      <w:r>
        <w:rPr>
          <w:color w:val="1D1C1E"/>
        </w:rPr>
        <w:t>s</w:t>
      </w:r>
      <w:r>
        <w:rPr>
          <w:color w:val="09090A"/>
        </w:rPr>
        <w:t>k</w:t>
      </w:r>
      <w:r>
        <w:rPr>
          <w:color w:val="1D1C1E"/>
        </w:rPr>
        <w:t>s</w:t>
      </w:r>
      <w:r>
        <w:rPr>
          <w:color w:val="1D1C1E"/>
          <w:spacing w:val="-3"/>
        </w:rPr>
        <w:t xml:space="preserve"> </w:t>
      </w:r>
      <w:r>
        <w:rPr>
          <w:color w:val="09090A"/>
        </w:rPr>
        <w:t>m</w:t>
      </w:r>
      <w:r>
        <w:rPr>
          <w:color w:val="1D1C1E"/>
        </w:rPr>
        <w:t>ay</w:t>
      </w:r>
      <w:r>
        <w:rPr>
          <w:color w:val="1D1C1E"/>
          <w:spacing w:val="-6"/>
        </w:rPr>
        <w:t xml:space="preserve"> </w:t>
      </w:r>
      <w:r>
        <w:rPr>
          <w:color w:val="1D1C1E"/>
        </w:rPr>
        <w:t>res</w:t>
      </w:r>
      <w:r>
        <w:rPr>
          <w:color w:val="09090A"/>
        </w:rPr>
        <w:t>ul</w:t>
      </w:r>
      <w:r>
        <w:rPr>
          <w:color w:val="1D1C1E"/>
        </w:rPr>
        <w:t>t</w:t>
      </w:r>
      <w:r>
        <w:rPr>
          <w:color w:val="1D1C1E"/>
          <w:spacing w:val="-6"/>
        </w:rPr>
        <w:t xml:space="preserve"> </w:t>
      </w:r>
      <w:r>
        <w:rPr>
          <w:color w:val="09090A"/>
        </w:rPr>
        <w:t>in</w:t>
      </w:r>
      <w:r>
        <w:rPr>
          <w:color w:val="09090A"/>
          <w:spacing w:val="-5"/>
        </w:rPr>
        <w:t xml:space="preserve"> </w:t>
      </w:r>
      <w:r>
        <w:rPr>
          <w:color w:val="09090A"/>
        </w:rPr>
        <w:t>h</w:t>
      </w:r>
      <w:r>
        <w:rPr>
          <w:color w:val="1D1C1E"/>
        </w:rPr>
        <w:t>a</w:t>
      </w:r>
      <w:r>
        <w:rPr>
          <w:color w:val="09090A"/>
        </w:rPr>
        <w:t>r</w:t>
      </w:r>
      <w:r>
        <w:rPr>
          <w:color w:val="1D1C1E"/>
        </w:rPr>
        <w:t>m</w:t>
      </w:r>
      <w:r>
        <w:rPr>
          <w:color w:val="1D1C1E"/>
          <w:spacing w:val="-3"/>
        </w:rPr>
        <w:t xml:space="preserve"> </w:t>
      </w:r>
      <w:r>
        <w:rPr>
          <w:color w:val="09090A"/>
        </w:rPr>
        <w:t>to</w:t>
      </w:r>
      <w:r>
        <w:rPr>
          <w:color w:val="09090A"/>
          <w:spacing w:val="-4"/>
        </w:rPr>
        <w:t xml:space="preserve"> </w:t>
      </w:r>
      <w:r>
        <w:rPr>
          <w:color w:val="09090A"/>
        </w:rPr>
        <w:t>the</w:t>
      </w:r>
      <w:r>
        <w:rPr>
          <w:color w:val="09090A"/>
          <w:spacing w:val="-5"/>
        </w:rPr>
        <w:t xml:space="preserve"> </w:t>
      </w:r>
      <w:r>
        <w:rPr>
          <w:color w:val="09090A"/>
        </w:rPr>
        <w:t>Group</w:t>
      </w:r>
      <w:r>
        <w:rPr>
          <w:color w:val="1D1C1E"/>
        </w:rPr>
        <w:t>’s e</w:t>
      </w:r>
      <w:r>
        <w:rPr>
          <w:color w:val="09090A"/>
        </w:rPr>
        <w:t>mpl</w:t>
      </w:r>
      <w:r>
        <w:rPr>
          <w:color w:val="1D1C1E"/>
        </w:rPr>
        <w:t>oyees</w:t>
      </w:r>
      <w:r>
        <w:rPr>
          <w:color w:val="09090A"/>
        </w:rPr>
        <w:t>,</w:t>
      </w:r>
      <w:r>
        <w:rPr>
          <w:color w:val="09090A"/>
          <w:spacing w:val="-6"/>
        </w:rPr>
        <w:t xml:space="preserve"> </w:t>
      </w:r>
      <w:r>
        <w:rPr>
          <w:color w:val="09090A"/>
        </w:rPr>
        <w:t>th</w:t>
      </w:r>
      <w:r>
        <w:rPr>
          <w:color w:val="1D1C1E"/>
        </w:rPr>
        <w:t>e</w:t>
      </w:r>
      <w:r>
        <w:rPr>
          <w:color w:val="1D1C1E"/>
          <w:spacing w:val="-4"/>
        </w:rPr>
        <w:t xml:space="preserve"> </w:t>
      </w:r>
      <w:r>
        <w:rPr>
          <w:color w:val="09090A"/>
        </w:rPr>
        <w:t>communities</w:t>
      </w:r>
      <w:r>
        <w:rPr>
          <w:color w:val="09090A"/>
          <w:spacing w:val="-4"/>
        </w:rPr>
        <w:t xml:space="preserve"> </w:t>
      </w:r>
      <w:r>
        <w:rPr>
          <w:color w:val="09090A"/>
        </w:rPr>
        <w:t>n</w:t>
      </w:r>
      <w:r>
        <w:rPr>
          <w:color w:val="1D1C1E"/>
        </w:rPr>
        <w:t>ea</w:t>
      </w:r>
      <w:r>
        <w:rPr>
          <w:color w:val="09090A"/>
        </w:rPr>
        <w:t>r</w:t>
      </w:r>
      <w:r>
        <w:rPr>
          <w:color w:val="09090A"/>
          <w:spacing w:val="-5"/>
        </w:rPr>
        <w:t xml:space="preserve"> </w:t>
      </w:r>
      <w:r>
        <w:rPr>
          <w:color w:val="1D1C1E"/>
        </w:rPr>
        <w:t>t</w:t>
      </w:r>
      <w:r>
        <w:rPr>
          <w:color w:val="09090A"/>
        </w:rPr>
        <w:t>he</w:t>
      </w:r>
      <w:r>
        <w:rPr>
          <w:color w:val="09090A"/>
          <w:spacing w:val="-3"/>
        </w:rPr>
        <w:t xml:space="preserve"> </w:t>
      </w:r>
      <w:r>
        <w:rPr>
          <w:color w:val="1D1C1E"/>
        </w:rPr>
        <w:t>Group</w:t>
      </w:r>
      <w:r>
        <w:rPr>
          <w:color w:val="09090A"/>
        </w:rPr>
        <w:t>’</w:t>
      </w:r>
      <w:r>
        <w:rPr>
          <w:color w:val="1D1C1E"/>
        </w:rPr>
        <w:t>s</w:t>
      </w:r>
      <w:r>
        <w:rPr>
          <w:color w:val="1D1C1E"/>
          <w:spacing w:val="-3"/>
        </w:rPr>
        <w:t xml:space="preserve"> </w:t>
      </w:r>
      <w:r>
        <w:rPr>
          <w:color w:val="09090A"/>
        </w:rPr>
        <w:t>oper</w:t>
      </w:r>
      <w:r>
        <w:rPr>
          <w:color w:val="1D1C1E"/>
        </w:rPr>
        <w:t>at</w:t>
      </w:r>
      <w:r>
        <w:rPr>
          <w:color w:val="09090A"/>
        </w:rPr>
        <w:t>i</w:t>
      </w:r>
      <w:r>
        <w:rPr>
          <w:color w:val="1D1C1E"/>
        </w:rPr>
        <w:t>o</w:t>
      </w:r>
      <w:r>
        <w:rPr>
          <w:color w:val="09090A"/>
        </w:rPr>
        <w:t>n</w:t>
      </w:r>
      <w:r>
        <w:rPr>
          <w:color w:val="1D1C1E"/>
        </w:rPr>
        <w:t>s</w:t>
      </w:r>
      <w:r>
        <w:rPr>
          <w:color w:val="1D1C1E"/>
          <w:spacing w:val="-3"/>
        </w:rPr>
        <w:t xml:space="preserve"> </w:t>
      </w:r>
      <w:r>
        <w:rPr>
          <w:color w:val="1D1C1E"/>
        </w:rPr>
        <w:t>a</w:t>
      </w:r>
      <w:r>
        <w:rPr>
          <w:color w:val="09090A"/>
        </w:rPr>
        <w:t>nd</w:t>
      </w:r>
      <w:r>
        <w:rPr>
          <w:color w:val="09090A"/>
          <w:spacing w:val="-3"/>
        </w:rPr>
        <w:t xml:space="preserve"> </w:t>
      </w:r>
      <w:r>
        <w:rPr>
          <w:color w:val="1D1C1E"/>
        </w:rPr>
        <w:t>t</w:t>
      </w:r>
      <w:r>
        <w:rPr>
          <w:color w:val="09090A"/>
        </w:rPr>
        <w:t>h</w:t>
      </w:r>
      <w:r>
        <w:rPr>
          <w:color w:val="1D1C1E"/>
        </w:rPr>
        <w:t>e</w:t>
      </w:r>
      <w:r>
        <w:rPr>
          <w:color w:val="1D1C1E"/>
          <w:spacing w:val="-6"/>
        </w:rPr>
        <w:t xml:space="preserve"> </w:t>
      </w:r>
      <w:r>
        <w:rPr>
          <w:color w:val="09090A"/>
        </w:rPr>
        <w:t>l</w:t>
      </w:r>
      <w:r>
        <w:rPr>
          <w:color w:val="1D1C1E"/>
        </w:rPr>
        <w:t>oca</w:t>
      </w:r>
      <w:r>
        <w:rPr>
          <w:color w:val="09090A"/>
        </w:rPr>
        <w:t>l</w:t>
      </w:r>
      <w:r>
        <w:rPr>
          <w:color w:val="09090A"/>
          <w:spacing w:val="-3"/>
        </w:rPr>
        <w:t xml:space="preserve"> </w:t>
      </w:r>
      <w:r>
        <w:rPr>
          <w:color w:val="1D1C1E"/>
        </w:rPr>
        <w:t>e</w:t>
      </w:r>
      <w:r>
        <w:rPr>
          <w:color w:val="09090A"/>
        </w:rPr>
        <w:t>n</w:t>
      </w:r>
      <w:r>
        <w:rPr>
          <w:color w:val="1D1C1E"/>
        </w:rPr>
        <w:t>v</w:t>
      </w:r>
      <w:r>
        <w:rPr>
          <w:color w:val="09090A"/>
        </w:rPr>
        <w:t>ir</w:t>
      </w:r>
      <w:r>
        <w:rPr>
          <w:color w:val="1D1C1E"/>
        </w:rPr>
        <w:t>o</w:t>
      </w:r>
      <w:r>
        <w:rPr>
          <w:color w:val="09090A"/>
        </w:rPr>
        <w:t>n</w:t>
      </w:r>
      <w:r>
        <w:rPr>
          <w:color w:val="1D1C1E"/>
        </w:rPr>
        <w:t>me</w:t>
      </w:r>
      <w:r>
        <w:rPr>
          <w:color w:val="09090A"/>
        </w:rPr>
        <w:t>nt</w:t>
      </w:r>
      <w:r>
        <w:rPr>
          <w:color w:val="231F20"/>
        </w:rPr>
        <w:t>.</w:t>
      </w:r>
      <w:r>
        <w:rPr>
          <w:color w:val="231F20"/>
          <w:spacing w:val="-6"/>
        </w:rPr>
        <w:t xml:space="preserve"> </w:t>
      </w:r>
      <w:r>
        <w:rPr>
          <w:color w:val="09090A"/>
        </w:rPr>
        <w:t>Go</w:t>
      </w:r>
      <w:r>
        <w:rPr>
          <w:color w:val="1D1C1E"/>
        </w:rPr>
        <w:t>v</w:t>
      </w:r>
      <w:r>
        <w:rPr>
          <w:color w:val="09090A"/>
        </w:rPr>
        <w:t>ernm</w:t>
      </w:r>
      <w:r>
        <w:rPr>
          <w:color w:val="1D1C1E"/>
        </w:rPr>
        <w:t>e</w:t>
      </w:r>
      <w:r>
        <w:rPr>
          <w:color w:val="09090A"/>
        </w:rPr>
        <w:t>n</w:t>
      </w:r>
      <w:r>
        <w:rPr>
          <w:color w:val="1D1C1E"/>
        </w:rPr>
        <w:t>t</w:t>
      </w:r>
      <w:r>
        <w:rPr>
          <w:color w:val="1D1C1E"/>
          <w:spacing w:val="-4"/>
        </w:rPr>
        <w:t xml:space="preserve"> </w:t>
      </w:r>
      <w:r>
        <w:rPr>
          <w:color w:val="1D1C1E"/>
        </w:rPr>
        <w:t>a</w:t>
      </w:r>
      <w:r>
        <w:rPr>
          <w:color w:val="09090A"/>
        </w:rPr>
        <w:t>uth</w:t>
      </w:r>
      <w:r>
        <w:rPr>
          <w:color w:val="1D1C1E"/>
        </w:rPr>
        <w:t>o</w:t>
      </w:r>
      <w:r>
        <w:rPr>
          <w:color w:val="09090A"/>
        </w:rPr>
        <w:t>riti</w:t>
      </w:r>
      <w:r>
        <w:rPr>
          <w:color w:val="1D1C1E"/>
        </w:rPr>
        <w:t>es</w:t>
      </w:r>
      <w:r>
        <w:rPr>
          <w:color w:val="1D1C1E"/>
          <w:spacing w:val="-5"/>
        </w:rPr>
        <w:t xml:space="preserve"> </w:t>
      </w:r>
      <w:r>
        <w:rPr>
          <w:color w:val="1D1C1E"/>
        </w:rPr>
        <w:t>may a</w:t>
      </w:r>
      <w:r>
        <w:rPr>
          <w:color w:val="09090A"/>
        </w:rPr>
        <w:t>l</w:t>
      </w:r>
      <w:r>
        <w:rPr>
          <w:color w:val="1D1C1E"/>
        </w:rPr>
        <w:t>so f</w:t>
      </w:r>
      <w:r>
        <w:rPr>
          <w:color w:val="09090A"/>
        </w:rPr>
        <w:t>or</w:t>
      </w:r>
      <w:r>
        <w:rPr>
          <w:color w:val="1D1C1E"/>
        </w:rPr>
        <w:t>c</w:t>
      </w:r>
      <w:r>
        <w:rPr>
          <w:color w:val="09090A"/>
        </w:rPr>
        <w:t xml:space="preserve">e </w:t>
      </w:r>
      <w:r>
        <w:rPr>
          <w:color w:val="1D1C1E"/>
        </w:rPr>
        <w:t>c</w:t>
      </w:r>
      <w:r>
        <w:rPr>
          <w:color w:val="09090A"/>
        </w:rPr>
        <w:t>losure of f</w:t>
      </w:r>
      <w:r>
        <w:rPr>
          <w:color w:val="1D1C1E"/>
        </w:rPr>
        <w:t>aci</w:t>
      </w:r>
      <w:r>
        <w:rPr>
          <w:color w:val="09090A"/>
        </w:rPr>
        <w:t>liti</w:t>
      </w:r>
      <w:r>
        <w:rPr>
          <w:color w:val="1D1C1E"/>
        </w:rPr>
        <w:t>es o</w:t>
      </w:r>
      <w:r>
        <w:rPr>
          <w:color w:val="09090A"/>
        </w:rPr>
        <w:t>r r</w:t>
      </w:r>
      <w:r>
        <w:rPr>
          <w:color w:val="1D1C1E"/>
        </w:rPr>
        <w:t>ef</w:t>
      </w:r>
      <w:r>
        <w:rPr>
          <w:color w:val="09090A"/>
        </w:rPr>
        <w:t>u</w:t>
      </w:r>
      <w:r>
        <w:rPr>
          <w:color w:val="1D1C1E"/>
        </w:rPr>
        <w:t>s</w:t>
      </w:r>
      <w:r>
        <w:rPr>
          <w:color w:val="09090A"/>
        </w:rPr>
        <w:t>e futu</w:t>
      </w:r>
      <w:r>
        <w:rPr>
          <w:color w:val="1D1C1E"/>
        </w:rPr>
        <w:t xml:space="preserve">re </w:t>
      </w:r>
      <w:r>
        <w:rPr>
          <w:color w:val="09090A"/>
        </w:rPr>
        <w:t>drillin</w:t>
      </w:r>
      <w:r>
        <w:rPr>
          <w:color w:val="1D1C1E"/>
        </w:rPr>
        <w:t>g a</w:t>
      </w:r>
      <w:r>
        <w:rPr>
          <w:color w:val="09090A"/>
        </w:rPr>
        <w:t>p</w:t>
      </w:r>
      <w:r>
        <w:rPr>
          <w:color w:val="1D1C1E"/>
        </w:rPr>
        <w:t>p</w:t>
      </w:r>
      <w:r>
        <w:rPr>
          <w:color w:val="09090A"/>
        </w:rPr>
        <w:t>li</w:t>
      </w:r>
      <w:r>
        <w:rPr>
          <w:color w:val="1D1C1E"/>
        </w:rPr>
        <w:t>cat</w:t>
      </w:r>
      <w:r>
        <w:rPr>
          <w:color w:val="09090A"/>
        </w:rPr>
        <w:t>i</w:t>
      </w:r>
      <w:r>
        <w:rPr>
          <w:color w:val="1D1C1E"/>
        </w:rPr>
        <w:t>o</w:t>
      </w:r>
      <w:r>
        <w:rPr>
          <w:color w:val="09090A"/>
        </w:rPr>
        <w:t>ns in such circumstances. Th</w:t>
      </w:r>
      <w:r>
        <w:rPr>
          <w:color w:val="1D1C1E"/>
        </w:rPr>
        <w:t>e Group co</w:t>
      </w:r>
      <w:r>
        <w:rPr>
          <w:color w:val="09090A"/>
        </w:rPr>
        <w:t>ul</w:t>
      </w:r>
      <w:r>
        <w:rPr>
          <w:color w:val="1D1C1E"/>
        </w:rPr>
        <w:t xml:space="preserve">d face </w:t>
      </w:r>
      <w:r>
        <w:rPr>
          <w:color w:val="09090A"/>
        </w:rPr>
        <w:t>fine</w:t>
      </w:r>
      <w:r>
        <w:rPr>
          <w:color w:val="1D1C1E"/>
        </w:rPr>
        <w:t>s</w:t>
      </w:r>
      <w:r>
        <w:rPr>
          <w:color w:val="1D1C1E"/>
          <w:spacing w:val="-11"/>
        </w:rPr>
        <w:t xml:space="preserve"> </w:t>
      </w:r>
      <w:r>
        <w:rPr>
          <w:color w:val="09090A"/>
        </w:rPr>
        <w:t>an</w:t>
      </w:r>
      <w:r>
        <w:rPr>
          <w:color w:val="1D1C1E"/>
        </w:rPr>
        <w:t>d</w:t>
      </w:r>
      <w:r>
        <w:rPr>
          <w:color w:val="1D1C1E"/>
          <w:spacing w:val="-12"/>
        </w:rPr>
        <w:t xml:space="preserve"> </w:t>
      </w:r>
      <w:r>
        <w:rPr>
          <w:color w:val="09090A"/>
        </w:rPr>
        <w:t>p</w:t>
      </w:r>
      <w:r>
        <w:rPr>
          <w:color w:val="1D1C1E"/>
        </w:rPr>
        <w:t>e</w:t>
      </w:r>
      <w:r>
        <w:rPr>
          <w:color w:val="09090A"/>
        </w:rPr>
        <w:t>n</w:t>
      </w:r>
      <w:r>
        <w:rPr>
          <w:color w:val="1D1C1E"/>
        </w:rPr>
        <w:t>a</w:t>
      </w:r>
      <w:r>
        <w:rPr>
          <w:color w:val="09090A"/>
        </w:rPr>
        <w:t>l</w:t>
      </w:r>
      <w:r>
        <w:rPr>
          <w:color w:val="1D1C1E"/>
        </w:rPr>
        <w:t>ties,</w:t>
      </w:r>
      <w:r>
        <w:rPr>
          <w:color w:val="1D1C1E"/>
          <w:spacing w:val="-12"/>
        </w:rPr>
        <w:t xml:space="preserve"> </w:t>
      </w:r>
      <w:r>
        <w:rPr>
          <w:color w:val="09090A"/>
        </w:rPr>
        <w:t>li</w:t>
      </w:r>
      <w:r>
        <w:rPr>
          <w:color w:val="1D1C1E"/>
        </w:rPr>
        <w:t>ab</w:t>
      </w:r>
      <w:r>
        <w:rPr>
          <w:color w:val="09090A"/>
        </w:rPr>
        <w:t>i</w:t>
      </w:r>
      <w:r>
        <w:rPr>
          <w:color w:val="1D1C1E"/>
        </w:rPr>
        <w:t>l</w:t>
      </w:r>
      <w:r>
        <w:rPr>
          <w:color w:val="09090A"/>
        </w:rPr>
        <w:t>i</w:t>
      </w:r>
      <w:r>
        <w:rPr>
          <w:color w:val="1D1C1E"/>
        </w:rPr>
        <w:t>ty</w:t>
      </w:r>
      <w:r>
        <w:rPr>
          <w:color w:val="1D1C1E"/>
          <w:spacing w:val="-14"/>
        </w:rPr>
        <w:t xml:space="preserve"> </w:t>
      </w:r>
      <w:r>
        <w:rPr>
          <w:color w:val="09090A"/>
        </w:rPr>
        <w:t>t</w:t>
      </w:r>
      <w:r>
        <w:rPr>
          <w:color w:val="1D1C1E"/>
        </w:rPr>
        <w:t>o</w:t>
      </w:r>
      <w:r>
        <w:rPr>
          <w:color w:val="1D1C1E"/>
          <w:spacing w:val="-12"/>
        </w:rPr>
        <w:t xml:space="preserve"> </w:t>
      </w:r>
      <w:r>
        <w:rPr>
          <w:color w:val="1D1C1E"/>
        </w:rPr>
        <w:t>e</w:t>
      </w:r>
      <w:r>
        <w:rPr>
          <w:color w:val="09090A"/>
        </w:rPr>
        <w:t>m</w:t>
      </w:r>
      <w:r>
        <w:rPr>
          <w:color w:val="1D1C1E"/>
        </w:rPr>
        <w:t>p</w:t>
      </w:r>
      <w:r>
        <w:rPr>
          <w:color w:val="09090A"/>
        </w:rPr>
        <w:t>l</w:t>
      </w:r>
      <w:r>
        <w:rPr>
          <w:color w:val="1D1C1E"/>
        </w:rPr>
        <w:t>oyee</w:t>
      </w:r>
      <w:r>
        <w:rPr>
          <w:color w:val="09090A"/>
        </w:rPr>
        <w:t>s</w:t>
      </w:r>
      <w:r>
        <w:rPr>
          <w:color w:val="09090A"/>
          <w:spacing w:val="-11"/>
        </w:rPr>
        <w:t xml:space="preserve"> </w:t>
      </w:r>
      <w:r>
        <w:rPr>
          <w:color w:val="1D1C1E"/>
        </w:rPr>
        <w:t>a</w:t>
      </w:r>
      <w:r>
        <w:rPr>
          <w:color w:val="09090A"/>
        </w:rPr>
        <w:t>n</w:t>
      </w:r>
      <w:r>
        <w:rPr>
          <w:color w:val="1D1C1E"/>
        </w:rPr>
        <w:t>d</w:t>
      </w:r>
      <w:r>
        <w:rPr>
          <w:color w:val="1D1C1E"/>
          <w:spacing w:val="-12"/>
        </w:rPr>
        <w:t xml:space="preserve"> </w:t>
      </w:r>
      <w:r>
        <w:rPr>
          <w:color w:val="09090A"/>
        </w:rPr>
        <w:t>thir</w:t>
      </w:r>
      <w:r>
        <w:rPr>
          <w:color w:val="1D1C1E"/>
        </w:rPr>
        <w:t>d</w:t>
      </w:r>
      <w:r>
        <w:rPr>
          <w:color w:val="1D1C1E"/>
          <w:spacing w:val="-11"/>
        </w:rPr>
        <w:t xml:space="preserve"> </w:t>
      </w:r>
      <w:r>
        <w:rPr>
          <w:color w:val="09090A"/>
        </w:rPr>
        <w:t>p</w:t>
      </w:r>
      <w:r>
        <w:rPr>
          <w:color w:val="1D1C1E"/>
        </w:rPr>
        <w:t>a</w:t>
      </w:r>
      <w:r>
        <w:rPr>
          <w:color w:val="09090A"/>
        </w:rPr>
        <w:t>r</w:t>
      </w:r>
      <w:r>
        <w:rPr>
          <w:color w:val="1D1C1E"/>
        </w:rPr>
        <w:t>t</w:t>
      </w:r>
      <w:r>
        <w:rPr>
          <w:color w:val="09090A"/>
        </w:rPr>
        <w:t>i</w:t>
      </w:r>
      <w:r>
        <w:rPr>
          <w:color w:val="1D1C1E"/>
        </w:rPr>
        <w:t>es</w:t>
      </w:r>
      <w:r>
        <w:rPr>
          <w:color w:val="1D1C1E"/>
          <w:spacing w:val="-11"/>
        </w:rPr>
        <w:t xml:space="preserve"> </w:t>
      </w:r>
      <w:r>
        <w:rPr>
          <w:color w:val="09090A"/>
        </w:rPr>
        <w:t>f</w:t>
      </w:r>
      <w:r>
        <w:rPr>
          <w:color w:val="3A3A3B"/>
        </w:rPr>
        <w:t>o</w:t>
      </w:r>
      <w:r>
        <w:rPr>
          <w:color w:val="1D1C1E"/>
        </w:rPr>
        <w:t>r</w:t>
      </w:r>
      <w:r>
        <w:rPr>
          <w:color w:val="1D1C1E"/>
          <w:spacing w:val="-13"/>
        </w:rPr>
        <w:t xml:space="preserve"> </w:t>
      </w:r>
      <w:r>
        <w:rPr>
          <w:color w:val="1D1C1E"/>
        </w:rPr>
        <w:t>i</w:t>
      </w:r>
      <w:r>
        <w:rPr>
          <w:color w:val="09090A"/>
        </w:rPr>
        <w:t>n</w:t>
      </w:r>
      <w:r>
        <w:rPr>
          <w:color w:val="1D1C1E"/>
        </w:rPr>
        <w:t>ju</w:t>
      </w:r>
      <w:r>
        <w:rPr>
          <w:color w:val="09090A"/>
        </w:rPr>
        <w:t>r</w:t>
      </w:r>
      <w:r>
        <w:rPr>
          <w:color w:val="1D1C1E"/>
        </w:rPr>
        <w:t>y</w:t>
      </w:r>
      <w:r>
        <w:rPr>
          <w:color w:val="3A3A3B"/>
        </w:rPr>
        <w:t>,</w:t>
      </w:r>
      <w:r>
        <w:rPr>
          <w:color w:val="3A3A3B"/>
          <w:spacing w:val="-12"/>
        </w:rPr>
        <w:t xml:space="preserve"> </w:t>
      </w:r>
      <w:r>
        <w:rPr>
          <w:color w:val="1D1C1E"/>
        </w:rPr>
        <w:t>stat</w:t>
      </w:r>
      <w:r>
        <w:rPr>
          <w:color w:val="09090A"/>
        </w:rPr>
        <w:t>utor</w:t>
      </w:r>
      <w:r>
        <w:rPr>
          <w:color w:val="1D1C1E"/>
        </w:rPr>
        <w:t>y</w:t>
      </w:r>
      <w:r>
        <w:rPr>
          <w:color w:val="1D1C1E"/>
          <w:spacing w:val="-14"/>
        </w:rPr>
        <w:t xml:space="preserve"> </w:t>
      </w:r>
      <w:r>
        <w:rPr>
          <w:color w:val="1D1C1E"/>
        </w:rPr>
        <w:t>l</w:t>
      </w:r>
      <w:r>
        <w:rPr>
          <w:color w:val="09090A"/>
        </w:rPr>
        <w:t>i</w:t>
      </w:r>
      <w:r>
        <w:rPr>
          <w:color w:val="1D1C1E"/>
        </w:rPr>
        <w:t>a</w:t>
      </w:r>
      <w:r>
        <w:rPr>
          <w:color w:val="09090A"/>
        </w:rPr>
        <w:t>b</w:t>
      </w:r>
      <w:r>
        <w:rPr>
          <w:color w:val="1D1C1E"/>
        </w:rPr>
        <w:t>i</w:t>
      </w:r>
      <w:r>
        <w:rPr>
          <w:color w:val="09090A"/>
        </w:rPr>
        <w:t>li</w:t>
      </w:r>
      <w:r>
        <w:rPr>
          <w:color w:val="1D1C1E"/>
        </w:rPr>
        <w:t>ty</w:t>
      </w:r>
      <w:r>
        <w:rPr>
          <w:color w:val="1D1C1E"/>
          <w:spacing w:val="-13"/>
        </w:rPr>
        <w:t xml:space="preserve"> </w:t>
      </w:r>
      <w:r>
        <w:rPr>
          <w:color w:val="1D1C1E"/>
        </w:rPr>
        <w:t>fo</w:t>
      </w:r>
      <w:r>
        <w:rPr>
          <w:color w:val="09090A"/>
        </w:rPr>
        <w:t>r</w:t>
      </w:r>
      <w:r>
        <w:rPr>
          <w:color w:val="09090A"/>
          <w:spacing w:val="-13"/>
        </w:rPr>
        <w:t xml:space="preserve"> </w:t>
      </w:r>
      <w:r>
        <w:rPr>
          <w:color w:val="1D1C1E"/>
        </w:rPr>
        <w:t>e</w:t>
      </w:r>
      <w:r>
        <w:rPr>
          <w:color w:val="09090A"/>
        </w:rPr>
        <w:t>n</w:t>
      </w:r>
      <w:r>
        <w:rPr>
          <w:color w:val="1D1C1E"/>
        </w:rPr>
        <w:t>v</w:t>
      </w:r>
      <w:r>
        <w:rPr>
          <w:color w:val="09090A"/>
        </w:rPr>
        <w:t>ir</w:t>
      </w:r>
      <w:r>
        <w:rPr>
          <w:color w:val="1D1C1E"/>
        </w:rPr>
        <w:t>o</w:t>
      </w:r>
      <w:r>
        <w:rPr>
          <w:color w:val="09090A"/>
        </w:rPr>
        <w:t>n</w:t>
      </w:r>
      <w:r>
        <w:rPr>
          <w:color w:val="1D1C1E"/>
        </w:rPr>
        <w:t>menta</w:t>
      </w:r>
      <w:r>
        <w:rPr>
          <w:color w:val="09090A"/>
        </w:rPr>
        <w:t>l</w:t>
      </w:r>
      <w:r>
        <w:rPr>
          <w:color w:val="09090A"/>
          <w:spacing w:val="-12"/>
        </w:rPr>
        <w:t xml:space="preserve"> </w:t>
      </w:r>
      <w:r>
        <w:rPr>
          <w:color w:val="09090A"/>
        </w:rPr>
        <w:t>r</w:t>
      </w:r>
      <w:r>
        <w:rPr>
          <w:color w:val="1D1C1E"/>
        </w:rPr>
        <w:t>e</w:t>
      </w:r>
      <w:r>
        <w:rPr>
          <w:color w:val="09090A"/>
        </w:rPr>
        <w:t>medi</w:t>
      </w:r>
      <w:r>
        <w:rPr>
          <w:color w:val="1D1C1E"/>
        </w:rPr>
        <w:t>ation a</w:t>
      </w:r>
      <w:r>
        <w:rPr>
          <w:color w:val="09090A"/>
        </w:rPr>
        <w:t xml:space="preserve">nd </w:t>
      </w:r>
      <w:r>
        <w:rPr>
          <w:color w:val="1D1C1E"/>
        </w:rPr>
        <w:t>other financ</w:t>
      </w:r>
      <w:r>
        <w:rPr>
          <w:color w:val="09090A"/>
        </w:rPr>
        <w:t>i</w:t>
      </w:r>
      <w:r>
        <w:rPr>
          <w:color w:val="1D1C1E"/>
        </w:rPr>
        <w:t>a</w:t>
      </w:r>
      <w:r>
        <w:rPr>
          <w:color w:val="09090A"/>
        </w:rPr>
        <w:t xml:space="preserve">l </w:t>
      </w:r>
      <w:r>
        <w:rPr>
          <w:color w:val="1D1C1E"/>
        </w:rPr>
        <w:t>cons</w:t>
      </w:r>
      <w:r>
        <w:rPr>
          <w:color w:val="09090A"/>
        </w:rPr>
        <w:t>e</w:t>
      </w:r>
      <w:r>
        <w:rPr>
          <w:color w:val="1D1C1E"/>
        </w:rPr>
        <w:t>q</w:t>
      </w:r>
      <w:r>
        <w:rPr>
          <w:color w:val="09090A"/>
        </w:rPr>
        <w:t>u</w:t>
      </w:r>
      <w:r>
        <w:rPr>
          <w:color w:val="1D1C1E"/>
        </w:rPr>
        <w:t>e</w:t>
      </w:r>
      <w:r>
        <w:rPr>
          <w:color w:val="09090A"/>
        </w:rPr>
        <w:t>n</w:t>
      </w:r>
      <w:r>
        <w:rPr>
          <w:color w:val="1D1C1E"/>
        </w:rPr>
        <w:t>ce</w:t>
      </w:r>
      <w:r>
        <w:rPr>
          <w:color w:val="09090A"/>
        </w:rPr>
        <w:t>s</w:t>
      </w:r>
      <w:r>
        <w:rPr>
          <w:color w:val="1D1C1E"/>
        </w:rPr>
        <w:t>, w</w:t>
      </w:r>
      <w:r>
        <w:rPr>
          <w:color w:val="09090A"/>
        </w:rPr>
        <w:t>hi</w:t>
      </w:r>
      <w:r>
        <w:rPr>
          <w:color w:val="1D1C1E"/>
        </w:rPr>
        <w:t>c</w:t>
      </w:r>
      <w:r>
        <w:rPr>
          <w:color w:val="09090A"/>
        </w:rPr>
        <w:t xml:space="preserve">h </w:t>
      </w:r>
      <w:r>
        <w:rPr>
          <w:color w:val="1D1C1E"/>
        </w:rPr>
        <w:t xml:space="preserve">may </w:t>
      </w:r>
      <w:r>
        <w:rPr>
          <w:color w:val="09090A"/>
        </w:rPr>
        <w:t>b</w:t>
      </w:r>
      <w:r>
        <w:rPr>
          <w:color w:val="1D1C1E"/>
        </w:rPr>
        <w:t>e s</w:t>
      </w:r>
      <w:r>
        <w:rPr>
          <w:color w:val="09090A"/>
        </w:rPr>
        <w:t>i</w:t>
      </w:r>
      <w:r>
        <w:rPr>
          <w:color w:val="1D1C1E"/>
        </w:rPr>
        <w:t>gn</w:t>
      </w:r>
      <w:r>
        <w:rPr>
          <w:color w:val="09090A"/>
        </w:rPr>
        <w:t>i</w:t>
      </w:r>
      <w:r>
        <w:rPr>
          <w:color w:val="1D1C1E"/>
        </w:rPr>
        <w:t>fic</w:t>
      </w:r>
      <w:r>
        <w:rPr>
          <w:color w:val="3A3A3B"/>
        </w:rPr>
        <w:t>a</w:t>
      </w:r>
      <w:r>
        <w:rPr>
          <w:color w:val="09090A"/>
        </w:rPr>
        <w:t>n</w:t>
      </w:r>
      <w:r>
        <w:rPr>
          <w:color w:val="1D1C1E"/>
        </w:rPr>
        <w:t>t</w:t>
      </w:r>
      <w:r>
        <w:rPr>
          <w:color w:val="231F20"/>
        </w:rPr>
        <w:t xml:space="preserve">. </w:t>
      </w:r>
      <w:r>
        <w:rPr>
          <w:color w:val="09090A"/>
        </w:rPr>
        <w:t>Th</w:t>
      </w:r>
      <w:r>
        <w:rPr>
          <w:color w:val="1D1C1E"/>
        </w:rPr>
        <w:t>e Group co</w:t>
      </w:r>
      <w:r>
        <w:rPr>
          <w:color w:val="09090A"/>
        </w:rPr>
        <w:t xml:space="preserve">uld </w:t>
      </w:r>
      <w:r>
        <w:rPr>
          <w:color w:val="1D1C1E"/>
        </w:rPr>
        <w:t xml:space="preserve">also </w:t>
      </w:r>
      <w:r>
        <w:rPr>
          <w:color w:val="3A3A3B"/>
        </w:rPr>
        <w:t>s</w:t>
      </w:r>
      <w:r>
        <w:rPr>
          <w:color w:val="09090A"/>
        </w:rPr>
        <w:t>u</w:t>
      </w:r>
      <w:r>
        <w:rPr>
          <w:color w:val="1D1C1E"/>
        </w:rPr>
        <w:t>ffe</w:t>
      </w:r>
      <w:r>
        <w:rPr>
          <w:color w:val="09090A"/>
        </w:rPr>
        <w:t xml:space="preserve">r </w:t>
      </w:r>
      <w:r>
        <w:rPr>
          <w:color w:val="040505"/>
        </w:rPr>
        <w:t>impairment of its reputation, industrial action or difficulty in recruiting and retaining skilled employees. Any future changes in laws, regulations</w:t>
      </w:r>
      <w:r>
        <w:rPr>
          <w:color w:val="040505"/>
          <w:spacing w:val="-8"/>
        </w:rPr>
        <w:t xml:space="preserve"> </w:t>
      </w:r>
      <w:r>
        <w:rPr>
          <w:color w:val="040505"/>
        </w:rPr>
        <w:t>or</w:t>
      </w:r>
      <w:r>
        <w:rPr>
          <w:color w:val="040505"/>
          <w:spacing w:val="-10"/>
        </w:rPr>
        <w:t xml:space="preserve"> </w:t>
      </w:r>
      <w:r>
        <w:rPr>
          <w:color w:val="040505"/>
        </w:rPr>
        <w:t>community</w:t>
      </w:r>
      <w:r>
        <w:rPr>
          <w:color w:val="040505"/>
          <w:spacing w:val="-9"/>
        </w:rPr>
        <w:t xml:space="preserve"> </w:t>
      </w:r>
      <w:r>
        <w:rPr>
          <w:color w:val="040505"/>
        </w:rPr>
        <w:t>expectations</w:t>
      </w:r>
      <w:r>
        <w:rPr>
          <w:color w:val="040505"/>
          <w:spacing w:val="-7"/>
        </w:rPr>
        <w:t xml:space="preserve"> </w:t>
      </w:r>
      <w:r>
        <w:rPr>
          <w:color w:val="040505"/>
        </w:rPr>
        <w:t>governing</w:t>
      </w:r>
      <w:r>
        <w:rPr>
          <w:color w:val="040505"/>
          <w:spacing w:val="-7"/>
        </w:rPr>
        <w:t xml:space="preserve"> </w:t>
      </w:r>
      <w:r>
        <w:rPr>
          <w:color w:val="040505"/>
        </w:rPr>
        <w:t>the</w:t>
      </w:r>
      <w:r>
        <w:rPr>
          <w:color w:val="040505"/>
          <w:spacing w:val="-8"/>
        </w:rPr>
        <w:t xml:space="preserve"> </w:t>
      </w:r>
      <w:r>
        <w:rPr>
          <w:color w:val="040505"/>
        </w:rPr>
        <w:t>Group’s</w:t>
      </w:r>
      <w:r>
        <w:rPr>
          <w:color w:val="040505"/>
          <w:spacing w:val="-9"/>
        </w:rPr>
        <w:t xml:space="preserve"> </w:t>
      </w:r>
      <w:r>
        <w:rPr>
          <w:color w:val="040505"/>
        </w:rPr>
        <w:t>operations</w:t>
      </w:r>
      <w:r>
        <w:rPr>
          <w:color w:val="040505"/>
          <w:spacing w:val="-7"/>
        </w:rPr>
        <w:t xml:space="preserve"> </w:t>
      </w:r>
      <w:r>
        <w:rPr>
          <w:color w:val="040505"/>
        </w:rPr>
        <w:t>could</w:t>
      </w:r>
      <w:r>
        <w:rPr>
          <w:color w:val="040505"/>
          <w:spacing w:val="-10"/>
        </w:rPr>
        <w:t xml:space="preserve"> </w:t>
      </w:r>
      <w:r>
        <w:rPr>
          <w:color w:val="040505"/>
        </w:rPr>
        <w:t>result</w:t>
      </w:r>
      <w:r>
        <w:rPr>
          <w:color w:val="040505"/>
          <w:spacing w:val="-7"/>
        </w:rPr>
        <w:t xml:space="preserve"> </w:t>
      </w:r>
      <w:r>
        <w:rPr>
          <w:color w:val="040505"/>
        </w:rPr>
        <w:t>in</w:t>
      </w:r>
      <w:r>
        <w:rPr>
          <w:color w:val="040505"/>
          <w:spacing w:val="-7"/>
        </w:rPr>
        <w:t xml:space="preserve"> </w:t>
      </w:r>
      <w:r>
        <w:rPr>
          <w:color w:val="040505"/>
        </w:rPr>
        <w:t>increased</w:t>
      </w:r>
      <w:r>
        <w:rPr>
          <w:color w:val="040505"/>
          <w:spacing w:val="-8"/>
        </w:rPr>
        <w:t xml:space="preserve"> </w:t>
      </w:r>
      <w:r>
        <w:rPr>
          <w:color w:val="040505"/>
        </w:rPr>
        <w:t>compliance</w:t>
      </w:r>
      <w:r>
        <w:rPr>
          <w:color w:val="040505"/>
          <w:spacing w:val="-10"/>
        </w:rPr>
        <w:t xml:space="preserve"> </w:t>
      </w:r>
      <w:r>
        <w:rPr>
          <w:color w:val="040505"/>
        </w:rPr>
        <w:t>and remediation</w:t>
      </w:r>
      <w:r>
        <w:rPr>
          <w:color w:val="040505"/>
          <w:spacing w:val="-14"/>
        </w:rPr>
        <w:t xml:space="preserve"> </w:t>
      </w:r>
      <w:r>
        <w:rPr>
          <w:color w:val="040505"/>
        </w:rPr>
        <w:t>costs.</w:t>
      </w:r>
      <w:r>
        <w:rPr>
          <w:color w:val="040505"/>
          <w:spacing w:val="-11"/>
        </w:rPr>
        <w:t xml:space="preserve"> </w:t>
      </w:r>
      <w:r>
        <w:rPr>
          <w:color w:val="040505"/>
        </w:rPr>
        <w:t>Any</w:t>
      </w:r>
      <w:r>
        <w:rPr>
          <w:color w:val="040505"/>
          <w:spacing w:val="-14"/>
        </w:rPr>
        <w:t xml:space="preserve"> </w:t>
      </w:r>
      <w:r>
        <w:rPr>
          <w:color w:val="040505"/>
        </w:rPr>
        <w:t>of</w:t>
      </w:r>
      <w:r>
        <w:rPr>
          <w:color w:val="040505"/>
          <w:spacing w:val="-14"/>
        </w:rPr>
        <w:t xml:space="preserve"> </w:t>
      </w:r>
      <w:r>
        <w:rPr>
          <w:color w:val="040505"/>
        </w:rPr>
        <w:t>the</w:t>
      </w:r>
      <w:r>
        <w:rPr>
          <w:color w:val="040505"/>
          <w:spacing w:val="-11"/>
        </w:rPr>
        <w:t xml:space="preserve"> </w:t>
      </w:r>
      <w:r>
        <w:rPr>
          <w:color w:val="040505"/>
        </w:rPr>
        <w:t>foregoing</w:t>
      </w:r>
      <w:r>
        <w:rPr>
          <w:color w:val="040505"/>
          <w:spacing w:val="-12"/>
        </w:rPr>
        <w:t xml:space="preserve"> </w:t>
      </w:r>
      <w:r>
        <w:rPr>
          <w:color w:val="040505"/>
        </w:rPr>
        <w:t>developments</w:t>
      </w:r>
      <w:r>
        <w:rPr>
          <w:color w:val="040505"/>
          <w:spacing w:val="-13"/>
        </w:rPr>
        <w:t xml:space="preserve"> </w:t>
      </w:r>
      <w:r>
        <w:rPr>
          <w:color w:val="040505"/>
        </w:rPr>
        <w:t>could</w:t>
      </w:r>
      <w:r>
        <w:rPr>
          <w:color w:val="040505"/>
          <w:spacing w:val="-14"/>
        </w:rPr>
        <w:t xml:space="preserve"> </w:t>
      </w:r>
      <w:r>
        <w:rPr>
          <w:color w:val="040505"/>
        </w:rPr>
        <w:t>have</w:t>
      </w:r>
      <w:r>
        <w:rPr>
          <w:color w:val="040505"/>
          <w:spacing w:val="-9"/>
        </w:rPr>
        <w:t xml:space="preserve"> </w:t>
      </w:r>
      <w:r>
        <w:rPr>
          <w:color w:val="040505"/>
        </w:rPr>
        <w:t>a</w:t>
      </w:r>
      <w:r>
        <w:rPr>
          <w:color w:val="040505"/>
          <w:spacing w:val="-12"/>
        </w:rPr>
        <w:t xml:space="preserve"> </w:t>
      </w:r>
      <w:r>
        <w:rPr>
          <w:color w:val="040505"/>
        </w:rPr>
        <w:t>materially</w:t>
      </w:r>
      <w:r>
        <w:rPr>
          <w:color w:val="040505"/>
          <w:spacing w:val="-13"/>
        </w:rPr>
        <w:t xml:space="preserve"> </w:t>
      </w:r>
      <w:r>
        <w:rPr>
          <w:color w:val="040505"/>
        </w:rPr>
        <w:t>adverse</w:t>
      </w:r>
      <w:r>
        <w:rPr>
          <w:color w:val="040505"/>
          <w:spacing w:val="-11"/>
        </w:rPr>
        <w:t xml:space="preserve"> </w:t>
      </w:r>
      <w:r>
        <w:rPr>
          <w:color w:val="040505"/>
        </w:rPr>
        <w:t>effect</w:t>
      </w:r>
      <w:r>
        <w:rPr>
          <w:color w:val="040505"/>
          <w:spacing w:val="-12"/>
        </w:rPr>
        <w:t xml:space="preserve"> </w:t>
      </w:r>
      <w:r>
        <w:rPr>
          <w:color w:val="040505"/>
        </w:rPr>
        <w:t>on</w:t>
      </w:r>
      <w:r>
        <w:rPr>
          <w:color w:val="040505"/>
          <w:spacing w:val="-11"/>
        </w:rPr>
        <w:t xml:space="preserve"> </w:t>
      </w:r>
      <w:r>
        <w:rPr>
          <w:color w:val="040505"/>
        </w:rPr>
        <w:t>the</w:t>
      </w:r>
      <w:r>
        <w:rPr>
          <w:color w:val="040505"/>
          <w:spacing w:val="-14"/>
        </w:rPr>
        <w:t xml:space="preserve"> </w:t>
      </w:r>
      <w:r>
        <w:rPr>
          <w:color w:val="040505"/>
        </w:rPr>
        <w:t>Group’s</w:t>
      </w:r>
      <w:r>
        <w:rPr>
          <w:color w:val="040505"/>
          <w:spacing w:val="-10"/>
        </w:rPr>
        <w:t xml:space="preserve"> </w:t>
      </w:r>
      <w:r>
        <w:rPr>
          <w:color w:val="040505"/>
        </w:rPr>
        <w:t>results of operations, cash flows or financial</w:t>
      </w:r>
      <w:r>
        <w:rPr>
          <w:color w:val="040505"/>
          <w:spacing w:val="-6"/>
        </w:rPr>
        <w:t xml:space="preserve"> </w:t>
      </w:r>
      <w:r>
        <w:rPr>
          <w:color w:val="040505"/>
        </w:rPr>
        <w:t>condition.</w:t>
      </w:r>
    </w:p>
    <w:p w14:paraId="67B493D4" w14:textId="77777777" w:rsidR="00783288" w:rsidRDefault="00783288">
      <w:pPr>
        <w:pStyle w:val="BodyText"/>
        <w:kinsoku w:val="0"/>
        <w:overflowPunct w:val="0"/>
        <w:spacing w:before="5"/>
        <w:rPr>
          <w:sz w:val="17"/>
          <w:szCs w:val="17"/>
        </w:rPr>
      </w:pPr>
    </w:p>
    <w:p w14:paraId="159819B7" w14:textId="77777777" w:rsidR="00783288" w:rsidRDefault="00E31420">
      <w:pPr>
        <w:pStyle w:val="Heading2"/>
        <w:kinsoku w:val="0"/>
        <w:overflowPunct w:val="0"/>
        <w:spacing w:before="1"/>
        <w:ind w:right="1192"/>
        <w:rPr>
          <w:color w:val="1D1C1E"/>
        </w:rPr>
      </w:pPr>
      <w:r>
        <w:rPr>
          <w:color w:val="09090A"/>
        </w:rPr>
        <w:t>Th</w:t>
      </w:r>
      <w:r>
        <w:rPr>
          <w:color w:val="1D1C1E"/>
        </w:rPr>
        <w:t xml:space="preserve">e </w:t>
      </w:r>
      <w:r>
        <w:rPr>
          <w:color w:val="09090A"/>
        </w:rPr>
        <w:t>n</w:t>
      </w:r>
      <w:r>
        <w:rPr>
          <w:color w:val="1D1C1E"/>
        </w:rPr>
        <w:t>at</w:t>
      </w:r>
      <w:r>
        <w:rPr>
          <w:color w:val="09090A"/>
        </w:rPr>
        <w:t>ur</w:t>
      </w:r>
      <w:r>
        <w:rPr>
          <w:color w:val="1D1C1E"/>
        </w:rPr>
        <w:t xml:space="preserve">al </w:t>
      </w:r>
      <w:r>
        <w:rPr>
          <w:color w:val="09090A"/>
        </w:rPr>
        <w:t>r</w:t>
      </w:r>
      <w:r>
        <w:rPr>
          <w:color w:val="1D1C1E"/>
        </w:rPr>
        <w:t>es</w:t>
      </w:r>
      <w:r>
        <w:rPr>
          <w:color w:val="09090A"/>
        </w:rPr>
        <w:t>our</w:t>
      </w:r>
      <w:r>
        <w:rPr>
          <w:color w:val="1D1C1E"/>
        </w:rPr>
        <w:t>c</w:t>
      </w:r>
      <w:r>
        <w:rPr>
          <w:color w:val="09090A"/>
        </w:rPr>
        <w:t>es s</w:t>
      </w:r>
      <w:r>
        <w:rPr>
          <w:color w:val="1D1C1E"/>
        </w:rPr>
        <w:t>ec</w:t>
      </w:r>
      <w:r>
        <w:rPr>
          <w:color w:val="09090A"/>
        </w:rPr>
        <w:t>to</w:t>
      </w:r>
      <w:r>
        <w:rPr>
          <w:color w:val="1D1C1E"/>
        </w:rPr>
        <w:t xml:space="preserve">r </w:t>
      </w:r>
      <w:r>
        <w:rPr>
          <w:color w:val="09090A"/>
        </w:rPr>
        <w:t>i</w:t>
      </w:r>
      <w:r>
        <w:rPr>
          <w:color w:val="1D1C1E"/>
        </w:rPr>
        <w:t>s s</w:t>
      </w:r>
      <w:r>
        <w:rPr>
          <w:color w:val="09090A"/>
        </w:rPr>
        <w:t>ub</w:t>
      </w:r>
      <w:r>
        <w:rPr>
          <w:color w:val="1D1C1E"/>
        </w:rPr>
        <w:t>j</w:t>
      </w:r>
      <w:r>
        <w:rPr>
          <w:color w:val="09090A"/>
        </w:rPr>
        <w:t>e</w:t>
      </w:r>
      <w:r>
        <w:rPr>
          <w:color w:val="1D1C1E"/>
        </w:rPr>
        <w:t>c</w:t>
      </w:r>
      <w:r>
        <w:rPr>
          <w:color w:val="09090A"/>
        </w:rPr>
        <w:t xml:space="preserve">t </w:t>
      </w:r>
      <w:r>
        <w:rPr>
          <w:i w:val="0"/>
          <w:iCs w:val="0"/>
          <w:color w:val="09090A"/>
        </w:rPr>
        <w:t>t</w:t>
      </w:r>
      <w:r>
        <w:rPr>
          <w:i w:val="0"/>
          <w:iCs w:val="0"/>
          <w:color w:val="1D1C1E"/>
        </w:rPr>
        <w:t xml:space="preserve">o </w:t>
      </w:r>
      <w:r>
        <w:rPr>
          <w:color w:val="1D1C1E"/>
        </w:rPr>
        <w:t>c</w:t>
      </w:r>
      <w:r>
        <w:rPr>
          <w:color w:val="09090A"/>
        </w:rPr>
        <w:t>omm</w:t>
      </w:r>
      <w:r>
        <w:rPr>
          <w:color w:val="1D1C1E"/>
        </w:rPr>
        <w:t>o</w:t>
      </w:r>
      <w:r>
        <w:rPr>
          <w:color w:val="09090A"/>
        </w:rPr>
        <w:t>di</w:t>
      </w:r>
      <w:r>
        <w:rPr>
          <w:color w:val="1D1C1E"/>
        </w:rPr>
        <w:t xml:space="preserve">ty </w:t>
      </w:r>
      <w:r>
        <w:rPr>
          <w:color w:val="09090A"/>
        </w:rPr>
        <w:t xml:space="preserve">price </w:t>
      </w:r>
      <w:r>
        <w:rPr>
          <w:color w:val="1D1C1E"/>
        </w:rPr>
        <w:t>f</w:t>
      </w:r>
      <w:r>
        <w:rPr>
          <w:color w:val="09090A"/>
        </w:rPr>
        <w:t>lu</w:t>
      </w:r>
      <w:r>
        <w:rPr>
          <w:color w:val="1D1C1E"/>
        </w:rPr>
        <w:t>c</w:t>
      </w:r>
      <w:r>
        <w:rPr>
          <w:color w:val="09090A"/>
        </w:rPr>
        <w:t>t</w:t>
      </w:r>
      <w:r>
        <w:rPr>
          <w:color w:val="1D1C1E"/>
        </w:rPr>
        <w:t>u</w:t>
      </w:r>
      <w:r>
        <w:rPr>
          <w:color w:val="09090A"/>
        </w:rPr>
        <w:t>ati</w:t>
      </w:r>
      <w:r>
        <w:rPr>
          <w:color w:val="1D1C1E"/>
        </w:rPr>
        <w:t>o</w:t>
      </w:r>
      <w:r>
        <w:rPr>
          <w:color w:val="09090A"/>
        </w:rPr>
        <w:t>n</w:t>
      </w:r>
      <w:r>
        <w:rPr>
          <w:color w:val="1D1C1E"/>
        </w:rPr>
        <w:t>s, w</w:t>
      </w:r>
      <w:r>
        <w:rPr>
          <w:color w:val="09090A"/>
        </w:rPr>
        <w:t>hi</w:t>
      </w:r>
      <w:r>
        <w:rPr>
          <w:color w:val="1D1C1E"/>
        </w:rPr>
        <w:t>c</w:t>
      </w:r>
      <w:r>
        <w:rPr>
          <w:color w:val="09090A"/>
        </w:rPr>
        <w:t>h m</w:t>
      </w:r>
      <w:r>
        <w:rPr>
          <w:color w:val="1D1C1E"/>
        </w:rPr>
        <w:t>ay adve</w:t>
      </w:r>
      <w:r>
        <w:rPr>
          <w:color w:val="09090A"/>
        </w:rPr>
        <w:t>r</w:t>
      </w:r>
      <w:r>
        <w:rPr>
          <w:color w:val="1D1C1E"/>
        </w:rPr>
        <w:t>se</w:t>
      </w:r>
      <w:r>
        <w:rPr>
          <w:color w:val="09090A"/>
        </w:rPr>
        <w:t xml:space="preserve">ly </w:t>
      </w:r>
      <w:r>
        <w:rPr>
          <w:color w:val="1D1C1E"/>
        </w:rPr>
        <w:t>i</w:t>
      </w:r>
      <w:r>
        <w:rPr>
          <w:color w:val="09090A"/>
        </w:rPr>
        <w:t>mpact the re</w:t>
      </w:r>
      <w:r>
        <w:rPr>
          <w:color w:val="1D1C1E"/>
        </w:rPr>
        <w:t>s</w:t>
      </w:r>
      <w:r>
        <w:rPr>
          <w:color w:val="09090A"/>
        </w:rPr>
        <w:t>ult</w:t>
      </w:r>
      <w:r>
        <w:rPr>
          <w:color w:val="1D1C1E"/>
        </w:rPr>
        <w:t>s of o</w:t>
      </w:r>
      <w:r>
        <w:rPr>
          <w:color w:val="09090A"/>
        </w:rPr>
        <w:t>p</w:t>
      </w:r>
      <w:r>
        <w:rPr>
          <w:color w:val="1D1C1E"/>
        </w:rPr>
        <w:t>e</w:t>
      </w:r>
      <w:r>
        <w:rPr>
          <w:color w:val="09090A"/>
        </w:rPr>
        <w:t>r</w:t>
      </w:r>
      <w:r>
        <w:rPr>
          <w:color w:val="1D1C1E"/>
        </w:rPr>
        <w:t>ation</w:t>
      </w:r>
      <w:r>
        <w:rPr>
          <w:color w:val="09090A"/>
        </w:rPr>
        <w:t>s</w:t>
      </w:r>
      <w:r>
        <w:rPr>
          <w:color w:val="1D1C1E"/>
        </w:rPr>
        <w:t xml:space="preserve">, </w:t>
      </w:r>
      <w:r>
        <w:rPr>
          <w:color w:val="09090A"/>
        </w:rPr>
        <w:t>fina</w:t>
      </w:r>
      <w:r>
        <w:rPr>
          <w:color w:val="1D1C1E"/>
        </w:rPr>
        <w:t>nci</w:t>
      </w:r>
      <w:r>
        <w:rPr>
          <w:color w:val="09090A"/>
        </w:rPr>
        <w:t xml:space="preserve">al </w:t>
      </w:r>
      <w:proofErr w:type="gramStart"/>
      <w:r>
        <w:rPr>
          <w:color w:val="1D1C1E"/>
        </w:rPr>
        <w:t>c</w:t>
      </w:r>
      <w:r>
        <w:rPr>
          <w:color w:val="09090A"/>
        </w:rPr>
        <w:t>o</w:t>
      </w:r>
      <w:r>
        <w:rPr>
          <w:color w:val="1D1C1E"/>
        </w:rPr>
        <w:t>nd</w:t>
      </w:r>
      <w:r>
        <w:rPr>
          <w:color w:val="09090A"/>
        </w:rPr>
        <w:t>i</w:t>
      </w:r>
      <w:r>
        <w:rPr>
          <w:color w:val="1D1C1E"/>
        </w:rPr>
        <w:t>t</w:t>
      </w:r>
      <w:r>
        <w:rPr>
          <w:color w:val="09090A"/>
        </w:rPr>
        <w:t>i</w:t>
      </w:r>
      <w:r>
        <w:rPr>
          <w:color w:val="1D1C1E"/>
        </w:rPr>
        <w:t>on</w:t>
      </w:r>
      <w:proofErr w:type="gramEnd"/>
      <w:r>
        <w:rPr>
          <w:color w:val="1D1C1E"/>
        </w:rPr>
        <w:t xml:space="preserve"> a</w:t>
      </w:r>
      <w:r>
        <w:rPr>
          <w:color w:val="09090A"/>
        </w:rPr>
        <w:t xml:space="preserve">nd </w:t>
      </w:r>
      <w:r>
        <w:rPr>
          <w:color w:val="1D1C1E"/>
        </w:rPr>
        <w:t>p</w:t>
      </w:r>
      <w:r>
        <w:rPr>
          <w:color w:val="09090A"/>
        </w:rPr>
        <w:t>ro</w:t>
      </w:r>
      <w:r>
        <w:rPr>
          <w:color w:val="1D1C1E"/>
        </w:rPr>
        <w:t xml:space="preserve">spects </w:t>
      </w:r>
      <w:r>
        <w:rPr>
          <w:color w:val="09090A"/>
        </w:rPr>
        <w:t xml:space="preserve">of the </w:t>
      </w:r>
      <w:r>
        <w:rPr>
          <w:color w:val="1D1C1E"/>
        </w:rPr>
        <w:t>Group</w:t>
      </w:r>
    </w:p>
    <w:p w14:paraId="071F31F6" w14:textId="77777777" w:rsidR="00783288" w:rsidRDefault="00783288">
      <w:pPr>
        <w:pStyle w:val="BodyText"/>
        <w:kinsoku w:val="0"/>
        <w:overflowPunct w:val="0"/>
        <w:spacing w:before="5"/>
        <w:rPr>
          <w:b/>
          <w:bCs/>
          <w:i/>
          <w:iCs/>
        </w:rPr>
      </w:pPr>
    </w:p>
    <w:p w14:paraId="33426A80" w14:textId="1EA11DCC" w:rsidR="00A75B49" w:rsidRDefault="00E31420" w:rsidP="00A75B49">
      <w:pPr>
        <w:pStyle w:val="BodyText"/>
        <w:kinsoku w:val="0"/>
        <w:overflowPunct w:val="0"/>
        <w:ind w:left="300" w:right="1191"/>
        <w:jc w:val="both"/>
        <w:rPr>
          <w:i/>
          <w:color w:val="070808"/>
          <w:highlight w:val="green"/>
        </w:rPr>
      </w:pPr>
      <w:r>
        <w:rPr>
          <w:color w:val="09090A"/>
        </w:rPr>
        <w:t>Hi</w:t>
      </w:r>
      <w:r>
        <w:rPr>
          <w:color w:val="1D1C1E"/>
        </w:rPr>
        <w:t>s</w:t>
      </w:r>
      <w:r>
        <w:rPr>
          <w:color w:val="09090A"/>
        </w:rPr>
        <w:t>tori</w:t>
      </w:r>
      <w:r>
        <w:rPr>
          <w:color w:val="1D1C1E"/>
        </w:rPr>
        <w:t>ca</w:t>
      </w:r>
      <w:r>
        <w:rPr>
          <w:color w:val="09090A"/>
        </w:rPr>
        <w:t>lly</w:t>
      </w:r>
      <w:r>
        <w:rPr>
          <w:color w:val="1D1C1E"/>
        </w:rPr>
        <w:t xml:space="preserve">, </w:t>
      </w:r>
      <w:r>
        <w:rPr>
          <w:color w:val="09090A"/>
        </w:rPr>
        <w:t>the prices of certain commodities h</w:t>
      </w:r>
      <w:r>
        <w:rPr>
          <w:color w:val="1D1C1E"/>
        </w:rPr>
        <w:t>a</w:t>
      </w:r>
      <w:r>
        <w:rPr>
          <w:color w:val="09090A"/>
        </w:rPr>
        <w:t>v</w:t>
      </w:r>
      <w:r>
        <w:rPr>
          <w:color w:val="1D1C1E"/>
        </w:rPr>
        <w:t xml:space="preserve">e </w:t>
      </w:r>
      <w:r>
        <w:rPr>
          <w:color w:val="09090A"/>
        </w:rPr>
        <w:t>b</w:t>
      </w:r>
      <w:r>
        <w:rPr>
          <w:color w:val="1D1C1E"/>
        </w:rPr>
        <w:t>ee</w:t>
      </w:r>
      <w:r>
        <w:rPr>
          <w:color w:val="09090A"/>
        </w:rPr>
        <w:t>n vol</w:t>
      </w:r>
      <w:r>
        <w:rPr>
          <w:color w:val="1D1C1E"/>
        </w:rPr>
        <w:t>a</w:t>
      </w:r>
      <w:r>
        <w:rPr>
          <w:color w:val="09090A"/>
        </w:rPr>
        <w:t>til</w:t>
      </w:r>
      <w:r>
        <w:rPr>
          <w:color w:val="1D1C1E"/>
        </w:rPr>
        <w:t xml:space="preserve">e </w:t>
      </w:r>
      <w:r>
        <w:rPr>
          <w:color w:val="09090A"/>
        </w:rPr>
        <w:t>f</w:t>
      </w:r>
      <w:r>
        <w:rPr>
          <w:color w:val="1D1C1E"/>
        </w:rPr>
        <w:t>o</w:t>
      </w:r>
      <w:r>
        <w:rPr>
          <w:color w:val="09090A"/>
        </w:rPr>
        <w:t>r m</w:t>
      </w:r>
      <w:r>
        <w:rPr>
          <w:color w:val="1D1C1E"/>
        </w:rPr>
        <w:t>a</w:t>
      </w:r>
      <w:r>
        <w:rPr>
          <w:color w:val="09090A"/>
        </w:rPr>
        <w:t>n</w:t>
      </w:r>
      <w:r>
        <w:rPr>
          <w:color w:val="1D1C1E"/>
        </w:rPr>
        <w:t xml:space="preserve">y </w:t>
      </w:r>
      <w:r>
        <w:rPr>
          <w:color w:val="09090A"/>
        </w:rPr>
        <w:t>re</w:t>
      </w:r>
      <w:r>
        <w:rPr>
          <w:color w:val="1D1C1E"/>
        </w:rPr>
        <w:t>as</w:t>
      </w:r>
      <w:r>
        <w:rPr>
          <w:color w:val="09090A"/>
        </w:rPr>
        <w:t>on</w:t>
      </w:r>
      <w:r>
        <w:rPr>
          <w:color w:val="1D1C1E"/>
        </w:rPr>
        <w:t>s</w:t>
      </w:r>
      <w:r>
        <w:rPr>
          <w:color w:val="09090A"/>
        </w:rPr>
        <w:t>, includin</w:t>
      </w:r>
      <w:r>
        <w:rPr>
          <w:color w:val="1D1C1E"/>
        </w:rPr>
        <w:t>g levels of g</w:t>
      </w:r>
      <w:r>
        <w:rPr>
          <w:color w:val="09090A"/>
        </w:rPr>
        <w:t>l</w:t>
      </w:r>
      <w:r>
        <w:rPr>
          <w:color w:val="1D1C1E"/>
        </w:rPr>
        <w:t>o</w:t>
      </w:r>
      <w:r>
        <w:rPr>
          <w:color w:val="09090A"/>
        </w:rPr>
        <w:t xml:space="preserve">bal </w:t>
      </w:r>
      <w:r>
        <w:rPr>
          <w:color w:val="1D1C1E"/>
          <w:spacing w:val="-2"/>
        </w:rPr>
        <w:t>a</w:t>
      </w:r>
      <w:r>
        <w:rPr>
          <w:color w:val="09090A"/>
          <w:spacing w:val="-2"/>
        </w:rPr>
        <w:t xml:space="preserve">nd </w:t>
      </w:r>
      <w:r>
        <w:rPr>
          <w:color w:val="09090A"/>
        </w:rPr>
        <w:t>r</w:t>
      </w:r>
      <w:r>
        <w:rPr>
          <w:color w:val="1D1C1E"/>
        </w:rPr>
        <w:t>eg</w:t>
      </w:r>
      <w:r>
        <w:rPr>
          <w:color w:val="09090A"/>
        </w:rPr>
        <w:t>i</w:t>
      </w:r>
      <w:r>
        <w:rPr>
          <w:color w:val="1D1C1E"/>
        </w:rPr>
        <w:t>o</w:t>
      </w:r>
      <w:r>
        <w:rPr>
          <w:color w:val="09090A"/>
        </w:rPr>
        <w:t xml:space="preserve">nal </w:t>
      </w:r>
      <w:r>
        <w:rPr>
          <w:color w:val="1D1C1E"/>
        </w:rPr>
        <w:t>s</w:t>
      </w:r>
      <w:r>
        <w:rPr>
          <w:color w:val="09090A"/>
        </w:rPr>
        <w:t>uppl</w:t>
      </w:r>
      <w:r>
        <w:rPr>
          <w:color w:val="1D1C1E"/>
        </w:rPr>
        <w:t>y a</w:t>
      </w:r>
      <w:r>
        <w:rPr>
          <w:color w:val="09090A"/>
        </w:rPr>
        <w:t>nd dem</w:t>
      </w:r>
      <w:r>
        <w:rPr>
          <w:color w:val="1D1C1E"/>
        </w:rPr>
        <w:t>a</w:t>
      </w:r>
      <w:r>
        <w:rPr>
          <w:color w:val="09090A"/>
        </w:rPr>
        <w:t xml:space="preserve">nd (particularly from the US and China) and in response to the actions of commodity </w:t>
      </w:r>
      <w:r>
        <w:rPr>
          <w:color w:val="020303"/>
        </w:rPr>
        <w:t xml:space="preserve">traders. Other factors affecting commodity prices include but are not limited to </w:t>
      </w:r>
      <w:r>
        <w:rPr>
          <w:color w:val="1D1C1E"/>
        </w:rPr>
        <w:t>geopo</w:t>
      </w:r>
      <w:r>
        <w:rPr>
          <w:color w:val="09090A"/>
        </w:rPr>
        <w:t>li</w:t>
      </w:r>
      <w:r>
        <w:rPr>
          <w:color w:val="1D1C1E"/>
        </w:rPr>
        <w:t>t</w:t>
      </w:r>
      <w:r>
        <w:rPr>
          <w:color w:val="09090A"/>
        </w:rPr>
        <w:t>i</w:t>
      </w:r>
      <w:r>
        <w:rPr>
          <w:color w:val="1D1C1E"/>
        </w:rPr>
        <w:t>ca</w:t>
      </w:r>
      <w:r>
        <w:rPr>
          <w:color w:val="09090A"/>
        </w:rPr>
        <w:t>l un</w:t>
      </w:r>
      <w:r>
        <w:rPr>
          <w:color w:val="1D1C1E"/>
        </w:rPr>
        <w:t>ce</w:t>
      </w:r>
      <w:r>
        <w:rPr>
          <w:color w:val="09090A"/>
        </w:rPr>
        <w:t>r</w:t>
      </w:r>
      <w:r>
        <w:rPr>
          <w:color w:val="1D1C1E"/>
        </w:rPr>
        <w:t>ta</w:t>
      </w:r>
      <w:r>
        <w:rPr>
          <w:color w:val="09090A"/>
        </w:rPr>
        <w:t>inty</w:t>
      </w:r>
      <w:r>
        <w:rPr>
          <w:color w:val="1D1C1E"/>
        </w:rPr>
        <w:t xml:space="preserve">; </w:t>
      </w:r>
      <w:r>
        <w:rPr>
          <w:color w:val="09090A"/>
        </w:rPr>
        <w:t>av</w:t>
      </w:r>
      <w:r>
        <w:rPr>
          <w:color w:val="1D1C1E"/>
        </w:rPr>
        <w:t>a</w:t>
      </w:r>
      <w:r>
        <w:rPr>
          <w:color w:val="09090A"/>
        </w:rPr>
        <w:t xml:space="preserve">ilability </w:t>
      </w:r>
      <w:r>
        <w:rPr>
          <w:color w:val="1D1C1E"/>
        </w:rPr>
        <w:lastRenderedPageBreak/>
        <w:t>o</w:t>
      </w:r>
      <w:r>
        <w:rPr>
          <w:color w:val="09090A"/>
        </w:rPr>
        <w:t xml:space="preserve">f </w:t>
      </w:r>
      <w:r>
        <w:rPr>
          <w:color w:val="1D1C1E"/>
        </w:rPr>
        <w:t>p</w:t>
      </w:r>
      <w:r>
        <w:rPr>
          <w:color w:val="09090A"/>
        </w:rPr>
        <w:t>r</w:t>
      </w:r>
      <w:r>
        <w:rPr>
          <w:color w:val="1D1C1E"/>
        </w:rPr>
        <w:t>ocess</w:t>
      </w:r>
      <w:r>
        <w:rPr>
          <w:color w:val="09090A"/>
        </w:rPr>
        <w:t>in</w:t>
      </w:r>
      <w:r>
        <w:rPr>
          <w:color w:val="1D1C1E"/>
        </w:rPr>
        <w:t xml:space="preserve">g </w:t>
      </w:r>
      <w:r>
        <w:rPr>
          <w:color w:val="09090A"/>
        </w:rPr>
        <w:t>equipm</w:t>
      </w:r>
      <w:r>
        <w:rPr>
          <w:color w:val="1D1C1E"/>
        </w:rPr>
        <w:t>e</w:t>
      </w:r>
      <w:r>
        <w:rPr>
          <w:color w:val="09090A"/>
        </w:rPr>
        <w:t>nt</w:t>
      </w:r>
      <w:r>
        <w:rPr>
          <w:color w:val="1D1C1E"/>
        </w:rPr>
        <w:t xml:space="preserve">; </w:t>
      </w:r>
      <w:r>
        <w:rPr>
          <w:color w:val="09090A"/>
        </w:rPr>
        <w:t>availability of tr</w:t>
      </w:r>
      <w:r>
        <w:rPr>
          <w:color w:val="1D1C1E"/>
        </w:rPr>
        <w:t>ans</w:t>
      </w:r>
      <w:r>
        <w:rPr>
          <w:color w:val="09090A"/>
        </w:rPr>
        <w:t>p</w:t>
      </w:r>
      <w:r>
        <w:rPr>
          <w:color w:val="1D1C1E"/>
        </w:rPr>
        <w:t>o</w:t>
      </w:r>
      <w:r>
        <w:rPr>
          <w:color w:val="09090A"/>
        </w:rPr>
        <w:t>rt</w:t>
      </w:r>
      <w:r>
        <w:rPr>
          <w:color w:val="1D1C1E"/>
        </w:rPr>
        <w:t>a</w:t>
      </w:r>
      <w:r>
        <w:rPr>
          <w:color w:val="09090A"/>
        </w:rPr>
        <w:t>ti</w:t>
      </w:r>
      <w:r>
        <w:rPr>
          <w:color w:val="1D1C1E"/>
        </w:rPr>
        <w:t>o</w:t>
      </w:r>
      <w:r>
        <w:rPr>
          <w:color w:val="09090A"/>
        </w:rPr>
        <w:t>n</w:t>
      </w:r>
      <w:r>
        <w:rPr>
          <w:color w:val="1D1C1E"/>
        </w:rPr>
        <w:t xml:space="preserve">; level and </w:t>
      </w:r>
      <w:r>
        <w:rPr>
          <w:color w:val="09090A"/>
        </w:rPr>
        <w:t>av</w:t>
      </w:r>
      <w:r>
        <w:rPr>
          <w:color w:val="1D1C1E"/>
        </w:rPr>
        <w:t>a</w:t>
      </w:r>
      <w:r>
        <w:rPr>
          <w:color w:val="09090A"/>
        </w:rPr>
        <w:t>il</w:t>
      </w:r>
      <w:r>
        <w:rPr>
          <w:color w:val="1D1C1E"/>
        </w:rPr>
        <w:t>a</w:t>
      </w:r>
      <w:r>
        <w:rPr>
          <w:color w:val="09090A"/>
        </w:rPr>
        <w:t>bilit</w:t>
      </w:r>
      <w:r>
        <w:rPr>
          <w:color w:val="1D1C1E"/>
        </w:rPr>
        <w:t>y of gove</w:t>
      </w:r>
      <w:r>
        <w:rPr>
          <w:color w:val="09090A"/>
        </w:rPr>
        <w:t>rnm</w:t>
      </w:r>
      <w:r>
        <w:rPr>
          <w:color w:val="1D1C1E"/>
        </w:rPr>
        <w:t>e</w:t>
      </w:r>
      <w:r>
        <w:rPr>
          <w:color w:val="09090A"/>
        </w:rPr>
        <w:t xml:space="preserve">nt </w:t>
      </w:r>
      <w:r>
        <w:rPr>
          <w:color w:val="1D1C1E"/>
        </w:rPr>
        <w:t>s</w:t>
      </w:r>
      <w:r>
        <w:rPr>
          <w:color w:val="09090A"/>
        </w:rPr>
        <w:t>ub</w:t>
      </w:r>
      <w:r>
        <w:rPr>
          <w:color w:val="1D1C1E"/>
        </w:rPr>
        <w:t>sid</w:t>
      </w:r>
      <w:r>
        <w:rPr>
          <w:color w:val="09090A"/>
        </w:rPr>
        <w:t>i</w:t>
      </w:r>
      <w:r>
        <w:rPr>
          <w:color w:val="1D1C1E"/>
        </w:rPr>
        <w:t>es; p</w:t>
      </w:r>
      <w:r>
        <w:rPr>
          <w:color w:val="09090A"/>
        </w:rPr>
        <w:t>r</w:t>
      </w:r>
      <w:r>
        <w:rPr>
          <w:color w:val="1D1C1E"/>
        </w:rPr>
        <w:t xml:space="preserve">ice </w:t>
      </w:r>
      <w:r>
        <w:rPr>
          <w:color w:val="1D1C1E"/>
          <w:spacing w:val="-2"/>
        </w:rPr>
        <w:t>a</w:t>
      </w:r>
      <w:r>
        <w:rPr>
          <w:color w:val="09090A"/>
          <w:spacing w:val="-2"/>
        </w:rPr>
        <w:t xml:space="preserve">nd </w:t>
      </w:r>
      <w:r>
        <w:rPr>
          <w:color w:val="1D1C1E"/>
        </w:rPr>
        <w:t>ava</w:t>
      </w:r>
      <w:r>
        <w:rPr>
          <w:color w:val="09090A"/>
        </w:rPr>
        <w:t>il</w:t>
      </w:r>
      <w:r>
        <w:rPr>
          <w:color w:val="1D1C1E"/>
        </w:rPr>
        <w:t>a</w:t>
      </w:r>
      <w:r>
        <w:rPr>
          <w:color w:val="09090A"/>
        </w:rPr>
        <w:t>bili</w:t>
      </w:r>
      <w:r>
        <w:rPr>
          <w:color w:val="1D1C1E"/>
        </w:rPr>
        <w:t>t</w:t>
      </w:r>
      <w:r>
        <w:rPr>
          <w:color w:val="09090A"/>
        </w:rPr>
        <w:t>y</w:t>
      </w:r>
      <w:r>
        <w:rPr>
          <w:color w:val="09090A"/>
          <w:spacing w:val="-12"/>
        </w:rPr>
        <w:t xml:space="preserve"> </w:t>
      </w:r>
      <w:r>
        <w:rPr>
          <w:color w:val="1D1C1E"/>
        </w:rPr>
        <w:t>o</w:t>
      </w:r>
      <w:r>
        <w:rPr>
          <w:color w:val="09090A"/>
        </w:rPr>
        <w:t>f</w:t>
      </w:r>
      <w:r>
        <w:rPr>
          <w:color w:val="09090A"/>
          <w:spacing w:val="-11"/>
        </w:rPr>
        <w:t xml:space="preserve"> </w:t>
      </w:r>
      <w:r>
        <w:rPr>
          <w:color w:val="09090A"/>
        </w:rPr>
        <w:t>n</w:t>
      </w:r>
      <w:r>
        <w:rPr>
          <w:color w:val="1D1C1E"/>
        </w:rPr>
        <w:t>ew</w:t>
      </w:r>
      <w:r>
        <w:rPr>
          <w:color w:val="1D1C1E"/>
          <w:spacing w:val="-11"/>
        </w:rPr>
        <w:t xml:space="preserve"> </w:t>
      </w:r>
      <w:r>
        <w:rPr>
          <w:color w:val="1D1C1E"/>
        </w:rPr>
        <w:t>tec</w:t>
      </w:r>
      <w:r>
        <w:rPr>
          <w:color w:val="09090A"/>
        </w:rPr>
        <w:t>hn</w:t>
      </w:r>
      <w:r>
        <w:rPr>
          <w:color w:val="1D1C1E"/>
        </w:rPr>
        <w:t>o</w:t>
      </w:r>
      <w:r>
        <w:rPr>
          <w:color w:val="09090A"/>
        </w:rPr>
        <w:t>l</w:t>
      </w:r>
      <w:r>
        <w:rPr>
          <w:color w:val="1D1C1E"/>
        </w:rPr>
        <w:t>ogies;</w:t>
      </w:r>
      <w:r>
        <w:rPr>
          <w:color w:val="1D1C1E"/>
          <w:spacing w:val="-8"/>
        </w:rPr>
        <w:t xml:space="preserve"> </w:t>
      </w:r>
      <w:r>
        <w:rPr>
          <w:color w:val="09090A"/>
        </w:rPr>
        <w:t>p</w:t>
      </w:r>
      <w:r>
        <w:rPr>
          <w:color w:val="1D1C1E"/>
        </w:rPr>
        <w:t>o</w:t>
      </w:r>
      <w:r>
        <w:rPr>
          <w:color w:val="09090A"/>
        </w:rPr>
        <w:t>liti</w:t>
      </w:r>
      <w:r>
        <w:rPr>
          <w:color w:val="1D1C1E"/>
        </w:rPr>
        <w:t>ca</w:t>
      </w:r>
      <w:r>
        <w:rPr>
          <w:color w:val="09090A"/>
        </w:rPr>
        <w:t>l</w:t>
      </w:r>
      <w:r>
        <w:rPr>
          <w:color w:val="1D1C1E"/>
        </w:rPr>
        <w:t>,</w:t>
      </w:r>
      <w:r>
        <w:rPr>
          <w:color w:val="1D1C1E"/>
          <w:spacing w:val="-8"/>
        </w:rPr>
        <w:t xml:space="preserve"> </w:t>
      </w:r>
      <w:r>
        <w:rPr>
          <w:color w:val="1D1C1E"/>
        </w:rPr>
        <w:t>eco</w:t>
      </w:r>
      <w:r>
        <w:rPr>
          <w:color w:val="09090A"/>
        </w:rPr>
        <w:t>n</w:t>
      </w:r>
      <w:r>
        <w:rPr>
          <w:color w:val="1D1C1E"/>
        </w:rPr>
        <w:t>o</w:t>
      </w:r>
      <w:r>
        <w:rPr>
          <w:color w:val="09090A"/>
        </w:rPr>
        <w:t>mi</w:t>
      </w:r>
      <w:r>
        <w:rPr>
          <w:color w:val="1D1C1E"/>
        </w:rPr>
        <w:t>c</w:t>
      </w:r>
      <w:r>
        <w:rPr>
          <w:color w:val="1D1C1E"/>
          <w:spacing w:val="-10"/>
        </w:rPr>
        <w:t xml:space="preserve"> </w:t>
      </w:r>
      <w:r>
        <w:rPr>
          <w:color w:val="1D1C1E"/>
        </w:rPr>
        <w:t>a</w:t>
      </w:r>
      <w:r>
        <w:rPr>
          <w:color w:val="09090A"/>
        </w:rPr>
        <w:t>nd</w:t>
      </w:r>
      <w:r>
        <w:rPr>
          <w:color w:val="09090A"/>
          <w:spacing w:val="-10"/>
        </w:rPr>
        <w:t xml:space="preserve"> </w:t>
      </w:r>
      <w:r>
        <w:rPr>
          <w:color w:val="09090A"/>
        </w:rPr>
        <w:t>mili</w:t>
      </w:r>
      <w:r>
        <w:rPr>
          <w:color w:val="1D1C1E"/>
        </w:rPr>
        <w:t>ta</w:t>
      </w:r>
      <w:r>
        <w:rPr>
          <w:color w:val="09090A"/>
        </w:rPr>
        <w:t>r</w:t>
      </w:r>
      <w:r>
        <w:rPr>
          <w:color w:val="1D1C1E"/>
        </w:rPr>
        <w:t>y</w:t>
      </w:r>
      <w:r>
        <w:rPr>
          <w:color w:val="1D1C1E"/>
          <w:spacing w:val="-10"/>
        </w:rPr>
        <w:t xml:space="preserve"> </w:t>
      </w:r>
      <w:r>
        <w:rPr>
          <w:color w:val="1D1C1E"/>
        </w:rPr>
        <w:t>deve</w:t>
      </w:r>
      <w:r>
        <w:rPr>
          <w:color w:val="09090A"/>
        </w:rPr>
        <w:t>lopment</w:t>
      </w:r>
      <w:r>
        <w:rPr>
          <w:color w:val="1D1C1E"/>
        </w:rPr>
        <w:t>s</w:t>
      </w:r>
      <w:r>
        <w:rPr>
          <w:color w:val="3A3A3B"/>
        </w:rPr>
        <w:t>;</w:t>
      </w:r>
      <w:r>
        <w:rPr>
          <w:color w:val="3A3A3B"/>
          <w:spacing w:val="-11"/>
        </w:rPr>
        <w:t xml:space="preserve"> </w:t>
      </w:r>
      <w:r>
        <w:rPr>
          <w:color w:val="09090A"/>
        </w:rPr>
        <w:t>d</w:t>
      </w:r>
      <w:r>
        <w:rPr>
          <w:color w:val="1D1C1E"/>
        </w:rPr>
        <w:t>o</w:t>
      </w:r>
      <w:r>
        <w:rPr>
          <w:color w:val="09090A"/>
        </w:rPr>
        <w:t>m</w:t>
      </w:r>
      <w:r>
        <w:rPr>
          <w:color w:val="1D1C1E"/>
        </w:rPr>
        <w:t>es</w:t>
      </w:r>
      <w:r>
        <w:rPr>
          <w:color w:val="09090A"/>
        </w:rPr>
        <w:t>ti</w:t>
      </w:r>
      <w:r>
        <w:rPr>
          <w:color w:val="1D1C1E"/>
        </w:rPr>
        <w:t>c</w:t>
      </w:r>
      <w:r>
        <w:rPr>
          <w:color w:val="1D1C1E"/>
          <w:spacing w:val="-8"/>
        </w:rPr>
        <w:t xml:space="preserve"> </w:t>
      </w:r>
      <w:r>
        <w:rPr>
          <w:color w:val="09090A"/>
        </w:rPr>
        <w:t>and</w:t>
      </w:r>
      <w:r>
        <w:rPr>
          <w:color w:val="09090A"/>
          <w:spacing w:val="-10"/>
        </w:rPr>
        <w:t xml:space="preserve"> </w:t>
      </w:r>
      <w:r>
        <w:rPr>
          <w:color w:val="09090A"/>
        </w:rPr>
        <w:t>f</w:t>
      </w:r>
      <w:r>
        <w:rPr>
          <w:color w:val="1D1C1E"/>
        </w:rPr>
        <w:t>o</w:t>
      </w:r>
      <w:r>
        <w:rPr>
          <w:color w:val="09090A"/>
        </w:rPr>
        <w:t>r</w:t>
      </w:r>
      <w:r>
        <w:rPr>
          <w:color w:val="1D1C1E"/>
        </w:rPr>
        <w:t>eign</w:t>
      </w:r>
      <w:r>
        <w:rPr>
          <w:color w:val="1D1C1E"/>
          <w:spacing w:val="-11"/>
        </w:rPr>
        <w:t xml:space="preserve"> </w:t>
      </w:r>
      <w:r>
        <w:rPr>
          <w:color w:val="1D1C1E"/>
        </w:rPr>
        <w:t>gove</w:t>
      </w:r>
      <w:r>
        <w:rPr>
          <w:color w:val="09090A"/>
        </w:rPr>
        <w:t>r</w:t>
      </w:r>
      <w:r>
        <w:rPr>
          <w:color w:val="1D1C1E"/>
        </w:rPr>
        <w:t>nmenta</w:t>
      </w:r>
      <w:r>
        <w:rPr>
          <w:color w:val="09090A"/>
        </w:rPr>
        <w:t>l r</w:t>
      </w:r>
      <w:r>
        <w:rPr>
          <w:color w:val="1D1C1E"/>
        </w:rPr>
        <w:t>eg</w:t>
      </w:r>
      <w:r>
        <w:rPr>
          <w:color w:val="09090A"/>
        </w:rPr>
        <w:t>u</w:t>
      </w:r>
      <w:r>
        <w:rPr>
          <w:color w:val="1D1C1E"/>
        </w:rPr>
        <w:t>l</w:t>
      </w:r>
      <w:r>
        <w:rPr>
          <w:color w:val="09090A"/>
        </w:rPr>
        <w:t>a</w:t>
      </w:r>
      <w:r>
        <w:rPr>
          <w:color w:val="1D1C1E"/>
        </w:rPr>
        <w:t>tio</w:t>
      </w:r>
      <w:r>
        <w:rPr>
          <w:color w:val="09090A"/>
        </w:rPr>
        <w:t>n</w:t>
      </w:r>
      <w:r>
        <w:rPr>
          <w:color w:val="1D1C1E"/>
        </w:rPr>
        <w:t xml:space="preserve">s </w:t>
      </w:r>
      <w:r>
        <w:rPr>
          <w:color w:val="09090A"/>
        </w:rPr>
        <w:t>an</w:t>
      </w:r>
      <w:r>
        <w:rPr>
          <w:color w:val="1D1C1E"/>
        </w:rPr>
        <w:t>d a</w:t>
      </w:r>
      <w:r>
        <w:rPr>
          <w:color w:val="09090A"/>
        </w:rPr>
        <w:t>cti</w:t>
      </w:r>
      <w:r>
        <w:rPr>
          <w:color w:val="1D1C1E"/>
        </w:rPr>
        <w:t>o</w:t>
      </w:r>
      <w:r>
        <w:rPr>
          <w:color w:val="09090A"/>
        </w:rPr>
        <w:t>n</w:t>
      </w:r>
      <w:r>
        <w:rPr>
          <w:color w:val="1D1C1E"/>
        </w:rPr>
        <w:t xml:space="preserve">s, </w:t>
      </w:r>
      <w:r>
        <w:rPr>
          <w:color w:val="09090A"/>
        </w:rPr>
        <w:t>in</w:t>
      </w:r>
      <w:r>
        <w:rPr>
          <w:color w:val="1D1C1E"/>
        </w:rPr>
        <w:t>c</w:t>
      </w:r>
      <w:r>
        <w:rPr>
          <w:color w:val="09090A"/>
        </w:rPr>
        <w:t>ludin</w:t>
      </w:r>
      <w:r>
        <w:rPr>
          <w:color w:val="1D1C1E"/>
        </w:rPr>
        <w:t>g e</w:t>
      </w:r>
      <w:r>
        <w:rPr>
          <w:color w:val="3A3A3B"/>
        </w:rPr>
        <w:t>x</w:t>
      </w:r>
      <w:r>
        <w:rPr>
          <w:color w:val="09090A"/>
        </w:rPr>
        <w:t>po</w:t>
      </w:r>
      <w:r>
        <w:rPr>
          <w:color w:val="1D1C1E"/>
        </w:rPr>
        <w:t xml:space="preserve">rt </w:t>
      </w:r>
      <w:r>
        <w:rPr>
          <w:color w:val="09090A"/>
        </w:rPr>
        <w:t>r</w:t>
      </w:r>
      <w:r>
        <w:rPr>
          <w:color w:val="1D1C1E"/>
        </w:rPr>
        <w:t>estrictio</w:t>
      </w:r>
      <w:r>
        <w:rPr>
          <w:color w:val="09090A"/>
        </w:rPr>
        <w:t>n</w:t>
      </w:r>
      <w:r>
        <w:rPr>
          <w:color w:val="1D1C1E"/>
        </w:rPr>
        <w:t xml:space="preserve">s, taxes, </w:t>
      </w:r>
      <w:r>
        <w:rPr>
          <w:color w:val="09090A"/>
        </w:rPr>
        <w:t>r</w:t>
      </w:r>
      <w:r>
        <w:rPr>
          <w:color w:val="1D1C1E"/>
        </w:rPr>
        <w:t>e</w:t>
      </w:r>
      <w:r>
        <w:rPr>
          <w:color w:val="09090A"/>
        </w:rPr>
        <w:t>p</w:t>
      </w:r>
      <w:r>
        <w:rPr>
          <w:color w:val="1D1C1E"/>
        </w:rPr>
        <w:t>a</w:t>
      </w:r>
      <w:r>
        <w:rPr>
          <w:color w:val="09090A"/>
        </w:rPr>
        <w:t>t</w:t>
      </w:r>
      <w:r>
        <w:rPr>
          <w:color w:val="1D1C1E"/>
        </w:rPr>
        <w:t>r</w:t>
      </w:r>
      <w:r>
        <w:rPr>
          <w:color w:val="09090A"/>
        </w:rPr>
        <w:t>i</w:t>
      </w:r>
      <w:r>
        <w:rPr>
          <w:color w:val="1D1C1E"/>
        </w:rPr>
        <w:t>a</w:t>
      </w:r>
      <w:r>
        <w:rPr>
          <w:color w:val="09090A"/>
        </w:rPr>
        <w:t>ti</w:t>
      </w:r>
      <w:r>
        <w:rPr>
          <w:color w:val="1D1C1E"/>
        </w:rPr>
        <w:t>o</w:t>
      </w:r>
      <w:r>
        <w:rPr>
          <w:color w:val="09090A"/>
        </w:rPr>
        <w:t>n</w:t>
      </w:r>
      <w:r>
        <w:rPr>
          <w:color w:val="3A3A3B"/>
        </w:rPr>
        <w:t xml:space="preserve">s </w:t>
      </w:r>
      <w:r>
        <w:rPr>
          <w:color w:val="1D1C1E"/>
        </w:rPr>
        <w:t>a</w:t>
      </w:r>
      <w:r>
        <w:rPr>
          <w:color w:val="09090A"/>
        </w:rPr>
        <w:t>nd n</w:t>
      </w:r>
      <w:r>
        <w:rPr>
          <w:color w:val="1D1C1E"/>
        </w:rPr>
        <w:t>at</w:t>
      </w:r>
      <w:r>
        <w:rPr>
          <w:color w:val="09090A"/>
        </w:rPr>
        <w:t>i</w:t>
      </w:r>
      <w:r>
        <w:rPr>
          <w:color w:val="1D1C1E"/>
        </w:rPr>
        <w:t>o</w:t>
      </w:r>
      <w:r>
        <w:rPr>
          <w:color w:val="09090A"/>
        </w:rPr>
        <w:t>na</w:t>
      </w:r>
      <w:r>
        <w:rPr>
          <w:color w:val="1D1C1E"/>
        </w:rPr>
        <w:t>l</w:t>
      </w:r>
      <w:r>
        <w:rPr>
          <w:color w:val="09090A"/>
        </w:rPr>
        <w:t>is</w:t>
      </w:r>
      <w:r>
        <w:rPr>
          <w:color w:val="1D1C1E"/>
        </w:rPr>
        <w:t>a</w:t>
      </w:r>
      <w:r>
        <w:rPr>
          <w:color w:val="09090A"/>
        </w:rPr>
        <w:t>t</w:t>
      </w:r>
      <w:r>
        <w:rPr>
          <w:color w:val="1D1C1E"/>
        </w:rPr>
        <w:t>io</w:t>
      </w:r>
      <w:r>
        <w:rPr>
          <w:color w:val="09090A"/>
        </w:rPr>
        <w:t>n</w:t>
      </w:r>
      <w:r>
        <w:rPr>
          <w:color w:val="1D1C1E"/>
        </w:rPr>
        <w:t>s; g</w:t>
      </w:r>
      <w:r>
        <w:rPr>
          <w:color w:val="09090A"/>
        </w:rPr>
        <w:t>l</w:t>
      </w:r>
      <w:r>
        <w:rPr>
          <w:color w:val="1D1C1E"/>
        </w:rPr>
        <w:t>oba</w:t>
      </w:r>
      <w:r>
        <w:rPr>
          <w:color w:val="09090A"/>
        </w:rPr>
        <w:t xml:space="preserve">l </w:t>
      </w:r>
      <w:r>
        <w:rPr>
          <w:color w:val="1D1C1E"/>
        </w:rPr>
        <w:t>a</w:t>
      </w:r>
      <w:r>
        <w:rPr>
          <w:color w:val="09090A"/>
        </w:rPr>
        <w:t xml:space="preserve">nd </w:t>
      </w:r>
      <w:r>
        <w:rPr>
          <w:color w:val="1D1C1E"/>
        </w:rPr>
        <w:t>reg</w:t>
      </w:r>
      <w:r>
        <w:rPr>
          <w:color w:val="09090A"/>
        </w:rPr>
        <w:t>i</w:t>
      </w:r>
      <w:r>
        <w:rPr>
          <w:color w:val="1D1C1E"/>
        </w:rPr>
        <w:t>o</w:t>
      </w:r>
      <w:r>
        <w:rPr>
          <w:color w:val="09090A"/>
        </w:rPr>
        <w:t>n</w:t>
      </w:r>
      <w:r>
        <w:rPr>
          <w:color w:val="1D1C1E"/>
        </w:rPr>
        <w:t>a</w:t>
      </w:r>
      <w:r>
        <w:rPr>
          <w:color w:val="09090A"/>
        </w:rPr>
        <w:t xml:space="preserve">l </w:t>
      </w:r>
      <w:r>
        <w:rPr>
          <w:color w:val="1D1C1E"/>
        </w:rPr>
        <w:t>eco</w:t>
      </w:r>
      <w:r>
        <w:rPr>
          <w:color w:val="09090A"/>
        </w:rPr>
        <w:t>nomi</w:t>
      </w:r>
      <w:r>
        <w:rPr>
          <w:color w:val="1D1C1E"/>
        </w:rPr>
        <w:t>c co</w:t>
      </w:r>
      <w:r>
        <w:rPr>
          <w:color w:val="09090A"/>
        </w:rPr>
        <w:t>ndi</w:t>
      </w:r>
      <w:r>
        <w:rPr>
          <w:color w:val="1D1C1E"/>
        </w:rPr>
        <w:t>tio</w:t>
      </w:r>
      <w:r>
        <w:rPr>
          <w:color w:val="09090A"/>
        </w:rPr>
        <w:t>n</w:t>
      </w:r>
      <w:r>
        <w:rPr>
          <w:color w:val="1D1C1E"/>
        </w:rPr>
        <w:t>s; a</w:t>
      </w:r>
      <w:r>
        <w:rPr>
          <w:color w:val="09090A"/>
        </w:rPr>
        <w:t>n</w:t>
      </w:r>
      <w:r>
        <w:rPr>
          <w:color w:val="1D1C1E"/>
        </w:rPr>
        <w:t>d wea</w:t>
      </w:r>
      <w:r>
        <w:rPr>
          <w:color w:val="09090A"/>
        </w:rPr>
        <w:t>th</w:t>
      </w:r>
      <w:r>
        <w:rPr>
          <w:color w:val="1D1C1E"/>
        </w:rPr>
        <w:t>e</w:t>
      </w:r>
      <w:r>
        <w:rPr>
          <w:color w:val="09090A"/>
        </w:rPr>
        <w:t xml:space="preserve">r </w:t>
      </w:r>
      <w:r>
        <w:rPr>
          <w:color w:val="1D1C1E"/>
        </w:rPr>
        <w:t>co</w:t>
      </w:r>
      <w:r>
        <w:rPr>
          <w:color w:val="09090A"/>
        </w:rPr>
        <w:t>nditi</w:t>
      </w:r>
      <w:r>
        <w:rPr>
          <w:color w:val="1D1C1E"/>
        </w:rPr>
        <w:t>o</w:t>
      </w:r>
      <w:r>
        <w:rPr>
          <w:color w:val="09090A"/>
        </w:rPr>
        <w:t>n</w:t>
      </w:r>
      <w:r>
        <w:rPr>
          <w:color w:val="1D1C1E"/>
        </w:rPr>
        <w:t>s an</w:t>
      </w:r>
      <w:r>
        <w:rPr>
          <w:color w:val="09090A"/>
        </w:rPr>
        <w:t>d n</w:t>
      </w:r>
      <w:r>
        <w:rPr>
          <w:color w:val="1D1C1E"/>
        </w:rPr>
        <w:t>a</w:t>
      </w:r>
      <w:r>
        <w:rPr>
          <w:color w:val="09090A"/>
        </w:rPr>
        <w:t>t</w:t>
      </w:r>
      <w:r>
        <w:rPr>
          <w:color w:val="1D1C1E"/>
        </w:rPr>
        <w:t>ura</w:t>
      </w:r>
      <w:r>
        <w:rPr>
          <w:color w:val="09090A"/>
        </w:rPr>
        <w:t>l di</w:t>
      </w:r>
      <w:r>
        <w:rPr>
          <w:color w:val="1D1C1E"/>
        </w:rPr>
        <w:t>sas</w:t>
      </w:r>
      <w:r>
        <w:rPr>
          <w:color w:val="09090A"/>
        </w:rPr>
        <w:t>ter</w:t>
      </w:r>
      <w:r>
        <w:rPr>
          <w:color w:val="1D1C1E"/>
        </w:rPr>
        <w:t xml:space="preserve">s. </w:t>
      </w:r>
      <w:r>
        <w:rPr>
          <w:color w:val="09090A"/>
        </w:rPr>
        <w:t>It i</w:t>
      </w:r>
      <w:r>
        <w:rPr>
          <w:color w:val="1D1C1E"/>
        </w:rPr>
        <w:t xml:space="preserve">s </w:t>
      </w:r>
      <w:r>
        <w:rPr>
          <w:color w:val="09090A"/>
        </w:rPr>
        <w:t>not p</w:t>
      </w:r>
      <w:r>
        <w:rPr>
          <w:color w:val="1D1C1E"/>
        </w:rPr>
        <w:t>ossi</w:t>
      </w:r>
      <w:r>
        <w:rPr>
          <w:color w:val="09090A"/>
        </w:rPr>
        <w:t>ble to pred</w:t>
      </w:r>
      <w:r>
        <w:rPr>
          <w:color w:val="1D1C1E"/>
        </w:rPr>
        <w:t xml:space="preserve">ict </w:t>
      </w:r>
      <w:r>
        <w:rPr>
          <w:color w:val="09090A"/>
        </w:rPr>
        <w:t>a</w:t>
      </w:r>
      <w:r>
        <w:rPr>
          <w:color w:val="1D1C1E"/>
        </w:rPr>
        <w:t>cc</w:t>
      </w:r>
      <w:r>
        <w:rPr>
          <w:color w:val="09090A"/>
        </w:rPr>
        <w:t>u</w:t>
      </w:r>
      <w:r>
        <w:rPr>
          <w:color w:val="1D1C1E"/>
        </w:rPr>
        <w:t>ra</w:t>
      </w:r>
      <w:r>
        <w:rPr>
          <w:color w:val="09090A"/>
        </w:rPr>
        <w:t>t</w:t>
      </w:r>
      <w:r>
        <w:rPr>
          <w:color w:val="1D1C1E"/>
        </w:rPr>
        <w:t>e</w:t>
      </w:r>
      <w:r>
        <w:rPr>
          <w:color w:val="09090A"/>
        </w:rPr>
        <w:t>l</w:t>
      </w:r>
      <w:r>
        <w:rPr>
          <w:color w:val="1D1C1E"/>
        </w:rPr>
        <w:t>y f</w:t>
      </w:r>
      <w:r>
        <w:rPr>
          <w:color w:val="09090A"/>
        </w:rPr>
        <w:t>utu</w:t>
      </w:r>
      <w:r>
        <w:rPr>
          <w:color w:val="1D1C1E"/>
        </w:rPr>
        <w:t>re c</w:t>
      </w:r>
      <w:r>
        <w:rPr>
          <w:color w:val="09090A"/>
        </w:rPr>
        <w:t>omm</w:t>
      </w:r>
      <w:r>
        <w:rPr>
          <w:color w:val="1D1C1E"/>
        </w:rPr>
        <w:t>o</w:t>
      </w:r>
      <w:r>
        <w:rPr>
          <w:color w:val="09090A"/>
        </w:rPr>
        <w:t>d</w:t>
      </w:r>
      <w:r>
        <w:rPr>
          <w:color w:val="1D1C1E"/>
        </w:rPr>
        <w:t>i</w:t>
      </w:r>
      <w:r>
        <w:rPr>
          <w:color w:val="09090A"/>
        </w:rPr>
        <w:t>ty pr</w:t>
      </w:r>
      <w:r>
        <w:rPr>
          <w:color w:val="1D1C1E"/>
        </w:rPr>
        <w:t>i</w:t>
      </w:r>
      <w:r>
        <w:rPr>
          <w:color w:val="09090A"/>
        </w:rPr>
        <w:t>c</w:t>
      </w:r>
      <w:r>
        <w:rPr>
          <w:color w:val="1D1C1E"/>
        </w:rPr>
        <w:t xml:space="preserve">e </w:t>
      </w:r>
      <w:r>
        <w:rPr>
          <w:color w:val="09090A"/>
        </w:rPr>
        <w:t>m</w:t>
      </w:r>
      <w:r>
        <w:rPr>
          <w:color w:val="1D1C1E"/>
        </w:rPr>
        <w:t>ove</w:t>
      </w:r>
      <w:r>
        <w:rPr>
          <w:color w:val="09090A"/>
        </w:rPr>
        <w:t>m</w:t>
      </w:r>
      <w:r>
        <w:rPr>
          <w:color w:val="1D1C1E"/>
        </w:rPr>
        <w:t>e</w:t>
      </w:r>
      <w:r>
        <w:rPr>
          <w:color w:val="09090A"/>
        </w:rPr>
        <w:t>n</w:t>
      </w:r>
      <w:r>
        <w:rPr>
          <w:color w:val="1D1C1E"/>
        </w:rPr>
        <w:t>t</w:t>
      </w:r>
      <w:r>
        <w:rPr>
          <w:color w:val="3A3A3B"/>
        </w:rPr>
        <w:t xml:space="preserve">s </w:t>
      </w:r>
      <w:r>
        <w:rPr>
          <w:color w:val="09090A"/>
        </w:rPr>
        <w:t>an</w:t>
      </w:r>
      <w:r>
        <w:rPr>
          <w:color w:val="1D1C1E"/>
        </w:rPr>
        <w:t>d co</w:t>
      </w:r>
      <w:r>
        <w:rPr>
          <w:color w:val="09090A"/>
        </w:rPr>
        <w:t>mm</w:t>
      </w:r>
      <w:r>
        <w:rPr>
          <w:color w:val="1D1C1E"/>
        </w:rPr>
        <w:t>o</w:t>
      </w:r>
      <w:r>
        <w:rPr>
          <w:color w:val="09090A"/>
        </w:rPr>
        <w:t>dity pri</w:t>
      </w:r>
      <w:r>
        <w:rPr>
          <w:color w:val="1D1C1E"/>
        </w:rPr>
        <w:t xml:space="preserve">ces </w:t>
      </w:r>
      <w:r>
        <w:rPr>
          <w:color w:val="09090A"/>
        </w:rPr>
        <w:t>m</w:t>
      </w:r>
      <w:r>
        <w:rPr>
          <w:color w:val="3A3A3B"/>
        </w:rPr>
        <w:t>a</w:t>
      </w:r>
      <w:r>
        <w:rPr>
          <w:color w:val="1D1C1E"/>
        </w:rPr>
        <w:t>y no</w:t>
      </w:r>
      <w:r>
        <w:rPr>
          <w:color w:val="09090A"/>
        </w:rPr>
        <w:t>t r</w:t>
      </w:r>
      <w:r>
        <w:rPr>
          <w:color w:val="1D1C1E"/>
        </w:rPr>
        <w:t>e</w:t>
      </w:r>
      <w:r>
        <w:rPr>
          <w:color w:val="09090A"/>
        </w:rPr>
        <w:t>m</w:t>
      </w:r>
      <w:r>
        <w:rPr>
          <w:color w:val="1D1C1E"/>
        </w:rPr>
        <w:t xml:space="preserve">ain </w:t>
      </w:r>
      <w:r>
        <w:rPr>
          <w:color w:val="09090A"/>
        </w:rPr>
        <w:t>at th</w:t>
      </w:r>
      <w:r>
        <w:rPr>
          <w:color w:val="1D1C1E"/>
        </w:rPr>
        <w:t>e</w:t>
      </w:r>
      <w:r>
        <w:rPr>
          <w:color w:val="09090A"/>
        </w:rPr>
        <w:t xml:space="preserve">ir </w:t>
      </w:r>
      <w:r>
        <w:rPr>
          <w:color w:val="1D1C1E"/>
        </w:rPr>
        <w:t>cur</w:t>
      </w:r>
      <w:r>
        <w:rPr>
          <w:color w:val="09090A"/>
        </w:rPr>
        <w:t>r</w:t>
      </w:r>
      <w:r>
        <w:rPr>
          <w:color w:val="1D1C1E"/>
        </w:rPr>
        <w:t>e</w:t>
      </w:r>
      <w:r>
        <w:rPr>
          <w:color w:val="09090A"/>
        </w:rPr>
        <w:t>nt l</w:t>
      </w:r>
      <w:r>
        <w:rPr>
          <w:color w:val="1D1C1E"/>
        </w:rPr>
        <w:t>evels. Any m</w:t>
      </w:r>
      <w:r>
        <w:rPr>
          <w:color w:val="3A3A3B"/>
        </w:rPr>
        <w:t>a</w:t>
      </w:r>
      <w:r>
        <w:rPr>
          <w:color w:val="09090A"/>
        </w:rPr>
        <w:t>t</w:t>
      </w:r>
      <w:r>
        <w:rPr>
          <w:color w:val="1D1C1E"/>
        </w:rPr>
        <w:t>e</w:t>
      </w:r>
      <w:r>
        <w:rPr>
          <w:color w:val="09090A"/>
        </w:rPr>
        <w:t>ri</w:t>
      </w:r>
      <w:r>
        <w:rPr>
          <w:color w:val="1D1C1E"/>
        </w:rPr>
        <w:t>a</w:t>
      </w:r>
      <w:r>
        <w:rPr>
          <w:color w:val="09090A"/>
        </w:rPr>
        <w:t xml:space="preserve">l </w:t>
      </w:r>
      <w:r>
        <w:rPr>
          <w:color w:val="1D1C1E"/>
        </w:rPr>
        <w:t>dec</w:t>
      </w:r>
      <w:r>
        <w:rPr>
          <w:color w:val="09090A"/>
        </w:rPr>
        <w:t>l</w:t>
      </w:r>
      <w:r>
        <w:rPr>
          <w:color w:val="1D1C1E"/>
        </w:rPr>
        <w:t>i</w:t>
      </w:r>
      <w:r>
        <w:rPr>
          <w:color w:val="09090A"/>
        </w:rPr>
        <w:t>n</w:t>
      </w:r>
      <w:r>
        <w:rPr>
          <w:color w:val="1D1C1E"/>
        </w:rPr>
        <w:t xml:space="preserve">e </w:t>
      </w:r>
      <w:r>
        <w:rPr>
          <w:color w:val="09090A"/>
        </w:rPr>
        <w:t xml:space="preserve">in </w:t>
      </w:r>
      <w:r>
        <w:rPr>
          <w:color w:val="1D1C1E"/>
        </w:rPr>
        <w:t>commo</w:t>
      </w:r>
      <w:r>
        <w:rPr>
          <w:color w:val="09090A"/>
        </w:rPr>
        <w:t>di</w:t>
      </w:r>
      <w:r>
        <w:rPr>
          <w:color w:val="1D1C1E"/>
        </w:rPr>
        <w:t>t</w:t>
      </w:r>
      <w:r>
        <w:rPr>
          <w:color w:val="09090A"/>
        </w:rPr>
        <w:t xml:space="preserve">y </w:t>
      </w:r>
      <w:r>
        <w:rPr>
          <w:color w:val="1D1C1E"/>
        </w:rPr>
        <w:t>p</w:t>
      </w:r>
      <w:r>
        <w:rPr>
          <w:color w:val="09090A"/>
        </w:rPr>
        <w:t>ri</w:t>
      </w:r>
      <w:r>
        <w:rPr>
          <w:color w:val="1D1C1E"/>
        </w:rPr>
        <w:t>c</w:t>
      </w:r>
      <w:r>
        <w:rPr>
          <w:color w:val="09090A"/>
        </w:rPr>
        <w:t>e</w:t>
      </w:r>
      <w:r>
        <w:rPr>
          <w:color w:val="1D1C1E"/>
        </w:rPr>
        <w:t>s in the medium to long term co</w:t>
      </w:r>
      <w:r>
        <w:rPr>
          <w:color w:val="09090A"/>
        </w:rPr>
        <w:t>ul</w:t>
      </w:r>
      <w:r>
        <w:rPr>
          <w:color w:val="1D1C1E"/>
        </w:rPr>
        <w:t xml:space="preserve">d </w:t>
      </w:r>
      <w:r>
        <w:rPr>
          <w:color w:val="09090A"/>
        </w:rPr>
        <w:t>have a material adverse impact on th</w:t>
      </w:r>
      <w:r>
        <w:rPr>
          <w:color w:val="1D1C1E"/>
        </w:rPr>
        <w:t xml:space="preserve">e results of operations, financial </w:t>
      </w:r>
      <w:proofErr w:type="gramStart"/>
      <w:r>
        <w:rPr>
          <w:color w:val="1D1C1E"/>
        </w:rPr>
        <w:t>condition</w:t>
      </w:r>
      <w:proofErr w:type="gramEnd"/>
      <w:r>
        <w:rPr>
          <w:color w:val="1D1C1E"/>
        </w:rPr>
        <w:t xml:space="preserve"> and prospects of the Group. </w:t>
      </w:r>
      <w:r>
        <w:rPr>
          <w:color w:val="09090A"/>
        </w:rPr>
        <w:t xml:space="preserve">However, despite falls in the copper and gold price during the peak of the COVID 19 pandemic, at present the demand for copper and </w:t>
      </w:r>
      <w:r w:rsidR="00D97138">
        <w:rPr>
          <w:color w:val="09090A"/>
        </w:rPr>
        <w:t xml:space="preserve">other industrial metals </w:t>
      </w:r>
      <w:r>
        <w:rPr>
          <w:color w:val="09090A"/>
        </w:rPr>
        <w:t>is emerging strong</w:t>
      </w:r>
      <w:r w:rsidR="00D97138">
        <w:rPr>
          <w:color w:val="09090A"/>
        </w:rPr>
        <w:t>ly</w:t>
      </w:r>
      <w:r>
        <w:rPr>
          <w:color w:val="09090A"/>
        </w:rPr>
        <w:t xml:space="preserve"> from the pandemic particularly due to increased demand from China </w:t>
      </w:r>
      <w:r w:rsidR="00D97138">
        <w:rPr>
          <w:color w:val="09090A"/>
        </w:rPr>
        <w:t>as well as other industrialised nations</w:t>
      </w:r>
      <w:r w:rsidR="00A75B49">
        <w:rPr>
          <w:color w:val="09090A"/>
        </w:rPr>
        <w:t xml:space="preserve"> </w:t>
      </w:r>
      <w:r w:rsidR="00046867">
        <w:rPr>
          <w:i/>
          <w:color w:val="09090A"/>
        </w:rPr>
        <w:t>(</w:t>
      </w:r>
      <w:r w:rsidR="00A75B49" w:rsidRPr="00A75B49">
        <w:rPr>
          <w:i/>
          <w:color w:val="09090A"/>
        </w:rPr>
        <w:t>Source: Mining Journal,</w:t>
      </w:r>
      <w:r w:rsidR="00774E70" w:rsidRPr="00774E70">
        <w:rPr>
          <w:i/>
          <w:color w:val="070808"/>
        </w:rPr>
        <w:t xml:space="preserve"> </w:t>
      </w:r>
      <w:r w:rsidR="00774E70">
        <w:rPr>
          <w:i/>
          <w:color w:val="070808"/>
        </w:rPr>
        <w:t xml:space="preserve">“Ballooning copper demand in China”, </w:t>
      </w:r>
      <w:r w:rsidR="00A75B49" w:rsidRPr="00A75B49">
        <w:rPr>
          <w:i/>
          <w:color w:val="09090A"/>
        </w:rPr>
        <w:t>19.01.21</w:t>
      </w:r>
      <w:r w:rsidR="00046867">
        <w:rPr>
          <w:i/>
          <w:color w:val="09090A"/>
        </w:rPr>
        <w:t>)</w:t>
      </w:r>
      <w:r w:rsidRPr="00A75B49">
        <w:rPr>
          <w:i/>
          <w:color w:val="09090A"/>
        </w:rPr>
        <w:t>.</w:t>
      </w:r>
      <w:r>
        <w:rPr>
          <w:color w:val="09090A"/>
        </w:rPr>
        <w:t xml:space="preserve"> The price of copper has seen a particular appreciation</w:t>
      </w:r>
      <w:r>
        <w:rPr>
          <w:color w:val="09090A"/>
          <w:spacing w:val="-7"/>
        </w:rPr>
        <w:t xml:space="preserve"> </w:t>
      </w:r>
      <w:r>
        <w:rPr>
          <w:color w:val="09090A"/>
        </w:rPr>
        <w:t>in</w:t>
      </w:r>
      <w:r>
        <w:rPr>
          <w:color w:val="09090A"/>
          <w:spacing w:val="-6"/>
        </w:rPr>
        <w:t xml:space="preserve"> </w:t>
      </w:r>
      <w:r>
        <w:rPr>
          <w:color w:val="09090A"/>
        </w:rPr>
        <w:t>recent</w:t>
      </w:r>
      <w:r>
        <w:rPr>
          <w:color w:val="09090A"/>
          <w:spacing w:val="-5"/>
        </w:rPr>
        <w:t xml:space="preserve"> </w:t>
      </w:r>
      <w:r>
        <w:rPr>
          <w:color w:val="09090A"/>
        </w:rPr>
        <w:t>years</w:t>
      </w:r>
      <w:r>
        <w:rPr>
          <w:color w:val="09090A"/>
          <w:spacing w:val="-6"/>
        </w:rPr>
        <w:t xml:space="preserve"> </w:t>
      </w:r>
      <w:r>
        <w:rPr>
          <w:color w:val="09090A"/>
        </w:rPr>
        <w:t>since</w:t>
      </w:r>
      <w:r>
        <w:rPr>
          <w:color w:val="09090A"/>
          <w:spacing w:val="-7"/>
        </w:rPr>
        <w:t xml:space="preserve"> </w:t>
      </w:r>
      <w:r>
        <w:rPr>
          <w:color w:val="09090A"/>
        </w:rPr>
        <w:t>it</w:t>
      </w:r>
      <w:r>
        <w:rPr>
          <w:color w:val="09090A"/>
          <w:spacing w:val="-6"/>
        </w:rPr>
        <w:t xml:space="preserve"> </w:t>
      </w:r>
      <w:r>
        <w:rPr>
          <w:color w:val="09090A"/>
        </w:rPr>
        <w:t>is</w:t>
      </w:r>
      <w:r>
        <w:rPr>
          <w:color w:val="09090A"/>
          <w:spacing w:val="-7"/>
        </w:rPr>
        <w:t xml:space="preserve"> </w:t>
      </w:r>
      <w:r>
        <w:rPr>
          <w:color w:val="09090A"/>
        </w:rPr>
        <w:t>an</w:t>
      </w:r>
      <w:r>
        <w:rPr>
          <w:color w:val="09090A"/>
          <w:spacing w:val="-6"/>
        </w:rPr>
        <w:t xml:space="preserve"> </w:t>
      </w:r>
      <w:r>
        <w:rPr>
          <w:color w:val="09090A"/>
        </w:rPr>
        <w:t>important</w:t>
      </w:r>
      <w:r>
        <w:rPr>
          <w:color w:val="09090A"/>
          <w:spacing w:val="-5"/>
        </w:rPr>
        <w:t xml:space="preserve"> </w:t>
      </w:r>
      <w:r>
        <w:rPr>
          <w:color w:val="09090A"/>
        </w:rPr>
        <w:t>commodity</w:t>
      </w:r>
      <w:r>
        <w:rPr>
          <w:color w:val="09090A"/>
          <w:spacing w:val="-4"/>
        </w:rPr>
        <w:t xml:space="preserve"> </w:t>
      </w:r>
      <w:r>
        <w:rPr>
          <w:color w:val="09090A"/>
        </w:rPr>
        <w:t>in</w:t>
      </w:r>
      <w:r>
        <w:rPr>
          <w:color w:val="09090A"/>
          <w:spacing w:val="-5"/>
        </w:rPr>
        <w:t xml:space="preserve"> </w:t>
      </w:r>
      <w:r>
        <w:rPr>
          <w:color w:val="09090A"/>
        </w:rPr>
        <w:t>the</w:t>
      </w:r>
      <w:r>
        <w:rPr>
          <w:color w:val="09090A"/>
          <w:spacing w:val="-5"/>
        </w:rPr>
        <w:t xml:space="preserve"> </w:t>
      </w:r>
      <w:r>
        <w:rPr>
          <w:color w:val="09090A"/>
        </w:rPr>
        <w:t>electrification</w:t>
      </w:r>
      <w:r>
        <w:rPr>
          <w:color w:val="09090A"/>
          <w:spacing w:val="-6"/>
        </w:rPr>
        <w:t xml:space="preserve"> </w:t>
      </w:r>
      <w:r>
        <w:rPr>
          <w:color w:val="09090A"/>
        </w:rPr>
        <w:t>of</w:t>
      </w:r>
      <w:r>
        <w:rPr>
          <w:color w:val="09090A"/>
          <w:spacing w:val="-7"/>
        </w:rPr>
        <w:t xml:space="preserve"> </w:t>
      </w:r>
      <w:r>
        <w:rPr>
          <w:color w:val="09090A"/>
        </w:rPr>
        <w:t>energy</w:t>
      </w:r>
      <w:r>
        <w:rPr>
          <w:color w:val="09090A"/>
          <w:spacing w:val="-6"/>
        </w:rPr>
        <w:t xml:space="preserve"> </w:t>
      </w:r>
      <w:r>
        <w:rPr>
          <w:color w:val="09090A"/>
        </w:rPr>
        <w:t>and</w:t>
      </w:r>
      <w:r>
        <w:rPr>
          <w:color w:val="09090A"/>
          <w:spacing w:val="-5"/>
        </w:rPr>
        <w:t xml:space="preserve"> </w:t>
      </w:r>
      <w:r>
        <w:rPr>
          <w:color w:val="09090A"/>
        </w:rPr>
        <w:t>transport</w:t>
      </w:r>
      <w:r w:rsidR="00A75B49" w:rsidRPr="00A75B49">
        <w:rPr>
          <w:color w:val="070808"/>
        </w:rPr>
        <w:t xml:space="preserve"> </w:t>
      </w:r>
      <w:r w:rsidR="00046867">
        <w:rPr>
          <w:i/>
          <w:color w:val="070808"/>
        </w:rPr>
        <w:t>(</w:t>
      </w:r>
      <w:r w:rsidR="00A75B49" w:rsidRPr="00A75B49">
        <w:rPr>
          <w:i/>
          <w:color w:val="070808"/>
        </w:rPr>
        <w:t>Source: Ernst &amp; Young,</w:t>
      </w:r>
      <w:r w:rsidR="00774E70" w:rsidRPr="00774E70">
        <w:rPr>
          <w:i/>
          <w:color w:val="070808"/>
        </w:rPr>
        <w:t xml:space="preserve"> </w:t>
      </w:r>
      <w:r w:rsidR="00774E70">
        <w:rPr>
          <w:i/>
          <w:color w:val="070808"/>
        </w:rPr>
        <w:t>“</w:t>
      </w:r>
      <w:r w:rsidR="00774E70" w:rsidRPr="005F001E">
        <w:rPr>
          <w:i/>
          <w:color w:val="070808"/>
        </w:rPr>
        <w:t>How advancing mobility will disrupt the mining and metals sector”,</w:t>
      </w:r>
      <w:r w:rsidR="00A75B49" w:rsidRPr="005F001E">
        <w:rPr>
          <w:i/>
          <w:color w:val="070808"/>
        </w:rPr>
        <w:t xml:space="preserve"> 02.12.20</w:t>
      </w:r>
      <w:r w:rsidR="00046867">
        <w:rPr>
          <w:i/>
          <w:color w:val="070808"/>
        </w:rPr>
        <w:t>)</w:t>
      </w:r>
      <w:r w:rsidRPr="005F001E">
        <w:rPr>
          <w:color w:val="09090A"/>
        </w:rPr>
        <w:t>.</w:t>
      </w:r>
      <w:r w:rsidRPr="005F001E">
        <w:rPr>
          <w:color w:val="09090A"/>
          <w:spacing w:val="-4"/>
        </w:rPr>
        <w:t xml:space="preserve"> </w:t>
      </w:r>
      <w:r w:rsidR="00D97138" w:rsidRPr="005F001E">
        <w:rPr>
          <w:color w:val="09090A"/>
        </w:rPr>
        <w:t>Gold, which is a more speculative commodity, has also been robust due to lingering uncertainties about the economic ramifications of the COVID 19 pandemic, and increased liquidity in the hands of speculators</w:t>
      </w:r>
      <w:r w:rsidR="005F001E" w:rsidRPr="005F001E">
        <w:rPr>
          <w:color w:val="09090A"/>
        </w:rPr>
        <w:t xml:space="preserve"> </w:t>
      </w:r>
      <w:r w:rsidR="00046867">
        <w:rPr>
          <w:i/>
          <w:color w:val="070808"/>
        </w:rPr>
        <w:t>(</w:t>
      </w:r>
      <w:r w:rsidR="005F001E" w:rsidRPr="005F001E">
        <w:rPr>
          <w:i/>
          <w:color w:val="070808"/>
        </w:rPr>
        <w:t>Source: Forbes, “What’s Driving Gold Prices So High, And What Might the Future Hold?”, 22.09.20</w:t>
      </w:r>
      <w:r w:rsidR="00046867">
        <w:rPr>
          <w:i/>
          <w:color w:val="070808"/>
        </w:rPr>
        <w:t>)</w:t>
      </w:r>
      <w:r w:rsidR="00D97138" w:rsidRPr="005F001E">
        <w:rPr>
          <w:color w:val="09090A"/>
        </w:rPr>
        <w:t>. Prices for both copper and gold</w:t>
      </w:r>
      <w:r w:rsidRPr="005F001E">
        <w:rPr>
          <w:color w:val="09090A"/>
          <w:spacing w:val="-5"/>
        </w:rPr>
        <w:t xml:space="preserve"> </w:t>
      </w:r>
      <w:r w:rsidRPr="005F001E">
        <w:rPr>
          <w:color w:val="09090A"/>
        </w:rPr>
        <w:t>are</w:t>
      </w:r>
      <w:r w:rsidRPr="005F001E">
        <w:rPr>
          <w:color w:val="09090A"/>
          <w:spacing w:val="-4"/>
        </w:rPr>
        <w:t xml:space="preserve"> </w:t>
      </w:r>
      <w:r w:rsidRPr="005F001E">
        <w:rPr>
          <w:color w:val="09090A"/>
        </w:rPr>
        <w:t>now</w:t>
      </w:r>
      <w:r w:rsidRPr="005F001E">
        <w:rPr>
          <w:color w:val="09090A"/>
          <w:spacing w:val="-8"/>
        </w:rPr>
        <w:t xml:space="preserve"> </w:t>
      </w:r>
      <w:r w:rsidRPr="005F001E">
        <w:rPr>
          <w:color w:val="09090A"/>
        </w:rPr>
        <w:t>currently</w:t>
      </w:r>
      <w:r w:rsidRPr="005F001E">
        <w:rPr>
          <w:color w:val="09090A"/>
          <w:spacing w:val="-7"/>
        </w:rPr>
        <w:t xml:space="preserve"> </w:t>
      </w:r>
      <w:r w:rsidRPr="005F001E">
        <w:rPr>
          <w:color w:val="09090A"/>
        </w:rPr>
        <w:t>exceeding</w:t>
      </w:r>
      <w:r w:rsidRPr="005F001E">
        <w:rPr>
          <w:color w:val="09090A"/>
          <w:spacing w:val="-6"/>
        </w:rPr>
        <w:t xml:space="preserve"> </w:t>
      </w:r>
      <w:r w:rsidRPr="005F001E">
        <w:rPr>
          <w:color w:val="09090A"/>
        </w:rPr>
        <w:t>their</w:t>
      </w:r>
      <w:r w:rsidRPr="005F001E">
        <w:rPr>
          <w:color w:val="09090A"/>
          <w:spacing w:val="-5"/>
        </w:rPr>
        <w:t xml:space="preserve"> </w:t>
      </w:r>
      <w:r w:rsidRPr="005F001E">
        <w:rPr>
          <w:color w:val="09090A"/>
        </w:rPr>
        <w:t>prevailing</w:t>
      </w:r>
      <w:r w:rsidRPr="005F001E">
        <w:rPr>
          <w:color w:val="09090A"/>
          <w:spacing w:val="-7"/>
        </w:rPr>
        <w:t xml:space="preserve"> </w:t>
      </w:r>
      <w:r w:rsidRPr="005F001E">
        <w:rPr>
          <w:color w:val="09090A"/>
        </w:rPr>
        <w:t>market</w:t>
      </w:r>
      <w:r w:rsidRPr="005F001E">
        <w:rPr>
          <w:color w:val="09090A"/>
          <w:spacing w:val="-6"/>
        </w:rPr>
        <w:t xml:space="preserve"> </w:t>
      </w:r>
      <w:r w:rsidRPr="005F001E">
        <w:rPr>
          <w:color w:val="09090A"/>
        </w:rPr>
        <w:t>prices</w:t>
      </w:r>
      <w:r w:rsidRPr="005F001E">
        <w:rPr>
          <w:color w:val="09090A"/>
          <w:spacing w:val="-7"/>
        </w:rPr>
        <w:t xml:space="preserve"> </w:t>
      </w:r>
      <w:r w:rsidRPr="005F001E">
        <w:rPr>
          <w:color w:val="09090A"/>
        </w:rPr>
        <w:t>prior</w:t>
      </w:r>
      <w:r w:rsidRPr="005F001E">
        <w:rPr>
          <w:color w:val="09090A"/>
          <w:spacing w:val="-4"/>
        </w:rPr>
        <w:t xml:space="preserve"> </w:t>
      </w:r>
      <w:r w:rsidRPr="005F001E">
        <w:rPr>
          <w:color w:val="09090A"/>
        </w:rPr>
        <w:t>to</w:t>
      </w:r>
      <w:r w:rsidRPr="005F001E">
        <w:rPr>
          <w:color w:val="09090A"/>
          <w:spacing w:val="-5"/>
        </w:rPr>
        <w:t xml:space="preserve"> </w:t>
      </w:r>
      <w:r w:rsidRPr="005F001E">
        <w:rPr>
          <w:color w:val="09090A"/>
        </w:rPr>
        <w:t>the</w:t>
      </w:r>
      <w:r w:rsidRPr="005F001E">
        <w:rPr>
          <w:color w:val="09090A"/>
          <w:spacing w:val="-7"/>
        </w:rPr>
        <w:t xml:space="preserve"> </w:t>
      </w:r>
      <w:r w:rsidRPr="005F001E">
        <w:rPr>
          <w:color w:val="09090A"/>
        </w:rPr>
        <w:t>COVID</w:t>
      </w:r>
      <w:r w:rsidRPr="005F001E">
        <w:rPr>
          <w:color w:val="09090A"/>
          <w:spacing w:val="-6"/>
        </w:rPr>
        <w:t xml:space="preserve"> </w:t>
      </w:r>
      <w:r w:rsidRPr="005F001E">
        <w:rPr>
          <w:color w:val="09090A"/>
        </w:rPr>
        <w:t>19</w:t>
      </w:r>
      <w:r w:rsidRPr="005F001E">
        <w:rPr>
          <w:color w:val="09090A"/>
          <w:spacing w:val="-4"/>
        </w:rPr>
        <w:t xml:space="preserve"> </w:t>
      </w:r>
      <w:r w:rsidRPr="005F001E">
        <w:rPr>
          <w:color w:val="09090A"/>
        </w:rPr>
        <w:t>pandemic</w:t>
      </w:r>
      <w:r w:rsidR="00A75B49" w:rsidRPr="002943D2">
        <w:rPr>
          <w:color w:val="09090A"/>
        </w:rPr>
        <w:t xml:space="preserve"> </w:t>
      </w:r>
      <w:r w:rsidR="00046867">
        <w:rPr>
          <w:i/>
          <w:color w:val="070808"/>
        </w:rPr>
        <w:t>(</w:t>
      </w:r>
      <w:r w:rsidR="009C1D2E" w:rsidRPr="0026107B">
        <w:rPr>
          <w:i/>
          <w:color w:val="070808"/>
        </w:rPr>
        <w:t>Source: London Metal Exchange,</w:t>
      </w:r>
      <w:r w:rsidR="009C1D2E" w:rsidRPr="0026107B">
        <w:rPr>
          <w:b/>
          <w:i/>
          <w:color w:val="070808"/>
        </w:rPr>
        <w:t xml:space="preserve"> </w:t>
      </w:r>
      <w:hyperlink r:id="rId14" w:history="1">
        <w:r w:rsidR="009C1D2E" w:rsidRPr="00EF2315">
          <w:rPr>
            <w:rStyle w:val="Hyperlink"/>
            <w:i/>
          </w:rPr>
          <w:t>www.lme.com/Metals</w:t>
        </w:r>
      </w:hyperlink>
      <w:r w:rsidR="009C1D2E">
        <w:rPr>
          <w:i/>
        </w:rPr>
        <w:t xml:space="preserve">, </w:t>
      </w:r>
      <w:r w:rsidR="000C5E9B">
        <w:rPr>
          <w:i/>
        </w:rPr>
        <w:t>0</w:t>
      </w:r>
      <w:r w:rsidR="00117CD0">
        <w:rPr>
          <w:i/>
        </w:rPr>
        <w:t>1</w:t>
      </w:r>
      <w:r w:rsidR="000C5E9B">
        <w:rPr>
          <w:i/>
        </w:rPr>
        <w:t>.07.21</w:t>
      </w:r>
      <w:r w:rsidR="00046867">
        <w:rPr>
          <w:i/>
          <w:color w:val="070808"/>
        </w:rPr>
        <w:t>)</w:t>
      </w:r>
    </w:p>
    <w:p w14:paraId="52CC71D9" w14:textId="772BC470" w:rsidR="00783288" w:rsidRPr="00FE358B" w:rsidRDefault="00783288" w:rsidP="000C5E9B">
      <w:pPr>
        <w:pStyle w:val="BodyText"/>
        <w:kinsoku w:val="0"/>
        <w:overflowPunct w:val="0"/>
        <w:ind w:right="1187"/>
        <w:jc w:val="both"/>
        <w:rPr>
          <w:b/>
          <w:i/>
          <w:color w:val="09090A"/>
          <w:highlight w:val="yellow"/>
        </w:rPr>
      </w:pPr>
    </w:p>
    <w:p w14:paraId="792B2445" w14:textId="77777777" w:rsidR="00783288" w:rsidRDefault="00E31420">
      <w:pPr>
        <w:pStyle w:val="BodyText"/>
        <w:kinsoku w:val="0"/>
        <w:overflowPunct w:val="0"/>
        <w:spacing w:before="1"/>
        <w:ind w:left="300" w:right="1189"/>
        <w:jc w:val="both"/>
        <w:rPr>
          <w:color w:val="020303"/>
        </w:rPr>
      </w:pPr>
      <w:r>
        <w:rPr>
          <w:color w:val="09090A"/>
        </w:rPr>
        <w:t xml:space="preserve">Adverse and volatile economic conditions can also limit the Group’s ability to anticipate revenues and costs and can affect the Group’s ability to implement planned projects. In addition, industry analysts are likely to take such conditions into account when assessing the prospective business and creditworthiness of the Group and any adverse determinations may make it more difficult for the Company to raise capital in the </w:t>
      </w:r>
      <w:r>
        <w:rPr>
          <w:color w:val="020303"/>
        </w:rPr>
        <w:t>future to finance the Group’s business.</w:t>
      </w:r>
    </w:p>
    <w:p w14:paraId="32A2EB61" w14:textId="48B361A0" w:rsidR="00783288" w:rsidRDefault="00783288">
      <w:pPr>
        <w:pStyle w:val="BodyText"/>
        <w:kinsoku w:val="0"/>
        <w:overflowPunct w:val="0"/>
        <w:spacing w:before="1"/>
        <w:ind w:left="300" w:right="1189"/>
        <w:jc w:val="both"/>
        <w:rPr>
          <w:color w:val="020303"/>
        </w:rPr>
      </w:pPr>
    </w:p>
    <w:p w14:paraId="24B5122A" w14:textId="77777777" w:rsidR="00A75B49" w:rsidRDefault="00A75B49">
      <w:pPr>
        <w:pStyle w:val="BodyText"/>
        <w:kinsoku w:val="0"/>
        <w:overflowPunct w:val="0"/>
        <w:spacing w:before="1"/>
        <w:ind w:left="300" w:right="1189"/>
        <w:jc w:val="both"/>
        <w:rPr>
          <w:color w:val="020303"/>
        </w:rPr>
      </w:pPr>
    </w:p>
    <w:p w14:paraId="43AF73A3" w14:textId="77777777" w:rsidR="00783288" w:rsidRDefault="00E31420">
      <w:pPr>
        <w:pStyle w:val="Heading1"/>
        <w:kinsoku w:val="0"/>
        <w:overflowPunct w:val="0"/>
        <w:spacing w:before="74"/>
        <w:jc w:val="both"/>
        <w:rPr>
          <w:color w:val="070808"/>
        </w:rPr>
      </w:pPr>
      <w:r>
        <w:rPr>
          <w:color w:val="070808"/>
        </w:rPr>
        <w:t>RISKS RELATING TO PERSONNEL</w:t>
      </w:r>
    </w:p>
    <w:p w14:paraId="3CF41DDD" w14:textId="77777777" w:rsidR="00783288" w:rsidRDefault="00783288">
      <w:pPr>
        <w:pStyle w:val="BodyText"/>
        <w:kinsoku w:val="0"/>
        <w:overflowPunct w:val="0"/>
        <w:rPr>
          <w:b/>
          <w:bCs/>
          <w:sz w:val="21"/>
          <w:szCs w:val="21"/>
        </w:rPr>
      </w:pPr>
    </w:p>
    <w:p w14:paraId="7C2A8577" w14:textId="77777777" w:rsidR="00783288" w:rsidRDefault="00E31420">
      <w:pPr>
        <w:pStyle w:val="Heading2"/>
        <w:kinsoku w:val="0"/>
        <w:overflowPunct w:val="0"/>
        <w:ind w:right="1185"/>
        <w:rPr>
          <w:color w:val="020303"/>
        </w:rPr>
      </w:pPr>
      <w:r>
        <w:rPr>
          <w:color w:val="020303"/>
        </w:rPr>
        <w:t>The</w:t>
      </w:r>
      <w:r>
        <w:rPr>
          <w:color w:val="020303"/>
          <w:spacing w:val="-1"/>
        </w:rPr>
        <w:t xml:space="preserve"> </w:t>
      </w:r>
      <w:r>
        <w:rPr>
          <w:color w:val="020303"/>
        </w:rPr>
        <w:t>Group</w:t>
      </w:r>
      <w:r>
        <w:rPr>
          <w:color w:val="020303"/>
          <w:spacing w:val="-4"/>
        </w:rPr>
        <w:t xml:space="preserve"> </w:t>
      </w:r>
      <w:r>
        <w:rPr>
          <w:color w:val="020303"/>
        </w:rPr>
        <w:t>is</w:t>
      </w:r>
      <w:r>
        <w:rPr>
          <w:color w:val="020303"/>
          <w:spacing w:val="-3"/>
        </w:rPr>
        <w:t xml:space="preserve"> </w:t>
      </w:r>
      <w:r>
        <w:rPr>
          <w:color w:val="020303"/>
        </w:rPr>
        <w:t>dependent</w:t>
      </w:r>
      <w:r>
        <w:rPr>
          <w:color w:val="020303"/>
          <w:spacing w:val="-4"/>
        </w:rPr>
        <w:t xml:space="preserve"> </w:t>
      </w:r>
      <w:r>
        <w:rPr>
          <w:color w:val="020303"/>
        </w:rPr>
        <w:t>upon</w:t>
      </w:r>
      <w:r>
        <w:rPr>
          <w:color w:val="020303"/>
          <w:spacing w:val="-1"/>
        </w:rPr>
        <w:t xml:space="preserve"> </w:t>
      </w:r>
      <w:r>
        <w:rPr>
          <w:color w:val="020303"/>
        </w:rPr>
        <w:t>a</w:t>
      </w:r>
      <w:r>
        <w:rPr>
          <w:color w:val="020303"/>
          <w:spacing w:val="-3"/>
        </w:rPr>
        <w:t xml:space="preserve"> </w:t>
      </w:r>
      <w:r>
        <w:rPr>
          <w:color w:val="020303"/>
        </w:rPr>
        <w:t>small</w:t>
      </w:r>
      <w:r>
        <w:rPr>
          <w:color w:val="020303"/>
          <w:spacing w:val="-1"/>
        </w:rPr>
        <w:t xml:space="preserve"> </w:t>
      </w:r>
      <w:r>
        <w:rPr>
          <w:color w:val="020303"/>
        </w:rPr>
        <w:t>management</w:t>
      </w:r>
      <w:r>
        <w:rPr>
          <w:color w:val="020303"/>
          <w:spacing w:val="-4"/>
        </w:rPr>
        <w:t xml:space="preserve"> </w:t>
      </w:r>
      <w:r>
        <w:rPr>
          <w:color w:val="020303"/>
        </w:rPr>
        <w:t>and</w:t>
      </w:r>
      <w:r>
        <w:rPr>
          <w:color w:val="020303"/>
          <w:spacing w:val="-3"/>
        </w:rPr>
        <w:t xml:space="preserve"> </w:t>
      </w:r>
      <w:r>
        <w:rPr>
          <w:color w:val="020303"/>
        </w:rPr>
        <w:t>geological</w:t>
      </w:r>
      <w:r>
        <w:rPr>
          <w:color w:val="020303"/>
          <w:spacing w:val="-4"/>
        </w:rPr>
        <w:t xml:space="preserve"> </w:t>
      </w:r>
      <w:r>
        <w:rPr>
          <w:color w:val="020303"/>
        </w:rPr>
        <w:t>team</w:t>
      </w:r>
      <w:r>
        <w:rPr>
          <w:color w:val="020303"/>
          <w:spacing w:val="-3"/>
        </w:rPr>
        <w:t xml:space="preserve"> </w:t>
      </w:r>
      <w:r>
        <w:rPr>
          <w:color w:val="020303"/>
        </w:rPr>
        <w:t>and</w:t>
      </w:r>
      <w:r>
        <w:rPr>
          <w:color w:val="020303"/>
          <w:spacing w:val="-1"/>
        </w:rPr>
        <w:t xml:space="preserve"> </w:t>
      </w:r>
      <w:r>
        <w:rPr>
          <w:color w:val="020303"/>
        </w:rPr>
        <w:t>may</w:t>
      </w:r>
      <w:r>
        <w:rPr>
          <w:color w:val="020303"/>
          <w:spacing w:val="-4"/>
        </w:rPr>
        <w:t xml:space="preserve"> </w:t>
      </w:r>
      <w:r>
        <w:rPr>
          <w:color w:val="020303"/>
        </w:rPr>
        <w:t>be</w:t>
      </w:r>
      <w:r>
        <w:rPr>
          <w:color w:val="020303"/>
          <w:spacing w:val="-3"/>
        </w:rPr>
        <w:t xml:space="preserve"> </w:t>
      </w:r>
      <w:r>
        <w:rPr>
          <w:color w:val="020303"/>
        </w:rPr>
        <w:t>unable</w:t>
      </w:r>
      <w:r>
        <w:rPr>
          <w:color w:val="020303"/>
          <w:spacing w:val="-4"/>
        </w:rPr>
        <w:t xml:space="preserve"> </w:t>
      </w:r>
      <w:r>
        <w:rPr>
          <w:color w:val="020303"/>
        </w:rPr>
        <w:t>to</w:t>
      </w:r>
      <w:r>
        <w:rPr>
          <w:color w:val="020303"/>
          <w:spacing w:val="-1"/>
        </w:rPr>
        <w:t xml:space="preserve"> </w:t>
      </w:r>
      <w:r>
        <w:rPr>
          <w:color w:val="020303"/>
        </w:rPr>
        <w:t>retain</w:t>
      </w:r>
      <w:r>
        <w:rPr>
          <w:color w:val="020303"/>
          <w:spacing w:val="-3"/>
        </w:rPr>
        <w:t xml:space="preserve"> </w:t>
      </w:r>
      <w:r>
        <w:rPr>
          <w:color w:val="020303"/>
        </w:rPr>
        <w:t>or</w:t>
      </w:r>
      <w:r>
        <w:rPr>
          <w:color w:val="020303"/>
          <w:spacing w:val="-2"/>
        </w:rPr>
        <w:t xml:space="preserve"> </w:t>
      </w:r>
      <w:r>
        <w:rPr>
          <w:color w:val="020303"/>
        </w:rPr>
        <w:t>to recruit the personnel required to deliver the Group’s business</w:t>
      </w:r>
      <w:r>
        <w:rPr>
          <w:color w:val="020303"/>
          <w:spacing w:val="-5"/>
        </w:rPr>
        <w:t xml:space="preserve"> </w:t>
      </w:r>
      <w:r>
        <w:rPr>
          <w:color w:val="020303"/>
        </w:rPr>
        <w:t>strategy</w:t>
      </w:r>
    </w:p>
    <w:p w14:paraId="064F32CD" w14:textId="77777777" w:rsidR="00783288" w:rsidRDefault="00783288">
      <w:pPr>
        <w:pStyle w:val="BodyText"/>
        <w:kinsoku w:val="0"/>
        <w:overflowPunct w:val="0"/>
        <w:spacing w:before="3"/>
        <w:rPr>
          <w:b/>
          <w:bCs/>
          <w:i/>
          <w:iCs/>
        </w:rPr>
      </w:pPr>
    </w:p>
    <w:p w14:paraId="275C8CA9" w14:textId="77777777" w:rsidR="00783288" w:rsidRDefault="00E31420">
      <w:pPr>
        <w:pStyle w:val="BodyText"/>
        <w:kinsoku w:val="0"/>
        <w:overflowPunct w:val="0"/>
        <w:ind w:left="300" w:right="1189"/>
        <w:jc w:val="both"/>
        <w:rPr>
          <w:color w:val="070808"/>
        </w:rPr>
      </w:pPr>
      <w:r>
        <w:rPr>
          <w:color w:val="070808"/>
        </w:rPr>
        <w:t>One of the main assets of the Company is the combined experience and expertise of its Board and geological/technical</w:t>
      </w:r>
      <w:r>
        <w:rPr>
          <w:color w:val="070808"/>
          <w:spacing w:val="-7"/>
        </w:rPr>
        <w:t xml:space="preserve"> </w:t>
      </w:r>
      <w:r>
        <w:rPr>
          <w:color w:val="070808"/>
        </w:rPr>
        <w:t>team.</w:t>
      </w:r>
      <w:r>
        <w:rPr>
          <w:color w:val="070808"/>
          <w:spacing w:val="-6"/>
        </w:rPr>
        <w:t xml:space="preserve"> </w:t>
      </w:r>
      <w:r>
        <w:rPr>
          <w:color w:val="070808"/>
        </w:rPr>
        <w:t>During</w:t>
      </w:r>
      <w:r>
        <w:rPr>
          <w:color w:val="070808"/>
          <w:spacing w:val="-7"/>
        </w:rPr>
        <w:t xml:space="preserve"> </w:t>
      </w:r>
      <w:r>
        <w:rPr>
          <w:color w:val="070808"/>
        </w:rPr>
        <w:t>the</w:t>
      </w:r>
      <w:r>
        <w:rPr>
          <w:color w:val="070808"/>
          <w:spacing w:val="-6"/>
        </w:rPr>
        <w:t xml:space="preserve"> </w:t>
      </w:r>
      <w:r>
        <w:rPr>
          <w:color w:val="070808"/>
        </w:rPr>
        <w:t>early</w:t>
      </w:r>
      <w:r>
        <w:rPr>
          <w:color w:val="070808"/>
          <w:spacing w:val="-9"/>
        </w:rPr>
        <w:t xml:space="preserve"> </w:t>
      </w:r>
      <w:r>
        <w:rPr>
          <w:color w:val="070808"/>
        </w:rPr>
        <w:t>phase</w:t>
      </w:r>
      <w:r>
        <w:rPr>
          <w:color w:val="070808"/>
          <w:spacing w:val="-6"/>
        </w:rPr>
        <w:t xml:space="preserve"> </w:t>
      </w:r>
      <w:r>
        <w:rPr>
          <w:color w:val="070808"/>
        </w:rPr>
        <w:t>of</w:t>
      </w:r>
      <w:r>
        <w:rPr>
          <w:color w:val="070808"/>
          <w:spacing w:val="-6"/>
        </w:rPr>
        <w:t xml:space="preserve"> </w:t>
      </w:r>
      <w:r>
        <w:rPr>
          <w:color w:val="070808"/>
        </w:rPr>
        <w:t>the</w:t>
      </w:r>
      <w:r>
        <w:rPr>
          <w:color w:val="070808"/>
          <w:spacing w:val="-7"/>
        </w:rPr>
        <w:t xml:space="preserve"> </w:t>
      </w:r>
      <w:r>
        <w:rPr>
          <w:color w:val="070808"/>
        </w:rPr>
        <w:t>Company’s</w:t>
      </w:r>
      <w:r>
        <w:rPr>
          <w:color w:val="070808"/>
          <w:spacing w:val="-6"/>
        </w:rPr>
        <w:t xml:space="preserve"> </w:t>
      </w:r>
      <w:r>
        <w:rPr>
          <w:color w:val="070808"/>
        </w:rPr>
        <w:t>development</w:t>
      </w:r>
      <w:r>
        <w:rPr>
          <w:color w:val="070808"/>
          <w:spacing w:val="-7"/>
        </w:rPr>
        <w:t xml:space="preserve"> </w:t>
      </w:r>
      <w:r>
        <w:rPr>
          <w:color w:val="070808"/>
        </w:rPr>
        <w:t>it</w:t>
      </w:r>
      <w:r>
        <w:rPr>
          <w:color w:val="070808"/>
          <w:spacing w:val="-6"/>
        </w:rPr>
        <w:t xml:space="preserve"> </w:t>
      </w:r>
      <w:r>
        <w:rPr>
          <w:color w:val="070808"/>
        </w:rPr>
        <w:t>shall</w:t>
      </w:r>
      <w:r>
        <w:rPr>
          <w:color w:val="070808"/>
          <w:spacing w:val="-7"/>
        </w:rPr>
        <w:t xml:space="preserve"> </w:t>
      </w:r>
      <w:r>
        <w:rPr>
          <w:color w:val="070808"/>
        </w:rPr>
        <w:t>rely</w:t>
      </w:r>
      <w:r>
        <w:rPr>
          <w:color w:val="070808"/>
          <w:spacing w:val="-8"/>
        </w:rPr>
        <w:t xml:space="preserve"> </w:t>
      </w:r>
      <w:r>
        <w:rPr>
          <w:color w:val="070808"/>
        </w:rPr>
        <w:t>on</w:t>
      </w:r>
      <w:r>
        <w:rPr>
          <w:color w:val="070808"/>
          <w:spacing w:val="-6"/>
        </w:rPr>
        <w:t xml:space="preserve"> </w:t>
      </w:r>
      <w:r>
        <w:rPr>
          <w:color w:val="070808"/>
        </w:rPr>
        <w:t>a</w:t>
      </w:r>
      <w:r>
        <w:rPr>
          <w:color w:val="070808"/>
          <w:spacing w:val="-7"/>
        </w:rPr>
        <w:t xml:space="preserve"> </w:t>
      </w:r>
      <w:r>
        <w:rPr>
          <w:color w:val="070808"/>
        </w:rPr>
        <w:t>small</w:t>
      </w:r>
      <w:r>
        <w:rPr>
          <w:color w:val="070808"/>
          <w:spacing w:val="-6"/>
        </w:rPr>
        <w:t xml:space="preserve"> </w:t>
      </w:r>
      <w:r>
        <w:rPr>
          <w:color w:val="070808"/>
        </w:rPr>
        <w:t>number</w:t>
      </w:r>
      <w:r>
        <w:rPr>
          <w:color w:val="070808"/>
          <w:spacing w:val="-7"/>
        </w:rPr>
        <w:t xml:space="preserve"> </w:t>
      </w:r>
      <w:r>
        <w:rPr>
          <w:color w:val="070808"/>
        </w:rPr>
        <w:t>of key individuals, in respect of its exploration activities and to develop and maintain important relationships with governmental and regulatory authorities in Cyprus. The Company’s success is dependent upon the continuing service</w:t>
      </w:r>
      <w:r>
        <w:rPr>
          <w:color w:val="070808"/>
          <w:spacing w:val="-5"/>
        </w:rPr>
        <w:t xml:space="preserve"> </w:t>
      </w:r>
      <w:r>
        <w:rPr>
          <w:color w:val="070808"/>
        </w:rPr>
        <w:t>of</w:t>
      </w:r>
      <w:r>
        <w:rPr>
          <w:color w:val="070808"/>
          <w:spacing w:val="-4"/>
        </w:rPr>
        <w:t xml:space="preserve"> </w:t>
      </w:r>
      <w:r>
        <w:rPr>
          <w:color w:val="070808"/>
        </w:rPr>
        <w:t>these</w:t>
      </w:r>
      <w:r>
        <w:rPr>
          <w:color w:val="070808"/>
          <w:spacing w:val="-4"/>
        </w:rPr>
        <w:t xml:space="preserve"> </w:t>
      </w:r>
      <w:r>
        <w:rPr>
          <w:color w:val="070808"/>
        </w:rPr>
        <w:t>key</w:t>
      </w:r>
      <w:r>
        <w:rPr>
          <w:color w:val="070808"/>
          <w:spacing w:val="-3"/>
        </w:rPr>
        <w:t xml:space="preserve"> </w:t>
      </w:r>
      <w:r>
        <w:rPr>
          <w:color w:val="070808"/>
        </w:rPr>
        <w:t>individuals</w:t>
      </w:r>
      <w:r>
        <w:rPr>
          <w:color w:val="070808"/>
          <w:spacing w:val="-2"/>
        </w:rPr>
        <w:t xml:space="preserve"> </w:t>
      </w:r>
      <w:r>
        <w:rPr>
          <w:color w:val="070808"/>
        </w:rPr>
        <w:t>and</w:t>
      </w:r>
      <w:r>
        <w:rPr>
          <w:color w:val="070808"/>
          <w:spacing w:val="-4"/>
        </w:rPr>
        <w:t xml:space="preserve"> </w:t>
      </w:r>
      <w:r>
        <w:rPr>
          <w:color w:val="070808"/>
        </w:rPr>
        <w:t>its</w:t>
      </w:r>
      <w:r>
        <w:rPr>
          <w:color w:val="070808"/>
          <w:spacing w:val="-1"/>
        </w:rPr>
        <w:t xml:space="preserve"> </w:t>
      </w:r>
      <w:r>
        <w:rPr>
          <w:color w:val="070808"/>
        </w:rPr>
        <w:t>business</w:t>
      </w:r>
      <w:r>
        <w:rPr>
          <w:color w:val="070808"/>
          <w:spacing w:val="-4"/>
        </w:rPr>
        <w:t xml:space="preserve"> </w:t>
      </w:r>
      <w:r>
        <w:rPr>
          <w:color w:val="070808"/>
        </w:rPr>
        <w:t>and</w:t>
      </w:r>
      <w:r>
        <w:rPr>
          <w:color w:val="070808"/>
          <w:spacing w:val="-4"/>
        </w:rPr>
        <w:t xml:space="preserve"> </w:t>
      </w:r>
      <w:r>
        <w:rPr>
          <w:color w:val="070808"/>
        </w:rPr>
        <w:t>performance</w:t>
      </w:r>
      <w:r>
        <w:rPr>
          <w:color w:val="070808"/>
          <w:spacing w:val="-4"/>
        </w:rPr>
        <w:t xml:space="preserve"> </w:t>
      </w:r>
      <w:r>
        <w:rPr>
          <w:color w:val="070808"/>
        </w:rPr>
        <w:t>could</w:t>
      </w:r>
      <w:r>
        <w:rPr>
          <w:color w:val="070808"/>
          <w:spacing w:val="-1"/>
        </w:rPr>
        <w:t xml:space="preserve"> </w:t>
      </w:r>
      <w:r>
        <w:rPr>
          <w:color w:val="070808"/>
        </w:rPr>
        <w:t>be</w:t>
      </w:r>
      <w:r>
        <w:rPr>
          <w:color w:val="070808"/>
          <w:spacing w:val="-4"/>
        </w:rPr>
        <w:t xml:space="preserve"> </w:t>
      </w:r>
      <w:r>
        <w:rPr>
          <w:color w:val="070808"/>
        </w:rPr>
        <w:t>negatively</w:t>
      </w:r>
      <w:r>
        <w:rPr>
          <w:color w:val="070808"/>
          <w:spacing w:val="-7"/>
        </w:rPr>
        <w:t xml:space="preserve"> </w:t>
      </w:r>
      <w:r>
        <w:rPr>
          <w:color w:val="070808"/>
        </w:rPr>
        <w:t>impacted</w:t>
      </w:r>
      <w:r>
        <w:rPr>
          <w:color w:val="070808"/>
          <w:spacing w:val="-4"/>
        </w:rPr>
        <w:t xml:space="preserve"> </w:t>
      </w:r>
      <w:r>
        <w:rPr>
          <w:color w:val="070808"/>
        </w:rPr>
        <w:t>by</w:t>
      </w:r>
      <w:r>
        <w:rPr>
          <w:color w:val="070808"/>
          <w:spacing w:val="-3"/>
        </w:rPr>
        <w:t xml:space="preserve"> </w:t>
      </w:r>
      <w:r>
        <w:rPr>
          <w:color w:val="070808"/>
        </w:rPr>
        <w:t>the</w:t>
      </w:r>
      <w:r>
        <w:rPr>
          <w:color w:val="070808"/>
          <w:spacing w:val="-4"/>
        </w:rPr>
        <w:t xml:space="preserve"> </w:t>
      </w:r>
      <w:r>
        <w:rPr>
          <w:color w:val="070808"/>
        </w:rPr>
        <w:t>loss</w:t>
      </w:r>
      <w:r>
        <w:rPr>
          <w:color w:val="070808"/>
          <w:spacing w:val="-4"/>
        </w:rPr>
        <w:t xml:space="preserve"> </w:t>
      </w:r>
      <w:r>
        <w:rPr>
          <w:color w:val="070808"/>
        </w:rPr>
        <w:t>of</w:t>
      </w:r>
      <w:r>
        <w:rPr>
          <w:color w:val="070808"/>
          <w:spacing w:val="-4"/>
        </w:rPr>
        <w:t xml:space="preserve"> </w:t>
      </w:r>
      <w:r>
        <w:rPr>
          <w:color w:val="070808"/>
        </w:rPr>
        <w:t>key individuals.</w:t>
      </w:r>
    </w:p>
    <w:p w14:paraId="248CECFD" w14:textId="77777777" w:rsidR="00783288" w:rsidRDefault="00783288">
      <w:pPr>
        <w:pStyle w:val="BodyText"/>
        <w:kinsoku w:val="0"/>
        <w:overflowPunct w:val="0"/>
        <w:spacing w:before="1"/>
      </w:pPr>
    </w:p>
    <w:p w14:paraId="4D6C6539" w14:textId="77777777" w:rsidR="00783288" w:rsidRDefault="00E31420">
      <w:pPr>
        <w:pStyle w:val="BodyText"/>
        <w:kinsoku w:val="0"/>
        <w:overflowPunct w:val="0"/>
        <w:ind w:left="300" w:right="1189"/>
        <w:jc w:val="both"/>
        <w:rPr>
          <w:color w:val="020303"/>
        </w:rPr>
      </w:pPr>
      <w:r>
        <w:rPr>
          <w:color w:val="020303"/>
        </w:rPr>
        <w:t>If the Group were to lose more than one of its key individuals or otherwise seek to expand its management, geological or technical team, the Group’s success would be dependent on its ability to retain and recruit suitably qualified and experienced personnel. Given the current high levels of activity in the global exploration and mining industry,</w:t>
      </w:r>
      <w:r>
        <w:rPr>
          <w:color w:val="020303"/>
          <w:spacing w:val="-10"/>
        </w:rPr>
        <w:t xml:space="preserve"> </w:t>
      </w:r>
      <w:r>
        <w:rPr>
          <w:color w:val="020303"/>
        </w:rPr>
        <w:t>there</w:t>
      </w:r>
      <w:r>
        <w:rPr>
          <w:color w:val="020303"/>
          <w:spacing w:val="-10"/>
        </w:rPr>
        <w:t xml:space="preserve"> </w:t>
      </w:r>
      <w:r>
        <w:rPr>
          <w:color w:val="020303"/>
        </w:rPr>
        <w:t>can</w:t>
      </w:r>
      <w:r>
        <w:rPr>
          <w:color w:val="020303"/>
          <w:spacing w:val="-10"/>
        </w:rPr>
        <w:t xml:space="preserve"> </w:t>
      </w:r>
      <w:r>
        <w:rPr>
          <w:color w:val="020303"/>
        </w:rPr>
        <w:t>be</w:t>
      </w:r>
      <w:r>
        <w:rPr>
          <w:color w:val="020303"/>
          <w:spacing w:val="-9"/>
        </w:rPr>
        <w:t xml:space="preserve"> </w:t>
      </w:r>
      <w:r>
        <w:rPr>
          <w:color w:val="020303"/>
        </w:rPr>
        <w:t>no</w:t>
      </w:r>
      <w:r>
        <w:rPr>
          <w:color w:val="020303"/>
          <w:spacing w:val="-12"/>
        </w:rPr>
        <w:t xml:space="preserve"> </w:t>
      </w:r>
      <w:r>
        <w:rPr>
          <w:color w:val="020303"/>
        </w:rPr>
        <w:t>assurance</w:t>
      </w:r>
      <w:r>
        <w:rPr>
          <w:color w:val="020303"/>
          <w:spacing w:val="-12"/>
        </w:rPr>
        <w:t xml:space="preserve"> </w:t>
      </w:r>
      <w:r>
        <w:rPr>
          <w:color w:val="020303"/>
        </w:rPr>
        <w:t>that</w:t>
      </w:r>
      <w:r>
        <w:rPr>
          <w:color w:val="020303"/>
          <w:spacing w:val="-11"/>
        </w:rPr>
        <w:t xml:space="preserve"> </w:t>
      </w:r>
      <w:r>
        <w:rPr>
          <w:color w:val="020303"/>
        </w:rPr>
        <w:t>the</w:t>
      </w:r>
      <w:r>
        <w:rPr>
          <w:color w:val="020303"/>
          <w:spacing w:val="-10"/>
        </w:rPr>
        <w:t xml:space="preserve"> </w:t>
      </w:r>
      <w:r>
        <w:rPr>
          <w:color w:val="020303"/>
        </w:rPr>
        <w:t>Group</w:t>
      </w:r>
      <w:r>
        <w:rPr>
          <w:color w:val="020303"/>
          <w:spacing w:val="-10"/>
        </w:rPr>
        <w:t xml:space="preserve"> </w:t>
      </w:r>
      <w:r>
        <w:rPr>
          <w:color w:val="020303"/>
        </w:rPr>
        <w:t>will</w:t>
      </w:r>
      <w:r>
        <w:rPr>
          <w:color w:val="020303"/>
          <w:spacing w:val="-10"/>
        </w:rPr>
        <w:t xml:space="preserve"> </w:t>
      </w:r>
      <w:r>
        <w:rPr>
          <w:color w:val="020303"/>
        </w:rPr>
        <w:t>be</w:t>
      </w:r>
      <w:r>
        <w:rPr>
          <w:color w:val="020303"/>
          <w:spacing w:val="-9"/>
        </w:rPr>
        <w:t xml:space="preserve"> </w:t>
      </w:r>
      <w:r>
        <w:rPr>
          <w:color w:val="020303"/>
        </w:rPr>
        <w:t>able</w:t>
      </w:r>
      <w:r>
        <w:rPr>
          <w:color w:val="020303"/>
          <w:spacing w:val="-8"/>
        </w:rPr>
        <w:t xml:space="preserve"> </w:t>
      </w:r>
      <w:r>
        <w:rPr>
          <w:color w:val="020303"/>
        </w:rPr>
        <w:t>to</w:t>
      </w:r>
      <w:r>
        <w:rPr>
          <w:color w:val="020303"/>
          <w:spacing w:val="-10"/>
        </w:rPr>
        <w:t xml:space="preserve"> </w:t>
      </w:r>
      <w:r>
        <w:rPr>
          <w:color w:val="020303"/>
        </w:rPr>
        <w:t>retain</w:t>
      </w:r>
      <w:r>
        <w:rPr>
          <w:color w:val="020303"/>
          <w:spacing w:val="-11"/>
        </w:rPr>
        <w:t xml:space="preserve"> </w:t>
      </w:r>
      <w:r>
        <w:rPr>
          <w:color w:val="020303"/>
        </w:rPr>
        <w:t>or</w:t>
      </w:r>
      <w:r>
        <w:rPr>
          <w:color w:val="020303"/>
          <w:spacing w:val="-10"/>
        </w:rPr>
        <w:t xml:space="preserve"> </w:t>
      </w:r>
      <w:r>
        <w:rPr>
          <w:color w:val="020303"/>
        </w:rPr>
        <w:t>recruit</w:t>
      </w:r>
      <w:r>
        <w:rPr>
          <w:color w:val="020303"/>
          <w:spacing w:val="-10"/>
        </w:rPr>
        <w:t xml:space="preserve"> </w:t>
      </w:r>
      <w:r>
        <w:rPr>
          <w:color w:val="020303"/>
        </w:rPr>
        <w:t>experienced,</w:t>
      </w:r>
      <w:r>
        <w:rPr>
          <w:color w:val="020303"/>
          <w:spacing w:val="-10"/>
        </w:rPr>
        <w:t xml:space="preserve"> </w:t>
      </w:r>
      <w:r>
        <w:rPr>
          <w:color w:val="020303"/>
        </w:rPr>
        <w:t>qualified</w:t>
      </w:r>
      <w:r>
        <w:rPr>
          <w:color w:val="020303"/>
          <w:spacing w:val="-11"/>
        </w:rPr>
        <w:t xml:space="preserve"> </w:t>
      </w:r>
      <w:r>
        <w:rPr>
          <w:color w:val="020303"/>
        </w:rPr>
        <w:t>individuals to deliver the Group’s business strategy, which could have a material adverse impact on the results of operations, financial condition or prospects of the Group.</w:t>
      </w:r>
    </w:p>
    <w:p w14:paraId="52742834" w14:textId="77777777" w:rsidR="00783288" w:rsidRDefault="00783288">
      <w:pPr>
        <w:pStyle w:val="BodyText"/>
        <w:kinsoku w:val="0"/>
        <w:overflowPunct w:val="0"/>
        <w:spacing w:before="7"/>
        <w:rPr>
          <w:sz w:val="17"/>
          <w:szCs w:val="17"/>
        </w:rPr>
      </w:pPr>
    </w:p>
    <w:p w14:paraId="4D372D54" w14:textId="77777777" w:rsidR="00783288" w:rsidRDefault="00E31420">
      <w:pPr>
        <w:pStyle w:val="Heading2"/>
        <w:kinsoku w:val="0"/>
        <w:overflowPunct w:val="0"/>
        <w:rPr>
          <w:color w:val="040505"/>
        </w:rPr>
      </w:pPr>
      <w:r>
        <w:rPr>
          <w:color w:val="040505"/>
        </w:rPr>
        <w:t>The use of independent contractors in operations may expose those operations to delays or suspensions</w:t>
      </w:r>
    </w:p>
    <w:p w14:paraId="58D2D292" w14:textId="77777777" w:rsidR="00783288" w:rsidRDefault="00783288">
      <w:pPr>
        <w:pStyle w:val="BodyText"/>
        <w:kinsoku w:val="0"/>
        <w:overflowPunct w:val="0"/>
        <w:spacing w:before="3"/>
        <w:rPr>
          <w:b/>
          <w:bCs/>
          <w:i/>
          <w:iCs/>
        </w:rPr>
      </w:pPr>
    </w:p>
    <w:p w14:paraId="2AE509D3" w14:textId="77777777" w:rsidR="00783288" w:rsidRDefault="00E31420">
      <w:pPr>
        <w:pStyle w:val="BodyText"/>
        <w:kinsoku w:val="0"/>
        <w:overflowPunct w:val="0"/>
        <w:spacing w:before="1"/>
        <w:ind w:left="300" w:right="1191"/>
        <w:jc w:val="both"/>
        <w:rPr>
          <w:color w:val="040505"/>
        </w:rPr>
      </w:pPr>
      <w:r>
        <w:rPr>
          <w:color w:val="040505"/>
        </w:rPr>
        <w:t>Independent</w:t>
      </w:r>
      <w:r>
        <w:rPr>
          <w:color w:val="040505"/>
          <w:spacing w:val="-7"/>
        </w:rPr>
        <w:t xml:space="preserve"> </w:t>
      </w:r>
      <w:r>
        <w:rPr>
          <w:color w:val="040505"/>
        </w:rPr>
        <w:t>contractors</w:t>
      </w:r>
      <w:r>
        <w:rPr>
          <w:color w:val="040505"/>
          <w:spacing w:val="-7"/>
        </w:rPr>
        <w:t xml:space="preserve"> </w:t>
      </w:r>
      <w:r>
        <w:rPr>
          <w:color w:val="040505"/>
        </w:rPr>
        <w:t>are</w:t>
      </w:r>
      <w:r>
        <w:rPr>
          <w:color w:val="040505"/>
          <w:spacing w:val="-9"/>
        </w:rPr>
        <w:t xml:space="preserve"> </w:t>
      </w:r>
      <w:r>
        <w:rPr>
          <w:color w:val="040505"/>
        </w:rPr>
        <w:t>often</w:t>
      </w:r>
      <w:r>
        <w:rPr>
          <w:color w:val="040505"/>
          <w:spacing w:val="-6"/>
        </w:rPr>
        <w:t xml:space="preserve"> </w:t>
      </w:r>
      <w:r>
        <w:rPr>
          <w:color w:val="040505"/>
        </w:rPr>
        <w:t>used</w:t>
      </w:r>
      <w:r>
        <w:rPr>
          <w:color w:val="040505"/>
          <w:spacing w:val="-7"/>
        </w:rPr>
        <w:t xml:space="preserve"> </w:t>
      </w:r>
      <w:r>
        <w:rPr>
          <w:color w:val="040505"/>
        </w:rPr>
        <w:t>in</w:t>
      </w:r>
      <w:r>
        <w:rPr>
          <w:color w:val="040505"/>
          <w:spacing w:val="-7"/>
        </w:rPr>
        <w:t xml:space="preserve"> </w:t>
      </w:r>
      <w:r>
        <w:rPr>
          <w:color w:val="040505"/>
        </w:rPr>
        <w:t>operations</w:t>
      </w:r>
      <w:r>
        <w:rPr>
          <w:color w:val="040505"/>
          <w:spacing w:val="-8"/>
        </w:rPr>
        <w:t xml:space="preserve"> </w:t>
      </w:r>
      <w:r>
        <w:rPr>
          <w:color w:val="040505"/>
        </w:rPr>
        <w:t>in</w:t>
      </w:r>
      <w:r>
        <w:rPr>
          <w:color w:val="040505"/>
          <w:spacing w:val="-7"/>
        </w:rPr>
        <w:t xml:space="preserve"> </w:t>
      </w:r>
      <w:r>
        <w:rPr>
          <w:color w:val="040505"/>
        </w:rPr>
        <w:t>the</w:t>
      </w:r>
      <w:r>
        <w:rPr>
          <w:color w:val="040505"/>
          <w:spacing w:val="-9"/>
        </w:rPr>
        <w:t xml:space="preserve"> </w:t>
      </w:r>
      <w:r>
        <w:rPr>
          <w:color w:val="040505"/>
        </w:rPr>
        <w:t>natural</w:t>
      </w:r>
      <w:r>
        <w:rPr>
          <w:color w:val="040505"/>
          <w:spacing w:val="-6"/>
        </w:rPr>
        <w:t xml:space="preserve"> </w:t>
      </w:r>
      <w:r>
        <w:rPr>
          <w:color w:val="040505"/>
        </w:rPr>
        <w:t>resources</w:t>
      </w:r>
      <w:r>
        <w:rPr>
          <w:color w:val="040505"/>
          <w:spacing w:val="-7"/>
        </w:rPr>
        <w:t xml:space="preserve"> </w:t>
      </w:r>
      <w:r>
        <w:rPr>
          <w:color w:val="040505"/>
        </w:rPr>
        <w:t>sector.</w:t>
      </w:r>
      <w:r>
        <w:rPr>
          <w:color w:val="040505"/>
          <w:spacing w:val="-6"/>
        </w:rPr>
        <w:t xml:space="preserve"> </w:t>
      </w:r>
      <w:r>
        <w:rPr>
          <w:color w:val="040505"/>
        </w:rPr>
        <w:t>In</w:t>
      </w:r>
      <w:r>
        <w:rPr>
          <w:color w:val="040505"/>
          <w:spacing w:val="-7"/>
        </w:rPr>
        <w:t xml:space="preserve"> </w:t>
      </w:r>
      <w:r>
        <w:rPr>
          <w:color w:val="040505"/>
        </w:rPr>
        <w:t>periods</w:t>
      </w:r>
      <w:r>
        <w:rPr>
          <w:color w:val="040505"/>
          <w:spacing w:val="-7"/>
        </w:rPr>
        <w:t xml:space="preserve"> </w:t>
      </w:r>
      <w:r>
        <w:rPr>
          <w:color w:val="040505"/>
        </w:rPr>
        <w:t>of</w:t>
      </w:r>
      <w:r>
        <w:rPr>
          <w:color w:val="040505"/>
          <w:spacing w:val="-9"/>
        </w:rPr>
        <w:t xml:space="preserve"> </w:t>
      </w:r>
      <w:r>
        <w:rPr>
          <w:color w:val="040505"/>
        </w:rPr>
        <w:t>high</w:t>
      </w:r>
      <w:r>
        <w:rPr>
          <w:color w:val="040505"/>
          <w:spacing w:val="-6"/>
        </w:rPr>
        <w:t xml:space="preserve"> </w:t>
      </w:r>
      <w:r>
        <w:rPr>
          <w:color w:val="040505"/>
        </w:rPr>
        <w:t>commodity prices,</w:t>
      </w:r>
      <w:r>
        <w:rPr>
          <w:color w:val="040505"/>
          <w:spacing w:val="-15"/>
        </w:rPr>
        <w:t xml:space="preserve"> </w:t>
      </w:r>
      <w:r>
        <w:rPr>
          <w:color w:val="040505"/>
        </w:rPr>
        <w:t>demand</w:t>
      </w:r>
      <w:r>
        <w:rPr>
          <w:color w:val="040505"/>
          <w:spacing w:val="-11"/>
        </w:rPr>
        <w:t xml:space="preserve"> </w:t>
      </w:r>
      <w:r>
        <w:rPr>
          <w:color w:val="040505"/>
        </w:rPr>
        <w:t>for</w:t>
      </w:r>
      <w:r>
        <w:rPr>
          <w:color w:val="040505"/>
          <w:spacing w:val="-14"/>
        </w:rPr>
        <w:t xml:space="preserve"> </w:t>
      </w:r>
      <w:r>
        <w:rPr>
          <w:color w:val="040505"/>
        </w:rPr>
        <w:t>key</w:t>
      </w:r>
      <w:r>
        <w:rPr>
          <w:color w:val="040505"/>
          <w:spacing w:val="-14"/>
        </w:rPr>
        <w:t xml:space="preserve"> </w:t>
      </w:r>
      <w:r>
        <w:rPr>
          <w:color w:val="040505"/>
        </w:rPr>
        <w:t>contractors</w:t>
      </w:r>
      <w:r>
        <w:rPr>
          <w:color w:val="040505"/>
          <w:spacing w:val="-13"/>
        </w:rPr>
        <w:t xml:space="preserve"> </w:t>
      </w:r>
      <w:r>
        <w:rPr>
          <w:color w:val="040505"/>
        </w:rPr>
        <w:t>may</w:t>
      </w:r>
      <w:r>
        <w:rPr>
          <w:color w:val="040505"/>
          <w:spacing w:val="-15"/>
        </w:rPr>
        <w:t xml:space="preserve"> </w:t>
      </w:r>
      <w:r>
        <w:rPr>
          <w:color w:val="040505"/>
        </w:rPr>
        <w:t>exceed</w:t>
      </w:r>
      <w:r>
        <w:rPr>
          <w:color w:val="040505"/>
          <w:spacing w:val="-12"/>
        </w:rPr>
        <w:t xml:space="preserve"> </w:t>
      </w:r>
      <w:r>
        <w:rPr>
          <w:color w:val="040505"/>
        </w:rPr>
        <w:t>supply,</w:t>
      </w:r>
      <w:r>
        <w:rPr>
          <w:color w:val="040505"/>
          <w:spacing w:val="-11"/>
        </w:rPr>
        <w:t xml:space="preserve"> </w:t>
      </w:r>
      <w:r>
        <w:rPr>
          <w:color w:val="040505"/>
        </w:rPr>
        <w:t>resulting</w:t>
      </w:r>
      <w:r>
        <w:rPr>
          <w:color w:val="040505"/>
          <w:spacing w:val="-11"/>
        </w:rPr>
        <w:t xml:space="preserve"> </w:t>
      </w:r>
      <w:r>
        <w:rPr>
          <w:color w:val="040505"/>
        </w:rPr>
        <w:t>in</w:t>
      </w:r>
      <w:r>
        <w:rPr>
          <w:color w:val="040505"/>
          <w:spacing w:val="-13"/>
        </w:rPr>
        <w:t xml:space="preserve"> </w:t>
      </w:r>
      <w:r>
        <w:rPr>
          <w:color w:val="040505"/>
        </w:rPr>
        <w:t>increased</w:t>
      </w:r>
      <w:r>
        <w:rPr>
          <w:color w:val="040505"/>
          <w:spacing w:val="-13"/>
        </w:rPr>
        <w:t xml:space="preserve"> </w:t>
      </w:r>
      <w:r>
        <w:rPr>
          <w:color w:val="040505"/>
        </w:rPr>
        <w:t>costs</w:t>
      </w:r>
      <w:r>
        <w:rPr>
          <w:color w:val="040505"/>
          <w:spacing w:val="-14"/>
        </w:rPr>
        <w:t xml:space="preserve"> </w:t>
      </w:r>
      <w:r>
        <w:rPr>
          <w:color w:val="040505"/>
        </w:rPr>
        <w:t>or</w:t>
      </w:r>
      <w:r>
        <w:rPr>
          <w:color w:val="040505"/>
          <w:spacing w:val="-14"/>
        </w:rPr>
        <w:t xml:space="preserve"> </w:t>
      </w:r>
      <w:r>
        <w:rPr>
          <w:color w:val="040505"/>
        </w:rPr>
        <w:t>lack</w:t>
      </w:r>
      <w:r>
        <w:rPr>
          <w:color w:val="040505"/>
          <w:spacing w:val="-13"/>
        </w:rPr>
        <w:t xml:space="preserve"> </w:t>
      </w:r>
      <w:r>
        <w:rPr>
          <w:color w:val="040505"/>
        </w:rPr>
        <w:t>of</w:t>
      </w:r>
      <w:r>
        <w:rPr>
          <w:color w:val="040505"/>
          <w:spacing w:val="-16"/>
        </w:rPr>
        <w:t xml:space="preserve"> </w:t>
      </w:r>
      <w:r>
        <w:rPr>
          <w:color w:val="040505"/>
        </w:rPr>
        <w:t>availability</w:t>
      </w:r>
      <w:r>
        <w:rPr>
          <w:color w:val="040505"/>
          <w:spacing w:val="-16"/>
        </w:rPr>
        <w:t xml:space="preserve"> </w:t>
      </w:r>
      <w:r>
        <w:rPr>
          <w:color w:val="040505"/>
        </w:rPr>
        <w:t>and</w:t>
      </w:r>
      <w:r>
        <w:rPr>
          <w:color w:val="040505"/>
          <w:spacing w:val="-13"/>
        </w:rPr>
        <w:t xml:space="preserve"> </w:t>
      </w:r>
      <w:r>
        <w:rPr>
          <w:color w:val="040505"/>
        </w:rPr>
        <w:t>delays to projects. Furthermore, the Group will have less control over independent contractors than it does over its employees, which creates a risk that such contractors will not operate in accordance with the Group’s safety standards or other policies, potentially exposing the Group to liabilities. Any of the foregoing circumstances could have an adverse effect on the Group’s operating results and cash</w:t>
      </w:r>
      <w:r>
        <w:rPr>
          <w:color w:val="040505"/>
          <w:spacing w:val="-10"/>
        </w:rPr>
        <w:t xml:space="preserve"> </w:t>
      </w:r>
      <w:r>
        <w:rPr>
          <w:color w:val="040505"/>
        </w:rPr>
        <w:t>flows.</w:t>
      </w:r>
    </w:p>
    <w:p w14:paraId="2FB6B4E0" w14:textId="77777777" w:rsidR="00783288" w:rsidRDefault="00783288">
      <w:pPr>
        <w:pStyle w:val="BodyText"/>
        <w:kinsoku w:val="0"/>
        <w:overflowPunct w:val="0"/>
        <w:spacing w:before="7"/>
        <w:rPr>
          <w:sz w:val="17"/>
          <w:szCs w:val="17"/>
        </w:rPr>
      </w:pPr>
    </w:p>
    <w:p w14:paraId="0F45CB52" w14:textId="77777777" w:rsidR="00783288" w:rsidRDefault="00E31420">
      <w:pPr>
        <w:pStyle w:val="Heading1"/>
        <w:kinsoku w:val="0"/>
        <w:overflowPunct w:val="0"/>
        <w:jc w:val="both"/>
        <w:rPr>
          <w:color w:val="070808"/>
        </w:rPr>
      </w:pPr>
      <w:r>
        <w:rPr>
          <w:color w:val="070808"/>
        </w:rPr>
        <w:t>SOCIOPOLITICAL RISKS</w:t>
      </w:r>
    </w:p>
    <w:p w14:paraId="0395C962" w14:textId="77777777" w:rsidR="00783288" w:rsidRDefault="00783288">
      <w:pPr>
        <w:pStyle w:val="BodyText"/>
        <w:kinsoku w:val="0"/>
        <w:overflowPunct w:val="0"/>
        <w:rPr>
          <w:b/>
          <w:bCs/>
          <w:sz w:val="21"/>
          <w:szCs w:val="21"/>
        </w:rPr>
      </w:pPr>
    </w:p>
    <w:p w14:paraId="245B57BF" w14:textId="77777777" w:rsidR="00783288" w:rsidRDefault="00E31420">
      <w:pPr>
        <w:pStyle w:val="Heading2"/>
        <w:kinsoku w:val="0"/>
        <w:overflowPunct w:val="0"/>
        <w:ind w:right="1186"/>
        <w:rPr>
          <w:color w:val="231F20"/>
        </w:rPr>
      </w:pPr>
      <w:r>
        <w:rPr>
          <w:color w:val="231F20"/>
        </w:rPr>
        <w:t>Northern Cyprus is occupied by Turkey and there can be no certainty that relations between Turkey and the Cyprus will not deteriorate</w:t>
      </w:r>
    </w:p>
    <w:p w14:paraId="5F41F521" w14:textId="77777777" w:rsidR="00783288" w:rsidRDefault="00783288">
      <w:pPr>
        <w:pStyle w:val="BodyText"/>
        <w:kinsoku w:val="0"/>
        <w:overflowPunct w:val="0"/>
        <w:spacing w:before="3"/>
        <w:rPr>
          <w:b/>
          <w:bCs/>
          <w:i/>
          <w:iCs/>
        </w:rPr>
      </w:pPr>
    </w:p>
    <w:p w14:paraId="0065DC6B" w14:textId="77777777" w:rsidR="00783288" w:rsidRDefault="00E31420">
      <w:pPr>
        <w:pStyle w:val="BodyText"/>
        <w:kinsoku w:val="0"/>
        <w:overflowPunct w:val="0"/>
        <w:ind w:left="300" w:right="1188"/>
        <w:jc w:val="both"/>
        <w:rPr>
          <w:color w:val="231F20"/>
        </w:rPr>
      </w:pPr>
      <w:r>
        <w:rPr>
          <w:color w:val="231F20"/>
        </w:rPr>
        <w:t>Since</w:t>
      </w:r>
      <w:r>
        <w:rPr>
          <w:color w:val="231F20"/>
          <w:spacing w:val="-4"/>
        </w:rPr>
        <w:t xml:space="preserve"> </w:t>
      </w:r>
      <w:r>
        <w:rPr>
          <w:color w:val="231F20"/>
        </w:rPr>
        <w:t>the</w:t>
      </w:r>
      <w:r>
        <w:rPr>
          <w:color w:val="231F20"/>
          <w:spacing w:val="-4"/>
        </w:rPr>
        <w:t xml:space="preserve"> </w:t>
      </w:r>
      <w:r>
        <w:rPr>
          <w:color w:val="231F20"/>
        </w:rPr>
        <w:t>Turkish</w:t>
      </w:r>
      <w:r>
        <w:rPr>
          <w:color w:val="231F20"/>
          <w:spacing w:val="-4"/>
        </w:rPr>
        <w:t xml:space="preserve"> </w:t>
      </w:r>
      <w:r>
        <w:rPr>
          <w:color w:val="231F20"/>
        </w:rPr>
        <w:t>invasion</w:t>
      </w:r>
      <w:r>
        <w:rPr>
          <w:color w:val="231F20"/>
          <w:spacing w:val="-6"/>
        </w:rPr>
        <w:t xml:space="preserve"> </w:t>
      </w:r>
      <w:r>
        <w:rPr>
          <w:color w:val="231F20"/>
        </w:rPr>
        <w:t>of</w:t>
      </w:r>
      <w:r>
        <w:rPr>
          <w:color w:val="231F20"/>
          <w:spacing w:val="-4"/>
        </w:rPr>
        <w:t xml:space="preserve"> </w:t>
      </w:r>
      <w:r>
        <w:rPr>
          <w:color w:val="231F20"/>
        </w:rPr>
        <w:t>Cyprus</w:t>
      </w:r>
      <w:r>
        <w:rPr>
          <w:color w:val="231F20"/>
          <w:spacing w:val="-2"/>
        </w:rPr>
        <w:t xml:space="preserve"> </w:t>
      </w:r>
      <w:r>
        <w:rPr>
          <w:color w:val="231F20"/>
        </w:rPr>
        <w:t>in</w:t>
      </w:r>
      <w:r>
        <w:rPr>
          <w:color w:val="231F20"/>
          <w:spacing w:val="-4"/>
        </w:rPr>
        <w:t xml:space="preserve"> </w:t>
      </w:r>
      <w:r>
        <w:rPr>
          <w:color w:val="231F20"/>
        </w:rPr>
        <w:t>1974,</w:t>
      </w:r>
      <w:r>
        <w:rPr>
          <w:color w:val="231F20"/>
          <w:spacing w:val="-4"/>
        </w:rPr>
        <w:t xml:space="preserve"> </w:t>
      </w:r>
      <w:r>
        <w:rPr>
          <w:color w:val="231F20"/>
        </w:rPr>
        <w:t>approximately</w:t>
      </w:r>
      <w:r>
        <w:rPr>
          <w:color w:val="231F20"/>
          <w:spacing w:val="-8"/>
        </w:rPr>
        <w:t xml:space="preserve"> </w:t>
      </w:r>
      <w:r>
        <w:rPr>
          <w:color w:val="231F20"/>
        </w:rPr>
        <w:t>40</w:t>
      </w:r>
      <w:r>
        <w:rPr>
          <w:color w:val="231F20"/>
          <w:spacing w:val="-2"/>
        </w:rPr>
        <w:t xml:space="preserve"> </w:t>
      </w:r>
      <w:r>
        <w:rPr>
          <w:color w:val="231F20"/>
        </w:rPr>
        <w:t>per</w:t>
      </w:r>
      <w:r>
        <w:rPr>
          <w:color w:val="231F20"/>
          <w:spacing w:val="-3"/>
        </w:rPr>
        <w:t xml:space="preserve"> </w:t>
      </w:r>
      <w:r>
        <w:rPr>
          <w:color w:val="231F20"/>
        </w:rPr>
        <w:t>cent.</w:t>
      </w:r>
      <w:r>
        <w:rPr>
          <w:color w:val="231F20"/>
          <w:spacing w:val="-4"/>
        </w:rPr>
        <w:t xml:space="preserve"> </w:t>
      </w:r>
      <w:r>
        <w:rPr>
          <w:color w:val="231F20"/>
        </w:rPr>
        <w:t>of</w:t>
      </w:r>
      <w:r>
        <w:rPr>
          <w:color w:val="231F20"/>
          <w:spacing w:val="-4"/>
        </w:rPr>
        <w:t xml:space="preserve"> </w:t>
      </w:r>
      <w:r>
        <w:rPr>
          <w:color w:val="231F20"/>
        </w:rPr>
        <w:t>Cyprus</w:t>
      </w:r>
      <w:r>
        <w:rPr>
          <w:color w:val="231F20"/>
          <w:spacing w:val="-6"/>
        </w:rPr>
        <w:t xml:space="preserve"> </w:t>
      </w:r>
      <w:r>
        <w:rPr>
          <w:color w:val="231F20"/>
        </w:rPr>
        <w:t>has</w:t>
      </w:r>
      <w:r>
        <w:rPr>
          <w:color w:val="231F20"/>
          <w:spacing w:val="-3"/>
        </w:rPr>
        <w:t xml:space="preserve"> </w:t>
      </w:r>
      <w:r>
        <w:rPr>
          <w:color w:val="231F20"/>
        </w:rPr>
        <w:t>been</w:t>
      </w:r>
      <w:r>
        <w:rPr>
          <w:color w:val="231F20"/>
          <w:spacing w:val="-4"/>
        </w:rPr>
        <w:t xml:space="preserve"> </w:t>
      </w:r>
      <w:r>
        <w:rPr>
          <w:color w:val="231F20"/>
        </w:rPr>
        <w:t>occupied</w:t>
      </w:r>
      <w:r>
        <w:rPr>
          <w:color w:val="231F20"/>
          <w:spacing w:val="-3"/>
        </w:rPr>
        <w:t xml:space="preserve"> </w:t>
      </w:r>
      <w:r>
        <w:rPr>
          <w:color w:val="231F20"/>
        </w:rPr>
        <w:t>by</w:t>
      </w:r>
      <w:r>
        <w:rPr>
          <w:color w:val="231F20"/>
          <w:spacing w:val="-6"/>
        </w:rPr>
        <w:t xml:space="preserve"> </w:t>
      </w:r>
      <w:r>
        <w:rPr>
          <w:color w:val="231F20"/>
        </w:rPr>
        <w:t>Turkey. In</w:t>
      </w:r>
      <w:r>
        <w:rPr>
          <w:color w:val="231F20"/>
          <w:spacing w:val="-7"/>
        </w:rPr>
        <w:t xml:space="preserve"> </w:t>
      </w:r>
      <w:r>
        <w:rPr>
          <w:color w:val="231F20"/>
        </w:rPr>
        <w:t>1983,</w:t>
      </w:r>
      <w:r>
        <w:rPr>
          <w:color w:val="231F20"/>
          <w:spacing w:val="-10"/>
        </w:rPr>
        <w:t xml:space="preserve"> </w:t>
      </w:r>
      <w:r>
        <w:rPr>
          <w:color w:val="231F20"/>
        </w:rPr>
        <w:t>the</w:t>
      </w:r>
      <w:r>
        <w:rPr>
          <w:color w:val="231F20"/>
          <w:spacing w:val="-10"/>
        </w:rPr>
        <w:t xml:space="preserve"> </w:t>
      </w:r>
      <w:r>
        <w:rPr>
          <w:color w:val="231F20"/>
        </w:rPr>
        <w:t>Turkish</w:t>
      </w:r>
      <w:r>
        <w:rPr>
          <w:color w:val="231F20"/>
          <w:spacing w:val="-6"/>
        </w:rPr>
        <w:t xml:space="preserve"> </w:t>
      </w:r>
      <w:r>
        <w:rPr>
          <w:color w:val="231F20"/>
        </w:rPr>
        <w:t>Republic</w:t>
      </w:r>
      <w:r>
        <w:rPr>
          <w:color w:val="231F20"/>
          <w:spacing w:val="-9"/>
        </w:rPr>
        <w:t xml:space="preserve"> </w:t>
      </w:r>
      <w:r>
        <w:rPr>
          <w:color w:val="231F20"/>
        </w:rPr>
        <w:t>of</w:t>
      </w:r>
      <w:r>
        <w:rPr>
          <w:color w:val="231F20"/>
          <w:spacing w:val="-7"/>
        </w:rPr>
        <w:t xml:space="preserve"> </w:t>
      </w:r>
      <w:r>
        <w:rPr>
          <w:color w:val="231F20"/>
        </w:rPr>
        <w:t>Northern</w:t>
      </w:r>
      <w:r>
        <w:rPr>
          <w:color w:val="231F20"/>
          <w:spacing w:val="-10"/>
        </w:rPr>
        <w:t xml:space="preserve"> </w:t>
      </w:r>
      <w:r>
        <w:rPr>
          <w:color w:val="231F20"/>
        </w:rPr>
        <w:t>Cyprus</w:t>
      </w:r>
      <w:r>
        <w:rPr>
          <w:color w:val="231F20"/>
          <w:spacing w:val="-8"/>
        </w:rPr>
        <w:t xml:space="preserve"> </w:t>
      </w:r>
      <w:r>
        <w:rPr>
          <w:color w:val="231F20"/>
        </w:rPr>
        <w:t>declared</w:t>
      </w:r>
      <w:r>
        <w:rPr>
          <w:color w:val="231F20"/>
          <w:spacing w:val="-7"/>
        </w:rPr>
        <w:t xml:space="preserve"> </w:t>
      </w:r>
      <w:r>
        <w:rPr>
          <w:color w:val="231F20"/>
        </w:rPr>
        <w:t>independence</w:t>
      </w:r>
      <w:r>
        <w:rPr>
          <w:color w:val="231F20"/>
          <w:spacing w:val="-10"/>
        </w:rPr>
        <w:t xml:space="preserve"> </w:t>
      </w:r>
      <w:r>
        <w:rPr>
          <w:color w:val="231F20"/>
        </w:rPr>
        <w:t>from</w:t>
      </w:r>
      <w:r>
        <w:rPr>
          <w:color w:val="231F20"/>
          <w:spacing w:val="-7"/>
        </w:rPr>
        <w:t xml:space="preserve"> </w:t>
      </w:r>
      <w:r>
        <w:rPr>
          <w:color w:val="231F20"/>
        </w:rPr>
        <w:t>Cyprus,</w:t>
      </w:r>
      <w:r>
        <w:rPr>
          <w:color w:val="231F20"/>
          <w:spacing w:val="-6"/>
        </w:rPr>
        <w:t xml:space="preserve"> </w:t>
      </w:r>
      <w:r>
        <w:rPr>
          <w:color w:val="231F20"/>
        </w:rPr>
        <w:t>although</w:t>
      </w:r>
      <w:r>
        <w:rPr>
          <w:color w:val="231F20"/>
          <w:spacing w:val="-10"/>
        </w:rPr>
        <w:t xml:space="preserve"> </w:t>
      </w:r>
      <w:r>
        <w:rPr>
          <w:color w:val="231F20"/>
        </w:rPr>
        <w:t>Turkey</w:t>
      </w:r>
      <w:r>
        <w:rPr>
          <w:color w:val="231F20"/>
          <w:spacing w:val="-9"/>
        </w:rPr>
        <w:t xml:space="preserve"> </w:t>
      </w:r>
      <w:r>
        <w:rPr>
          <w:color w:val="231F20"/>
        </w:rPr>
        <w:t>is</w:t>
      </w:r>
      <w:r>
        <w:rPr>
          <w:color w:val="231F20"/>
          <w:spacing w:val="-6"/>
        </w:rPr>
        <w:t xml:space="preserve"> </w:t>
      </w:r>
      <w:r>
        <w:rPr>
          <w:color w:val="231F20"/>
        </w:rPr>
        <w:t>the</w:t>
      </w:r>
      <w:r>
        <w:rPr>
          <w:color w:val="231F20"/>
          <w:spacing w:val="-10"/>
        </w:rPr>
        <w:t xml:space="preserve"> </w:t>
      </w:r>
      <w:r>
        <w:rPr>
          <w:color w:val="231F20"/>
        </w:rPr>
        <w:t xml:space="preserve">only country to recognise it and the international community considers the territory to be a Turkish occupied territory of Cyprus. There can be no certainty that relations between Turkey and the Republic of Cyprus will not deteriorate, which could lead to political instability or even military conflict. One example of ongoing tensions </w:t>
      </w:r>
      <w:r>
        <w:rPr>
          <w:color w:val="070808"/>
        </w:rPr>
        <w:t>between Cyprus and Turkey is in relation to competing claims to offshore oil drilling rights off the coast of Cyprus in Mediterranean Sea.</w:t>
      </w:r>
      <w:r>
        <w:rPr>
          <w:color w:val="070808"/>
          <w:spacing w:val="-4"/>
        </w:rPr>
        <w:t xml:space="preserve"> </w:t>
      </w:r>
      <w:r>
        <w:rPr>
          <w:color w:val="070808"/>
        </w:rPr>
        <w:t>Turkish</w:t>
      </w:r>
      <w:r>
        <w:rPr>
          <w:color w:val="070808"/>
          <w:spacing w:val="-4"/>
        </w:rPr>
        <w:t xml:space="preserve"> </w:t>
      </w:r>
      <w:r>
        <w:rPr>
          <w:color w:val="070808"/>
        </w:rPr>
        <w:t>oil</w:t>
      </w:r>
      <w:r>
        <w:rPr>
          <w:color w:val="070808"/>
          <w:spacing w:val="-6"/>
        </w:rPr>
        <w:t xml:space="preserve"> </w:t>
      </w:r>
      <w:r>
        <w:rPr>
          <w:color w:val="070808"/>
        </w:rPr>
        <w:t>companies</w:t>
      </w:r>
      <w:r>
        <w:rPr>
          <w:color w:val="070808"/>
          <w:spacing w:val="-6"/>
        </w:rPr>
        <w:t xml:space="preserve"> </w:t>
      </w:r>
      <w:r>
        <w:rPr>
          <w:color w:val="070808"/>
        </w:rPr>
        <w:t>have</w:t>
      </w:r>
      <w:r>
        <w:rPr>
          <w:color w:val="070808"/>
          <w:spacing w:val="-4"/>
        </w:rPr>
        <w:t xml:space="preserve"> </w:t>
      </w:r>
      <w:r>
        <w:rPr>
          <w:color w:val="070808"/>
        </w:rPr>
        <w:t>started</w:t>
      </w:r>
      <w:r>
        <w:rPr>
          <w:color w:val="070808"/>
          <w:spacing w:val="-4"/>
        </w:rPr>
        <w:t xml:space="preserve"> </w:t>
      </w:r>
      <w:r>
        <w:rPr>
          <w:color w:val="070808"/>
        </w:rPr>
        <w:t>drilling</w:t>
      </w:r>
      <w:r>
        <w:rPr>
          <w:color w:val="070808"/>
          <w:spacing w:val="-4"/>
        </w:rPr>
        <w:t xml:space="preserve"> </w:t>
      </w:r>
      <w:r>
        <w:rPr>
          <w:color w:val="070808"/>
        </w:rPr>
        <w:t>in</w:t>
      </w:r>
      <w:r>
        <w:rPr>
          <w:color w:val="070808"/>
          <w:spacing w:val="-4"/>
        </w:rPr>
        <w:t xml:space="preserve"> </w:t>
      </w:r>
      <w:r>
        <w:rPr>
          <w:color w:val="070808"/>
        </w:rPr>
        <w:t>close</w:t>
      </w:r>
      <w:r>
        <w:rPr>
          <w:color w:val="070808"/>
          <w:spacing w:val="-4"/>
        </w:rPr>
        <w:t xml:space="preserve"> </w:t>
      </w:r>
      <w:r>
        <w:rPr>
          <w:color w:val="070808"/>
        </w:rPr>
        <w:t>proximity</w:t>
      </w:r>
      <w:r>
        <w:rPr>
          <w:color w:val="070808"/>
          <w:spacing w:val="-6"/>
        </w:rPr>
        <w:t xml:space="preserve"> </w:t>
      </w:r>
      <w:r>
        <w:rPr>
          <w:color w:val="070808"/>
        </w:rPr>
        <w:t>to</w:t>
      </w:r>
      <w:r>
        <w:rPr>
          <w:color w:val="070808"/>
          <w:spacing w:val="-3"/>
        </w:rPr>
        <w:t xml:space="preserve"> </w:t>
      </w:r>
      <w:r>
        <w:rPr>
          <w:color w:val="070808"/>
        </w:rPr>
        <w:t>the</w:t>
      </w:r>
      <w:r>
        <w:rPr>
          <w:color w:val="070808"/>
          <w:spacing w:val="-6"/>
        </w:rPr>
        <w:t xml:space="preserve"> </w:t>
      </w:r>
      <w:r>
        <w:rPr>
          <w:color w:val="070808"/>
        </w:rPr>
        <w:t>coast</w:t>
      </w:r>
      <w:r>
        <w:rPr>
          <w:color w:val="070808"/>
          <w:spacing w:val="-4"/>
        </w:rPr>
        <w:t xml:space="preserve"> </w:t>
      </w:r>
      <w:r>
        <w:rPr>
          <w:color w:val="070808"/>
        </w:rPr>
        <w:t>of</w:t>
      </w:r>
      <w:r>
        <w:rPr>
          <w:color w:val="070808"/>
          <w:spacing w:val="-4"/>
        </w:rPr>
        <w:t xml:space="preserve"> </w:t>
      </w:r>
      <w:proofErr w:type="gramStart"/>
      <w:r>
        <w:rPr>
          <w:color w:val="070808"/>
        </w:rPr>
        <w:t>northern</w:t>
      </w:r>
      <w:r>
        <w:rPr>
          <w:color w:val="070808"/>
          <w:spacing w:val="-4"/>
        </w:rPr>
        <w:t xml:space="preserve"> </w:t>
      </w:r>
      <w:r>
        <w:rPr>
          <w:color w:val="070808"/>
        </w:rPr>
        <w:t>Cyprus</w:t>
      </w:r>
      <w:proofErr w:type="gramEnd"/>
      <w:r>
        <w:rPr>
          <w:color w:val="070808"/>
          <w:spacing w:val="-3"/>
        </w:rPr>
        <w:t xml:space="preserve"> </w:t>
      </w:r>
      <w:r>
        <w:rPr>
          <w:color w:val="070808"/>
        </w:rPr>
        <w:t>and</w:t>
      </w:r>
      <w:r>
        <w:rPr>
          <w:color w:val="070808"/>
          <w:spacing w:val="-4"/>
        </w:rPr>
        <w:t xml:space="preserve"> </w:t>
      </w:r>
      <w:r>
        <w:rPr>
          <w:color w:val="070808"/>
        </w:rPr>
        <w:t>in</w:t>
      </w:r>
      <w:r>
        <w:rPr>
          <w:color w:val="070808"/>
          <w:spacing w:val="-4"/>
        </w:rPr>
        <w:t xml:space="preserve"> </w:t>
      </w:r>
      <w:r>
        <w:rPr>
          <w:color w:val="070808"/>
        </w:rPr>
        <w:t xml:space="preserve">response the Greek Cypriot government and European Union have accused Turkey of violating Cyprus’ maritime economic zone. </w:t>
      </w:r>
      <w:r>
        <w:rPr>
          <w:color w:val="231F20"/>
        </w:rPr>
        <w:t>If disputes such as this or other tensions cannot be amicably resolved between the two countries and relations</w:t>
      </w:r>
      <w:r>
        <w:rPr>
          <w:color w:val="231F20"/>
          <w:spacing w:val="-11"/>
        </w:rPr>
        <w:t xml:space="preserve"> </w:t>
      </w:r>
      <w:r>
        <w:rPr>
          <w:color w:val="231F20"/>
        </w:rPr>
        <w:t>deteriorate,</w:t>
      </w:r>
      <w:r>
        <w:rPr>
          <w:color w:val="231F20"/>
          <w:spacing w:val="-11"/>
        </w:rPr>
        <w:t xml:space="preserve"> </w:t>
      </w:r>
      <w:r>
        <w:rPr>
          <w:color w:val="231F20"/>
        </w:rPr>
        <w:t>this</w:t>
      </w:r>
      <w:r>
        <w:rPr>
          <w:color w:val="231F20"/>
          <w:spacing w:val="-8"/>
        </w:rPr>
        <w:t xml:space="preserve"> </w:t>
      </w:r>
      <w:r>
        <w:rPr>
          <w:color w:val="231F20"/>
        </w:rPr>
        <w:t>would</w:t>
      </w:r>
      <w:r>
        <w:rPr>
          <w:color w:val="231F20"/>
          <w:spacing w:val="-9"/>
        </w:rPr>
        <w:t xml:space="preserve"> </w:t>
      </w:r>
      <w:r>
        <w:rPr>
          <w:color w:val="231F20"/>
        </w:rPr>
        <w:t>be</w:t>
      </w:r>
      <w:r>
        <w:rPr>
          <w:color w:val="231F20"/>
          <w:spacing w:val="-11"/>
        </w:rPr>
        <w:t xml:space="preserve"> </w:t>
      </w:r>
      <w:r>
        <w:rPr>
          <w:color w:val="231F20"/>
        </w:rPr>
        <w:t>likely</w:t>
      </w:r>
      <w:r>
        <w:rPr>
          <w:color w:val="231F20"/>
          <w:spacing w:val="-11"/>
        </w:rPr>
        <w:t xml:space="preserve"> </w:t>
      </w:r>
      <w:r>
        <w:rPr>
          <w:color w:val="231F20"/>
        </w:rPr>
        <w:t>to</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material</w:t>
      </w:r>
      <w:r>
        <w:rPr>
          <w:color w:val="231F20"/>
          <w:spacing w:val="-9"/>
        </w:rPr>
        <w:t xml:space="preserve"> </w:t>
      </w:r>
      <w:r>
        <w:rPr>
          <w:color w:val="231F20"/>
        </w:rPr>
        <w:t>adverse</w:t>
      </w:r>
      <w:r>
        <w:rPr>
          <w:color w:val="231F20"/>
          <w:spacing w:val="-11"/>
        </w:rPr>
        <w:t xml:space="preserve"> </w:t>
      </w:r>
      <w:r>
        <w:rPr>
          <w:color w:val="231F20"/>
        </w:rPr>
        <w:t>impact</w:t>
      </w:r>
      <w:r>
        <w:rPr>
          <w:color w:val="231F20"/>
          <w:spacing w:val="-12"/>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financial</w:t>
      </w:r>
      <w:r>
        <w:rPr>
          <w:color w:val="231F20"/>
          <w:spacing w:val="-13"/>
        </w:rPr>
        <w:t xml:space="preserve"> </w:t>
      </w:r>
      <w:r>
        <w:rPr>
          <w:color w:val="231F20"/>
        </w:rPr>
        <w:t>condition</w:t>
      </w:r>
      <w:r>
        <w:rPr>
          <w:color w:val="231F20"/>
          <w:spacing w:val="-9"/>
        </w:rPr>
        <w:t xml:space="preserve"> </w:t>
      </w:r>
      <w:r>
        <w:rPr>
          <w:color w:val="231F20"/>
        </w:rPr>
        <w:t>and</w:t>
      </w:r>
      <w:r>
        <w:rPr>
          <w:color w:val="231F20"/>
          <w:spacing w:val="-11"/>
        </w:rPr>
        <w:t xml:space="preserve"> </w:t>
      </w:r>
      <w:r>
        <w:rPr>
          <w:color w:val="231F20"/>
        </w:rPr>
        <w:t>prospects of</w:t>
      </w:r>
      <w:r>
        <w:rPr>
          <w:color w:val="231F20"/>
          <w:spacing w:val="-3"/>
        </w:rPr>
        <w:t xml:space="preserve"> </w:t>
      </w:r>
      <w:r>
        <w:rPr>
          <w:color w:val="231F20"/>
        </w:rPr>
        <w:t>the</w:t>
      </w:r>
      <w:r>
        <w:rPr>
          <w:color w:val="231F20"/>
          <w:spacing w:val="-1"/>
        </w:rPr>
        <w:t xml:space="preserve"> </w:t>
      </w:r>
      <w:r>
        <w:rPr>
          <w:color w:val="231F20"/>
        </w:rPr>
        <w:lastRenderedPageBreak/>
        <w:t>Group</w:t>
      </w:r>
      <w:r>
        <w:rPr>
          <w:color w:val="231F20"/>
          <w:spacing w:val="-4"/>
        </w:rPr>
        <w:t xml:space="preserve"> </w:t>
      </w:r>
      <w:r>
        <w:rPr>
          <w:color w:val="231F20"/>
        </w:rPr>
        <w:t>as</w:t>
      </w:r>
      <w:r>
        <w:rPr>
          <w:color w:val="231F20"/>
          <w:spacing w:val="-3"/>
        </w:rPr>
        <w:t xml:space="preserve"> </w:t>
      </w:r>
      <w:r>
        <w:rPr>
          <w:color w:val="231F20"/>
        </w:rPr>
        <w:t>it</w:t>
      </w:r>
      <w:r>
        <w:rPr>
          <w:color w:val="231F20"/>
          <w:spacing w:val="-4"/>
        </w:rPr>
        <w:t xml:space="preserve"> </w:t>
      </w:r>
      <w:r>
        <w:rPr>
          <w:color w:val="231F20"/>
        </w:rPr>
        <w:t>would</w:t>
      </w:r>
      <w:r>
        <w:rPr>
          <w:color w:val="231F20"/>
          <w:spacing w:val="-4"/>
        </w:rPr>
        <w:t xml:space="preserve"> </w:t>
      </w:r>
      <w:r>
        <w:rPr>
          <w:color w:val="231F20"/>
        </w:rPr>
        <w:t>cause</w:t>
      </w:r>
      <w:r>
        <w:rPr>
          <w:color w:val="231F20"/>
          <w:spacing w:val="-4"/>
        </w:rPr>
        <w:t xml:space="preserve"> </w:t>
      </w:r>
      <w:r>
        <w:rPr>
          <w:color w:val="231F20"/>
        </w:rPr>
        <w:t>a</w:t>
      </w:r>
      <w:r>
        <w:rPr>
          <w:color w:val="231F20"/>
          <w:spacing w:val="-4"/>
        </w:rPr>
        <w:t xml:space="preserve"> </w:t>
      </w:r>
      <w:r>
        <w:rPr>
          <w:color w:val="231F20"/>
        </w:rPr>
        <w:t>number</w:t>
      </w:r>
      <w:r>
        <w:rPr>
          <w:color w:val="231F20"/>
          <w:spacing w:val="-5"/>
        </w:rPr>
        <w:t xml:space="preserve"> </w:t>
      </w:r>
      <w:r>
        <w:rPr>
          <w:color w:val="231F20"/>
        </w:rPr>
        <w:t>of</w:t>
      </w:r>
      <w:r>
        <w:rPr>
          <w:color w:val="231F20"/>
          <w:spacing w:val="-4"/>
        </w:rPr>
        <w:t xml:space="preserve"> </w:t>
      </w:r>
      <w:r>
        <w:rPr>
          <w:color w:val="231F20"/>
        </w:rPr>
        <w:t>unforeseen</w:t>
      </w:r>
      <w:r>
        <w:rPr>
          <w:color w:val="231F20"/>
          <w:spacing w:val="-4"/>
        </w:rPr>
        <w:t xml:space="preserve"> </w:t>
      </w:r>
      <w:r>
        <w:rPr>
          <w:color w:val="231F20"/>
        </w:rPr>
        <w:t>disruptions</w:t>
      </w:r>
      <w:r>
        <w:rPr>
          <w:color w:val="231F20"/>
          <w:spacing w:val="-1"/>
        </w:rPr>
        <w:t xml:space="preserve"> </w:t>
      </w:r>
      <w:r>
        <w:rPr>
          <w:color w:val="231F20"/>
        </w:rPr>
        <w:t>which</w:t>
      </w:r>
      <w:r>
        <w:rPr>
          <w:color w:val="231F20"/>
          <w:spacing w:val="-4"/>
        </w:rPr>
        <w:t xml:space="preserve"> </w:t>
      </w:r>
      <w:r>
        <w:rPr>
          <w:color w:val="231F20"/>
        </w:rPr>
        <w:t>may</w:t>
      </w:r>
      <w:r>
        <w:rPr>
          <w:color w:val="231F20"/>
          <w:spacing w:val="-3"/>
        </w:rPr>
        <w:t xml:space="preserve"> </w:t>
      </w:r>
      <w:r>
        <w:rPr>
          <w:color w:val="231F20"/>
        </w:rPr>
        <w:t>affect</w:t>
      </w:r>
      <w:r>
        <w:rPr>
          <w:color w:val="231F20"/>
          <w:spacing w:val="-2"/>
        </w:rPr>
        <w:t xml:space="preserve"> </w:t>
      </w:r>
      <w:r>
        <w:rPr>
          <w:color w:val="231F20"/>
        </w:rPr>
        <w:t>the</w:t>
      </w:r>
      <w:r>
        <w:rPr>
          <w:color w:val="231F20"/>
          <w:spacing w:val="-4"/>
        </w:rPr>
        <w:t xml:space="preserve"> </w:t>
      </w:r>
      <w:r>
        <w:rPr>
          <w:color w:val="231F20"/>
        </w:rPr>
        <w:t>areas</w:t>
      </w:r>
      <w:r>
        <w:rPr>
          <w:color w:val="231F20"/>
          <w:spacing w:val="-4"/>
        </w:rPr>
        <w:t xml:space="preserve"> </w:t>
      </w:r>
      <w:r>
        <w:rPr>
          <w:color w:val="231F20"/>
        </w:rPr>
        <w:t>of</w:t>
      </w:r>
      <w:r>
        <w:rPr>
          <w:color w:val="231F20"/>
          <w:spacing w:val="-4"/>
        </w:rPr>
        <w:t xml:space="preserve"> </w:t>
      </w:r>
      <w:r>
        <w:rPr>
          <w:color w:val="231F20"/>
        </w:rPr>
        <w:t>northern</w:t>
      </w:r>
      <w:r>
        <w:rPr>
          <w:color w:val="231F20"/>
          <w:spacing w:val="-4"/>
        </w:rPr>
        <w:t xml:space="preserve"> </w:t>
      </w:r>
      <w:r>
        <w:rPr>
          <w:color w:val="231F20"/>
        </w:rPr>
        <w:t>Cyprus where the Group is operating. However, save for the tensions in relation to oil rights, the current atmosphere is relatively benign, with border gates open since 2003 and meetings between various stakeholders</w:t>
      </w:r>
      <w:r>
        <w:rPr>
          <w:color w:val="231F20"/>
          <w:spacing w:val="-24"/>
        </w:rPr>
        <w:t xml:space="preserve"> </w:t>
      </w:r>
      <w:r>
        <w:rPr>
          <w:color w:val="231F20"/>
        </w:rPr>
        <w:t>ongoing.</w:t>
      </w:r>
    </w:p>
    <w:p w14:paraId="5EC597C9" w14:textId="77777777" w:rsidR="00783288" w:rsidRDefault="00783288">
      <w:pPr>
        <w:pStyle w:val="BodyText"/>
        <w:kinsoku w:val="0"/>
        <w:overflowPunct w:val="0"/>
        <w:spacing w:before="8"/>
        <w:rPr>
          <w:sz w:val="17"/>
          <w:szCs w:val="17"/>
        </w:rPr>
      </w:pPr>
    </w:p>
    <w:p w14:paraId="5D5CEC96" w14:textId="77777777" w:rsidR="00783288" w:rsidRDefault="00E31420">
      <w:pPr>
        <w:pStyle w:val="Heading2"/>
        <w:kinsoku w:val="0"/>
        <w:overflowPunct w:val="0"/>
        <w:rPr>
          <w:color w:val="040505"/>
        </w:rPr>
      </w:pPr>
      <w:r>
        <w:rPr>
          <w:color w:val="040505"/>
        </w:rPr>
        <w:t>Restrictions on access to necessary infrastructure services may adversely affect the Group’s operations</w:t>
      </w:r>
    </w:p>
    <w:p w14:paraId="50ED144D" w14:textId="77777777" w:rsidR="00783288" w:rsidRDefault="00783288">
      <w:pPr>
        <w:pStyle w:val="BodyText"/>
        <w:kinsoku w:val="0"/>
        <w:overflowPunct w:val="0"/>
        <w:spacing w:before="1"/>
        <w:rPr>
          <w:b/>
          <w:bCs/>
          <w:i/>
          <w:iCs/>
        </w:rPr>
      </w:pPr>
    </w:p>
    <w:p w14:paraId="3230B7B3" w14:textId="77777777" w:rsidR="00783288" w:rsidRDefault="00E31420">
      <w:pPr>
        <w:pStyle w:val="BodyText"/>
        <w:kinsoku w:val="0"/>
        <w:overflowPunct w:val="0"/>
        <w:ind w:left="300" w:right="1190"/>
        <w:jc w:val="both"/>
        <w:rPr>
          <w:color w:val="040505"/>
        </w:rPr>
      </w:pPr>
      <w:r>
        <w:rPr>
          <w:color w:val="040505"/>
        </w:rPr>
        <w:t>Although Cyprus is a modern country with generally good infrastructure such as roads, ports and mobile phone coverage, restrictions on the Group’s ability to access necessary infrastructure services, including transportation and utilities, may adversely affect the Group’s operations. Inadequate or restricted access to the critical infrastructure elements required for exploration and drilling activity could have a negative effect on the Group’s financial performance and significant additional funding may be required to develop such infrastructure.</w:t>
      </w:r>
    </w:p>
    <w:p w14:paraId="12040CD2" w14:textId="77777777" w:rsidR="00783288" w:rsidRDefault="00783288">
      <w:pPr>
        <w:pStyle w:val="BodyText"/>
        <w:kinsoku w:val="0"/>
        <w:overflowPunct w:val="0"/>
        <w:spacing w:before="1"/>
      </w:pPr>
    </w:p>
    <w:p w14:paraId="48B005C6" w14:textId="29B28650" w:rsidR="00E237C3" w:rsidRDefault="00E31420" w:rsidP="0070276A">
      <w:pPr>
        <w:pStyle w:val="BodyText"/>
        <w:kinsoku w:val="0"/>
        <w:overflowPunct w:val="0"/>
        <w:ind w:left="284" w:right="1189"/>
        <w:jc w:val="both"/>
        <w:rPr>
          <w:color w:val="030404"/>
        </w:rPr>
      </w:pPr>
      <w:r>
        <w:rPr>
          <w:color w:val="040505"/>
        </w:rPr>
        <w:t>Disruptions to or restrictions on access to essential utility services, such as water and electricity, could halt the Group’s</w:t>
      </w:r>
      <w:r>
        <w:rPr>
          <w:color w:val="040505"/>
          <w:spacing w:val="-4"/>
        </w:rPr>
        <w:t xml:space="preserve"> </w:t>
      </w:r>
      <w:r>
        <w:rPr>
          <w:color w:val="040505"/>
        </w:rPr>
        <w:t>operations</w:t>
      </w:r>
      <w:r>
        <w:rPr>
          <w:color w:val="040505"/>
          <w:spacing w:val="-1"/>
        </w:rPr>
        <w:t xml:space="preserve"> </w:t>
      </w:r>
      <w:r>
        <w:rPr>
          <w:color w:val="040505"/>
        </w:rPr>
        <w:t>for</w:t>
      </w:r>
      <w:r>
        <w:rPr>
          <w:color w:val="040505"/>
          <w:spacing w:val="-3"/>
        </w:rPr>
        <w:t xml:space="preserve"> </w:t>
      </w:r>
      <w:r>
        <w:rPr>
          <w:color w:val="040505"/>
        </w:rPr>
        <w:t>the</w:t>
      </w:r>
      <w:r>
        <w:rPr>
          <w:color w:val="040505"/>
          <w:spacing w:val="-4"/>
        </w:rPr>
        <w:t xml:space="preserve"> </w:t>
      </w:r>
      <w:r>
        <w:rPr>
          <w:color w:val="040505"/>
        </w:rPr>
        <w:t>duration</w:t>
      </w:r>
      <w:r>
        <w:rPr>
          <w:color w:val="040505"/>
          <w:spacing w:val="-5"/>
        </w:rPr>
        <w:t xml:space="preserve"> </w:t>
      </w:r>
      <w:r>
        <w:rPr>
          <w:color w:val="040505"/>
        </w:rPr>
        <w:t>of</w:t>
      </w:r>
      <w:r>
        <w:rPr>
          <w:color w:val="040505"/>
          <w:spacing w:val="-4"/>
        </w:rPr>
        <w:t xml:space="preserve"> </w:t>
      </w:r>
      <w:r>
        <w:rPr>
          <w:color w:val="040505"/>
        </w:rPr>
        <w:t>the</w:t>
      </w:r>
      <w:r>
        <w:rPr>
          <w:color w:val="040505"/>
          <w:spacing w:val="-4"/>
        </w:rPr>
        <w:t xml:space="preserve"> </w:t>
      </w:r>
      <w:r>
        <w:rPr>
          <w:color w:val="040505"/>
        </w:rPr>
        <w:t>disruption</w:t>
      </w:r>
      <w:r>
        <w:rPr>
          <w:color w:val="040505"/>
          <w:spacing w:val="-5"/>
        </w:rPr>
        <w:t xml:space="preserve"> </w:t>
      </w:r>
      <w:r>
        <w:rPr>
          <w:color w:val="040505"/>
        </w:rPr>
        <w:t>or</w:t>
      </w:r>
      <w:r>
        <w:rPr>
          <w:color w:val="040505"/>
          <w:spacing w:val="-4"/>
        </w:rPr>
        <w:t xml:space="preserve"> </w:t>
      </w:r>
      <w:r>
        <w:rPr>
          <w:color w:val="040505"/>
        </w:rPr>
        <w:t>restriction</w:t>
      </w:r>
      <w:r>
        <w:rPr>
          <w:color w:val="040505"/>
          <w:spacing w:val="-1"/>
        </w:rPr>
        <w:t xml:space="preserve"> </w:t>
      </w:r>
      <w:r>
        <w:rPr>
          <w:color w:val="040505"/>
        </w:rPr>
        <w:t>and,</w:t>
      </w:r>
      <w:r>
        <w:rPr>
          <w:color w:val="040505"/>
          <w:spacing w:val="-5"/>
        </w:rPr>
        <w:t xml:space="preserve"> </w:t>
      </w:r>
      <w:r>
        <w:rPr>
          <w:color w:val="040505"/>
        </w:rPr>
        <w:t>when</w:t>
      </w:r>
      <w:r>
        <w:rPr>
          <w:color w:val="040505"/>
          <w:spacing w:val="-1"/>
        </w:rPr>
        <w:t xml:space="preserve"> </w:t>
      </w:r>
      <w:r>
        <w:rPr>
          <w:color w:val="040505"/>
        </w:rPr>
        <w:t>unexpected,</w:t>
      </w:r>
      <w:r>
        <w:rPr>
          <w:color w:val="040505"/>
          <w:spacing w:val="-7"/>
        </w:rPr>
        <w:t xml:space="preserve"> </w:t>
      </w:r>
      <w:r>
        <w:rPr>
          <w:color w:val="040505"/>
        </w:rPr>
        <w:t>may</w:t>
      </w:r>
      <w:r>
        <w:rPr>
          <w:color w:val="040505"/>
          <w:spacing w:val="-3"/>
        </w:rPr>
        <w:t xml:space="preserve"> </w:t>
      </w:r>
      <w:r>
        <w:rPr>
          <w:color w:val="040505"/>
        </w:rPr>
        <w:t>cause</w:t>
      </w:r>
      <w:r>
        <w:rPr>
          <w:color w:val="040505"/>
          <w:spacing w:val="-4"/>
        </w:rPr>
        <w:t xml:space="preserve"> </w:t>
      </w:r>
      <w:r>
        <w:rPr>
          <w:color w:val="040505"/>
        </w:rPr>
        <w:t>loss</w:t>
      </w:r>
      <w:r>
        <w:rPr>
          <w:color w:val="040505"/>
          <w:spacing w:val="-4"/>
        </w:rPr>
        <w:t xml:space="preserve"> </w:t>
      </w:r>
      <w:r>
        <w:rPr>
          <w:color w:val="040505"/>
        </w:rPr>
        <w:t>of</w:t>
      </w:r>
      <w:r>
        <w:rPr>
          <w:color w:val="040505"/>
          <w:spacing w:val="-4"/>
        </w:rPr>
        <w:t xml:space="preserve"> </w:t>
      </w:r>
      <w:r>
        <w:rPr>
          <w:color w:val="040505"/>
        </w:rPr>
        <w:t>life</w:t>
      </w:r>
      <w:r>
        <w:rPr>
          <w:color w:val="040505"/>
          <w:spacing w:val="-4"/>
        </w:rPr>
        <w:t xml:space="preserve"> </w:t>
      </w:r>
      <w:r>
        <w:rPr>
          <w:color w:val="040505"/>
        </w:rPr>
        <w:t xml:space="preserve">or damage to drilling or mining equipment or facilities, which may in turn affect the Group’s ability to recommence operations in a timely manner. Adequate provision of transportation services is critical to distributing products </w:t>
      </w:r>
      <w:r>
        <w:rPr>
          <w:color w:val="040505"/>
          <w:spacing w:val="-2"/>
        </w:rPr>
        <w:t xml:space="preserve">and </w:t>
      </w:r>
      <w:r>
        <w:rPr>
          <w:color w:val="040505"/>
        </w:rPr>
        <w:t>disruptions</w:t>
      </w:r>
      <w:r>
        <w:rPr>
          <w:color w:val="040505"/>
          <w:spacing w:val="-6"/>
        </w:rPr>
        <w:t xml:space="preserve"> </w:t>
      </w:r>
      <w:r>
        <w:rPr>
          <w:color w:val="040505"/>
        </w:rPr>
        <w:t>to</w:t>
      </w:r>
      <w:r>
        <w:rPr>
          <w:color w:val="040505"/>
          <w:spacing w:val="-6"/>
        </w:rPr>
        <w:t xml:space="preserve"> </w:t>
      </w:r>
      <w:r>
        <w:rPr>
          <w:color w:val="040505"/>
        </w:rPr>
        <w:t>or</w:t>
      </w:r>
      <w:r>
        <w:rPr>
          <w:color w:val="040505"/>
          <w:spacing w:val="-7"/>
        </w:rPr>
        <w:t xml:space="preserve"> </w:t>
      </w:r>
      <w:r>
        <w:rPr>
          <w:color w:val="040505"/>
        </w:rPr>
        <w:t>restrictions</w:t>
      </w:r>
      <w:r>
        <w:rPr>
          <w:color w:val="040505"/>
          <w:spacing w:val="-6"/>
        </w:rPr>
        <w:t xml:space="preserve"> </w:t>
      </w:r>
      <w:r>
        <w:rPr>
          <w:color w:val="040505"/>
        </w:rPr>
        <w:t>on</w:t>
      </w:r>
      <w:r>
        <w:rPr>
          <w:color w:val="040505"/>
          <w:spacing w:val="-9"/>
        </w:rPr>
        <w:t xml:space="preserve"> </w:t>
      </w:r>
      <w:r>
        <w:rPr>
          <w:color w:val="040505"/>
        </w:rPr>
        <w:t>such</w:t>
      </w:r>
      <w:r>
        <w:rPr>
          <w:color w:val="040505"/>
          <w:spacing w:val="-9"/>
        </w:rPr>
        <w:t xml:space="preserve"> </w:t>
      </w:r>
      <w:r>
        <w:rPr>
          <w:color w:val="040505"/>
        </w:rPr>
        <w:t>services</w:t>
      </w:r>
      <w:r>
        <w:rPr>
          <w:color w:val="040505"/>
          <w:spacing w:val="-5"/>
        </w:rPr>
        <w:t xml:space="preserve"> </w:t>
      </w:r>
      <w:r>
        <w:rPr>
          <w:color w:val="040505"/>
        </w:rPr>
        <w:t>may</w:t>
      </w:r>
      <w:r>
        <w:rPr>
          <w:color w:val="040505"/>
          <w:spacing w:val="-8"/>
        </w:rPr>
        <w:t xml:space="preserve"> </w:t>
      </w:r>
      <w:r>
        <w:rPr>
          <w:color w:val="040505"/>
        </w:rPr>
        <w:t>affect</w:t>
      </w:r>
      <w:r>
        <w:rPr>
          <w:color w:val="040505"/>
          <w:spacing w:val="-6"/>
        </w:rPr>
        <w:t xml:space="preserve"> </w:t>
      </w:r>
      <w:r>
        <w:rPr>
          <w:color w:val="040505"/>
        </w:rPr>
        <w:t>the</w:t>
      </w:r>
      <w:r>
        <w:rPr>
          <w:color w:val="040505"/>
          <w:spacing w:val="-8"/>
        </w:rPr>
        <w:t xml:space="preserve"> </w:t>
      </w:r>
      <w:r>
        <w:rPr>
          <w:color w:val="040505"/>
        </w:rPr>
        <w:t>Group’s</w:t>
      </w:r>
      <w:r>
        <w:rPr>
          <w:color w:val="040505"/>
          <w:spacing w:val="-6"/>
        </w:rPr>
        <w:t xml:space="preserve"> </w:t>
      </w:r>
      <w:r>
        <w:rPr>
          <w:color w:val="040505"/>
        </w:rPr>
        <w:t>operations.</w:t>
      </w:r>
      <w:r>
        <w:rPr>
          <w:color w:val="040505"/>
          <w:spacing w:val="-6"/>
        </w:rPr>
        <w:t xml:space="preserve"> </w:t>
      </w:r>
      <w:r>
        <w:rPr>
          <w:color w:val="040505"/>
        </w:rPr>
        <w:t>The</w:t>
      </w:r>
      <w:r>
        <w:rPr>
          <w:color w:val="040505"/>
          <w:spacing w:val="-6"/>
        </w:rPr>
        <w:t xml:space="preserve"> </w:t>
      </w:r>
      <w:r>
        <w:rPr>
          <w:color w:val="040505"/>
        </w:rPr>
        <w:t>Group</w:t>
      </w:r>
      <w:r>
        <w:rPr>
          <w:color w:val="040505"/>
          <w:spacing w:val="-6"/>
        </w:rPr>
        <w:t xml:space="preserve"> </w:t>
      </w:r>
      <w:r>
        <w:rPr>
          <w:color w:val="040505"/>
        </w:rPr>
        <w:t>may</w:t>
      </w:r>
      <w:r>
        <w:rPr>
          <w:color w:val="040505"/>
          <w:spacing w:val="-7"/>
        </w:rPr>
        <w:t xml:space="preserve"> </w:t>
      </w:r>
      <w:r>
        <w:rPr>
          <w:color w:val="040505"/>
        </w:rPr>
        <w:t>be</w:t>
      </w:r>
      <w:r>
        <w:rPr>
          <w:color w:val="040505"/>
          <w:spacing w:val="-6"/>
        </w:rPr>
        <w:t xml:space="preserve"> </w:t>
      </w:r>
      <w:r>
        <w:rPr>
          <w:color w:val="040505"/>
        </w:rPr>
        <w:t>dependent</w:t>
      </w:r>
      <w:r>
        <w:rPr>
          <w:color w:val="040505"/>
          <w:spacing w:val="-6"/>
        </w:rPr>
        <w:t xml:space="preserve"> </w:t>
      </w:r>
      <w:r>
        <w:rPr>
          <w:color w:val="040505"/>
        </w:rPr>
        <w:t xml:space="preserve">on third party providers </w:t>
      </w:r>
      <w:r>
        <w:rPr>
          <w:color w:val="030404"/>
        </w:rPr>
        <w:t xml:space="preserve">of utility and transportation services </w:t>
      </w:r>
      <w:r>
        <w:rPr>
          <w:color w:val="3D3C3E"/>
        </w:rPr>
        <w:t xml:space="preserve">which may be subject to failures, </w:t>
      </w:r>
      <w:proofErr w:type="gramStart"/>
      <w:r>
        <w:rPr>
          <w:color w:val="3D3C3E"/>
        </w:rPr>
        <w:t>maintenance</w:t>
      </w:r>
      <w:proofErr w:type="gramEnd"/>
      <w:r>
        <w:rPr>
          <w:color w:val="3D3C3E"/>
        </w:rPr>
        <w:t xml:space="preserve"> or other </w:t>
      </w:r>
      <w:r>
        <w:rPr>
          <w:color w:val="030404"/>
        </w:rPr>
        <w:t>issues beyond the Group’s</w:t>
      </w:r>
      <w:r>
        <w:rPr>
          <w:color w:val="030404"/>
          <w:spacing w:val="-7"/>
        </w:rPr>
        <w:t xml:space="preserve"> </w:t>
      </w:r>
      <w:r>
        <w:rPr>
          <w:color w:val="030404"/>
        </w:rPr>
        <w:t>control</w:t>
      </w:r>
      <w:r w:rsidR="0070276A">
        <w:rPr>
          <w:color w:val="030404"/>
        </w:rPr>
        <w:t>.</w:t>
      </w:r>
    </w:p>
    <w:p w14:paraId="40D76FC6" w14:textId="77777777" w:rsidR="00FA09E8" w:rsidRDefault="00FA09E8" w:rsidP="0070276A">
      <w:pPr>
        <w:pStyle w:val="BodyText"/>
        <w:kinsoku w:val="0"/>
        <w:overflowPunct w:val="0"/>
        <w:ind w:left="284" w:right="1189"/>
        <w:jc w:val="both"/>
        <w:rPr>
          <w:color w:val="030404"/>
        </w:rPr>
      </w:pPr>
    </w:p>
    <w:p w14:paraId="3622D774" w14:textId="3A195EFE" w:rsidR="0070276A" w:rsidRDefault="00E237C3" w:rsidP="00FE358B">
      <w:pPr>
        <w:pStyle w:val="BodyText"/>
        <w:kinsoku w:val="0"/>
        <w:overflowPunct w:val="0"/>
        <w:ind w:left="284" w:right="1189"/>
        <w:jc w:val="both"/>
        <w:rPr>
          <w:color w:val="030404"/>
        </w:rPr>
      </w:pPr>
      <w:r>
        <w:rPr>
          <w:color w:val="030404"/>
        </w:rPr>
        <w:t>In Labrador, the Adeline Copper Project is remote and must be accessed by helicopter and float plane air support from the community of Happy Valley – Goose Bay</w:t>
      </w:r>
      <w:r w:rsidR="00153CEC">
        <w:rPr>
          <w:color w:val="030404"/>
        </w:rPr>
        <w:t>, which is</w:t>
      </w:r>
      <w:r>
        <w:rPr>
          <w:color w:val="030404"/>
        </w:rPr>
        <w:t xml:space="preserve"> located approximately 145km to the southeast of the Adeline Copper Project. Helicopter and small-boat supported ground traversing will be the most effective means for covering much of the Adeline Copper Project area</w:t>
      </w:r>
      <w:r w:rsidR="00153CEC">
        <w:rPr>
          <w:color w:val="030404"/>
        </w:rPr>
        <w:t xml:space="preserve"> and the Group may be dependent on third party providers of transportation services which may be subject to failures, maintenance or other issues beyond the Group’s control. </w:t>
      </w:r>
    </w:p>
    <w:p w14:paraId="7A5E125B" w14:textId="77777777" w:rsidR="003749FA" w:rsidRDefault="003749FA" w:rsidP="00FE358B">
      <w:pPr>
        <w:pStyle w:val="BodyText"/>
        <w:kinsoku w:val="0"/>
        <w:overflowPunct w:val="0"/>
        <w:ind w:left="284" w:right="1189"/>
        <w:jc w:val="both"/>
        <w:rPr>
          <w:color w:val="030404"/>
        </w:rPr>
      </w:pPr>
    </w:p>
    <w:p w14:paraId="0CC459BE" w14:textId="77777777" w:rsidR="00783288" w:rsidRDefault="00E31420">
      <w:pPr>
        <w:pStyle w:val="Heading1"/>
        <w:kinsoku w:val="0"/>
        <w:overflowPunct w:val="0"/>
        <w:spacing w:before="74"/>
        <w:jc w:val="both"/>
        <w:rPr>
          <w:color w:val="070808"/>
        </w:rPr>
      </w:pPr>
      <w:r>
        <w:rPr>
          <w:color w:val="070808"/>
        </w:rPr>
        <w:t>RISKS RELATING TO ACQUISITIONS OF MINING ASSETS</w:t>
      </w:r>
    </w:p>
    <w:p w14:paraId="63B378BB" w14:textId="77777777" w:rsidR="00783288" w:rsidRDefault="00783288">
      <w:pPr>
        <w:pStyle w:val="BodyText"/>
        <w:kinsoku w:val="0"/>
        <w:overflowPunct w:val="0"/>
        <w:rPr>
          <w:b/>
          <w:bCs/>
          <w:sz w:val="21"/>
          <w:szCs w:val="21"/>
        </w:rPr>
      </w:pPr>
    </w:p>
    <w:p w14:paraId="5CB2552A" w14:textId="099CF613" w:rsidR="00783288" w:rsidRDefault="00E31420" w:rsidP="00B325E0">
      <w:pPr>
        <w:pStyle w:val="Heading2"/>
        <w:kinsoku w:val="0"/>
        <w:overflowPunct w:val="0"/>
        <w:ind w:right="1188"/>
      </w:pPr>
      <w:r>
        <w:rPr>
          <w:color w:val="0F1010"/>
        </w:rPr>
        <w:t>Due dilig</w:t>
      </w:r>
      <w:r>
        <w:rPr>
          <w:color w:val="282829"/>
        </w:rPr>
        <w:t>e</w:t>
      </w:r>
      <w:r>
        <w:rPr>
          <w:color w:val="0F1010"/>
        </w:rPr>
        <w:t>nc</w:t>
      </w:r>
      <w:r>
        <w:rPr>
          <w:color w:val="282829"/>
        </w:rPr>
        <w:t xml:space="preserve">e conducted </w:t>
      </w:r>
      <w:r>
        <w:rPr>
          <w:color w:val="0F1010"/>
        </w:rPr>
        <w:t>by th</w:t>
      </w:r>
      <w:r>
        <w:rPr>
          <w:color w:val="282829"/>
        </w:rPr>
        <w:t xml:space="preserve">e </w:t>
      </w:r>
      <w:r>
        <w:rPr>
          <w:color w:val="0F1010"/>
        </w:rPr>
        <w:t xml:space="preserve">Company in connection with the </w:t>
      </w:r>
      <w:r w:rsidR="00666ABC">
        <w:rPr>
          <w:color w:val="0F1010"/>
        </w:rPr>
        <w:t>Labrador Acquisition</w:t>
      </w:r>
      <w:r>
        <w:rPr>
          <w:color w:val="0F1010"/>
        </w:rPr>
        <w:t xml:space="preserve"> or any further acquisition may not revea</w:t>
      </w:r>
      <w:r>
        <w:rPr>
          <w:color w:val="020303"/>
        </w:rPr>
        <w:t xml:space="preserve">l </w:t>
      </w:r>
      <w:r>
        <w:rPr>
          <w:color w:val="0F1010"/>
        </w:rPr>
        <w:t>all relevant con</w:t>
      </w:r>
      <w:r>
        <w:rPr>
          <w:color w:val="282829"/>
        </w:rPr>
        <w:t>s</w:t>
      </w:r>
      <w:r>
        <w:rPr>
          <w:color w:val="0F1010"/>
        </w:rPr>
        <w:t>id</w:t>
      </w:r>
      <w:r>
        <w:rPr>
          <w:color w:val="282829"/>
        </w:rPr>
        <w:t>e</w:t>
      </w:r>
      <w:r>
        <w:rPr>
          <w:color w:val="0F1010"/>
        </w:rPr>
        <w:t>rati</w:t>
      </w:r>
      <w:r>
        <w:rPr>
          <w:color w:val="282829"/>
        </w:rPr>
        <w:t>o</w:t>
      </w:r>
      <w:r>
        <w:rPr>
          <w:color w:val="0F1010"/>
        </w:rPr>
        <w:t xml:space="preserve">ns or </w:t>
      </w:r>
      <w:r>
        <w:rPr>
          <w:color w:val="020303"/>
        </w:rPr>
        <w:t>l</w:t>
      </w:r>
      <w:r>
        <w:rPr>
          <w:color w:val="0F1010"/>
        </w:rPr>
        <w:t>iabilitie</w:t>
      </w:r>
      <w:r>
        <w:rPr>
          <w:color w:val="282829"/>
        </w:rPr>
        <w:t>s</w:t>
      </w:r>
    </w:p>
    <w:p w14:paraId="4C19CF88" w14:textId="0197983C" w:rsidR="00F15469" w:rsidRDefault="00F15469">
      <w:pPr>
        <w:pStyle w:val="BodyText"/>
        <w:kinsoku w:val="0"/>
        <w:overflowPunct w:val="0"/>
        <w:ind w:left="300" w:right="1191"/>
        <w:jc w:val="both"/>
        <w:rPr>
          <w:color w:val="020303"/>
        </w:rPr>
      </w:pPr>
    </w:p>
    <w:p w14:paraId="22B3C790" w14:textId="61DF3C9A" w:rsidR="00F15469" w:rsidRDefault="00F15469">
      <w:pPr>
        <w:pStyle w:val="BodyText"/>
        <w:kinsoku w:val="0"/>
        <w:overflowPunct w:val="0"/>
        <w:ind w:left="300" w:right="1191"/>
        <w:jc w:val="both"/>
        <w:rPr>
          <w:color w:val="020303"/>
        </w:rPr>
      </w:pPr>
      <w:r>
        <w:rPr>
          <w:color w:val="020303"/>
        </w:rPr>
        <w:t>In connection with the Labrador Acquisition, the Company has conducted such due diligence as it deems practicable and appr</w:t>
      </w:r>
      <w:r w:rsidR="00871975">
        <w:rPr>
          <w:color w:val="020303"/>
        </w:rPr>
        <w:t xml:space="preserve">opriate in relation to NLCO. </w:t>
      </w:r>
      <w:r w:rsidR="00266D4F">
        <w:rPr>
          <w:color w:val="020303"/>
        </w:rPr>
        <w:t>T</w:t>
      </w:r>
      <w:r w:rsidR="00871975">
        <w:rPr>
          <w:color w:val="020303"/>
        </w:rPr>
        <w:t xml:space="preserve">here can be no assurance that the due diligence undertaken with respect to NLCO will have revealed all relevant facts, that the information provided during due diligence was accurate or that subjective judgements made about NLCO in connection with the Labrador Acquisition are accurate. Whilst conducting due diligence, the Company has relied on publicly available </w:t>
      </w:r>
      <w:r w:rsidR="008C6A00">
        <w:rPr>
          <w:color w:val="020303"/>
        </w:rPr>
        <w:t xml:space="preserve">data and </w:t>
      </w:r>
      <w:r w:rsidR="00871975">
        <w:rPr>
          <w:color w:val="020303"/>
        </w:rPr>
        <w:t>information</w:t>
      </w:r>
      <w:r w:rsidR="001E0909">
        <w:rPr>
          <w:color w:val="020303"/>
        </w:rPr>
        <w:t>,</w:t>
      </w:r>
      <w:r w:rsidR="00871975">
        <w:rPr>
          <w:color w:val="020303"/>
        </w:rPr>
        <w:t xml:space="preserve"> </w:t>
      </w:r>
      <w:r w:rsidR="008C6A00">
        <w:rPr>
          <w:color w:val="020303"/>
        </w:rPr>
        <w:t xml:space="preserve">discussions with third party specialists, and </w:t>
      </w:r>
      <w:r w:rsidR="00871975">
        <w:rPr>
          <w:color w:val="020303"/>
        </w:rPr>
        <w:t>information provided by Altius</w:t>
      </w:r>
      <w:r w:rsidR="00A926A0">
        <w:rPr>
          <w:color w:val="020303"/>
        </w:rPr>
        <w:t xml:space="preserve"> and some of the documentation maintained may be incomplete or inconclusive</w:t>
      </w:r>
      <w:r w:rsidR="00871975">
        <w:rPr>
          <w:color w:val="020303"/>
        </w:rPr>
        <w:t>.</w:t>
      </w:r>
      <w:r w:rsidR="00A926A0">
        <w:rPr>
          <w:color w:val="020303"/>
        </w:rPr>
        <w:t xml:space="preserve"> As part of the due diligence process, the Company has also made subjective judgements regarding the results of operations, financial condition and prospects on the Adeline Copper Project or the Labrador Acquisition and the assets the subject of the Adeline Copper Project or the Labrador Acquisition (as applicable).</w:t>
      </w:r>
      <w:r w:rsidR="00871975">
        <w:rPr>
          <w:color w:val="020303"/>
        </w:rPr>
        <w:t xml:space="preserve"> </w:t>
      </w:r>
      <w:r w:rsidR="00E654BA">
        <w:rPr>
          <w:color w:val="020303"/>
        </w:rPr>
        <w:t xml:space="preserve">If the due diligence investigation has failed to identify correctly material issues and liabilities that may be present, or if the Company has concluded such material risks are commercially acceptable relative to the opportunity, the Company may subsequently incur substantial impairment charges or other losses. </w:t>
      </w:r>
      <w:r w:rsidR="00A926A0">
        <w:rPr>
          <w:color w:val="020303"/>
        </w:rPr>
        <w:t xml:space="preserve">If issues are identified in relation to NLCO or another future corporate action undertaken by the Company, which were not identified in the due diligence, this may </w:t>
      </w:r>
      <w:r w:rsidR="00E654BA">
        <w:rPr>
          <w:color w:val="020303"/>
        </w:rPr>
        <w:t xml:space="preserve">additionally </w:t>
      </w:r>
      <w:r w:rsidR="00A926A0">
        <w:rPr>
          <w:color w:val="020303"/>
        </w:rPr>
        <w:t>cause the Company to incur losses remedying these issues, as well as potentially expos</w:t>
      </w:r>
      <w:r w:rsidR="00F35AF9">
        <w:rPr>
          <w:color w:val="020303"/>
        </w:rPr>
        <w:t>e</w:t>
      </w:r>
      <w:r w:rsidR="00A926A0">
        <w:rPr>
          <w:color w:val="020303"/>
        </w:rPr>
        <w:t xml:space="preserve"> the Company to any undisclosed or partially disclosed liabilities of NLCO or any future acquisition target. This could have a material adverse effect on the Company’s financial </w:t>
      </w:r>
      <w:r w:rsidR="00E654BA">
        <w:rPr>
          <w:color w:val="020303"/>
        </w:rPr>
        <w:t xml:space="preserve">condition and results of operations. </w:t>
      </w:r>
    </w:p>
    <w:p w14:paraId="30D65016" w14:textId="28CB1996" w:rsidR="00872A0C" w:rsidRDefault="00872A0C">
      <w:pPr>
        <w:pStyle w:val="BodyText"/>
        <w:kinsoku w:val="0"/>
        <w:overflowPunct w:val="0"/>
        <w:ind w:left="300" w:right="1191"/>
        <w:jc w:val="both"/>
        <w:rPr>
          <w:color w:val="020303"/>
        </w:rPr>
      </w:pPr>
    </w:p>
    <w:p w14:paraId="1F51BFDD" w14:textId="30E7E339" w:rsidR="00872A0C" w:rsidRPr="00B325E0" w:rsidRDefault="00872A0C" w:rsidP="00872A0C">
      <w:pPr>
        <w:pStyle w:val="BodyText"/>
        <w:kinsoku w:val="0"/>
        <w:overflowPunct w:val="0"/>
        <w:ind w:left="300" w:right="1191"/>
        <w:jc w:val="both"/>
        <w:rPr>
          <w:b/>
          <w:i/>
          <w:color w:val="020303"/>
        </w:rPr>
      </w:pPr>
      <w:r w:rsidRPr="00B325E0">
        <w:rPr>
          <w:b/>
          <w:i/>
          <w:color w:val="020303"/>
        </w:rPr>
        <w:t xml:space="preserve">Risk that the desired benefits may not be achieved by the Company </w:t>
      </w:r>
    </w:p>
    <w:p w14:paraId="1E3A500A" w14:textId="77777777" w:rsidR="00872A0C" w:rsidRPr="00872A0C" w:rsidRDefault="00872A0C" w:rsidP="00872A0C">
      <w:pPr>
        <w:pStyle w:val="BodyText"/>
        <w:kinsoku w:val="0"/>
        <w:overflowPunct w:val="0"/>
        <w:ind w:left="300" w:right="1191"/>
        <w:jc w:val="both"/>
        <w:rPr>
          <w:color w:val="020303"/>
        </w:rPr>
      </w:pPr>
      <w:r w:rsidRPr="00872A0C">
        <w:rPr>
          <w:color w:val="020303"/>
        </w:rPr>
        <w:t xml:space="preserve"> </w:t>
      </w:r>
    </w:p>
    <w:p w14:paraId="3E1D3F70" w14:textId="77777777" w:rsidR="00872A0C" w:rsidRPr="00872A0C" w:rsidRDefault="00872A0C" w:rsidP="00673B57">
      <w:pPr>
        <w:pStyle w:val="BodyText"/>
        <w:kinsoku w:val="0"/>
        <w:overflowPunct w:val="0"/>
        <w:ind w:left="300" w:right="1191"/>
        <w:jc w:val="both"/>
        <w:rPr>
          <w:color w:val="020303"/>
        </w:rPr>
      </w:pPr>
      <w:r w:rsidRPr="00872A0C">
        <w:rPr>
          <w:color w:val="020303"/>
        </w:rPr>
        <w:t xml:space="preserve">The value of an investment in the Group is dependent on the Group achieving its strategic aims. The Group is </w:t>
      </w:r>
    </w:p>
    <w:p w14:paraId="0317812F" w14:textId="36A6F861" w:rsidR="00872A0C" w:rsidRPr="00872A0C" w:rsidRDefault="00872A0C" w:rsidP="00673B57">
      <w:pPr>
        <w:pStyle w:val="BodyText"/>
        <w:kinsoku w:val="0"/>
        <w:overflowPunct w:val="0"/>
        <w:ind w:left="300" w:right="1191"/>
        <w:jc w:val="both"/>
        <w:rPr>
          <w:color w:val="020303"/>
        </w:rPr>
      </w:pPr>
      <w:r w:rsidRPr="00872A0C">
        <w:rPr>
          <w:color w:val="020303"/>
        </w:rPr>
        <w:t xml:space="preserve">targeting significant </w:t>
      </w:r>
      <w:r>
        <w:rPr>
          <w:color w:val="020303"/>
        </w:rPr>
        <w:t>benefits</w:t>
      </w:r>
      <w:r w:rsidRPr="00872A0C">
        <w:rPr>
          <w:color w:val="020303"/>
        </w:rPr>
        <w:t xml:space="preserve"> from the Labrador Acquisition and the Group’s financial planning and funding </w:t>
      </w:r>
    </w:p>
    <w:p w14:paraId="37C3A537" w14:textId="69098775" w:rsidR="00872A0C" w:rsidRPr="00872A0C" w:rsidRDefault="00872A0C" w:rsidP="00265B0E">
      <w:pPr>
        <w:pStyle w:val="BodyText"/>
        <w:kinsoku w:val="0"/>
        <w:overflowPunct w:val="0"/>
        <w:ind w:left="300" w:right="1191"/>
        <w:jc w:val="both"/>
        <w:rPr>
          <w:color w:val="020303"/>
        </w:rPr>
      </w:pPr>
      <w:r w:rsidRPr="00872A0C">
        <w:rPr>
          <w:color w:val="020303"/>
        </w:rPr>
        <w:t xml:space="preserve">strategies are based in part on realising these </w:t>
      </w:r>
      <w:r>
        <w:rPr>
          <w:color w:val="020303"/>
        </w:rPr>
        <w:t>benefits</w:t>
      </w:r>
      <w:r w:rsidRPr="00872A0C">
        <w:rPr>
          <w:color w:val="020303"/>
        </w:rPr>
        <w:t xml:space="preserve">. There is a risk that benefits from the Labrador </w:t>
      </w:r>
    </w:p>
    <w:p w14:paraId="67A61136" w14:textId="77777777" w:rsidR="00872A0C" w:rsidRPr="00872A0C" w:rsidRDefault="00872A0C" w:rsidP="002012BA">
      <w:pPr>
        <w:pStyle w:val="BodyText"/>
        <w:kinsoku w:val="0"/>
        <w:overflowPunct w:val="0"/>
        <w:ind w:left="300" w:right="1191"/>
        <w:jc w:val="both"/>
        <w:rPr>
          <w:color w:val="020303"/>
        </w:rPr>
      </w:pPr>
      <w:r w:rsidRPr="00872A0C">
        <w:rPr>
          <w:color w:val="020303"/>
        </w:rPr>
        <w:t xml:space="preserve">Acquisition may fail to materialise, may take longer than anticipated or may be lower than have been estimated. In </w:t>
      </w:r>
    </w:p>
    <w:p w14:paraId="68EF3A7A" w14:textId="0A07DB08" w:rsidR="00872A0C" w:rsidRPr="00872A0C" w:rsidRDefault="00872A0C">
      <w:pPr>
        <w:pStyle w:val="BodyText"/>
        <w:kinsoku w:val="0"/>
        <w:overflowPunct w:val="0"/>
        <w:ind w:left="300" w:right="1191"/>
        <w:jc w:val="both"/>
        <w:rPr>
          <w:color w:val="020303"/>
        </w:rPr>
      </w:pPr>
      <w:r w:rsidRPr="00872A0C">
        <w:rPr>
          <w:color w:val="020303"/>
        </w:rPr>
        <w:t xml:space="preserve">addition, the cost of funding these </w:t>
      </w:r>
      <w:r>
        <w:rPr>
          <w:color w:val="020303"/>
        </w:rPr>
        <w:t xml:space="preserve">benefits </w:t>
      </w:r>
      <w:r w:rsidRPr="00872A0C">
        <w:rPr>
          <w:color w:val="020303"/>
        </w:rPr>
        <w:t xml:space="preserve">may exceed expectations and such eventualities may have a material </w:t>
      </w:r>
    </w:p>
    <w:p w14:paraId="6B4D2E72" w14:textId="3AE3645E" w:rsidR="00D23A75" w:rsidRDefault="00872A0C">
      <w:pPr>
        <w:pStyle w:val="BodyText"/>
        <w:kinsoku w:val="0"/>
        <w:overflowPunct w:val="0"/>
        <w:ind w:left="300" w:right="1191"/>
        <w:jc w:val="both"/>
        <w:rPr>
          <w:color w:val="020303"/>
        </w:rPr>
      </w:pPr>
      <w:r w:rsidRPr="00872A0C">
        <w:rPr>
          <w:color w:val="020303"/>
        </w:rPr>
        <w:t xml:space="preserve">adverse effect on the financial position of the Group.  </w:t>
      </w:r>
    </w:p>
    <w:p w14:paraId="27791A07" w14:textId="77777777" w:rsidR="00783288" w:rsidRDefault="00783288">
      <w:pPr>
        <w:pStyle w:val="BodyText"/>
        <w:kinsoku w:val="0"/>
        <w:overflowPunct w:val="0"/>
        <w:spacing w:before="8"/>
        <w:rPr>
          <w:sz w:val="17"/>
          <w:szCs w:val="17"/>
        </w:rPr>
      </w:pPr>
    </w:p>
    <w:p w14:paraId="6BE84473" w14:textId="77777777" w:rsidR="00783288" w:rsidRDefault="00E31420">
      <w:pPr>
        <w:pStyle w:val="Heading2"/>
        <w:kinsoku w:val="0"/>
        <w:overflowPunct w:val="0"/>
        <w:rPr>
          <w:color w:val="0F1010"/>
        </w:rPr>
      </w:pPr>
      <w:r>
        <w:rPr>
          <w:color w:val="0F1010"/>
        </w:rPr>
        <w:t>There is no assurance that the Company will identify or complete suitable further corporate opportunities</w:t>
      </w:r>
    </w:p>
    <w:p w14:paraId="4896DBAD" w14:textId="77777777" w:rsidR="00783288" w:rsidRDefault="00783288">
      <w:pPr>
        <w:pStyle w:val="BodyText"/>
        <w:kinsoku w:val="0"/>
        <w:overflowPunct w:val="0"/>
        <w:spacing w:before="3"/>
        <w:rPr>
          <w:b/>
          <w:bCs/>
          <w:i/>
          <w:iCs/>
        </w:rPr>
      </w:pPr>
    </w:p>
    <w:p w14:paraId="5E7644E7" w14:textId="77777777" w:rsidR="00783288" w:rsidRDefault="00E31420">
      <w:pPr>
        <w:pStyle w:val="BodyText"/>
        <w:kinsoku w:val="0"/>
        <w:overflowPunct w:val="0"/>
        <w:spacing w:before="1"/>
        <w:ind w:left="300" w:right="1187"/>
        <w:jc w:val="both"/>
        <w:rPr>
          <w:color w:val="282829"/>
        </w:rPr>
      </w:pPr>
      <w:r>
        <w:rPr>
          <w:color w:val="020303"/>
        </w:rPr>
        <w:t>T</w:t>
      </w:r>
      <w:r>
        <w:rPr>
          <w:color w:val="0F1010"/>
        </w:rPr>
        <w:t xml:space="preserve">here can be </w:t>
      </w:r>
      <w:r>
        <w:rPr>
          <w:color w:val="020303"/>
        </w:rPr>
        <w:t>n</w:t>
      </w:r>
      <w:r>
        <w:rPr>
          <w:color w:val="0F1010"/>
        </w:rPr>
        <w:t>o ass</w:t>
      </w:r>
      <w:r>
        <w:rPr>
          <w:color w:val="020303"/>
        </w:rPr>
        <w:t>u</w:t>
      </w:r>
      <w:r>
        <w:rPr>
          <w:color w:val="0F1010"/>
        </w:rPr>
        <w:t>ra</w:t>
      </w:r>
      <w:r>
        <w:rPr>
          <w:color w:val="020303"/>
        </w:rPr>
        <w:t>n</w:t>
      </w:r>
      <w:r>
        <w:rPr>
          <w:color w:val="0F1010"/>
        </w:rPr>
        <w:t>ces t</w:t>
      </w:r>
      <w:r>
        <w:rPr>
          <w:color w:val="020303"/>
        </w:rPr>
        <w:t>h</w:t>
      </w:r>
      <w:r>
        <w:rPr>
          <w:color w:val="0F1010"/>
        </w:rPr>
        <w:t>at the Company wi</w:t>
      </w:r>
      <w:r>
        <w:rPr>
          <w:color w:val="020303"/>
        </w:rPr>
        <w:t xml:space="preserve">ll </w:t>
      </w:r>
      <w:r>
        <w:rPr>
          <w:color w:val="0F1010"/>
        </w:rPr>
        <w:t>be ab</w:t>
      </w:r>
      <w:r>
        <w:rPr>
          <w:color w:val="020303"/>
        </w:rPr>
        <w:t>l</w:t>
      </w:r>
      <w:r>
        <w:rPr>
          <w:color w:val="0F1010"/>
        </w:rPr>
        <w:t xml:space="preserve">e to </w:t>
      </w:r>
      <w:r>
        <w:rPr>
          <w:color w:val="020303"/>
        </w:rPr>
        <w:t>i</w:t>
      </w:r>
      <w:r>
        <w:rPr>
          <w:color w:val="0F1010"/>
        </w:rPr>
        <w:t>dent</w:t>
      </w:r>
      <w:r>
        <w:rPr>
          <w:color w:val="020303"/>
        </w:rPr>
        <w:t>i</w:t>
      </w:r>
      <w:r>
        <w:rPr>
          <w:color w:val="0F1010"/>
        </w:rPr>
        <w:t>fy su</w:t>
      </w:r>
      <w:r>
        <w:rPr>
          <w:color w:val="020303"/>
        </w:rPr>
        <w:t>i</w:t>
      </w:r>
      <w:r>
        <w:rPr>
          <w:color w:val="0F1010"/>
        </w:rPr>
        <w:t>tab</w:t>
      </w:r>
      <w:r>
        <w:rPr>
          <w:color w:val="020303"/>
        </w:rPr>
        <w:t>l</w:t>
      </w:r>
      <w:r>
        <w:rPr>
          <w:color w:val="0F1010"/>
        </w:rPr>
        <w:t>e further acquisition o</w:t>
      </w:r>
      <w:r>
        <w:rPr>
          <w:color w:val="020303"/>
        </w:rPr>
        <w:t>pp</w:t>
      </w:r>
      <w:r>
        <w:rPr>
          <w:color w:val="0F1010"/>
        </w:rPr>
        <w:t>ortunities or make further ac</w:t>
      </w:r>
      <w:r>
        <w:rPr>
          <w:color w:val="020303"/>
        </w:rPr>
        <w:t>q</w:t>
      </w:r>
      <w:r>
        <w:rPr>
          <w:color w:val="0F1010"/>
        </w:rPr>
        <w:t>uisitions t</w:t>
      </w:r>
      <w:r>
        <w:rPr>
          <w:color w:val="020303"/>
        </w:rPr>
        <w:t>h</w:t>
      </w:r>
      <w:r>
        <w:rPr>
          <w:color w:val="0F1010"/>
        </w:rPr>
        <w:t>at wi</w:t>
      </w:r>
      <w:r>
        <w:rPr>
          <w:color w:val="020303"/>
        </w:rPr>
        <w:t xml:space="preserve">ll </w:t>
      </w:r>
      <w:r>
        <w:rPr>
          <w:color w:val="0F1010"/>
        </w:rPr>
        <w:t>eventually become profitable</w:t>
      </w:r>
      <w:r>
        <w:rPr>
          <w:color w:val="020303"/>
        </w:rPr>
        <w:t>. I</w:t>
      </w:r>
      <w:r>
        <w:rPr>
          <w:color w:val="0F1010"/>
        </w:rPr>
        <w:t xml:space="preserve">f the Company identifies a </w:t>
      </w:r>
      <w:r>
        <w:rPr>
          <w:color w:val="282829"/>
        </w:rPr>
        <w:t>s</w:t>
      </w:r>
      <w:r>
        <w:rPr>
          <w:color w:val="0F1010"/>
        </w:rPr>
        <w:t>uit</w:t>
      </w:r>
      <w:r>
        <w:rPr>
          <w:color w:val="282829"/>
        </w:rPr>
        <w:t>a</w:t>
      </w:r>
      <w:r>
        <w:rPr>
          <w:color w:val="0F1010"/>
        </w:rPr>
        <w:t>b</w:t>
      </w:r>
      <w:r>
        <w:rPr>
          <w:color w:val="020303"/>
        </w:rPr>
        <w:t>l</w:t>
      </w:r>
      <w:r>
        <w:rPr>
          <w:color w:val="0F1010"/>
        </w:rPr>
        <w:t>e target company</w:t>
      </w:r>
      <w:r>
        <w:rPr>
          <w:color w:val="282829"/>
        </w:rPr>
        <w:t xml:space="preserve">, </w:t>
      </w:r>
      <w:r>
        <w:rPr>
          <w:color w:val="0F1010"/>
        </w:rPr>
        <w:t>bu</w:t>
      </w:r>
      <w:r>
        <w:rPr>
          <w:color w:val="282829"/>
        </w:rPr>
        <w:t>s</w:t>
      </w:r>
      <w:r>
        <w:rPr>
          <w:color w:val="0F1010"/>
        </w:rPr>
        <w:t>ine</w:t>
      </w:r>
      <w:r>
        <w:rPr>
          <w:color w:val="282829"/>
        </w:rPr>
        <w:t>s</w:t>
      </w:r>
      <w:r>
        <w:rPr>
          <w:color w:val="0F1010"/>
        </w:rPr>
        <w:t>s or asset</w:t>
      </w:r>
      <w:r>
        <w:rPr>
          <w:color w:val="282829"/>
        </w:rPr>
        <w:t xml:space="preserve">, </w:t>
      </w:r>
      <w:r>
        <w:rPr>
          <w:color w:val="0F1010"/>
        </w:rPr>
        <w:t>there can be n</w:t>
      </w:r>
      <w:r>
        <w:rPr>
          <w:color w:val="282829"/>
        </w:rPr>
        <w:t xml:space="preserve">o </w:t>
      </w:r>
      <w:r>
        <w:rPr>
          <w:color w:val="0F1010"/>
        </w:rPr>
        <w:t>guaran</w:t>
      </w:r>
      <w:r>
        <w:rPr>
          <w:color w:val="282829"/>
        </w:rPr>
        <w:t>t</w:t>
      </w:r>
      <w:r>
        <w:rPr>
          <w:color w:val="0F1010"/>
        </w:rPr>
        <w:t>e</w:t>
      </w:r>
      <w:r>
        <w:rPr>
          <w:color w:val="282829"/>
        </w:rPr>
        <w:t xml:space="preserve">e </w:t>
      </w:r>
      <w:r>
        <w:rPr>
          <w:color w:val="0F1010"/>
        </w:rPr>
        <w:t>that the Company wil</w:t>
      </w:r>
      <w:r>
        <w:rPr>
          <w:color w:val="020303"/>
        </w:rPr>
        <w:t>l b</w:t>
      </w:r>
      <w:r>
        <w:rPr>
          <w:color w:val="0F1010"/>
        </w:rPr>
        <w:t>e ab</w:t>
      </w:r>
      <w:r>
        <w:rPr>
          <w:color w:val="020303"/>
        </w:rPr>
        <w:t>l</w:t>
      </w:r>
      <w:r>
        <w:rPr>
          <w:color w:val="0F1010"/>
        </w:rPr>
        <w:t xml:space="preserve">e to acquire </w:t>
      </w:r>
      <w:r>
        <w:rPr>
          <w:color w:val="020303"/>
        </w:rPr>
        <w:t>i</w:t>
      </w:r>
      <w:r>
        <w:rPr>
          <w:color w:val="0F1010"/>
        </w:rPr>
        <w:t>t at a price that is consi</w:t>
      </w:r>
      <w:r>
        <w:rPr>
          <w:color w:val="282829"/>
        </w:rPr>
        <w:t>s</w:t>
      </w:r>
      <w:r>
        <w:rPr>
          <w:color w:val="0F1010"/>
        </w:rPr>
        <w:t xml:space="preserve">tent </w:t>
      </w:r>
      <w:r>
        <w:rPr>
          <w:color w:val="282829"/>
        </w:rPr>
        <w:t>w</w:t>
      </w:r>
      <w:r>
        <w:rPr>
          <w:color w:val="0F1010"/>
        </w:rPr>
        <w:t>ith its objectives or at all</w:t>
      </w:r>
      <w:r>
        <w:rPr>
          <w:color w:val="231F20"/>
        </w:rPr>
        <w:t xml:space="preserve">. </w:t>
      </w:r>
      <w:r>
        <w:rPr>
          <w:color w:val="0F1010"/>
        </w:rPr>
        <w:t xml:space="preserve">In </w:t>
      </w:r>
      <w:r>
        <w:rPr>
          <w:color w:val="282829"/>
        </w:rPr>
        <w:t>a</w:t>
      </w:r>
      <w:r>
        <w:rPr>
          <w:color w:val="0F1010"/>
        </w:rPr>
        <w:t>dditio</w:t>
      </w:r>
      <w:r>
        <w:rPr>
          <w:color w:val="020303"/>
        </w:rPr>
        <w:t>n</w:t>
      </w:r>
      <w:r>
        <w:rPr>
          <w:color w:val="282829"/>
        </w:rPr>
        <w:t xml:space="preserve">, </w:t>
      </w:r>
      <w:r>
        <w:rPr>
          <w:color w:val="020303"/>
        </w:rPr>
        <w:t>i</w:t>
      </w:r>
      <w:r>
        <w:rPr>
          <w:color w:val="0F1010"/>
        </w:rPr>
        <w:t>f the Compan</w:t>
      </w:r>
      <w:r>
        <w:rPr>
          <w:color w:val="282829"/>
        </w:rPr>
        <w:t xml:space="preserve">y </w:t>
      </w:r>
      <w:r>
        <w:rPr>
          <w:color w:val="0F1010"/>
        </w:rPr>
        <w:t>fai</w:t>
      </w:r>
      <w:r>
        <w:rPr>
          <w:color w:val="020303"/>
        </w:rPr>
        <w:t>l</w:t>
      </w:r>
      <w:r>
        <w:rPr>
          <w:color w:val="0F1010"/>
        </w:rPr>
        <w:t>s t</w:t>
      </w:r>
      <w:r>
        <w:rPr>
          <w:color w:val="282829"/>
        </w:rPr>
        <w:t>o c</w:t>
      </w:r>
      <w:r>
        <w:rPr>
          <w:color w:val="0F1010"/>
        </w:rPr>
        <w:t>omplet</w:t>
      </w:r>
      <w:r>
        <w:rPr>
          <w:color w:val="282829"/>
        </w:rPr>
        <w:t xml:space="preserve">e </w:t>
      </w:r>
      <w:r>
        <w:rPr>
          <w:color w:val="0F1010"/>
        </w:rPr>
        <w:t>an a</w:t>
      </w:r>
      <w:r>
        <w:rPr>
          <w:color w:val="282829"/>
        </w:rPr>
        <w:t>c</w:t>
      </w:r>
      <w:r>
        <w:rPr>
          <w:color w:val="0F1010"/>
        </w:rPr>
        <w:t xml:space="preserve">quisition </w:t>
      </w:r>
      <w:r>
        <w:rPr>
          <w:color w:val="282829"/>
        </w:rPr>
        <w:t>w</w:t>
      </w:r>
      <w:r>
        <w:rPr>
          <w:color w:val="0F1010"/>
        </w:rPr>
        <w:t>hich it has be</w:t>
      </w:r>
      <w:r>
        <w:rPr>
          <w:color w:val="282829"/>
        </w:rPr>
        <w:t>e</w:t>
      </w:r>
      <w:r>
        <w:rPr>
          <w:color w:val="0F1010"/>
        </w:rPr>
        <w:t>n pur</w:t>
      </w:r>
      <w:r>
        <w:rPr>
          <w:color w:val="282829"/>
        </w:rPr>
        <w:t>s</w:t>
      </w:r>
      <w:r>
        <w:rPr>
          <w:color w:val="0F1010"/>
        </w:rPr>
        <w:t>uing, it may be lef</w:t>
      </w:r>
      <w:r>
        <w:rPr>
          <w:color w:val="020303"/>
        </w:rPr>
        <w:t xml:space="preserve">t </w:t>
      </w:r>
      <w:r>
        <w:rPr>
          <w:color w:val="282829"/>
        </w:rPr>
        <w:t>w</w:t>
      </w:r>
      <w:r>
        <w:rPr>
          <w:color w:val="0F1010"/>
        </w:rPr>
        <w:t xml:space="preserve">ith </w:t>
      </w:r>
      <w:r>
        <w:rPr>
          <w:color w:val="282829"/>
        </w:rPr>
        <w:t>s</w:t>
      </w:r>
      <w:r>
        <w:rPr>
          <w:color w:val="0F1010"/>
        </w:rPr>
        <w:t>ub</w:t>
      </w:r>
      <w:r>
        <w:rPr>
          <w:color w:val="282829"/>
        </w:rPr>
        <w:t>s</w:t>
      </w:r>
      <w:r>
        <w:rPr>
          <w:color w:val="0F1010"/>
        </w:rPr>
        <w:t>tan</w:t>
      </w:r>
      <w:r>
        <w:rPr>
          <w:color w:val="282829"/>
        </w:rPr>
        <w:t>t</w:t>
      </w:r>
      <w:r>
        <w:rPr>
          <w:color w:val="0F1010"/>
        </w:rPr>
        <w:t>ial unrecovered transa</w:t>
      </w:r>
      <w:r>
        <w:rPr>
          <w:color w:val="282829"/>
        </w:rPr>
        <w:t>c</w:t>
      </w:r>
      <w:r>
        <w:rPr>
          <w:color w:val="0F1010"/>
        </w:rPr>
        <w:t>tion co</w:t>
      </w:r>
      <w:r>
        <w:rPr>
          <w:color w:val="282829"/>
        </w:rPr>
        <w:t>s</w:t>
      </w:r>
      <w:r>
        <w:rPr>
          <w:color w:val="0F1010"/>
        </w:rPr>
        <w:t>t</w:t>
      </w:r>
      <w:r>
        <w:rPr>
          <w:color w:val="282829"/>
        </w:rPr>
        <w:t>s</w:t>
      </w:r>
      <w:r>
        <w:rPr>
          <w:color w:val="0F1010"/>
        </w:rPr>
        <w:t>, which could have a material adverse impact on the results of operations, cash flow and financial condition of the Group. Furthermore, th</w:t>
      </w:r>
      <w:r>
        <w:rPr>
          <w:color w:val="282829"/>
        </w:rPr>
        <w:t>e</w:t>
      </w:r>
      <w:r>
        <w:rPr>
          <w:color w:val="0F1010"/>
        </w:rPr>
        <w:t>re is likely to be comp</w:t>
      </w:r>
      <w:r>
        <w:rPr>
          <w:color w:val="282829"/>
        </w:rPr>
        <w:t>e</w:t>
      </w:r>
      <w:r>
        <w:rPr>
          <w:color w:val="0F1010"/>
        </w:rPr>
        <w:t>tition fr</w:t>
      </w:r>
      <w:r>
        <w:rPr>
          <w:color w:val="282829"/>
        </w:rPr>
        <w:t>o</w:t>
      </w:r>
      <w:r>
        <w:rPr>
          <w:color w:val="0F1010"/>
        </w:rPr>
        <w:t xml:space="preserve">m </w:t>
      </w:r>
      <w:r>
        <w:rPr>
          <w:color w:val="282829"/>
        </w:rPr>
        <w:t>ot</w:t>
      </w:r>
      <w:r>
        <w:rPr>
          <w:color w:val="0F1010"/>
        </w:rPr>
        <w:t>hers intere</w:t>
      </w:r>
      <w:r>
        <w:rPr>
          <w:color w:val="282829"/>
        </w:rPr>
        <w:t>s</w:t>
      </w:r>
      <w:r>
        <w:rPr>
          <w:color w:val="0F1010"/>
        </w:rPr>
        <w:t>ted in some or all of th</w:t>
      </w:r>
      <w:r>
        <w:rPr>
          <w:color w:val="282829"/>
        </w:rPr>
        <w:t xml:space="preserve">e further </w:t>
      </w:r>
      <w:r>
        <w:rPr>
          <w:color w:val="0F1010"/>
        </w:rPr>
        <w:t>acqui</w:t>
      </w:r>
      <w:r>
        <w:rPr>
          <w:color w:val="282829"/>
        </w:rPr>
        <w:t>s</w:t>
      </w:r>
      <w:r>
        <w:rPr>
          <w:color w:val="0F1010"/>
        </w:rPr>
        <w:t xml:space="preserve">ition </w:t>
      </w:r>
      <w:r>
        <w:rPr>
          <w:color w:val="282829"/>
        </w:rPr>
        <w:t>o</w:t>
      </w:r>
      <w:r>
        <w:rPr>
          <w:color w:val="0F1010"/>
        </w:rPr>
        <w:t>pportunities that the Company may e</w:t>
      </w:r>
      <w:r>
        <w:rPr>
          <w:color w:val="282829"/>
        </w:rPr>
        <w:t>x</w:t>
      </w:r>
      <w:r>
        <w:rPr>
          <w:color w:val="0F1010"/>
        </w:rPr>
        <w:t>p</w:t>
      </w:r>
      <w:r>
        <w:rPr>
          <w:color w:val="020303"/>
        </w:rPr>
        <w:t>l</w:t>
      </w:r>
      <w:r>
        <w:rPr>
          <w:color w:val="0F1010"/>
        </w:rPr>
        <w:t>ore, and as such there can be no assurance th</w:t>
      </w:r>
      <w:r>
        <w:rPr>
          <w:color w:val="282829"/>
        </w:rPr>
        <w:t>a</w:t>
      </w:r>
      <w:r>
        <w:rPr>
          <w:color w:val="0F1010"/>
        </w:rPr>
        <w:t>t it wi</w:t>
      </w:r>
      <w:r>
        <w:rPr>
          <w:color w:val="020303"/>
        </w:rPr>
        <w:t xml:space="preserve">ll </w:t>
      </w:r>
      <w:r>
        <w:rPr>
          <w:color w:val="0F1010"/>
        </w:rPr>
        <w:t>be succes</w:t>
      </w:r>
      <w:r>
        <w:rPr>
          <w:color w:val="282829"/>
        </w:rPr>
        <w:t>s</w:t>
      </w:r>
      <w:r>
        <w:rPr>
          <w:color w:val="0F1010"/>
        </w:rPr>
        <w:t>fu</w:t>
      </w:r>
      <w:r>
        <w:rPr>
          <w:color w:val="020303"/>
        </w:rPr>
        <w:t xml:space="preserve">l </w:t>
      </w:r>
      <w:r>
        <w:rPr>
          <w:color w:val="282829"/>
        </w:rPr>
        <w:t>aga</w:t>
      </w:r>
      <w:r>
        <w:rPr>
          <w:color w:val="0F1010"/>
        </w:rPr>
        <w:t>i</w:t>
      </w:r>
      <w:r>
        <w:rPr>
          <w:color w:val="020303"/>
        </w:rPr>
        <w:t>n</w:t>
      </w:r>
      <w:r>
        <w:rPr>
          <w:color w:val="0F1010"/>
        </w:rPr>
        <w:t>st such competition</w:t>
      </w:r>
      <w:r>
        <w:rPr>
          <w:color w:val="282829"/>
        </w:rPr>
        <w:t xml:space="preserve">, which may </w:t>
      </w:r>
      <w:r>
        <w:rPr>
          <w:color w:val="282829"/>
        </w:rPr>
        <w:lastRenderedPageBreak/>
        <w:t>have favourable financial, technical or management resources.</w:t>
      </w:r>
    </w:p>
    <w:p w14:paraId="7A3E2F93" w14:textId="77777777" w:rsidR="00783288" w:rsidRDefault="00783288">
      <w:pPr>
        <w:pStyle w:val="BodyText"/>
        <w:kinsoku w:val="0"/>
        <w:overflowPunct w:val="0"/>
        <w:spacing w:before="10"/>
        <w:rPr>
          <w:sz w:val="17"/>
          <w:szCs w:val="17"/>
        </w:rPr>
      </w:pPr>
    </w:p>
    <w:p w14:paraId="3EB41C8E" w14:textId="77777777" w:rsidR="00783288" w:rsidRDefault="00E31420">
      <w:pPr>
        <w:pStyle w:val="BodyText"/>
        <w:kinsoku w:val="0"/>
        <w:overflowPunct w:val="0"/>
        <w:ind w:left="300" w:right="1190"/>
        <w:jc w:val="both"/>
        <w:rPr>
          <w:color w:val="282829"/>
        </w:rPr>
      </w:pPr>
      <w:r>
        <w:rPr>
          <w:color w:val="282829"/>
        </w:rPr>
        <w:t>There can also be no assurances that the Company will be able to identify appropriate buyers, joint venture or strategic</w:t>
      </w:r>
      <w:r>
        <w:rPr>
          <w:color w:val="282829"/>
          <w:spacing w:val="-7"/>
        </w:rPr>
        <w:t xml:space="preserve"> </w:t>
      </w:r>
      <w:r>
        <w:rPr>
          <w:color w:val="282829"/>
        </w:rPr>
        <w:t>partners</w:t>
      </w:r>
      <w:r>
        <w:rPr>
          <w:color w:val="282829"/>
          <w:spacing w:val="-6"/>
        </w:rPr>
        <w:t xml:space="preserve"> </w:t>
      </w:r>
      <w:r>
        <w:rPr>
          <w:color w:val="282829"/>
        </w:rPr>
        <w:t>(as</w:t>
      </w:r>
      <w:r>
        <w:rPr>
          <w:color w:val="282829"/>
          <w:spacing w:val="-6"/>
        </w:rPr>
        <w:t xml:space="preserve"> </w:t>
      </w:r>
      <w:r>
        <w:rPr>
          <w:color w:val="282829"/>
        </w:rPr>
        <w:t>and</w:t>
      </w:r>
      <w:r>
        <w:rPr>
          <w:color w:val="282829"/>
          <w:spacing w:val="-7"/>
        </w:rPr>
        <w:t xml:space="preserve"> </w:t>
      </w:r>
      <w:r>
        <w:rPr>
          <w:color w:val="282829"/>
        </w:rPr>
        <w:t>when</w:t>
      </w:r>
      <w:r>
        <w:rPr>
          <w:color w:val="282829"/>
          <w:spacing w:val="-6"/>
        </w:rPr>
        <w:t xml:space="preserve"> </w:t>
      </w:r>
      <w:r>
        <w:rPr>
          <w:color w:val="282829"/>
        </w:rPr>
        <w:t>applicable)</w:t>
      </w:r>
      <w:r>
        <w:rPr>
          <w:color w:val="282829"/>
          <w:spacing w:val="-7"/>
        </w:rPr>
        <w:t xml:space="preserve"> </w:t>
      </w:r>
      <w:r>
        <w:rPr>
          <w:color w:val="282829"/>
        </w:rPr>
        <w:t>through</w:t>
      </w:r>
      <w:r>
        <w:rPr>
          <w:color w:val="282829"/>
          <w:spacing w:val="-6"/>
        </w:rPr>
        <w:t xml:space="preserve"> </w:t>
      </w:r>
      <w:r>
        <w:rPr>
          <w:color w:val="282829"/>
        </w:rPr>
        <w:t>which</w:t>
      </w:r>
      <w:r>
        <w:rPr>
          <w:color w:val="282829"/>
          <w:spacing w:val="-7"/>
        </w:rPr>
        <w:t xml:space="preserve"> </w:t>
      </w:r>
      <w:r>
        <w:rPr>
          <w:color w:val="282829"/>
        </w:rPr>
        <w:t>it</w:t>
      </w:r>
      <w:r>
        <w:rPr>
          <w:color w:val="282829"/>
          <w:spacing w:val="-6"/>
        </w:rPr>
        <w:t xml:space="preserve"> </w:t>
      </w:r>
      <w:r>
        <w:rPr>
          <w:color w:val="282829"/>
        </w:rPr>
        <w:t>can</w:t>
      </w:r>
      <w:r>
        <w:rPr>
          <w:color w:val="282829"/>
          <w:spacing w:val="-6"/>
        </w:rPr>
        <w:t xml:space="preserve"> </w:t>
      </w:r>
      <w:r>
        <w:rPr>
          <w:color w:val="282829"/>
        </w:rPr>
        <w:t>realise</w:t>
      </w:r>
      <w:r>
        <w:rPr>
          <w:color w:val="282829"/>
          <w:spacing w:val="-7"/>
        </w:rPr>
        <w:t xml:space="preserve"> </w:t>
      </w:r>
      <w:r>
        <w:rPr>
          <w:color w:val="282829"/>
        </w:rPr>
        <w:t>the</w:t>
      </w:r>
      <w:r>
        <w:rPr>
          <w:color w:val="282829"/>
          <w:spacing w:val="-6"/>
        </w:rPr>
        <w:t xml:space="preserve"> </w:t>
      </w:r>
      <w:r>
        <w:rPr>
          <w:color w:val="282829"/>
        </w:rPr>
        <w:t>investments</w:t>
      </w:r>
      <w:r>
        <w:rPr>
          <w:color w:val="282829"/>
          <w:spacing w:val="-6"/>
        </w:rPr>
        <w:t xml:space="preserve"> </w:t>
      </w:r>
      <w:r>
        <w:rPr>
          <w:color w:val="282829"/>
        </w:rPr>
        <w:t>it</w:t>
      </w:r>
      <w:r>
        <w:rPr>
          <w:color w:val="282829"/>
          <w:spacing w:val="-6"/>
        </w:rPr>
        <w:t xml:space="preserve"> </w:t>
      </w:r>
      <w:r>
        <w:rPr>
          <w:color w:val="282829"/>
        </w:rPr>
        <w:t>has</w:t>
      </w:r>
      <w:r>
        <w:rPr>
          <w:color w:val="282829"/>
          <w:spacing w:val="-7"/>
        </w:rPr>
        <w:t xml:space="preserve"> </w:t>
      </w:r>
      <w:r>
        <w:rPr>
          <w:color w:val="282829"/>
        </w:rPr>
        <w:t>made</w:t>
      </w:r>
      <w:r>
        <w:rPr>
          <w:color w:val="282829"/>
          <w:spacing w:val="-6"/>
        </w:rPr>
        <w:t xml:space="preserve"> </w:t>
      </w:r>
      <w:r>
        <w:rPr>
          <w:color w:val="282829"/>
        </w:rPr>
        <w:t>in</w:t>
      </w:r>
      <w:r>
        <w:rPr>
          <w:color w:val="282829"/>
          <w:spacing w:val="-6"/>
        </w:rPr>
        <w:t xml:space="preserve"> </w:t>
      </w:r>
      <w:r>
        <w:rPr>
          <w:color w:val="282829"/>
        </w:rPr>
        <w:t>its</w:t>
      </w:r>
      <w:r>
        <w:rPr>
          <w:color w:val="282829"/>
          <w:spacing w:val="-7"/>
        </w:rPr>
        <w:t xml:space="preserve"> </w:t>
      </w:r>
      <w:r>
        <w:rPr>
          <w:color w:val="282829"/>
        </w:rPr>
        <w:t>Portfolio and</w:t>
      </w:r>
      <w:r>
        <w:rPr>
          <w:color w:val="282829"/>
          <w:spacing w:val="-14"/>
        </w:rPr>
        <w:t xml:space="preserve"> </w:t>
      </w:r>
      <w:r>
        <w:rPr>
          <w:color w:val="282829"/>
        </w:rPr>
        <w:t>generate</w:t>
      </w:r>
      <w:r>
        <w:rPr>
          <w:color w:val="282829"/>
          <w:spacing w:val="-13"/>
        </w:rPr>
        <w:t xml:space="preserve"> </w:t>
      </w:r>
      <w:r>
        <w:rPr>
          <w:color w:val="282829"/>
        </w:rPr>
        <w:t>revenues,</w:t>
      </w:r>
      <w:r>
        <w:rPr>
          <w:color w:val="282829"/>
          <w:spacing w:val="-14"/>
        </w:rPr>
        <w:t xml:space="preserve"> </w:t>
      </w:r>
      <w:r>
        <w:rPr>
          <w:color w:val="282829"/>
        </w:rPr>
        <w:t>or</w:t>
      </w:r>
      <w:r>
        <w:rPr>
          <w:color w:val="282829"/>
          <w:spacing w:val="-14"/>
        </w:rPr>
        <w:t xml:space="preserve"> </w:t>
      </w:r>
      <w:r>
        <w:rPr>
          <w:color w:val="282829"/>
        </w:rPr>
        <w:t>that</w:t>
      </w:r>
      <w:r>
        <w:rPr>
          <w:color w:val="282829"/>
          <w:spacing w:val="-14"/>
        </w:rPr>
        <w:t xml:space="preserve"> </w:t>
      </w:r>
      <w:r>
        <w:rPr>
          <w:color w:val="282829"/>
        </w:rPr>
        <w:t>the</w:t>
      </w:r>
      <w:r>
        <w:rPr>
          <w:color w:val="282829"/>
          <w:spacing w:val="-13"/>
        </w:rPr>
        <w:t xml:space="preserve"> </w:t>
      </w:r>
      <w:r>
        <w:rPr>
          <w:color w:val="282829"/>
        </w:rPr>
        <w:t>Company</w:t>
      </w:r>
      <w:r>
        <w:rPr>
          <w:color w:val="282829"/>
          <w:spacing w:val="-13"/>
        </w:rPr>
        <w:t xml:space="preserve"> </w:t>
      </w:r>
      <w:r>
        <w:rPr>
          <w:color w:val="282829"/>
        </w:rPr>
        <w:t>will</w:t>
      </w:r>
      <w:r>
        <w:rPr>
          <w:color w:val="282829"/>
          <w:spacing w:val="-13"/>
        </w:rPr>
        <w:t xml:space="preserve"> </w:t>
      </w:r>
      <w:r>
        <w:rPr>
          <w:color w:val="282829"/>
        </w:rPr>
        <w:t>be</w:t>
      </w:r>
      <w:r>
        <w:rPr>
          <w:color w:val="282829"/>
          <w:spacing w:val="-13"/>
        </w:rPr>
        <w:t xml:space="preserve"> </w:t>
      </w:r>
      <w:r>
        <w:rPr>
          <w:color w:val="282829"/>
        </w:rPr>
        <w:t>able</w:t>
      </w:r>
      <w:r>
        <w:rPr>
          <w:color w:val="282829"/>
          <w:spacing w:val="-13"/>
        </w:rPr>
        <w:t xml:space="preserve"> </w:t>
      </w:r>
      <w:r>
        <w:rPr>
          <w:color w:val="282829"/>
        </w:rPr>
        <w:t>to</w:t>
      </w:r>
      <w:r>
        <w:rPr>
          <w:color w:val="282829"/>
          <w:spacing w:val="-13"/>
        </w:rPr>
        <w:t xml:space="preserve"> </w:t>
      </w:r>
      <w:r>
        <w:rPr>
          <w:color w:val="282829"/>
        </w:rPr>
        <w:t>conclude</w:t>
      </w:r>
      <w:r>
        <w:rPr>
          <w:color w:val="282829"/>
          <w:spacing w:val="-13"/>
        </w:rPr>
        <w:t xml:space="preserve"> </w:t>
      </w:r>
      <w:r>
        <w:rPr>
          <w:color w:val="282829"/>
        </w:rPr>
        <w:t>such</w:t>
      </w:r>
      <w:r>
        <w:rPr>
          <w:color w:val="282829"/>
          <w:spacing w:val="-13"/>
        </w:rPr>
        <w:t xml:space="preserve"> </w:t>
      </w:r>
      <w:r>
        <w:rPr>
          <w:color w:val="282829"/>
        </w:rPr>
        <w:t>arrangements</w:t>
      </w:r>
      <w:r>
        <w:rPr>
          <w:color w:val="282829"/>
          <w:spacing w:val="-14"/>
        </w:rPr>
        <w:t xml:space="preserve"> </w:t>
      </w:r>
      <w:r>
        <w:rPr>
          <w:color w:val="282829"/>
        </w:rPr>
        <w:t>on</w:t>
      </w:r>
      <w:r>
        <w:rPr>
          <w:color w:val="282829"/>
          <w:spacing w:val="-13"/>
        </w:rPr>
        <w:t xml:space="preserve"> </w:t>
      </w:r>
      <w:r>
        <w:rPr>
          <w:color w:val="282829"/>
        </w:rPr>
        <w:t>favourable</w:t>
      </w:r>
      <w:r>
        <w:rPr>
          <w:color w:val="282829"/>
          <w:spacing w:val="-13"/>
        </w:rPr>
        <w:t xml:space="preserve"> </w:t>
      </w:r>
      <w:r>
        <w:rPr>
          <w:color w:val="282829"/>
        </w:rPr>
        <w:t>commercial terms if identified. In such event, the Group would be unable or significantly hindered from generating revenues from its mineral resource assets, which could materially affect the Group’s prospects and financial</w:t>
      </w:r>
      <w:r>
        <w:rPr>
          <w:color w:val="282829"/>
          <w:spacing w:val="-28"/>
        </w:rPr>
        <w:t xml:space="preserve"> </w:t>
      </w:r>
      <w:r>
        <w:rPr>
          <w:color w:val="282829"/>
        </w:rPr>
        <w:t>condition.</w:t>
      </w:r>
    </w:p>
    <w:p w14:paraId="1EB83AB2" w14:textId="77777777" w:rsidR="00783288" w:rsidRDefault="00783288">
      <w:pPr>
        <w:pStyle w:val="BodyText"/>
        <w:kinsoku w:val="0"/>
        <w:overflowPunct w:val="0"/>
        <w:spacing w:before="10"/>
        <w:rPr>
          <w:sz w:val="17"/>
          <w:szCs w:val="17"/>
        </w:rPr>
      </w:pPr>
    </w:p>
    <w:p w14:paraId="1CB0809A" w14:textId="49B95790" w:rsidR="00783288" w:rsidRDefault="00E31420">
      <w:pPr>
        <w:pStyle w:val="Heading2"/>
        <w:kinsoku w:val="0"/>
        <w:overflowPunct w:val="0"/>
        <w:ind w:right="1187"/>
        <w:rPr>
          <w:color w:val="020303"/>
        </w:rPr>
      </w:pPr>
      <w:r>
        <w:rPr>
          <w:color w:val="020303"/>
        </w:rPr>
        <w:t>The use of new Ordinary Shares as consideration for</w:t>
      </w:r>
      <w:r w:rsidR="009F0E0A">
        <w:rPr>
          <w:color w:val="020303"/>
        </w:rPr>
        <w:t xml:space="preserve"> the Labrador Acquisition and</w:t>
      </w:r>
      <w:r>
        <w:rPr>
          <w:color w:val="020303"/>
        </w:rPr>
        <w:t xml:space="preserve"> </w:t>
      </w:r>
      <w:r w:rsidR="004474AD">
        <w:rPr>
          <w:color w:val="020303"/>
        </w:rPr>
        <w:t xml:space="preserve">for </w:t>
      </w:r>
      <w:r>
        <w:rPr>
          <w:color w:val="020303"/>
        </w:rPr>
        <w:t>any further acquisition could result in significant dilution</w:t>
      </w:r>
    </w:p>
    <w:p w14:paraId="3A4267CA" w14:textId="77777777" w:rsidR="00783288" w:rsidRDefault="00783288">
      <w:pPr>
        <w:pStyle w:val="BodyText"/>
        <w:kinsoku w:val="0"/>
        <w:overflowPunct w:val="0"/>
        <w:spacing w:before="1"/>
        <w:rPr>
          <w:b/>
          <w:bCs/>
          <w:i/>
          <w:iCs/>
        </w:rPr>
      </w:pPr>
    </w:p>
    <w:p w14:paraId="2094940A" w14:textId="015E7C8B" w:rsidR="00783288" w:rsidRDefault="009F0E0A">
      <w:pPr>
        <w:pStyle w:val="BodyText"/>
        <w:kinsoku w:val="0"/>
        <w:overflowPunct w:val="0"/>
        <w:ind w:left="300" w:right="1187"/>
        <w:jc w:val="both"/>
        <w:rPr>
          <w:color w:val="020303"/>
        </w:rPr>
      </w:pPr>
      <w:r>
        <w:rPr>
          <w:color w:val="020303"/>
        </w:rPr>
        <w:t xml:space="preserve">The Group will </w:t>
      </w:r>
      <w:r w:rsidR="00673B57">
        <w:rPr>
          <w:color w:val="020303"/>
        </w:rPr>
        <w:t xml:space="preserve">pay </w:t>
      </w:r>
      <w:r>
        <w:rPr>
          <w:color w:val="020303"/>
        </w:rPr>
        <w:t xml:space="preserve">for the Labrador Acquisition by </w:t>
      </w:r>
      <w:r w:rsidR="00673B57">
        <w:rPr>
          <w:color w:val="020303"/>
        </w:rPr>
        <w:t xml:space="preserve">issuing </w:t>
      </w:r>
      <w:r>
        <w:rPr>
          <w:color w:val="020303"/>
        </w:rPr>
        <w:t xml:space="preserve">Ordinary Shares </w:t>
      </w:r>
      <w:r w:rsidR="00673B57">
        <w:rPr>
          <w:color w:val="020303"/>
        </w:rPr>
        <w:t xml:space="preserve">(and warrants to subscribe for Ordinary Shares) </w:t>
      </w:r>
      <w:r>
        <w:rPr>
          <w:color w:val="020303"/>
        </w:rPr>
        <w:t>as consideration and could offer its Ordinary Shares as consideration for further acquisitions. T</w:t>
      </w:r>
      <w:r w:rsidR="00E31420">
        <w:rPr>
          <w:color w:val="020303"/>
        </w:rPr>
        <w:t>he issuance of such new Ordinary Shares could materially reduce the percentage ownership of existing Shareholders in the Company. Where any further acquisition target has an existing large shareholder, an issue of new Ordinary Shares as consideration may result in such shareholder subsequently holding a large stake in the Company, which may, in turn, enable it to exert significant influence over the Company.</w:t>
      </w:r>
    </w:p>
    <w:p w14:paraId="1F2F3FFC" w14:textId="77777777" w:rsidR="00F73D14" w:rsidRDefault="00F73D14">
      <w:pPr>
        <w:pStyle w:val="BodyText"/>
        <w:kinsoku w:val="0"/>
        <w:overflowPunct w:val="0"/>
        <w:ind w:left="300" w:right="1187"/>
        <w:jc w:val="both"/>
        <w:rPr>
          <w:color w:val="020303"/>
        </w:rPr>
      </w:pPr>
    </w:p>
    <w:p w14:paraId="7F000D6F" w14:textId="77777777" w:rsidR="00783288" w:rsidRDefault="00783288">
      <w:pPr>
        <w:pStyle w:val="BodyText"/>
        <w:kinsoku w:val="0"/>
        <w:overflowPunct w:val="0"/>
        <w:spacing w:before="8"/>
        <w:rPr>
          <w:sz w:val="17"/>
          <w:szCs w:val="17"/>
        </w:rPr>
      </w:pPr>
    </w:p>
    <w:p w14:paraId="4010584E" w14:textId="77777777" w:rsidR="00783288" w:rsidRDefault="00E31420">
      <w:pPr>
        <w:pStyle w:val="Heading1"/>
        <w:kinsoku w:val="0"/>
        <w:overflowPunct w:val="0"/>
        <w:jc w:val="both"/>
        <w:rPr>
          <w:color w:val="070808"/>
        </w:rPr>
      </w:pPr>
      <w:bookmarkStart w:id="2" w:name="_Hlk74505540"/>
      <w:r>
        <w:rPr>
          <w:color w:val="070808"/>
        </w:rPr>
        <w:t>FINANCIAL RELATED RISKS</w:t>
      </w:r>
    </w:p>
    <w:p w14:paraId="4E188146" w14:textId="77777777" w:rsidR="00783288" w:rsidRDefault="00783288">
      <w:pPr>
        <w:pStyle w:val="BodyText"/>
        <w:kinsoku w:val="0"/>
        <w:overflowPunct w:val="0"/>
        <w:rPr>
          <w:b/>
          <w:bCs/>
          <w:sz w:val="21"/>
          <w:szCs w:val="21"/>
        </w:rPr>
      </w:pPr>
    </w:p>
    <w:p w14:paraId="1D244B93" w14:textId="77777777" w:rsidR="00783288" w:rsidRDefault="00E31420">
      <w:pPr>
        <w:pStyle w:val="Heading2"/>
        <w:kinsoku w:val="0"/>
        <w:overflowPunct w:val="0"/>
        <w:rPr>
          <w:color w:val="1D1C1E"/>
        </w:rPr>
      </w:pPr>
      <w:r>
        <w:rPr>
          <w:color w:val="1D1C1E"/>
        </w:rPr>
        <w:t>Foreign Exchange Risk</w:t>
      </w:r>
    </w:p>
    <w:p w14:paraId="14740485" w14:textId="77777777" w:rsidR="00783288" w:rsidRDefault="00783288">
      <w:pPr>
        <w:pStyle w:val="BodyText"/>
        <w:kinsoku w:val="0"/>
        <w:overflowPunct w:val="0"/>
        <w:spacing w:before="3"/>
        <w:rPr>
          <w:b/>
          <w:bCs/>
          <w:i/>
          <w:iCs/>
        </w:rPr>
      </w:pPr>
    </w:p>
    <w:p w14:paraId="41DE2C0C" w14:textId="467E820B" w:rsidR="00783288" w:rsidRDefault="00E31420">
      <w:pPr>
        <w:pStyle w:val="BodyText"/>
        <w:kinsoku w:val="0"/>
        <w:overflowPunct w:val="0"/>
        <w:spacing w:before="1"/>
        <w:ind w:left="300" w:right="1188"/>
        <w:jc w:val="both"/>
        <w:rPr>
          <w:color w:val="09090A"/>
        </w:rPr>
      </w:pPr>
      <w:r>
        <w:rPr>
          <w:color w:val="09090A"/>
        </w:rPr>
        <w:t>Al</w:t>
      </w:r>
      <w:r>
        <w:rPr>
          <w:color w:val="1D1C1E"/>
        </w:rPr>
        <w:t>t</w:t>
      </w:r>
      <w:r>
        <w:rPr>
          <w:color w:val="09090A"/>
        </w:rPr>
        <w:t>h</w:t>
      </w:r>
      <w:r>
        <w:rPr>
          <w:color w:val="1D1C1E"/>
        </w:rPr>
        <w:t>o</w:t>
      </w:r>
      <w:r>
        <w:rPr>
          <w:color w:val="09090A"/>
        </w:rPr>
        <w:t>u</w:t>
      </w:r>
      <w:r>
        <w:rPr>
          <w:color w:val="1D1C1E"/>
        </w:rPr>
        <w:t>g</w:t>
      </w:r>
      <w:r>
        <w:rPr>
          <w:color w:val="09090A"/>
        </w:rPr>
        <w:t>h</w:t>
      </w:r>
      <w:r>
        <w:rPr>
          <w:color w:val="09090A"/>
          <w:spacing w:val="-14"/>
        </w:rPr>
        <w:t xml:space="preserve"> </w:t>
      </w:r>
      <w:r>
        <w:rPr>
          <w:color w:val="09090A"/>
        </w:rPr>
        <w:t>th</w:t>
      </w:r>
      <w:r>
        <w:rPr>
          <w:color w:val="1D1C1E"/>
        </w:rPr>
        <w:t>e</w:t>
      </w:r>
      <w:r>
        <w:rPr>
          <w:color w:val="1D1C1E"/>
          <w:spacing w:val="-14"/>
        </w:rPr>
        <w:t xml:space="preserve"> </w:t>
      </w:r>
      <w:r w:rsidR="00E700B8">
        <w:rPr>
          <w:color w:val="1D1C1E"/>
        </w:rPr>
        <w:t>Placing</w:t>
      </w:r>
      <w:r w:rsidR="00E700B8">
        <w:rPr>
          <w:color w:val="1D1C1E"/>
          <w:spacing w:val="-14"/>
        </w:rPr>
        <w:t xml:space="preserve"> </w:t>
      </w:r>
      <w:r>
        <w:rPr>
          <w:color w:val="1D1C1E"/>
        </w:rPr>
        <w:t>w</w:t>
      </w:r>
      <w:r>
        <w:rPr>
          <w:color w:val="09090A"/>
        </w:rPr>
        <w:t>ill</w:t>
      </w:r>
      <w:r>
        <w:rPr>
          <w:color w:val="09090A"/>
          <w:spacing w:val="-14"/>
        </w:rPr>
        <w:t xml:space="preserve"> </w:t>
      </w:r>
      <w:r>
        <w:rPr>
          <w:color w:val="09090A"/>
        </w:rPr>
        <w:t>r</w:t>
      </w:r>
      <w:r>
        <w:rPr>
          <w:color w:val="1D1C1E"/>
        </w:rPr>
        <w:t>a</w:t>
      </w:r>
      <w:r>
        <w:rPr>
          <w:color w:val="09090A"/>
        </w:rPr>
        <w:t>i</w:t>
      </w:r>
      <w:r>
        <w:rPr>
          <w:color w:val="1D1C1E"/>
        </w:rPr>
        <w:t>se</w:t>
      </w:r>
      <w:r>
        <w:rPr>
          <w:color w:val="1D1C1E"/>
          <w:spacing w:val="-14"/>
        </w:rPr>
        <w:t xml:space="preserve"> </w:t>
      </w:r>
      <w:r>
        <w:rPr>
          <w:color w:val="1D1C1E"/>
        </w:rPr>
        <w:t>procee</w:t>
      </w:r>
      <w:r>
        <w:rPr>
          <w:color w:val="09090A"/>
        </w:rPr>
        <w:t>d</w:t>
      </w:r>
      <w:r>
        <w:rPr>
          <w:color w:val="1D1C1E"/>
        </w:rPr>
        <w:t>s</w:t>
      </w:r>
      <w:r>
        <w:rPr>
          <w:color w:val="1D1C1E"/>
          <w:spacing w:val="-16"/>
        </w:rPr>
        <w:t xml:space="preserve"> </w:t>
      </w:r>
      <w:r>
        <w:rPr>
          <w:color w:val="09090A"/>
        </w:rPr>
        <w:t>den</w:t>
      </w:r>
      <w:r>
        <w:rPr>
          <w:color w:val="1D1C1E"/>
        </w:rPr>
        <w:t>o</w:t>
      </w:r>
      <w:r>
        <w:rPr>
          <w:color w:val="09090A"/>
        </w:rPr>
        <w:t>min</w:t>
      </w:r>
      <w:r>
        <w:rPr>
          <w:color w:val="1D1C1E"/>
        </w:rPr>
        <w:t>ate</w:t>
      </w:r>
      <w:r>
        <w:rPr>
          <w:color w:val="09090A"/>
        </w:rPr>
        <w:t>d</w:t>
      </w:r>
      <w:r>
        <w:rPr>
          <w:color w:val="09090A"/>
          <w:spacing w:val="-14"/>
        </w:rPr>
        <w:t xml:space="preserve"> </w:t>
      </w:r>
      <w:r>
        <w:rPr>
          <w:color w:val="09090A"/>
        </w:rPr>
        <w:t>in</w:t>
      </w:r>
      <w:r>
        <w:rPr>
          <w:color w:val="09090A"/>
          <w:spacing w:val="-16"/>
        </w:rPr>
        <w:t xml:space="preserve"> </w:t>
      </w:r>
      <w:r>
        <w:rPr>
          <w:color w:val="1D1C1E"/>
        </w:rPr>
        <w:t>s</w:t>
      </w:r>
      <w:r>
        <w:rPr>
          <w:color w:val="09090A"/>
        </w:rPr>
        <w:t>t</w:t>
      </w:r>
      <w:r>
        <w:rPr>
          <w:color w:val="1D1C1E"/>
        </w:rPr>
        <w:t>e</w:t>
      </w:r>
      <w:r>
        <w:rPr>
          <w:color w:val="09090A"/>
        </w:rPr>
        <w:t>rl</w:t>
      </w:r>
      <w:r>
        <w:rPr>
          <w:color w:val="1D1C1E"/>
        </w:rPr>
        <w:t>i</w:t>
      </w:r>
      <w:r>
        <w:rPr>
          <w:color w:val="09090A"/>
        </w:rPr>
        <w:t>n</w:t>
      </w:r>
      <w:r>
        <w:rPr>
          <w:color w:val="3A3A3B"/>
        </w:rPr>
        <w:t>g,</w:t>
      </w:r>
      <w:r>
        <w:rPr>
          <w:color w:val="3A3A3B"/>
          <w:spacing w:val="-17"/>
        </w:rPr>
        <w:t xml:space="preserve"> </w:t>
      </w:r>
      <w:r>
        <w:rPr>
          <w:color w:val="3A3A3B"/>
        </w:rPr>
        <w:t>the</w:t>
      </w:r>
      <w:r>
        <w:rPr>
          <w:color w:val="3A3A3B"/>
          <w:spacing w:val="-17"/>
        </w:rPr>
        <w:t xml:space="preserve"> </w:t>
      </w:r>
      <w:r>
        <w:rPr>
          <w:color w:val="3A3A3B"/>
        </w:rPr>
        <w:t>Portfolio</w:t>
      </w:r>
      <w:r>
        <w:rPr>
          <w:color w:val="3A3A3B"/>
          <w:spacing w:val="-14"/>
        </w:rPr>
        <w:t xml:space="preserve"> </w:t>
      </w:r>
      <w:proofErr w:type="gramStart"/>
      <w:r>
        <w:rPr>
          <w:color w:val="3A3A3B"/>
        </w:rPr>
        <w:t>is</w:t>
      </w:r>
      <w:r>
        <w:rPr>
          <w:color w:val="3A3A3B"/>
          <w:spacing w:val="-13"/>
        </w:rPr>
        <w:t xml:space="preserve"> </w:t>
      </w:r>
      <w:r>
        <w:rPr>
          <w:color w:val="3A3A3B"/>
        </w:rPr>
        <w:t>located</w:t>
      </w:r>
      <w:r>
        <w:rPr>
          <w:color w:val="3A3A3B"/>
          <w:spacing w:val="-17"/>
        </w:rPr>
        <w:t xml:space="preserve"> </w:t>
      </w:r>
      <w:r>
        <w:rPr>
          <w:color w:val="3A3A3B"/>
        </w:rPr>
        <w:t>in</w:t>
      </w:r>
      <w:proofErr w:type="gramEnd"/>
      <w:r>
        <w:rPr>
          <w:color w:val="3A3A3B"/>
          <w:spacing w:val="-14"/>
        </w:rPr>
        <w:t xml:space="preserve"> </w:t>
      </w:r>
      <w:r>
        <w:rPr>
          <w:color w:val="3A3A3B"/>
        </w:rPr>
        <w:t>the</w:t>
      </w:r>
      <w:r>
        <w:rPr>
          <w:color w:val="3A3A3B"/>
          <w:spacing w:val="-14"/>
        </w:rPr>
        <w:t xml:space="preserve"> </w:t>
      </w:r>
      <w:r>
        <w:rPr>
          <w:color w:val="3A3A3B"/>
        </w:rPr>
        <w:t>Republic</w:t>
      </w:r>
      <w:r>
        <w:rPr>
          <w:color w:val="3A3A3B"/>
          <w:spacing w:val="-16"/>
        </w:rPr>
        <w:t xml:space="preserve"> </w:t>
      </w:r>
      <w:r>
        <w:rPr>
          <w:color w:val="3A3A3B"/>
        </w:rPr>
        <w:t>of</w:t>
      </w:r>
      <w:r>
        <w:rPr>
          <w:color w:val="3A3A3B"/>
          <w:spacing w:val="-14"/>
        </w:rPr>
        <w:t xml:space="preserve"> </w:t>
      </w:r>
      <w:r>
        <w:rPr>
          <w:color w:val="3A3A3B"/>
        </w:rPr>
        <w:t>Cyprus</w:t>
      </w:r>
      <w:r w:rsidR="004474AD">
        <w:rPr>
          <w:color w:val="3A3A3B"/>
        </w:rPr>
        <w:t xml:space="preserve"> and in Canada</w:t>
      </w:r>
      <w:r>
        <w:rPr>
          <w:color w:val="3A3A3B"/>
        </w:rPr>
        <w:t xml:space="preserve"> which </w:t>
      </w:r>
      <w:r w:rsidR="00D35B65">
        <w:rPr>
          <w:color w:val="3A3A3B"/>
        </w:rPr>
        <w:t>use</w:t>
      </w:r>
      <w:r w:rsidR="005F1E3A">
        <w:rPr>
          <w:color w:val="3A3A3B"/>
        </w:rPr>
        <w:t xml:space="preserve"> the</w:t>
      </w:r>
      <w:r w:rsidR="00D35B65">
        <w:rPr>
          <w:color w:val="3A3A3B"/>
        </w:rPr>
        <w:t xml:space="preserve"> Euro and Canadian </w:t>
      </w:r>
      <w:r w:rsidR="00F35AF9">
        <w:rPr>
          <w:color w:val="3A3A3B"/>
        </w:rPr>
        <w:t xml:space="preserve">dollar </w:t>
      </w:r>
      <w:r w:rsidR="00D35B65">
        <w:rPr>
          <w:color w:val="3A3A3B"/>
        </w:rPr>
        <w:t>respectively</w:t>
      </w:r>
      <w:r>
        <w:rPr>
          <w:color w:val="3A3A3B"/>
        </w:rPr>
        <w:t xml:space="preserve">. In addition, </w:t>
      </w:r>
      <w:r>
        <w:rPr>
          <w:color w:val="09090A"/>
        </w:rPr>
        <w:t>th</w:t>
      </w:r>
      <w:r>
        <w:rPr>
          <w:color w:val="1D1C1E"/>
        </w:rPr>
        <w:t>e mark</w:t>
      </w:r>
      <w:r>
        <w:rPr>
          <w:color w:val="09090A"/>
        </w:rPr>
        <w:t>et</w:t>
      </w:r>
      <w:r>
        <w:rPr>
          <w:color w:val="1D1C1E"/>
        </w:rPr>
        <w:t xml:space="preserve">s </w:t>
      </w:r>
      <w:r>
        <w:rPr>
          <w:color w:val="09090A"/>
        </w:rPr>
        <w:t>f</w:t>
      </w:r>
      <w:r>
        <w:rPr>
          <w:color w:val="1D1C1E"/>
        </w:rPr>
        <w:t xml:space="preserve">or </w:t>
      </w:r>
      <w:r>
        <w:rPr>
          <w:color w:val="09090A"/>
        </w:rPr>
        <w:t>the co</w:t>
      </w:r>
      <w:r>
        <w:rPr>
          <w:color w:val="1D1C1E"/>
        </w:rPr>
        <w:t>m</w:t>
      </w:r>
      <w:r>
        <w:rPr>
          <w:color w:val="09090A"/>
        </w:rPr>
        <w:t>m</w:t>
      </w:r>
      <w:r>
        <w:rPr>
          <w:color w:val="1D1C1E"/>
        </w:rPr>
        <w:t>o</w:t>
      </w:r>
      <w:r>
        <w:rPr>
          <w:color w:val="09090A"/>
        </w:rPr>
        <w:t>diti</w:t>
      </w:r>
      <w:r>
        <w:rPr>
          <w:color w:val="1D1C1E"/>
        </w:rPr>
        <w:t xml:space="preserve">es </w:t>
      </w:r>
      <w:r>
        <w:rPr>
          <w:color w:val="09090A"/>
        </w:rPr>
        <w:t>pr</w:t>
      </w:r>
      <w:r>
        <w:rPr>
          <w:color w:val="1D1C1E"/>
        </w:rPr>
        <w:t>oduce</w:t>
      </w:r>
      <w:r>
        <w:rPr>
          <w:color w:val="09090A"/>
        </w:rPr>
        <w:t xml:space="preserve">d </w:t>
      </w:r>
      <w:r>
        <w:rPr>
          <w:color w:val="1D1C1E"/>
        </w:rPr>
        <w:t>w</w:t>
      </w:r>
      <w:r>
        <w:rPr>
          <w:color w:val="09090A"/>
        </w:rPr>
        <w:t>ith</w:t>
      </w:r>
      <w:r>
        <w:rPr>
          <w:color w:val="1D1C1E"/>
        </w:rPr>
        <w:t>i</w:t>
      </w:r>
      <w:r>
        <w:rPr>
          <w:color w:val="09090A"/>
        </w:rPr>
        <w:t>n th</w:t>
      </w:r>
      <w:r>
        <w:rPr>
          <w:color w:val="1D1C1E"/>
        </w:rPr>
        <w:t xml:space="preserve">e </w:t>
      </w:r>
      <w:r>
        <w:rPr>
          <w:color w:val="09090A"/>
        </w:rPr>
        <w:t>re</w:t>
      </w:r>
      <w:r>
        <w:rPr>
          <w:color w:val="1D1C1E"/>
        </w:rPr>
        <w:t>so</w:t>
      </w:r>
      <w:r>
        <w:rPr>
          <w:color w:val="09090A"/>
        </w:rPr>
        <w:t>u</w:t>
      </w:r>
      <w:r>
        <w:rPr>
          <w:color w:val="1D1C1E"/>
        </w:rPr>
        <w:t>rc</w:t>
      </w:r>
      <w:r>
        <w:rPr>
          <w:color w:val="09090A"/>
        </w:rPr>
        <w:t>e</w:t>
      </w:r>
      <w:r>
        <w:rPr>
          <w:color w:val="1D1C1E"/>
        </w:rPr>
        <w:t>s sec</w:t>
      </w:r>
      <w:r>
        <w:rPr>
          <w:color w:val="09090A"/>
        </w:rPr>
        <w:t>t</w:t>
      </w:r>
      <w:r>
        <w:rPr>
          <w:color w:val="1D1C1E"/>
        </w:rPr>
        <w:t>o</w:t>
      </w:r>
      <w:r>
        <w:rPr>
          <w:color w:val="09090A"/>
        </w:rPr>
        <w:t xml:space="preserve">r </w:t>
      </w:r>
      <w:r>
        <w:rPr>
          <w:color w:val="1D1C1E"/>
        </w:rPr>
        <w:t>a</w:t>
      </w:r>
      <w:r>
        <w:rPr>
          <w:color w:val="09090A"/>
        </w:rPr>
        <w:t>r</w:t>
      </w:r>
      <w:r>
        <w:rPr>
          <w:color w:val="1D1C1E"/>
        </w:rPr>
        <w:t xml:space="preserve">e </w:t>
      </w:r>
      <w:r>
        <w:rPr>
          <w:color w:val="09090A"/>
        </w:rPr>
        <w:t>pred</w:t>
      </w:r>
      <w:r>
        <w:rPr>
          <w:color w:val="1D1C1E"/>
        </w:rPr>
        <w:t>o</w:t>
      </w:r>
      <w:r>
        <w:rPr>
          <w:color w:val="09090A"/>
        </w:rPr>
        <w:t>m</w:t>
      </w:r>
      <w:r>
        <w:rPr>
          <w:color w:val="1D1C1E"/>
        </w:rPr>
        <w:t>i</w:t>
      </w:r>
      <w:r>
        <w:rPr>
          <w:color w:val="09090A"/>
        </w:rPr>
        <w:t>n</w:t>
      </w:r>
      <w:r>
        <w:rPr>
          <w:color w:val="1D1C1E"/>
        </w:rPr>
        <w:t>a</w:t>
      </w:r>
      <w:r>
        <w:rPr>
          <w:color w:val="09090A"/>
        </w:rPr>
        <w:t>te</w:t>
      </w:r>
      <w:r>
        <w:rPr>
          <w:color w:val="1D1C1E"/>
        </w:rPr>
        <w:t>ly</w:t>
      </w:r>
      <w:r>
        <w:rPr>
          <w:color w:val="1D1C1E"/>
          <w:spacing w:val="-14"/>
        </w:rPr>
        <w:t xml:space="preserve"> </w:t>
      </w:r>
      <w:r>
        <w:rPr>
          <w:color w:val="09090A"/>
        </w:rPr>
        <w:t>pri</w:t>
      </w:r>
      <w:r>
        <w:rPr>
          <w:color w:val="1D1C1E"/>
        </w:rPr>
        <w:t>c</w:t>
      </w:r>
      <w:r>
        <w:rPr>
          <w:color w:val="09090A"/>
        </w:rPr>
        <w:t>ed</w:t>
      </w:r>
      <w:r>
        <w:rPr>
          <w:color w:val="09090A"/>
          <w:spacing w:val="-11"/>
        </w:rPr>
        <w:t xml:space="preserve"> </w:t>
      </w:r>
      <w:r>
        <w:rPr>
          <w:color w:val="09090A"/>
        </w:rPr>
        <w:t>in</w:t>
      </w:r>
      <w:r>
        <w:rPr>
          <w:color w:val="09090A"/>
          <w:spacing w:val="-11"/>
        </w:rPr>
        <w:t xml:space="preserve"> </w:t>
      </w:r>
      <w:r>
        <w:rPr>
          <w:color w:val="09090A"/>
        </w:rPr>
        <w:t>U</w:t>
      </w:r>
      <w:r>
        <w:rPr>
          <w:color w:val="1D1C1E"/>
        </w:rPr>
        <w:t>S</w:t>
      </w:r>
      <w:r>
        <w:rPr>
          <w:color w:val="1D1C1E"/>
          <w:spacing w:val="-12"/>
        </w:rPr>
        <w:t xml:space="preserve"> </w:t>
      </w:r>
      <w:r>
        <w:rPr>
          <w:color w:val="1D1C1E"/>
        </w:rPr>
        <w:t>do</w:t>
      </w:r>
      <w:r>
        <w:rPr>
          <w:color w:val="09090A"/>
        </w:rPr>
        <w:t>l</w:t>
      </w:r>
      <w:r>
        <w:rPr>
          <w:color w:val="1D1C1E"/>
        </w:rPr>
        <w:t>lar</w:t>
      </w:r>
      <w:r>
        <w:rPr>
          <w:color w:val="3A3A3B"/>
        </w:rPr>
        <w:t>s.</w:t>
      </w:r>
      <w:r>
        <w:rPr>
          <w:color w:val="3A3A3B"/>
          <w:spacing w:val="-12"/>
        </w:rPr>
        <w:t xml:space="preserve"> </w:t>
      </w:r>
      <w:r>
        <w:rPr>
          <w:color w:val="09090A"/>
        </w:rPr>
        <w:t>Th</w:t>
      </w:r>
      <w:r>
        <w:rPr>
          <w:color w:val="1D1C1E"/>
        </w:rPr>
        <w:t>e</w:t>
      </w:r>
      <w:r>
        <w:rPr>
          <w:color w:val="1D1C1E"/>
          <w:spacing w:val="-9"/>
        </w:rPr>
        <w:t xml:space="preserve"> </w:t>
      </w:r>
      <w:r>
        <w:rPr>
          <w:color w:val="09090A"/>
        </w:rPr>
        <w:t>Group</w:t>
      </w:r>
      <w:r>
        <w:rPr>
          <w:color w:val="09090A"/>
          <w:spacing w:val="-11"/>
        </w:rPr>
        <w:t xml:space="preserve"> </w:t>
      </w:r>
      <w:r>
        <w:rPr>
          <w:color w:val="09090A"/>
        </w:rPr>
        <w:t>d</w:t>
      </w:r>
      <w:r>
        <w:rPr>
          <w:color w:val="1D1C1E"/>
        </w:rPr>
        <w:t>o</w:t>
      </w:r>
      <w:r>
        <w:rPr>
          <w:color w:val="09090A"/>
        </w:rPr>
        <w:t>es</w:t>
      </w:r>
      <w:r>
        <w:rPr>
          <w:color w:val="09090A"/>
          <w:spacing w:val="-11"/>
        </w:rPr>
        <w:t xml:space="preserve"> </w:t>
      </w:r>
      <w:r>
        <w:rPr>
          <w:color w:val="09090A"/>
        </w:rPr>
        <w:t>n</w:t>
      </w:r>
      <w:r>
        <w:rPr>
          <w:color w:val="1D1C1E"/>
        </w:rPr>
        <w:t>o</w:t>
      </w:r>
      <w:r>
        <w:rPr>
          <w:color w:val="09090A"/>
        </w:rPr>
        <w:t>t</w:t>
      </w:r>
      <w:r>
        <w:rPr>
          <w:color w:val="09090A"/>
          <w:spacing w:val="-11"/>
        </w:rPr>
        <w:t xml:space="preserve"> </w:t>
      </w:r>
      <w:r>
        <w:rPr>
          <w:color w:val="09090A"/>
        </w:rPr>
        <w:t>intend</w:t>
      </w:r>
      <w:r>
        <w:rPr>
          <w:color w:val="09090A"/>
          <w:spacing w:val="-10"/>
        </w:rPr>
        <w:t xml:space="preserve"> </w:t>
      </w:r>
      <w:r>
        <w:rPr>
          <w:color w:val="1D1C1E"/>
        </w:rPr>
        <w:t>to</w:t>
      </w:r>
      <w:r>
        <w:rPr>
          <w:color w:val="1D1C1E"/>
          <w:spacing w:val="-11"/>
        </w:rPr>
        <w:t xml:space="preserve"> </w:t>
      </w:r>
      <w:r>
        <w:rPr>
          <w:color w:val="09090A"/>
        </w:rPr>
        <w:t>h</w:t>
      </w:r>
      <w:r>
        <w:rPr>
          <w:color w:val="1D1C1E"/>
        </w:rPr>
        <w:t>e</w:t>
      </w:r>
      <w:r>
        <w:rPr>
          <w:color w:val="09090A"/>
        </w:rPr>
        <w:t>dg</w:t>
      </w:r>
      <w:r>
        <w:rPr>
          <w:color w:val="1D1C1E"/>
        </w:rPr>
        <w:t>e</w:t>
      </w:r>
      <w:r>
        <w:rPr>
          <w:color w:val="1D1C1E"/>
          <w:spacing w:val="-11"/>
        </w:rPr>
        <w:t xml:space="preserve"> </w:t>
      </w:r>
      <w:r>
        <w:rPr>
          <w:color w:val="1D1C1E"/>
        </w:rPr>
        <w:t>t</w:t>
      </w:r>
      <w:r>
        <w:rPr>
          <w:color w:val="09090A"/>
        </w:rPr>
        <w:t>he</w:t>
      </w:r>
      <w:r>
        <w:rPr>
          <w:color w:val="09090A"/>
          <w:spacing w:val="-9"/>
        </w:rPr>
        <w:t xml:space="preserve"> </w:t>
      </w:r>
      <w:r>
        <w:rPr>
          <w:color w:val="1D1C1E"/>
        </w:rPr>
        <w:t>N</w:t>
      </w:r>
      <w:r>
        <w:rPr>
          <w:color w:val="09090A"/>
        </w:rPr>
        <w:t>et</w:t>
      </w:r>
      <w:r>
        <w:rPr>
          <w:color w:val="09090A"/>
          <w:spacing w:val="-10"/>
        </w:rPr>
        <w:t xml:space="preserve"> </w:t>
      </w:r>
      <w:r>
        <w:rPr>
          <w:color w:val="1D1C1E"/>
        </w:rPr>
        <w:t>P</w:t>
      </w:r>
      <w:r>
        <w:rPr>
          <w:color w:val="09090A"/>
        </w:rPr>
        <w:t>ro</w:t>
      </w:r>
      <w:r>
        <w:rPr>
          <w:color w:val="1D1C1E"/>
        </w:rPr>
        <w:t>cee</w:t>
      </w:r>
      <w:r>
        <w:rPr>
          <w:color w:val="09090A"/>
        </w:rPr>
        <w:t>d</w:t>
      </w:r>
      <w:r>
        <w:rPr>
          <w:color w:val="1D1C1E"/>
        </w:rPr>
        <w:t>s</w:t>
      </w:r>
      <w:r>
        <w:rPr>
          <w:color w:val="1D1C1E"/>
          <w:spacing w:val="-10"/>
        </w:rPr>
        <w:t xml:space="preserve"> </w:t>
      </w:r>
      <w:r>
        <w:rPr>
          <w:color w:val="1D1C1E"/>
        </w:rPr>
        <w:t>aga</w:t>
      </w:r>
      <w:r>
        <w:rPr>
          <w:color w:val="09090A"/>
        </w:rPr>
        <w:t>in</w:t>
      </w:r>
      <w:r>
        <w:rPr>
          <w:color w:val="1D1C1E"/>
        </w:rPr>
        <w:t>s</w:t>
      </w:r>
      <w:r>
        <w:rPr>
          <w:color w:val="09090A"/>
        </w:rPr>
        <w:t>t</w:t>
      </w:r>
      <w:r>
        <w:rPr>
          <w:color w:val="09090A"/>
          <w:spacing w:val="-10"/>
        </w:rPr>
        <w:t xml:space="preserve"> </w:t>
      </w:r>
      <w:r>
        <w:rPr>
          <w:color w:val="09090A"/>
        </w:rPr>
        <w:t>ri</w:t>
      </w:r>
      <w:r>
        <w:rPr>
          <w:color w:val="1D1C1E"/>
        </w:rPr>
        <w:t>sks</w:t>
      </w:r>
      <w:r>
        <w:rPr>
          <w:color w:val="1D1C1E"/>
          <w:spacing w:val="-10"/>
        </w:rPr>
        <w:t xml:space="preserve"> </w:t>
      </w:r>
      <w:r>
        <w:rPr>
          <w:color w:val="09090A"/>
        </w:rPr>
        <w:t>f</w:t>
      </w:r>
      <w:r>
        <w:rPr>
          <w:color w:val="1D1C1E"/>
        </w:rPr>
        <w:t>o</w:t>
      </w:r>
      <w:r>
        <w:rPr>
          <w:color w:val="09090A"/>
        </w:rPr>
        <w:t>r</w:t>
      </w:r>
      <w:r>
        <w:rPr>
          <w:color w:val="09090A"/>
          <w:spacing w:val="-12"/>
        </w:rPr>
        <w:t xml:space="preserve"> </w:t>
      </w:r>
      <w:r>
        <w:rPr>
          <w:color w:val="1D1C1E"/>
        </w:rPr>
        <w:t>a</w:t>
      </w:r>
      <w:r>
        <w:rPr>
          <w:color w:val="09090A"/>
        </w:rPr>
        <w:t>d</w:t>
      </w:r>
      <w:r>
        <w:rPr>
          <w:color w:val="1D1C1E"/>
        </w:rPr>
        <w:t>v</w:t>
      </w:r>
      <w:r>
        <w:rPr>
          <w:color w:val="09090A"/>
        </w:rPr>
        <w:t>er</w:t>
      </w:r>
      <w:r>
        <w:rPr>
          <w:color w:val="1D1C1E"/>
        </w:rPr>
        <w:t>s</w:t>
      </w:r>
      <w:r>
        <w:rPr>
          <w:color w:val="09090A"/>
        </w:rPr>
        <w:t>e e</w:t>
      </w:r>
      <w:r>
        <w:rPr>
          <w:color w:val="3A3A3B"/>
        </w:rPr>
        <w:t>x</w:t>
      </w:r>
      <w:r>
        <w:rPr>
          <w:color w:val="1D1C1E"/>
        </w:rPr>
        <w:t>c</w:t>
      </w:r>
      <w:r>
        <w:rPr>
          <w:color w:val="09090A"/>
        </w:rPr>
        <w:t>h</w:t>
      </w:r>
      <w:r>
        <w:rPr>
          <w:color w:val="1D1C1E"/>
        </w:rPr>
        <w:t>a</w:t>
      </w:r>
      <w:r>
        <w:rPr>
          <w:color w:val="09090A"/>
        </w:rPr>
        <w:t>n</w:t>
      </w:r>
      <w:r>
        <w:rPr>
          <w:color w:val="1D1C1E"/>
        </w:rPr>
        <w:t xml:space="preserve">ge </w:t>
      </w:r>
      <w:r>
        <w:rPr>
          <w:color w:val="09090A"/>
        </w:rPr>
        <w:t>r</w:t>
      </w:r>
      <w:r>
        <w:rPr>
          <w:color w:val="1D1C1E"/>
        </w:rPr>
        <w:t>a</w:t>
      </w:r>
      <w:r>
        <w:rPr>
          <w:color w:val="09090A"/>
        </w:rPr>
        <w:t>t</w:t>
      </w:r>
      <w:r>
        <w:rPr>
          <w:color w:val="1D1C1E"/>
        </w:rPr>
        <w:t>e mo</w:t>
      </w:r>
      <w:r>
        <w:rPr>
          <w:color w:val="3A3A3B"/>
        </w:rPr>
        <w:t>v</w:t>
      </w:r>
      <w:r>
        <w:rPr>
          <w:color w:val="1D1C1E"/>
        </w:rPr>
        <w:t>e</w:t>
      </w:r>
      <w:r>
        <w:rPr>
          <w:color w:val="09090A"/>
        </w:rPr>
        <w:t>m</w:t>
      </w:r>
      <w:r>
        <w:rPr>
          <w:color w:val="1D1C1E"/>
        </w:rPr>
        <w:t>e</w:t>
      </w:r>
      <w:r>
        <w:rPr>
          <w:color w:val="09090A"/>
        </w:rPr>
        <w:t>nt</w:t>
      </w:r>
      <w:r>
        <w:rPr>
          <w:color w:val="1D1C1E"/>
        </w:rPr>
        <w:t>s aga</w:t>
      </w:r>
      <w:r>
        <w:rPr>
          <w:color w:val="09090A"/>
        </w:rPr>
        <w:t>in</w:t>
      </w:r>
      <w:r>
        <w:rPr>
          <w:color w:val="1D1C1E"/>
        </w:rPr>
        <w:t>s</w:t>
      </w:r>
      <w:r>
        <w:rPr>
          <w:color w:val="09090A"/>
        </w:rPr>
        <w:t xml:space="preserve">t the euro or the </w:t>
      </w:r>
      <w:r w:rsidR="005F1E3A">
        <w:rPr>
          <w:color w:val="09090A"/>
        </w:rPr>
        <w:t xml:space="preserve">Canadian or </w:t>
      </w:r>
      <w:r>
        <w:rPr>
          <w:color w:val="09090A"/>
        </w:rPr>
        <w:t>U</w:t>
      </w:r>
      <w:r>
        <w:rPr>
          <w:color w:val="1D1C1E"/>
        </w:rPr>
        <w:t xml:space="preserve">S </w:t>
      </w:r>
      <w:r>
        <w:rPr>
          <w:color w:val="09090A"/>
        </w:rPr>
        <w:t>d</w:t>
      </w:r>
      <w:r>
        <w:rPr>
          <w:color w:val="1D1C1E"/>
        </w:rPr>
        <w:t>o</w:t>
      </w:r>
      <w:r>
        <w:rPr>
          <w:color w:val="09090A"/>
        </w:rPr>
        <w:t>ll</w:t>
      </w:r>
      <w:r>
        <w:rPr>
          <w:color w:val="1D1C1E"/>
        </w:rPr>
        <w:t>a</w:t>
      </w:r>
      <w:r>
        <w:rPr>
          <w:color w:val="09090A"/>
        </w:rPr>
        <w:t>r immediately. A</w:t>
      </w:r>
      <w:r>
        <w:rPr>
          <w:color w:val="1D1C1E"/>
        </w:rPr>
        <w:t>s s</w:t>
      </w:r>
      <w:r>
        <w:rPr>
          <w:color w:val="09090A"/>
        </w:rPr>
        <w:t>uch</w:t>
      </w:r>
      <w:r>
        <w:rPr>
          <w:color w:val="3A3A3B"/>
        </w:rPr>
        <w:t xml:space="preserve">, </w:t>
      </w:r>
      <w:r>
        <w:rPr>
          <w:color w:val="09090A"/>
        </w:rPr>
        <w:t>th</w:t>
      </w:r>
      <w:r>
        <w:rPr>
          <w:color w:val="1D1C1E"/>
        </w:rPr>
        <w:t xml:space="preserve">e Group </w:t>
      </w:r>
      <w:r>
        <w:rPr>
          <w:color w:val="09090A"/>
        </w:rPr>
        <w:t>m</w:t>
      </w:r>
      <w:r>
        <w:rPr>
          <w:color w:val="1D1C1E"/>
        </w:rPr>
        <w:t>ay b</w:t>
      </w:r>
      <w:r>
        <w:rPr>
          <w:color w:val="09090A"/>
        </w:rPr>
        <w:t xml:space="preserve">e </w:t>
      </w:r>
      <w:r>
        <w:rPr>
          <w:color w:val="1D1C1E"/>
        </w:rPr>
        <w:t>adverse</w:t>
      </w:r>
      <w:r>
        <w:rPr>
          <w:color w:val="09090A"/>
        </w:rPr>
        <w:t>l</w:t>
      </w:r>
      <w:r>
        <w:rPr>
          <w:color w:val="1D1C1E"/>
        </w:rPr>
        <w:t>y a</w:t>
      </w:r>
      <w:r>
        <w:rPr>
          <w:color w:val="09090A"/>
        </w:rPr>
        <w:t>ff</w:t>
      </w:r>
      <w:r>
        <w:rPr>
          <w:color w:val="1D1C1E"/>
        </w:rPr>
        <w:t>ec</w:t>
      </w:r>
      <w:r>
        <w:rPr>
          <w:color w:val="09090A"/>
        </w:rPr>
        <w:t>t</w:t>
      </w:r>
      <w:r>
        <w:rPr>
          <w:color w:val="1D1C1E"/>
        </w:rPr>
        <w:t>e</w:t>
      </w:r>
      <w:r>
        <w:rPr>
          <w:color w:val="09090A"/>
        </w:rPr>
        <w:t>d</w:t>
      </w:r>
      <w:r>
        <w:rPr>
          <w:color w:val="09090A"/>
          <w:spacing w:val="-4"/>
        </w:rPr>
        <w:t xml:space="preserve"> </w:t>
      </w:r>
      <w:r>
        <w:rPr>
          <w:color w:val="09090A"/>
        </w:rPr>
        <w:t>b</w:t>
      </w:r>
      <w:r>
        <w:rPr>
          <w:color w:val="1D1C1E"/>
        </w:rPr>
        <w:t>y</w:t>
      </w:r>
      <w:r>
        <w:rPr>
          <w:color w:val="1D1C1E"/>
          <w:spacing w:val="-3"/>
        </w:rPr>
        <w:t xml:space="preserve"> </w:t>
      </w:r>
      <w:r>
        <w:rPr>
          <w:color w:val="09090A"/>
        </w:rPr>
        <w:t>currenc</w:t>
      </w:r>
      <w:r>
        <w:rPr>
          <w:color w:val="1D1C1E"/>
        </w:rPr>
        <w:t>y</w:t>
      </w:r>
      <w:r>
        <w:rPr>
          <w:color w:val="1D1C1E"/>
          <w:spacing w:val="-3"/>
        </w:rPr>
        <w:t xml:space="preserve"> </w:t>
      </w:r>
      <w:r>
        <w:rPr>
          <w:color w:val="1D1C1E"/>
        </w:rPr>
        <w:t>exc</w:t>
      </w:r>
      <w:r>
        <w:rPr>
          <w:color w:val="09090A"/>
        </w:rPr>
        <w:t>h</w:t>
      </w:r>
      <w:r>
        <w:rPr>
          <w:color w:val="1D1C1E"/>
        </w:rPr>
        <w:t>a</w:t>
      </w:r>
      <w:r>
        <w:rPr>
          <w:color w:val="09090A"/>
        </w:rPr>
        <w:t>n</w:t>
      </w:r>
      <w:r>
        <w:rPr>
          <w:color w:val="1D1C1E"/>
        </w:rPr>
        <w:t>g</w:t>
      </w:r>
      <w:r>
        <w:rPr>
          <w:color w:val="09090A"/>
        </w:rPr>
        <w:t>e</w:t>
      </w:r>
      <w:r>
        <w:rPr>
          <w:color w:val="09090A"/>
          <w:spacing w:val="-4"/>
        </w:rPr>
        <w:t xml:space="preserve"> </w:t>
      </w:r>
      <w:r>
        <w:rPr>
          <w:color w:val="09090A"/>
        </w:rPr>
        <w:t>r</w:t>
      </w:r>
      <w:r>
        <w:rPr>
          <w:color w:val="1D1C1E"/>
        </w:rPr>
        <w:t>ate</w:t>
      </w:r>
      <w:r>
        <w:rPr>
          <w:color w:val="1D1C1E"/>
          <w:spacing w:val="-1"/>
        </w:rPr>
        <w:t xml:space="preserve"> </w:t>
      </w:r>
      <w:r>
        <w:rPr>
          <w:color w:val="09090A"/>
        </w:rPr>
        <w:t>flu</w:t>
      </w:r>
      <w:r>
        <w:rPr>
          <w:color w:val="1D1C1E"/>
        </w:rPr>
        <w:t>c</w:t>
      </w:r>
      <w:r>
        <w:rPr>
          <w:color w:val="09090A"/>
        </w:rPr>
        <w:t>tu</w:t>
      </w:r>
      <w:r>
        <w:rPr>
          <w:color w:val="1D1C1E"/>
        </w:rPr>
        <w:t>at</w:t>
      </w:r>
      <w:r>
        <w:rPr>
          <w:color w:val="09090A"/>
        </w:rPr>
        <w:t>ion</w:t>
      </w:r>
      <w:r>
        <w:rPr>
          <w:color w:val="1D1C1E"/>
        </w:rPr>
        <w:t>s</w:t>
      </w:r>
      <w:r>
        <w:rPr>
          <w:color w:val="1D1C1E"/>
          <w:spacing w:val="-1"/>
        </w:rPr>
        <w:t xml:space="preserve"> </w:t>
      </w:r>
      <w:r>
        <w:rPr>
          <w:color w:val="09090A"/>
        </w:rPr>
        <w:t>fr</w:t>
      </w:r>
      <w:r>
        <w:rPr>
          <w:color w:val="1D1C1E"/>
        </w:rPr>
        <w:t>o</w:t>
      </w:r>
      <w:r>
        <w:rPr>
          <w:color w:val="09090A"/>
        </w:rPr>
        <w:t>m</w:t>
      </w:r>
      <w:r>
        <w:rPr>
          <w:color w:val="09090A"/>
          <w:spacing w:val="-1"/>
        </w:rPr>
        <w:t xml:space="preserve"> </w:t>
      </w:r>
      <w:r>
        <w:rPr>
          <w:color w:val="1D1C1E"/>
        </w:rPr>
        <w:t>Admission</w:t>
      </w:r>
      <w:r>
        <w:rPr>
          <w:color w:val="1D1C1E"/>
          <w:spacing w:val="-1"/>
        </w:rPr>
        <w:t xml:space="preserve"> </w:t>
      </w:r>
      <w:r>
        <w:rPr>
          <w:color w:val="09090A"/>
        </w:rPr>
        <w:t>if</w:t>
      </w:r>
      <w:r>
        <w:rPr>
          <w:color w:val="09090A"/>
          <w:spacing w:val="-4"/>
        </w:rPr>
        <w:t xml:space="preserve"> </w:t>
      </w:r>
      <w:r>
        <w:rPr>
          <w:color w:val="09090A"/>
        </w:rPr>
        <w:t>it</w:t>
      </w:r>
      <w:r>
        <w:rPr>
          <w:color w:val="09090A"/>
          <w:spacing w:val="-2"/>
        </w:rPr>
        <w:t xml:space="preserve"> </w:t>
      </w:r>
      <w:r>
        <w:rPr>
          <w:color w:val="09090A"/>
        </w:rPr>
        <w:t>does</w:t>
      </w:r>
      <w:r>
        <w:rPr>
          <w:color w:val="09090A"/>
          <w:spacing w:val="-3"/>
        </w:rPr>
        <w:t xml:space="preserve"> </w:t>
      </w:r>
      <w:r>
        <w:rPr>
          <w:color w:val="09090A"/>
        </w:rPr>
        <w:t>not</w:t>
      </w:r>
      <w:r>
        <w:rPr>
          <w:color w:val="09090A"/>
          <w:spacing w:val="-4"/>
        </w:rPr>
        <w:t xml:space="preserve"> </w:t>
      </w:r>
      <w:r>
        <w:rPr>
          <w:color w:val="09090A"/>
        </w:rPr>
        <w:t>h</w:t>
      </w:r>
      <w:r>
        <w:rPr>
          <w:color w:val="1D1C1E"/>
        </w:rPr>
        <w:t>e</w:t>
      </w:r>
      <w:r>
        <w:rPr>
          <w:color w:val="09090A"/>
        </w:rPr>
        <w:t>d</w:t>
      </w:r>
      <w:r>
        <w:rPr>
          <w:color w:val="1D1C1E"/>
        </w:rPr>
        <w:t>ge</w:t>
      </w:r>
      <w:r>
        <w:rPr>
          <w:color w:val="1D1C1E"/>
          <w:spacing w:val="-1"/>
        </w:rPr>
        <w:t xml:space="preserve"> </w:t>
      </w:r>
      <w:r>
        <w:rPr>
          <w:color w:val="09090A"/>
        </w:rPr>
        <w:t>th</w:t>
      </w:r>
      <w:r>
        <w:rPr>
          <w:color w:val="1D1C1E"/>
        </w:rPr>
        <w:t>e</w:t>
      </w:r>
      <w:r>
        <w:rPr>
          <w:color w:val="1D1C1E"/>
          <w:spacing w:val="-1"/>
        </w:rPr>
        <w:t xml:space="preserve"> </w:t>
      </w:r>
      <w:r>
        <w:rPr>
          <w:color w:val="1D1C1E"/>
        </w:rPr>
        <w:t>c</w:t>
      </w:r>
      <w:r>
        <w:rPr>
          <w:color w:val="09090A"/>
        </w:rPr>
        <w:t>urren</w:t>
      </w:r>
      <w:r>
        <w:rPr>
          <w:color w:val="1D1C1E"/>
        </w:rPr>
        <w:t>cy</w:t>
      </w:r>
      <w:r>
        <w:rPr>
          <w:color w:val="1D1C1E"/>
          <w:spacing w:val="-3"/>
        </w:rPr>
        <w:t xml:space="preserve"> </w:t>
      </w:r>
      <w:r>
        <w:rPr>
          <w:color w:val="1D1C1E"/>
        </w:rPr>
        <w:t>exc</w:t>
      </w:r>
      <w:r>
        <w:rPr>
          <w:color w:val="09090A"/>
        </w:rPr>
        <w:t>h</w:t>
      </w:r>
      <w:r>
        <w:rPr>
          <w:color w:val="1D1C1E"/>
        </w:rPr>
        <w:t>a</w:t>
      </w:r>
      <w:r>
        <w:rPr>
          <w:color w:val="09090A"/>
        </w:rPr>
        <w:t>n</w:t>
      </w:r>
      <w:r>
        <w:rPr>
          <w:color w:val="1D1C1E"/>
        </w:rPr>
        <w:t>ge</w:t>
      </w:r>
      <w:r>
        <w:rPr>
          <w:color w:val="1D1C1E"/>
          <w:spacing w:val="-4"/>
        </w:rPr>
        <w:t xml:space="preserve"> </w:t>
      </w:r>
      <w:r>
        <w:rPr>
          <w:color w:val="09090A"/>
        </w:rPr>
        <w:t>r</w:t>
      </w:r>
      <w:r>
        <w:rPr>
          <w:color w:val="1D1C1E"/>
        </w:rPr>
        <w:t>ate</w:t>
      </w:r>
      <w:r>
        <w:rPr>
          <w:color w:val="09090A"/>
        </w:rPr>
        <w:t>.</w:t>
      </w:r>
    </w:p>
    <w:bookmarkEnd w:id="2"/>
    <w:p w14:paraId="034C9803" w14:textId="77777777" w:rsidR="00783288" w:rsidRDefault="00783288">
      <w:pPr>
        <w:pStyle w:val="BodyText"/>
        <w:kinsoku w:val="0"/>
        <w:overflowPunct w:val="0"/>
        <w:spacing w:before="10"/>
        <w:rPr>
          <w:sz w:val="17"/>
          <w:szCs w:val="17"/>
        </w:rPr>
      </w:pPr>
    </w:p>
    <w:p w14:paraId="2C7061CA" w14:textId="3EEA9EC0" w:rsidR="00783288" w:rsidRDefault="00E31420">
      <w:pPr>
        <w:pStyle w:val="BodyText"/>
        <w:kinsoku w:val="0"/>
        <w:overflowPunct w:val="0"/>
        <w:ind w:left="300" w:right="1190"/>
        <w:jc w:val="both"/>
        <w:rPr>
          <w:color w:val="09090A"/>
        </w:rPr>
      </w:pPr>
      <w:r>
        <w:rPr>
          <w:color w:val="09090A"/>
        </w:rPr>
        <w:t xml:space="preserve">The </w:t>
      </w:r>
      <w:r>
        <w:rPr>
          <w:color w:val="1D1C1E"/>
        </w:rPr>
        <w:t>Group will b</w:t>
      </w:r>
      <w:r>
        <w:rPr>
          <w:color w:val="09090A"/>
        </w:rPr>
        <w:t xml:space="preserve">e </w:t>
      </w:r>
      <w:r>
        <w:rPr>
          <w:color w:val="1D1C1E"/>
        </w:rPr>
        <w:t>ex</w:t>
      </w:r>
      <w:r>
        <w:rPr>
          <w:color w:val="09090A"/>
        </w:rPr>
        <w:t>p</w:t>
      </w:r>
      <w:r>
        <w:rPr>
          <w:color w:val="1D1C1E"/>
        </w:rPr>
        <w:t>ose</w:t>
      </w:r>
      <w:r>
        <w:rPr>
          <w:color w:val="09090A"/>
        </w:rPr>
        <w:t xml:space="preserve">d </w:t>
      </w:r>
      <w:r>
        <w:rPr>
          <w:color w:val="1D1C1E"/>
        </w:rPr>
        <w:t>to c</w:t>
      </w:r>
      <w:r>
        <w:rPr>
          <w:color w:val="09090A"/>
        </w:rPr>
        <w:t>u</w:t>
      </w:r>
      <w:r>
        <w:rPr>
          <w:color w:val="1D1C1E"/>
        </w:rPr>
        <w:t>r</w:t>
      </w:r>
      <w:r>
        <w:rPr>
          <w:color w:val="09090A"/>
        </w:rPr>
        <w:t>ren</w:t>
      </w:r>
      <w:r>
        <w:rPr>
          <w:color w:val="1D1C1E"/>
        </w:rPr>
        <w:t xml:space="preserve">cy </w:t>
      </w:r>
      <w:r>
        <w:rPr>
          <w:color w:val="09090A"/>
        </w:rPr>
        <w:t>r</w:t>
      </w:r>
      <w:r>
        <w:rPr>
          <w:color w:val="1D1C1E"/>
        </w:rPr>
        <w:t>is</w:t>
      </w:r>
      <w:r>
        <w:rPr>
          <w:color w:val="09090A"/>
        </w:rPr>
        <w:t>k in relation to its operations in Cyprus</w:t>
      </w:r>
      <w:r w:rsidR="00D35B65">
        <w:rPr>
          <w:color w:val="09090A"/>
        </w:rPr>
        <w:t xml:space="preserve"> and in Canada</w:t>
      </w:r>
      <w:r>
        <w:rPr>
          <w:color w:val="09090A"/>
        </w:rPr>
        <w:t>. The Company’s functional and presentational currency is sterling, and this is the currency of the Company’s financial statements. However, a significant proportion of the Company’s business is conducted in the Europe</w:t>
      </w:r>
      <w:r w:rsidR="00024DF3">
        <w:rPr>
          <w:color w:val="09090A"/>
        </w:rPr>
        <w:t xml:space="preserve">an geographic </w:t>
      </w:r>
      <w:proofErr w:type="gramStart"/>
      <w:r w:rsidR="00024DF3">
        <w:rPr>
          <w:color w:val="09090A"/>
        </w:rPr>
        <w:t xml:space="preserve">region </w:t>
      </w:r>
      <w:r>
        <w:rPr>
          <w:color w:val="09090A"/>
        </w:rPr>
        <w:t xml:space="preserve"> (</w:t>
      </w:r>
      <w:proofErr w:type="gramEnd"/>
      <w:r>
        <w:rPr>
          <w:color w:val="09090A"/>
        </w:rPr>
        <w:t>notably Cyprus at the date of this Document)</w:t>
      </w:r>
      <w:r>
        <w:rPr>
          <w:color w:val="09090A"/>
          <w:spacing w:val="-13"/>
        </w:rPr>
        <w:t xml:space="preserve"> </w:t>
      </w:r>
      <w:r>
        <w:rPr>
          <w:color w:val="09090A"/>
        </w:rPr>
        <w:t>in</w:t>
      </w:r>
      <w:r>
        <w:rPr>
          <w:color w:val="09090A"/>
          <w:spacing w:val="-12"/>
        </w:rPr>
        <w:t xml:space="preserve"> </w:t>
      </w:r>
      <w:r>
        <w:rPr>
          <w:color w:val="09090A"/>
        </w:rPr>
        <w:t>Euros</w:t>
      </w:r>
      <w:r w:rsidR="00D35B65">
        <w:rPr>
          <w:color w:val="09090A"/>
        </w:rPr>
        <w:t xml:space="preserve"> and in Canada in Canadian dollars</w:t>
      </w:r>
      <w:r>
        <w:rPr>
          <w:color w:val="09090A"/>
        </w:rPr>
        <w:t>,</w:t>
      </w:r>
      <w:r>
        <w:rPr>
          <w:color w:val="09090A"/>
          <w:spacing w:val="-11"/>
        </w:rPr>
        <w:t xml:space="preserve"> </w:t>
      </w:r>
      <w:r>
        <w:rPr>
          <w:color w:val="09090A"/>
        </w:rPr>
        <w:t>and</w:t>
      </w:r>
      <w:r>
        <w:rPr>
          <w:color w:val="09090A"/>
          <w:spacing w:val="-12"/>
        </w:rPr>
        <w:t xml:space="preserve"> </w:t>
      </w:r>
      <w:r>
        <w:rPr>
          <w:color w:val="09090A"/>
        </w:rPr>
        <w:t>certain</w:t>
      </w:r>
      <w:r>
        <w:rPr>
          <w:color w:val="09090A"/>
          <w:spacing w:val="-11"/>
        </w:rPr>
        <w:t xml:space="preserve"> </w:t>
      </w:r>
      <w:r>
        <w:rPr>
          <w:color w:val="09090A"/>
        </w:rPr>
        <w:t>other</w:t>
      </w:r>
      <w:r>
        <w:rPr>
          <w:color w:val="09090A"/>
          <w:spacing w:val="-13"/>
        </w:rPr>
        <w:t xml:space="preserve"> </w:t>
      </w:r>
      <w:r>
        <w:rPr>
          <w:color w:val="09090A"/>
        </w:rPr>
        <w:t>expenses</w:t>
      </w:r>
      <w:r>
        <w:rPr>
          <w:color w:val="09090A"/>
          <w:spacing w:val="-10"/>
        </w:rPr>
        <w:t xml:space="preserve"> </w:t>
      </w:r>
      <w:r>
        <w:rPr>
          <w:color w:val="09090A"/>
        </w:rPr>
        <w:t>may</w:t>
      </w:r>
      <w:r>
        <w:rPr>
          <w:color w:val="09090A"/>
          <w:spacing w:val="-14"/>
        </w:rPr>
        <w:t xml:space="preserve"> </w:t>
      </w:r>
      <w:r>
        <w:rPr>
          <w:color w:val="09090A"/>
        </w:rPr>
        <w:t>be</w:t>
      </w:r>
      <w:r>
        <w:rPr>
          <w:color w:val="09090A"/>
          <w:spacing w:val="-11"/>
        </w:rPr>
        <w:t xml:space="preserve"> </w:t>
      </w:r>
      <w:r>
        <w:rPr>
          <w:color w:val="09090A"/>
        </w:rPr>
        <w:t>denominated</w:t>
      </w:r>
      <w:r>
        <w:rPr>
          <w:color w:val="09090A"/>
          <w:spacing w:val="-12"/>
        </w:rPr>
        <w:t xml:space="preserve"> </w:t>
      </w:r>
      <w:r>
        <w:rPr>
          <w:color w:val="09090A"/>
        </w:rPr>
        <w:t>in</w:t>
      </w:r>
      <w:r>
        <w:rPr>
          <w:color w:val="09090A"/>
          <w:spacing w:val="-11"/>
        </w:rPr>
        <w:t xml:space="preserve"> </w:t>
      </w:r>
      <w:r>
        <w:rPr>
          <w:color w:val="09090A"/>
        </w:rPr>
        <w:t>US</w:t>
      </w:r>
      <w:r>
        <w:rPr>
          <w:color w:val="09090A"/>
          <w:spacing w:val="-13"/>
        </w:rPr>
        <w:t xml:space="preserve"> </w:t>
      </w:r>
      <w:r>
        <w:rPr>
          <w:color w:val="09090A"/>
        </w:rPr>
        <w:t>dollars</w:t>
      </w:r>
      <w:r w:rsidR="00D62423">
        <w:rPr>
          <w:color w:val="09090A"/>
        </w:rPr>
        <w:t>.</w:t>
      </w:r>
      <w:r>
        <w:rPr>
          <w:color w:val="09090A"/>
          <w:spacing w:val="-11"/>
        </w:rPr>
        <w:t xml:space="preserve"> </w:t>
      </w:r>
      <w:r w:rsidR="00D62423">
        <w:rPr>
          <w:color w:val="09090A"/>
        </w:rPr>
        <w:t>C</w:t>
      </w:r>
      <w:r>
        <w:rPr>
          <w:color w:val="09090A"/>
        </w:rPr>
        <w:t>ertain</w:t>
      </w:r>
      <w:r>
        <w:rPr>
          <w:color w:val="09090A"/>
          <w:spacing w:val="-12"/>
        </w:rPr>
        <w:t xml:space="preserve"> </w:t>
      </w:r>
      <w:r>
        <w:rPr>
          <w:color w:val="09090A"/>
        </w:rPr>
        <w:t xml:space="preserve">amounts will </w:t>
      </w:r>
      <w:r w:rsidR="00D62423">
        <w:rPr>
          <w:color w:val="09090A"/>
        </w:rPr>
        <w:t xml:space="preserve">therefore </w:t>
      </w:r>
      <w:r>
        <w:rPr>
          <w:color w:val="09090A"/>
        </w:rPr>
        <w:t>need to be translated into sterling. Due to changes in exchange rates between sterling and the Euro</w:t>
      </w:r>
      <w:r w:rsidR="00D62423">
        <w:rPr>
          <w:color w:val="09090A"/>
        </w:rPr>
        <w:t>, Canadian</w:t>
      </w:r>
      <w:r>
        <w:rPr>
          <w:color w:val="09090A"/>
        </w:rPr>
        <w:t xml:space="preserve"> and US dollar this could lead to changes in the Company’s reported financial results from period to period. As a r</w:t>
      </w:r>
      <w:r>
        <w:rPr>
          <w:color w:val="1D1C1E"/>
        </w:rPr>
        <w:t>es</w:t>
      </w:r>
      <w:r>
        <w:rPr>
          <w:color w:val="09090A"/>
        </w:rPr>
        <w:t>ult</w:t>
      </w:r>
      <w:r>
        <w:rPr>
          <w:color w:val="1D1C1E"/>
        </w:rPr>
        <w:t xml:space="preserve">, </w:t>
      </w:r>
      <w:r>
        <w:rPr>
          <w:color w:val="09090A"/>
        </w:rPr>
        <w:t>flu</w:t>
      </w:r>
      <w:r>
        <w:rPr>
          <w:color w:val="1D1C1E"/>
        </w:rPr>
        <w:t>c</w:t>
      </w:r>
      <w:r>
        <w:rPr>
          <w:color w:val="09090A"/>
        </w:rPr>
        <w:t>tu</w:t>
      </w:r>
      <w:r>
        <w:rPr>
          <w:color w:val="1D1C1E"/>
        </w:rPr>
        <w:t>ati</w:t>
      </w:r>
      <w:r>
        <w:rPr>
          <w:color w:val="09090A"/>
        </w:rPr>
        <w:t>on</w:t>
      </w:r>
      <w:r>
        <w:rPr>
          <w:color w:val="1D1C1E"/>
        </w:rPr>
        <w:t xml:space="preserve">s </w:t>
      </w:r>
      <w:r>
        <w:rPr>
          <w:color w:val="09090A"/>
        </w:rPr>
        <w:t>in th</w:t>
      </w:r>
      <w:r>
        <w:rPr>
          <w:color w:val="1D1C1E"/>
        </w:rPr>
        <w:t>e exc</w:t>
      </w:r>
      <w:r>
        <w:rPr>
          <w:color w:val="09090A"/>
        </w:rPr>
        <w:t>h</w:t>
      </w:r>
      <w:r>
        <w:rPr>
          <w:color w:val="1D1C1E"/>
        </w:rPr>
        <w:t>a</w:t>
      </w:r>
      <w:r>
        <w:rPr>
          <w:color w:val="09090A"/>
        </w:rPr>
        <w:t>n</w:t>
      </w:r>
      <w:r>
        <w:rPr>
          <w:color w:val="1D1C1E"/>
        </w:rPr>
        <w:t>ge rate</w:t>
      </w:r>
      <w:r>
        <w:rPr>
          <w:color w:val="3A3A3B"/>
        </w:rPr>
        <w:t xml:space="preserve">s </w:t>
      </w:r>
      <w:r>
        <w:rPr>
          <w:color w:val="1D1C1E"/>
        </w:rPr>
        <w:t>o</w:t>
      </w:r>
      <w:r>
        <w:rPr>
          <w:color w:val="09090A"/>
        </w:rPr>
        <w:t xml:space="preserve">f </w:t>
      </w:r>
      <w:r>
        <w:rPr>
          <w:color w:val="1D1C1E"/>
        </w:rPr>
        <w:t>t</w:t>
      </w:r>
      <w:r>
        <w:rPr>
          <w:color w:val="09090A"/>
        </w:rPr>
        <w:t>h</w:t>
      </w:r>
      <w:r>
        <w:rPr>
          <w:color w:val="1D1C1E"/>
        </w:rPr>
        <w:t>ese c</w:t>
      </w:r>
      <w:r>
        <w:rPr>
          <w:color w:val="09090A"/>
        </w:rPr>
        <w:t>u</w:t>
      </w:r>
      <w:r>
        <w:rPr>
          <w:color w:val="1D1C1E"/>
        </w:rPr>
        <w:t>r</w:t>
      </w:r>
      <w:r>
        <w:rPr>
          <w:color w:val="09090A"/>
        </w:rPr>
        <w:t>r</w:t>
      </w:r>
      <w:r>
        <w:rPr>
          <w:color w:val="1D1C1E"/>
        </w:rPr>
        <w:t>e</w:t>
      </w:r>
      <w:r>
        <w:rPr>
          <w:color w:val="09090A"/>
        </w:rPr>
        <w:t>ncie</w:t>
      </w:r>
      <w:r>
        <w:rPr>
          <w:color w:val="1D1C1E"/>
        </w:rPr>
        <w:t xml:space="preserve">s </w:t>
      </w:r>
      <w:r>
        <w:rPr>
          <w:color w:val="09090A"/>
        </w:rPr>
        <w:t>m</w:t>
      </w:r>
      <w:r>
        <w:rPr>
          <w:color w:val="1D1C1E"/>
        </w:rPr>
        <w:t xml:space="preserve">ay </w:t>
      </w:r>
      <w:r>
        <w:rPr>
          <w:color w:val="09090A"/>
        </w:rPr>
        <w:t>adver</w:t>
      </w:r>
      <w:r>
        <w:rPr>
          <w:color w:val="1D1C1E"/>
        </w:rPr>
        <w:t>se</w:t>
      </w:r>
      <w:r>
        <w:rPr>
          <w:color w:val="09090A"/>
        </w:rPr>
        <w:t>l</w:t>
      </w:r>
      <w:r>
        <w:rPr>
          <w:color w:val="1D1C1E"/>
        </w:rPr>
        <w:t>y a</w:t>
      </w:r>
      <w:r>
        <w:rPr>
          <w:color w:val="09090A"/>
        </w:rPr>
        <w:t>ff</w:t>
      </w:r>
      <w:r>
        <w:rPr>
          <w:color w:val="1D1C1E"/>
        </w:rPr>
        <w:t>ec</w:t>
      </w:r>
      <w:r>
        <w:rPr>
          <w:color w:val="09090A"/>
        </w:rPr>
        <w:t xml:space="preserve">t </w:t>
      </w:r>
      <w:r>
        <w:rPr>
          <w:color w:val="1D1C1E"/>
        </w:rPr>
        <w:t>t</w:t>
      </w:r>
      <w:r>
        <w:rPr>
          <w:color w:val="09090A"/>
        </w:rPr>
        <w:t>h</w:t>
      </w:r>
      <w:r>
        <w:rPr>
          <w:color w:val="1D1C1E"/>
        </w:rPr>
        <w:t>e Group</w:t>
      </w:r>
      <w:r>
        <w:rPr>
          <w:color w:val="09090A"/>
        </w:rPr>
        <w:t>’</w:t>
      </w:r>
      <w:r>
        <w:rPr>
          <w:color w:val="1D1C1E"/>
        </w:rPr>
        <w:t>s o</w:t>
      </w:r>
      <w:r>
        <w:rPr>
          <w:color w:val="09090A"/>
        </w:rPr>
        <w:t>p</w:t>
      </w:r>
      <w:r>
        <w:rPr>
          <w:color w:val="1D1C1E"/>
        </w:rPr>
        <w:t>e</w:t>
      </w:r>
      <w:r>
        <w:rPr>
          <w:color w:val="09090A"/>
        </w:rPr>
        <w:t>rating re</w:t>
      </w:r>
      <w:r>
        <w:rPr>
          <w:color w:val="1D1C1E"/>
        </w:rPr>
        <w:t>s</w:t>
      </w:r>
      <w:r>
        <w:rPr>
          <w:color w:val="09090A"/>
        </w:rPr>
        <w:t>ult</w:t>
      </w:r>
      <w:r>
        <w:rPr>
          <w:color w:val="1D1C1E"/>
        </w:rPr>
        <w:t xml:space="preserve">s, </w:t>
      </w:r>
      <w:r>
        <w:rPr>
          <w:color w:val="09090A"/>
        </w:rPr>
        <w:t>c</w:t>
      </w:r>
      <w:r>
        <w:rPr>
          <w:color w:val="1D1C1E"/>
        </w:rPr>
        <w:t>as</w:t>
      </w:r>
      <w:r>
        <w:rPr>
          <w:color w:val="09090A"/>
        </w:rPr>
        <w:t>h fl</w:t>
      </w:r>
      <w:r>
        <w:rPr>
          <w:color w:val="1D1C1E"/>
        </w:rPr>
        <w:t xml:space="preserve">ows </w:t>
      </w:r>
      <w:r>
        <w:rPr>
          <w:color w:val="09090A"/>
        </w:rPr>
        <w:t>or financi</w:t>
      </w:r>
      <w:r>
        <w:rPr>
          <w:color w:val="1D1C1E"/>
        </w:rPr>
        <w:t>a</w:t>
      </w:r>
      <w:r>
        <w:rPr>
          <w:color w:val="09090A"/>
        </w:rPr>
        <w:t xml:space="preserve">l </w:t>
      </w:r>
      <w:r>
        <w:rPr>
          <w:color w:val="3A3A3B"/>
        </w:rPr>
        <w:t>c</w:t>
      </w:r>
      <w:r>
        <w:rPr>
          <w:color w:val="1D1C1E"/>
        </w:rPr>
        <w:t>o</w:t>
      </w:r>
      <w:r>
        <w:rPr>
          <w:color w:val="09090A"/>
        </w:rPr>
        <w:t>nd</w:t>
      </w:r>
      <w:r>
        <w:rPr>
          <w:color w:val="1D1C1E"/>
        </w:rPr>
        <w:t>i</w:t>
      </w:r>
      <w:r>
        <w:rPr>
          <w:color w:val="09090A"/>
        </w:rPr>
        <w:t>ti</w:t>
      </w:r>
      <w:r>
        <w:rPr>
          <w:color w:val="1D1C1E"/>
        </w:rPr>
        <w:t>o</w:t>
      </w:r>
      <w:r>
        <w:rPr>
          <w:color w:val="09090A"/>
        </w:rPr>
        <w:t xml:space="preserve">n </w:t>
      </w:r>
      <w:r>
        <w:rPr>
          <w:color w:val="1D1C1E"/>
        </w:rPr>
        <w:t>to a ma</w:t>
      </w:r>
      <w:r>
        <w:rPr>
          <w:color w:val="09090A"/>
        </w:rPr>
        <w:t>t</w:t>
      </w:r>
      <w:r>
        <w:rPr>
          <w:color w:val="1D1C1E"/>
        </w:rPr>
        <w:t>e</w:t>
      </w:r>
      <w:r>
        <w:rPr>
          <w:color w:val="09090A"/>
        </w:rPr>
        <w:t>r</w:t>
      </w:r>
      <w:r>
        <w:rPr>
          <w:color w:val="1D1C1E"/>
        </w:rPr>
        <w:t>ia</w:t>
      </w:r>
      <w:r>
        <w:rPr>
          <w:color w:val="09090A"/>
        </w:rPr>
        <w:t>l</w:t>
      </w:r>
      <w:r>
        <w:rPr>
          <w:color w:val="09090A"/>
          <w:spacing w:val="-8"/>
        </w:rPr>
        <w:t xml:space="preserve"> </w:t>
      </w:r>
      <w:r>
        <w:rPr>
          <w:color w:val="1D1C1E"/>
        </w:rPr>
        <w:t>ex</w:t>
      </w:r>
      <w:r>
        <w:rPr>
          <w:color w:val="09090A"/>
        </w:rPr>
        <w:t>t</w:t>
      </w:r>
      <w:r>
        <w:rPr>
          <w:color w:val="1D1C1E"/>
        </w:rPr>
        <w:t>e</w:t>
      </w:r>
      <w:r>
        <w:rPr>
          <w:color w:val="09090A"/>
        </w:rPr>
        <w:t>nt.</w:t>
      </w:r>
    </w:p>
    <w:p w14:paraId="6E644CC9" w14:textId="77777777" w:rsidR="00783288" w:rsidRDefault="00783288">
      <w:pPr>
        <w:pStyle w:val="BodyText"/>
        <w:kinsoku w:val="0"/>
        <w:overflowPunct w:val="0"/>
        <w:spacing w:before="8"/>
        <w:rPr>
          <w:sz w:val="17"/>
          <w:szCs w:val="17"/>
        </w:rPr>
      </w:pPr>
    </w:p>
    <w:p w14:paraId="18E2BA07" w14:textId="77777777" w:rsidR="00783288" w:rsidRDefault="00E31420">
      <w:pPr>
        <w:pStyle w:val="Heading2"/>
        <w:kinsoku w:val="0"/>
        <w:overflowPunct w:val="0"/>
        <w:jc w:val="left"/>
        <w:rPr>
          <w:color w:val="030404"/>
        </w:rPr>
      </w:pPr>
      <w:r>
        <w:rPr>
          <w:color w:val="030404"/>
        </w:rPr>
        <w:t>Taxation</w:t>
      </w:r>
    </w:p>
    <w:p w14:paraId="4D074D86" w14:textId="77777777" w:rsidR="00783288" w:rsidRDefault="00783288">
      <w:pPr>
        <w:pStyle w:val="BodyText"/>
        <w:kinsoku w:val="0"/>
        <w:overflowPunct w:val="0"/>
        <w:spacing w:before="4"/>
        <w:rPr>
          <w:b/>
          <w:bCs/>
          <w:i/>
          <w:iCs/>
        </w:rPr>
      </w:pPr>
    </w:p>
    <w:p w14:paraId="2C35E340" w14:textId="77777777" w:rsidR="00783288" w:rsidRDefault="00E31420">
      <w:pPr>
        <w:pStyle w:val="BodyText"/>
        <w:kinsoku w:val="0"/>
        <w:overflowPunct w:val="0"/>
        <w:ind w:left="300" w:right="1189"/>
        <w:jc w:val="both"/>
        <w:rPr>
          <w:color w:val="030404"/>
        </w:rPr>
      </w:pPr>
      <w:r>
        <w:rPr>
          <w:color w:val="030404"/>
        </w:rPr>
        <w:t>The acquisition and disposal of Ordinary Shares will have tax consequences, which will differ depending on the individual</w:t>
      </w:r>
      <w:r>
        <w:rPr>
          <w:color w:val="030404"/>
          <w:spacing w:val="-5"/>
        </w:rPr>
        <w:t xml:space="preserve"> </w:t>
      </w:r>
      <w:r>
        <w:rPr>
          <w:color w:val="030404"/>
        </w:rPr>
        <w:t>financial</w:t>
      </w:r>
      <w:r>
        <w:rPr>
          <w:color w:val="030404"/>
          <w:spacing w:val="-5"/>
        </w:rPr>
        <w:t xml:space="preserve"> </w:t>
      </w:r>
      <w:r>
        <w:rPr>
          <w:color w:val="030404"/>
        </w:rPr>
        <w:t>affairs</w:t>
      </w:r>
      <w:r>
        <w:rPr>
          <w:color w:val="030404"/>
          <w:spacing w:val="-3"/>
        </w:rPr>
        <w:t xml:space="preserve"> </w:t>
      </w:r>
      <w:r>
        <w:rPr>
          <w:color w:val="030404"/>
        </w:rPr>
        <w:t>of</w:t>
      </w:r>
      <w:r>
        <w:rPr>
          <w:color w:val="030404"/>
          <w:spacing w:val="-5"/>
        </w:rPr>
        <w:t xml:space="preserve"> </w:t>
      </w:r>
      <w:r>
        <w:rPr>
          <w:color w:val="030404"/>
        </w:rPr>
        <w:t>each</w:t>
      </w:r>
      <w:r>
        <w:rPr>
          <w:color w:val="030404"/>
          <w:spacing w:val="-5"/>
        </w:rPr>
        <w:t xml:space="preserve"> </w:t>
      </w:r>
      <w:r>
        <w:rPr>
          <w:color w:val="030404"/>
        </w:rPr>
        <w:t>investor.</w:t>
      </w:r>
      <w:r>
        <w:rPr>
          <w:color w:val="030404"/>
          <w:spacing w:val="-3"/>
        </w:rPr>
        <w:t xml:space="preserve"> </w:t>
      </w:r>
      <w:r>
        <w:rPr>
          <w:color w:val="030404"/>
        </w:rPr>
        <w:t>All</w:t>
      </w:r>
      <w:r>
        <w:rPr>
          <w:color w:val="030404"/>
          <w:spacing w:val="-2"/>
        </w:rPr>
        <w:t xml:space="preserve"> </w:t>
      </w:r>
      <w:r>
        <w:rPr>
          <w:color w:val="030404"/>
        </w:rPr>
        <w:t>potential</w:t>
      </w:r>
      <w:r>
        <w:rPr>
          <w:color w:val="030404"/>
          <w:spacing w:val="-2"/>
        </w:rPr>
        <w:t xml:space="preserve"> </w:t>
      </w:r>
      <w:r>
        <w:rPr>
          <w:color w:val="030404"/>
        </w:rPr>
        <w:t>investors</w:t>
      </w:r>
      <w:r>
        <w:rPr>
          <w:color w:val="030404"/>
          <w:spacing w:val="-4"/>
        </w:rPr>
        <w:t xml:space="preserve"> </w:t>
      </w:r>
      <w:r>
        <w:rPr>
          <w:color w:val="030404"/>
        </w:rPr>
        <w:t>in</w:t>
      </w:r>
      <w:r>
        <w:rPr>
          <w:color w:val="030404"/>
          <w:spacing w:val="-2"/>
        </w:rPr>
        <w:t xml:space="preserve"> </w:t>
      </w:r>
      <w:r>
        <w:rPr>
          <w:color w:val="030404"/>
        </w:rPr>
        <w:t>the</w:t>
      </w:r>
      <w:r>
        <w:rPr>
          <w:color w:val="030404"/>
          <w:spacing w:val="-2"/>
        </w:rPr>
        <w:t xml:space="preserve"> </w:t>
      </w:r>
      <w:r>
        <w:rPr>
          <w:color w:val="030404"/>
        </w:rPr>
        <w:t>Company</w:t>
      </w:r>
      <w:r>
        <w:rPr>
          <w:color w:val="030404"/>
          <w:spacing w:val="-5"/>
        </w:rPr>
        <w:t xml:space="preserve"> </w:t>
      </w:r>
      <w:r>
        <w:rPr>
          <w:color w:val="030404"/>
        </w:rPr>
        <w:t>are</w:t>
      </w:r>
      <w:r>
        <w:rPr>
          <w:color w:val="030404"/>
          <w:spacing w:val="-4"/>
        </w:rPr>
        <w:t xml:space="preserve"> </w:t>
      </w:r>
      <w:r>
        <w:rPr>
          <w:color w:val="030404"/>
        </w:rPr>
        <w:t>urged</w:t>
      </w:r>
      <w:r>
        <w:rPr>
          <w:color w:val="030404"/>
          <w:spacing w:val="-5"/>
        </w:rPr>
        <w:t xml:space="preserve"> </w:t>
      </w:r>
      <w:r>
        <w:rPr>
          <w:color w:val="030404"/>
        </w:rPr>
        <w:t>to</w:t>
      </w:r>
      <w:r>
        <w:rPr>
          <w:color w:val="030404"/>
          <w:spacing w:val="-3"/>
        </w:rPr>
        <w:t xml:space="preserve"> </w:t>
      </w:r>
      <w:r>
        <w:rPr>
          <w:color w:val="030404"/>
        </w:rPr>
        <w:t>obtain</w:t>
      </w:r>
      <w:r>
        <w:rPr>
          <w:color w:val="030404"/>
          <w:spacing w:val="-5"/>
        </w:rPr>
        <w:t xml:space="preserve"> </w:t>
      </w:r>
      <w:r>
        <w:rPr>
          <w:color w:val="030404"/>
        </w:rPr>
        <w:t>independent financial</w:t>
      </w:r>
      <w:r>
        <w:rPr>
          <w:color w:val="030404"/>
          <w:spacing w:val="-5"/>
        </w:rPr>
        <w:t xml:space="preserve"> </w:t>
      </w:r>
      <w:r>
        <w:rPr>
          <w:color w:val="030404"/>
        </w:rPr>
        <w:t>advice</w:t>
      </w:r>
      <w:r>
        <w:rPr>
          <w:color w:val="030404"/>
          <w:spacing w:val="-5"/>
        </w:rPr>
        <w:t xml:space="preserve"> </w:t>
      </w:r>
      <w:r>
        <w:rPr>
          <w:color w:val="030404"/>
        </w:rPr>
        <w:t>about</w:t>
      </w:r>
      <w:r>
        <w:rPr>
          <w:color w:val="030404"/>
          <w:spacing w:val="-4"/>
        </w:rPr>
        <w:t xml:space="preserve"> </w:t>
      </w:r>
      <w:r>
        <w:rPr>
          <w:color w:val="030404"/>
        </w:rPr>
        <w:t>the</w:t>
      </w:r>
      <w:r>
        <w:rPr>
          <w:color w:val="030404"/>
          <w:spacing w:val="-5"/>
        </w:rPr>
        <w:t xml:space="preserve"> </w:t>
      </w:r>
      <w:r>
        <w:rPr>
          <w:color w:val="030404"/>
        </w:rPr>
        <w:t>consequences</w:t>
      </w:r>
      <w:r>
        <w:rPr>
          <w:color w:val="030404"/>
          <w:spacing w:val="-3"/>
        </w:rPr>
        <w:t xml:space="preserve"> </w:t>
      </w:r>
      <w:r>
        <w:rPr>
          <w:color w:val="030404"/>
        </w:rPr>
        <w:t>of</w:t>
      </w:r>
      <w:r>
        <w:rPr>
          <w:color w:val="030404"/>
          <w:spacing w:val="-5"/>
        </w:rPr>
        <w:t xml:space="preserve"> </w:t>
      </w:r>
      <w:r>
        <w:rPr>
          <w:color w:val="030404"/>
        </w:rPr>
        <w:t>acquiring</w:t>
      </w:r>
      <w:r>
        <w:rPr>
          <w:color w:val="030404"/>
          <w:spacing w:val="-4"/>
        </w:rPr>
        <w:t xml:space="preserve"> </w:t>
      </w:r>
      <w:r>
        <w:rPr>
          <w:color w:val="030404"/>
        </w:rPr>
        <w:t>Ordinary</w:t>
      </w:r>
      <w:r>
        <w:rPr>
          <w:color w:val="030404"/>
          <w:spacing w:val="-7"/>
        </w:rPr>
        <w:t xml:space="preserve"> </w:t>
      </w:r>
      <w:r>
        <w:rPr>
          <w:color w:val="030404"/>
        </w:rPr>
        <w:t>Shares</w:t>
      </w:r>
      <w:r>
        <w:rPr>
          <w:color w:val="030404"/>
          <w:spacing w:val="-3"/>
        </w:rPr>
        <w:t xml:space="preserve"> </w:t>
      </w:r>
      <w:r>
        <w:rPr>
          <w:color w:val="030404"/>
        </w:rPr>
        <w:t>from</w:t>
      </w:r>
      <w:r>
        <w:rPr>
          <w:color w:val="030404"/>
          <w:spacing w:val="-4"/>
        </w:rPr>
        <w:t xml:space="preserve"> </w:t>
      </w:r>
      <w:r>
        <w:rPr>
          <w:color w:val="030404"/>
        </w:rPr>
        <w:t>a</w:t>
      </w:r>
      <w:r>
        <w:rPr>
          <w:color w:val="030404"/>
          <w:spacing w:val="-4"/>
        </w:rPr>
        <w:t xml:space="preserve"> </w:t>
      </w:r>
      <w:r>
        <w:rPr>
          <w:color w:val="030404"/>
        </w:rPr>
        <w:t>taxation</w:t>
      </w:r>
      <w:r>
        <w:rPr>
          <w:color w:val="030404"/>
          <w:spacing w:val="-5"/>
        </w:rPr>
        <w:t xml:space="preserve"> </w:t>
      </w:r>
      <w:r>
        <w:rPr>
          <w:color w:val="030404"/>
        </w:rPr>
        <w:t>point</w:t>
      </w:r>
      <w:r>
        <w:rPr>
          <w:color w:val="030404"/>
          <w:spacing w:val="-6"/>
        </w:rPr>
        <w:t xml:space="preserve"> </w:t>
      </w:r>
      <w:r>
        <w:rPr>
          <w:color w:val="030404"/>
        </w:rPr>
        <w:t>of</w:t>
      </w:r>
      <w:r>
        <w:rPr>
          <w:color w:val="030404"/>
          <w:spacing w:val="-5"/>
        </w:rPr>
        <w:t xml:space="preserve"> </w:t>
      </w:r>
      <w:r>
        <w:rPr>
          <w:color w:val="030404"/>
        </w:rPr>
        <w:t>view</w:t>
      </w:r>
      <w:r>
        <w:rPr>
          <w:color w:val="030404"/>
          <w:spacing w:val="-7"/>
        </w:rPr>
        <w:t xml:space="preserve"> </w:t>
      </w:r>
      <w:r>
        <w:rPr>
          <w:color w:val="030404"/>
        </w:rPr>
        <w:t>and</w:t>
      </w:r>
      <w:r>
        <w:rPr>
          <w:color w:val="030404"/>
          <w:spacing w:val="-4"/>
        </w:rPr>
        <w:t xml:space="preserve"> </w:t>
      </w:r>
      <w:r>
        <w:rPr>
          <w:color w:val="030404"/>
        </w:rPr>
        <w:t>generally.</w:t>
      </w:r>
    </w:p>
    <w:p w14:paraId="108C747C" w14:textId="77777777" w:rsidR="00783288" w:rsidRDefault="00783288">
      <w:pPr>
        <w:pStyle w:val="BodyText"/>
        <w:kinsoku w:val="0"/>
        <w:overflowPunct w:val="0"/>
        <w:ind w:left="300" w:right="1189"/>
        <w:jc w:val="both"/>
        <w:rPr>
          <w:color w:val="030404"/>
        </w:rPr>
      </w:pPr>
    </w:p>
    <w:p w14:paraId="65B79557" w14:textId="77777777" w:rsidR="009258C7" w:rsidRDefault="009258C7">
      <w:pPr>
        <w:pStyle w:val="BodyText"/>
        <w:kinsoku w:val="0"/>
        <w:overflowPunct w:val="0"/>
        <w:ind w:left="300" w:right="1189"/>
        <w:jc w:val="both"/>
        <w:rPr>
          <w:color w:val="030404"/>
        </w:rPr>
      </w:pPr>
    </w:p>
    <w:p w14:paraId="5CE934BF" w14:textId="77777777" w:rsidR="009258C7" w:rsidRDefault="009258C7">
      <w:pPr>
        <w:pStyle w:val="BodyText"/>
        <w:kinsoku w:val="0"/>
        <w:overflowPunct w:val="0"/>
        <w:ind w:left="300" w:right="1189"/>
        <w:jc w:val="both"/>
        <w:rPr>
          <w:color w:val="030404"/>
        </w:rPr>
      </w:pPr>
    </w:p>
    <w:p w14:paraId="096406ED" w14:textId="03FBB014" w:rsidR="009258C7" w:rsidRDefault="009258C7" w:rsidP="009258C7">
      <w:pPr>
        <w:pStyle w:val="Heading1"/>
        <w:kinsoku w:val="0"/>
        <w:overflowPunct w:val="0"/>
        <w:jc w:val="both"/>
        <w:rPr>
          <w:color w:val="070808"/>
        </w:rPr>
      </w:pPr>
      <w:r>
        <w:rPr>
          <w:color w:val="070808"/>
        </w:rPr>
        <w:t>RISKS RELATED TO SIGNIFICANT SHAREHOLDERS</w:t>
      </w:r>
    </w:p>
    <w:p w14:paraId="17B92232" w14:textId="77777777" w:rsidR="009258C7" w:rsidRDefault="009258C7" w:rsidP="009258C7">
      <w:pPr>
        <w:pStyle w:val="BodyText"/>
        <w:kinsoku w:val="0"/>
        <w:overflowPunct w:val="0"/>
        <w:spacing w:before="3"/>
        <w:rPr>
          <w:b/>
          <w:bCs/>
          <w:i/>
          <w:iCs/>
        </w:rPr>
      </w:pPr>
    </w:p>
    <w:p w14:paraId="074C13E2" w14:textId="77777777" w:rsidR="009258C7" w:rsidRDefault="009258C7">
      <w:pPr>
        <w:pStyle w:val="BodyText"/>
        <w:kinsoku w:val="0"/>
        <w:overflowPunct w:val="0"/>
        <w:ind w:left="300" w:right="1189"/>
        <w:jc w:val="both"/>
        <w:rPr>
          <w:color w:val="030404"/>
        </w:rPr>
      </w:pPr>
    </w:p>
    <w:p w14:paraId="2A5BD25D" w14:textId="492476A3" w:rsidR="00914A42" w:rsidRDefault="00914A42">
      <w:pPr>
        <w:pStyle w:val="BodyText"/>
        <w:kinsoku w:val="0"/>
        <w:overflowPunct w:val="0"/>
        <w:ind w:left="300" w:right="1189"/>
        <w:jc w:val="both"/>
        <w:rPr>
          <w:color w:val="030404"/>
        </w:rPr>
        <w:sectPr w:rsidR="00914A42">
          <w:pgSz w:w="11900" w:h="16840"/>
          <w:pgMar w:top="1360" w:right="240" w:bottom="1160" w:left="1140" w:header="0" w:footer="891" w:gutter="0"/>
          <w:cols w:space="720"/>
          <w:noEndnote/>
        </w:sectPr>
      </w:pPr>
      <w:r w:rsidRPr="00914A42">
        <w:rPr>
          <w:color w:val="030404"/>
        </w:rPr>
        <w:t xml:space="preserve">The Company has one existing substantial (10% plus) shareholder, </w:t>
      </w:r>
      <w:proofErr w:type="spellStart"/>
      <w:r w:rsidRPr="00914A42">
        <w:rPr>
          <w:color w:val="030404"/>
        </w:rPr>
        <w:t>Polymetal</w:t>
      </w:r>
      <w:proofErr w:type="spellEnd"/>
      <w:r w:rsidRPr="00914A42">
        <w:rPr>
          <w:color w:val="030404"/>
        </w:rPr>
        <w:t xml:space="preserve">, and will have a second significant shareholder, Altius, that will hold </w:t>
      </w:r>
      <w:r w:rsidR="00E84817">
        <w:rPr>
          <w:color w:val="030404"/>
        </w:rPr>
        <w:t>8.41</w:t>
      </w:r>
      <w:r w:rsidRPr="00914A42">
        <w:rPr>
          <w:color w:val="030404"/>
        </w:rPr>
        <w:t>% of the Enlarged Ordinary Share Capital (and</w:t>
      </w:r>
      <w:r w:rsidR="00E84817">
        <w:rPr>
          <w:color w:val="030404"/>
        </w:rPr>
        <w:t>16.16</w:t>
      </w:r>
      <w:r w:rsidRPr="00914A42">
        <w:rPr>
          <w:color w:val="030404"/>
        </w:rPr>
        <w:t xml:space="preserve">% of the issued share capital assuming full exercise of the Labrador Consideration Warrants and no exercise of any other Warrants or Options and no issue of any other new Ordinary Shares) following completion of the Labrador Acquisition and Admission. </w:t>
      </w:r>
      <w:r>
        <w:rPr>
          <w:color w:val="030404"/>
        </w:rPr>
        <w:t>T</w:t>
      </w:r>
      <w:r w:rsidRPr="00914A42">
        <w:rPr>
          <w:color w:val="030404"/>
        </w:rPr>
        <w:t xml:space="preserve">he Company is party to a relationship agreement with </w:t>
      </w:r>
      <w:proofErr w:type="spellStart"/>
      <w:proofErr w:type="gramStart"/>
      <w:r w:rsidRPr="00914A42">
        <w:rPr>
          <w:color w:val="030404"/>
        </w:rPr>
        <w:t>P</w:t>
      </w:r>
      <w:r>
        <w:rPr>
          <w:color w:val="030404"/>
        </w:rPr>
        <w:t>o</w:t>
      </w:r>
      <w:r w:rsidRPr="00914A42">
        <w:rPr>
          <w:color w:val="030404"/>
        </w:rPr>
        <w:t>lymetal</w:t>
      </w:r>
      <w:proofErr w:type="spellEnd"/>
      <w:r w:rsidRPr="00914A42">
        <w:rPr>
          <w:color w:val="030404"/>
        </w:rPr>
        <w:t>,</w:t>
      </w:r>
      <w:r w:rsidR="000713C0">
        <w:rPr>
          <w:color w:val="030404"/>
        </w:rPr>
        <w:t xml:space="preserve"> </w:t>
      </w:r>
      <w:r w:rsidRPr="00914A42">
        <w:rPr>
          <w:color w:val="030404"/>
        </w:rPr>
        <w:t>and</w:t>
      </w:r>
      <w:proofErr w:type="gramEnd"/>
      <w:r w:rsidRPr="00914A42">
        <w:rPr>
          <w:color w:val="030404"/>
        </w:rPr>
        <w:t xml:space="preserve"> will be party to a relationship agreement with Altius on completion of the Labrador Acquisition and Admission, </w:t>
      </w:r>
      <w:r>
        <w:rPr>
          <w:color w:val="030404"/>
        </w:rPr>
        <w:t xml:space="preserve">as described at paragraphs 14.6(b) and 14.1(b) respectively of Part VII of this document. However, </w:t>
      </w:r>
      <w:r w:rsidRPr="00914A42">
        <w:rPr>
          <w:color w:val="030404"/>
        </w:rPr>
        <w:t xml:space="preserve">there is no </w:t>
      </w:r>
      <w:r>
        <w:rPr>
          <w:color w:val="030404"/>
        </w:rPr>
        <w:t>g</w:t>
      </w:r>
      <w:r w:rsidRPr="00914A42">
        <w:rPr>
          <w:color w:val="030404"/>
        </w:rPr>
        <w:t>uarantee that either such counterparty will comply with its obligations, and restrictions placed upon it, under those agreements.  As such, the Group may be adversely affected by any such non-compliance.</w:t>
      </w:r>
    </w:p>
    <w:p w14:paraId="1FA1F189" w14:textId="77777777" w:rsidR="00783288" w:rsidRDefault="00E31420">
      <w:pPr>
        <w:pStyle w:val="BodyText"/>
        <w:kinsoku w:val="0"/>
        <w:overflowPunct w:val="0"/>
        <w:spacing w:before="80"/>
        <w:ind w:left="2356"/>
        <w:rPr>
          <w:b/>
          <w:bCs/>
          <w:color w:val="030404"/>
        </w:rPr>
      </w:pPr>
      <w:r>
        <w:rPr>
          <w:b/>
          <w:bCs/>
          <w:color w:val="231F20"/>
          <w:u w:val="single"/>
        </w:rPr>
        <w:lastRenderedPageBreak/>
        <w:t>PART B –</w:t>
      </w:r>
      <w:r>
        <w:rPr>
          <w:b/>
          <w:bCs/>
          <w:color w:val="231F20"/>
        </w:rPr>
        <w:t xml:space="preserve"> </w:t>
      </w:r>
      <w:r>
        <w:rPr>
          <w:b/>
          <w:bCs/>
          <w:color w:val="030404"/>
          <w:u w:val="single"/>
        </w:rPr>
        <w:t>RISKS RELATING TO THE ORDINARY SHARES</w:t>
      </w:r>
    </w:p>
    <w:p w14:paraId="22BBCDA4" w14:textId="77777777" w:rsidR="00783288" w:rsidRDefault="00783288">
      <w:pPr>
        <w:pStyle w:val="BodyText"/>
        <w:kinsoku w:val="0"/>
        <w:overflowPunct w:val="0"/>
        <w:spacing w:before="2"/>
        <w:rPr>
          <w:b/>
          <w:bCs/>
          <w:sz w:val="10"/>
          <w:szCs w:val="10"/>
        </w:rPr>
      </w:pPr>
    </w:p>
    <w:p w14:paraId="19CCE140" w14:textId="77777777" w:rsidR="00783288" w:rsidRDefault="00E31420">
      <w:pPr>
        <w:pStyle w:val="Heading2"/>
        <w:kinsoku w:val="0"/>
        <w:overflowPunct w:val="0"/>
        <w:spacing w:before="94"/>
        <w:rPr>
          <w:color w:val="030404"/>
        </w:rPr>
      </w:pPr>
      <w:r>
        <w:rPr>
          <w:color w:val="030404"/>
        </w:rPr>
        <w:t>A Standard Listing affords less regulatory protection than a Premium Listing</w:t>
      </w:r>
    </w:p>
    <w:p w14:paraId="63EA1177" w14:textId="77777777" w:rsidR="00783288" w:rsidRDefault="00783288">
      <w:pPr>
        <w:pStyle w:val="BodyText"/>
        <w:kinsoku w:val="0"/>
        <w:overflowPunct w:val="0"/>
        <w:spacing w:before="1"/>
        <w:rPr>
          <w:b/>
          <w:bCs/>
          <w:i/>
          <w:iCs/>
        </w:rPr>
      </w:pPr>
    </w:p>
    <w:p w14:paraId="25ACEB6F" w14:textId="11EF929C" w:rsidR="00783288" w:rsidRDefault="00E31420">
      <w:pPr>
        <w:pStyle w:val="BodyText"/>
        <w:kinsoku w:val="0"/>
        <w:overflowPunct w:val="0"/>
        <w:ind w:left="300" w:right="1189"/>
        <w:jc w:val="both"/>
        <w:rPr>
          <w:color w:val="030404"/>
        </w:rPr>
      </w:pPr>
      <w:r>
        <w:rPr>
          <w:color w:val="030404"/>
        </w:rPr>
        <w:t>Application</w:t>
      </w:r>
      <w:r>
        <w:rPr>
          <w:color w:val="030404"/>
          <w:spacing w:val="-4"/>
        </w:rPr>
        <w:t xml:space="preserve"> </w:t>
      </w:r>
      <w:r>
        <w:rPr>
          <w:color w:val="030404"/>
        </w:rPr>
        <w:t>has</w:t>
      </w:r>
      <w:r>
        <w:rPr>
          <w:color w:val="030404"/>
          <w:spacing w:val="-3"/>
        </w:rPr>
        <w:t xml:space="preserve"> </w:t>
      </w:r>
      <w:r>
        <w:rPr>
          <w:color w:val="030404"/>
        </w:rPr>
        <w:t>been</w:t>
      </w:r>
      <w:r>
        <w:rPr>
          <w:color w:val="030404"/>
          <w:spacing w:val="-6"/>
        </w:rPr>
        <w:t xml:space="preserve"> </w:t>
      </w:r>
      <w:r>
        <w:rPr>
          <w:color w:val="030404"/>
        </w:rPr>
        <w:t>made</w:t>
      </w:r>
      <w:r>
        <w:rPr>
          <w:color w:val="030404"/>
          <w:spacing w:val="-3"/>
        </w:rPr>
        <w:t xml:space="preserve"> </w:t>
      </w:r>
      <w:r>
        <w:rPr>
          <w:color w:val="030404"/>
        </w:rPr>
        <w:t>for</w:t>
      </w:r>
      <w:r>
        <w:rPr>
          <w:color w:val="030404"/>
          <w:spacing w:val="-4"/>
        </w:rPr>
        <w:t xml:space="preserve"> </w:t>
      </w:r>
      <w:r>
        <w:rPr>
          <w:color w:val="030404"/>
        </w:rPr>
        <w:t>the</w:t>
      </w:r>
      <w:r>
        <w:rPr>
          <w:color w:val="030404"/>
          <w:spacing w:val="-4"/>
        </w:rPr>
        <w:t xml:space="preserve"> </w:t>
      </w:r>
      <w:r w:rsidR="00E700B8">
        <w:rPr>
          <w:color w:val="030404"/>
        </w:rPr>
        <w:t>Placing</w:t>
      </w:r>
      <w:r w:rsidR="00E700B8">
        <w:rPr>
          <w:color w:val="030404"/>
          <w:spacing w:val="-4"/>
        </w:rPr>
        <w:t xml:space="preserve"> </w:t>
      </w:r>
      <w:r>
        <w:rPr>
          <w:color w:val="030404"/>
        </w:rPr>
        <w:t>Shares</w:t>
      </w:r>
      <w:r>
        <w:rPr>
          <w:color w:val="030404"/>
          <w:spacing w:val="-3"/>
        </w:rPr>
        <w:t xml:space="preserve"> </w:t>
      </w:r>
      <w:r w:rsidR="00673B57">
        <w:rPr>
          <w:color w:val="030404"/>
          <w:spacing w:val="-3"/>
        </w:rPr>
        <w:t xml:space="preserve">and the Labrador </w:t>
      </w:r>
      <w:r w:rsidR="00A16477">
        <w:rPr>
          <w:color w:val="030404"/>
          <w:spacing w:val="-3"/>
        </w:rPr>
        <w:t>Consideration</w:t>
      </w:r>
      <w:r w:rsidR="00673B57">
        <w:rPr>
          <w:color w:val="030404"/>
          <w:spacing w:val="-3"/>
        </w:rPr>
        <w:t xml:space="preserve"> Shares </w:t>
      </w:r>
      <w:r>
        <w:rPr>
          <w:color w:val="030404"/>
        </w:rPr>
        <w:t>to</w:t>
      </w:r>
      <w:r>
        <w:rPr>
          <w:color w:val="030404"/>
          <w:spacing w:val="-3"/>
        </w:rPr>
        <w:t xml:space="preserve"> </w:t>
      </w:r>
      <w:r>
        <w:rPr>
          <w:color w:val="030404"/>
        </w:rPr>
        <w:t>be</w:t>
      </w:r>
      <w:r>
        <w:rPr>
          <w:color w:val="030404"/>
          <w:spacing w:val="-1"/>
        </w:rPr>
        <w:t xml:space="preserve"> </w:t>
      </w:r>
      <w:r>
        <w:rPr>
          <w:color w:val="030404"/>
        </w:rPr>
        <w:t>admitted</w:t>
      </w:r>
      <w:r>
        <w:rPr>
          <w:color w:val="030404"/>
          <w:spacing w:val="-4"/>
        </w:rPr>
        <w:t xml:space="preserve"> </w:t>
      </w:r>
      <w:r>
        <w:rPr>
          <w:color w:val="030404"/>
        </w:rPr>
        <w:t>to</w:t>
      </w:r>
      <w:r>
        <w:rPr>
          <w:color w:val="030404"/>
          <w:spacing w:val="-4"/>
        </w:rPr>
        <w:t xml:space="preserve"> </w:t>
      </w:r>
      <w:r>
        <w:rPr>
          <w:color w:val="030404"/>
        </w:rPr>
        <w:t>the</w:t>
      </w:r>
      <w:r>
        <w:rPr>
          <w:color w:val="030404"/>
          <w:spacing w:val="-3"/>
        </w:rPr>
        <w:t xml:space="preserve"> </w:t>
      </w:r>
      <w:r>
        <w:rPr>
          <w:color w:val="030404"/>
        </w:rPr>
        <w:t>Standard</w:t>
      </w:r>
      <w:r>
        <w:rPr>
          <w:color w:val="030404"/>
          <w:spacing w:val="-1"/>
        </w:rPr>
        <w:t xml:space="preserve"> </w:t>
      </w:r>
      <w:r>
        <w:rPr>
          <w:color w:val="030404"/>
        </w:rPr>
        <w:t>Listed</w:t>
      </w:r>
      <w:r>
        <w:rPr>
          <w:color w:val="030404"/>
          <w:spacing w:val="-6"/>
        </w:rPr>
        <w:t xml:space="preserve"> </w:t>
      </w:r>
      <w:r>
        <w:rPr>
          <w:color w:val="030404"/>
        </w:rPr>
        <w:t>segment</w:t>
      </w:r>
      <w:r>
        <w:rPr>
          <w:color w:val="030404"/>
          <w:spacing w:val="-4"/>
        </w:rPr>
        <w:t xml:space="preserve"> </w:t>
      </w:r>
      <w:r>
        <w:rPr>
          <w:color w:val="030404"/>
        </w:rPr>
        <w:t>of</w:t>
      </w:r>
      <w:r>
        <w:rPr>
          <w:color w:val="030404"/>
          <w:spacing w:val="-4"/>
        </w:rPr>
        <w:t xml:space="preserve"> </w:t>
      </w:r>
      <w:r>
        <w:rPr>
          <w:color w:val="030404"/>
        </w:rPr>
        <w:t>the Official List.</w:t>
      </w:r>
      <w:r>
        <w:rPr>
          <w:color w:val="030404"/>
          <w:spacing w:val="-12"/>
        </w:rPr>
        <w:t xml:space="preserve"> </w:t>
      </w:r>
      <w:r>
        <w:rPr>
          <w:color w:val="030404"/>
        </w:rPr>
        <w:t>A</w:t>
      </w:r>
      <w:r>
        <w:rPr>
          <w:color w:val="030404"/>
          <w:spacing w:val="-10"/>
        </w:rPr>
        <w:t xml:space="preserve"> </w:t>
      </w:r>
      <w:r>
        <w:rPr>
          <w:color w:val="030404"/>
        </w:rPr>
        <w:t>Standard</w:t>
      </w:r>
      <w:r>
        <w:rPr>
          <w:color w:val="030404"/>
          <w:spacing w:val="-9"/>
        </w:rPr>
        <w:t xml:space="preserve"> </w:t>
      </w:r>
      <w:r>
        <w:rPr>
          <w:color w:val="030404"/>
        </w:rPr>
        <w:t>Listing</w:t>
      </w:r>
      <w:r>
        <w:rPr>
          <w:color w:val="030404"/>
          <w:spacing w:val="-10"/>
        </w:rPr>
        <w:t xml:space="preserve"> </w:t>
      </w:r>
      <w:r>
        <w:rPr>
          <w:color w:val="030404"/>
        </w:rPr>
        <w:t>will</w:t>
      </w:r>
      <w:r>
        <w:rPr>
          <w:color w:val="030404"/>
          <w:spacing w:val="-11"/>
        </w:rPr>
        <w:t xml:space="preserve"> </w:t>
      </w:r>
      <w:r>
        <w:rPr>
          <w:color w:val="030404"/>
        </w:rPr>
        <w:t>afford</w:t>
      </w:r>
      <w:r>
        <w:rPr>
          <w:color w:val="030404"/>
          <w:spacing w:val="-10"/>
        </w:rPr>
        <w:t xml:space="preserve"> </w:t>
      </w:r>
      <w:r>
        <w:rPr>
          <w:color w:val="030404"/>
        </w:rPr>
        <w:t>Shareholders</w:t>
      </w:r>
      <w:r>
        <w:rPr>
          <w:color w:val="030404"/>
          <w:spacing w:val="-9"/>
        </w:rPr>
        <w:t xml:space="preserve"> </w:t>
      </w:r>
      <w:r>
        <w:rPr>
          <w:color w:val="030404"/>
        </w:rPr>
        <w:t>a</w:t>
      </w:r>
      <w:r>
        <w:rPr>
          <w:color w:val="030404"/>
          <w:spacing w:val="-11"/>
        </w:rPr>
        <w:t xml:space="preserve"> </w:t>
      </w:r>
      <w:r>
        <w:rPr>
          <w:color w:val="030404"/>
        </w:rPr>
        <w:t>lower</w:t>
      </w:r>
      <w:r>
        <w:rPr>
          <w:color w:val="030404"/>
          <w:spacing w:val="-10"/>
        </w:rPr>
        <w:t xml:space="preserve"> </w:t>
      </w:r>
      <w:r>
        <w:rPr>
          <w:color w:val="030404"/>
        </w:rPr>
        <w:t>level</w:t>
      </w:r>
      <w:r>
        <w:rPr>
          <w:color w:val="030404"/>
          <w:spacing w:val="-12"/>
        </w:rPr>
        <w:t xml:space="preserve"> </w:t>
      </w:r>
      <w:r>
        <w:rPr>
          <w:color w:val="030404"/>
        </w:rPr>
        <w:t>of</w:t>
      </w:r>
      <w:r>
        <w:rPr>
          <w:color w:val="030404"/>
          <w:spacing w:val="-10"/>
        </w:rPr>
        <w:t xml:space="preserve"> </w:t>
      </w:r>
      <w:r>
        <w:rPr>
          <w:color w:val="030404"/>
        </w:rPr>
        <w:t>regulatory</w:t>
      </w:r>
      <w:r>
        <w:rPr>
          <w:color w:val="030404"/>
          <w:spacing w:val="-10"/>
        </w:rPr>
        <w:t xml:space="preserve"> </w:t>
      </w:r>
      <w:r>
        <w:rPr>
          <w:color w:val="030404"/>
        </w:rPr>
        <w:t>protection</w:t>
      </w:r>
      <w:r>
        <w:rPr>
          <w:color w:val="030404"/>
          <w:spacing w:val="-12"/>
        </w:rPr>
        <w:t xml:space="preserve"> </w:t>
      </w:r>
      <w:r>
        <w:rPr>
          <w:color w:val="030404"/>
        </w:rPr>
        <w:t>than</w:t>
      </w:r>
      <w:r>
        <w:rPr>
          <w:color w:val="030404"/>
          <w:spacing w:val="-11"/>
        </w:rPr>
        <w:t xml:space="preserve"> </w:t>
      </w:r>
      <w:r>
        <w:rPr>
          <w:color w:val="030404"/>
        </w:rPr>
        <w:t>that</w:t>
      </w:r>
      <w:r>
        <w:rPr>
          <w:color w:val="030404"/>
          <w:spacing w:val="-10"/>
        </w:rPr>
        <w:t xml:space="preserve"> </w:t>
      </w:r>
      <w:r>
        <w:rPr>
          <w:color w:val="030404"/>
        </w:rPr>
        <w:t>afforded</w:t>
      </w:r>
      <w:r>
        <w:rPr>
          <w:color w:val="030404"/>
          <w:spacing w:val="-9"/>
        </w:rPr>
        <w:t xml:space="preserve"> </w:t>
      </w:r>
      <w:r>
        <w:rPr>
          <w:color w:val="030404"/>
        </w:rPr>
        <w:t>to</w:t>
      </w:r>
      <w:r>
        <w:rPr>
          <w:color w:val="030404"/>
          <w:spacing w:val="-12"/>
        </w:rPr>
        <w:t xml:space="preserve"> </w:t>
      </w:r>
      <w:r>
        <w:rPr>
          <w:color w:val="030404"/>
        </w:rPr>
        <w:t>investors in</w:t>
      </w:r>
      <w:r>
        <w:rPr>
          <w:color w:val="030404"/>
          <w:spacing w:val="-7"/>
        </w:rPr>
        <w:t xml:space="preserve"> </w:t>
      </w:r>
      <w:r>
        <w:rPr>
          <w:color w:val="030404"/>
        </w:rPr>
        <w:t>a</w:t>
      </w:r>
      <w:r>
        <w:rPr>
          <w:color w:val="030404"/>
          <w:spacing w:val="-9"/>
        </w:rPr>
        <w:t xml:space="preserve"> </w:t>
      </w:r>
      <w:r>
        <w:rPr>
          <w:color w:val="030404"/>
        </w:rPr>
        <w:t>company</w:t>
      </w:r>
      <w:r>
        <w:rPr>
          <w:color w:val="030404"/>
          <w:spacing w:val="-8"/>
        </w:rPr>
        <w:t xml:space="preserve"> </w:t>
      </w:r>
      <w:r>
        <w:rPr>
          <w:color w:val="030404"/>
        </w:rPr>
        <w:t>with</w:t>
      </w:r>
      <w:r>
        <w:rPr>
          <w:color w:val="030404"/>
          <w:spacing w:val="-7"/>
        </w:rPr>
        <w:t xml:space="preserve"> </w:t>
      </w:r>
      <w:r>
        <w:rPr>
          <w:color w:val="030404"/>
        </w:rPr>
        <w:t>a</w:t>
      </w:r>
      <w:r>
        <w:rPr>
          <w:color w:val="030404"/>
          <w:spacing w:val="-6"/>
        </w:rPr>
        <w:t xml:space="preserve"> </w:t>
      </w:r>
      <w:r>
        <w:rPr>
          <w:color w:val="030404"/>
        </w:rPr>
        <w:t>Premium</w:t>
      </w:r>
      <w:r>
        <w:rPr>
          <w:color w:val="030404"/>
          <w:spacing w:val="-10"/>
        </w:rPr>
        <w:t xml:space="preserve"> </w:t>
      </w:r>
      <w:r>
        <w:rPr>
          <w:color w:val="030404"/>
        </w:rPr>
        <w:t>Listing,</w:t>
      </w:r>
      <w:r>
        <w:rPr>
          <w:color w:val="030404"/>
          <w:spacing w:val="-10"/>
        </w:rPr>
        <w:t xml:space="preserve"> </w:t>
      </w:r>
      <w:r>
        <w:rPr>
          <w:color w:val="030404"/>
        </w:rPr>
        <w:t>which</w:t>
      </w:r>
      <w:r>
        <w:rPr>
          <w:color w:val="030404"/>
          <w:spacing w:val="-6"/>
        </w:rPr>
        <w:t xml:space="preserve"> </w:t>
      </w:r>
      <w:r>
        <w:rPr>
          <w:color w:val="030404"/>
        </w:rPr>
        <w:t>is</w:t>
      </w:r>
      <w:r>
        <w:rPr>
          <w:color w:val="030404"/>
          <w:spacing w:val="-8"/>
        </w:rPr>
        <w:t xml:space="preserve"> </w:t>
      </w:r>
      <w:r>
        <w:rPr>
          <w:color w:val="030404"/>
        </w:rPr>
        <w:t>subject</w:t>
      </w:r>
      <w:r>
        <w:rPr>
          <w:color w:val="030404"/>
          <w:spacing w:val="-10"/>
        </w:rPr>
        <w:t xml:space="preserve"> </w:t>
      </w:r>
      <w:r>
        <w:rPr>
          <w:color w:val="030404"/>
        </w:rPr>
        <w:t>to</w:t>
      </w:r>
      <w:r>
        <w:rPr>
          <w:color w:val="030404"/>
          <w:spacing w:val="-6"/>
        </w:rPr>
        <w:t xml:space="preserve"> </w:t>
      </w:r>
      <w:r>
        <w:rPr>
          <w:color w:val="030404"/>
        </w:rPr>
        <w:t>additional</w:t>
      </w:r>
      <w:r>
        <w:rPr>
          <w:color w:val="030404"/>
          <w:spacing w:val="-6"/>
        </w:rPr>
        <w:t xml:space="preserve"> </w:t>
      </w:r>
      <w:r>
        <w:rPr>
          <w:color w:val="030404"/>
        </w:rPr>
        <w:t>obligations</w:t>
      </w:r>
      <w:r>
        <w:rPr>
          <w:color w:val="030404"/>
          <w:spacing w:val="-9"/>
        </w:rPr>
        <w:t xml:space="preserve"> </w:t>
      </w:r>
      <w:r>
        <w:rPr>
          <w:color w:val="030404"/>
        </w:rPr>
        <w:t>under</w:t>
      </w:r>
      <w:r>
        <w:rPr>
          <w:color w:val="030404"/>
          <w:spacing w:val="-7"/>
        </w:rPr>
        <w:t xml:space="preserve"> </w:t>
      </w:r>
      <w:r>
        <w:rPr>
          <w:color w:val="030404"/>
        </w:rPr>
        <w:t>the</w:t>
      </w:r>
      <w:r>
        <w:rPr>
          <w:color w:val="030404"/>
          <w:spacing w:val="-6"/>
        </w:rPr>
        <w:t xml:space="preserve"> </w:t>
      </w:r>
      <w:r>
        <w:rPr>
          <w:color w:val="030404"/>
        </w:rPr>
        <w:t>Listing</w:t>
      </w:r>
      <w:r>
        <w:rPr>
          <w:color w:val="030404"/>
          <w:spacing w:val="-7"/>
        </w:rPr>
        <w:t xml:space="preserve"> </w:t>
      </w:r>
      <w:r>
        <w:rPr>
          <w:color w:val="030404"/>
        </w:rPr>
        <w:t>Rules.</w:t>
      </w:r>
      <w:r>
        <w:rPr>
          <w:color w:val="030404"/>
          <w:spacing w:val="-6"/>
        </w:rPr>
        <w:t xml:space="preserve"> </w:t>
      </w:r>
      <w:r>
        <w:rPr>
          <w:color w:val="030404"/>
        </w:rPr>
        <w:t>A</w:t>
      </w:r>
      <w:r>
        <w:rPr>
          <w:color w:val="030404"/>
          <w:spacing w:val="-7"/>
        </w:rPr>
        <w:t xml:space="preserve"> </w:t>
      </w:r>
      <w:r>
        <w:rPr>
          <w:color w:val="030404"/>
        </w:rPr>
        <w:t>Standard Listing</w:t>
      </w:r>
      <w:r>
        <w:rPr>
          <w:color w:val="030404"/>
          <w:spacing w:val="-4"/>
        </w:rPr>
        <w:t xml:space="preserve"> </w:t>
      </w:r>
      <w:r>
        <w:rPr>
          <w:color w:val="030404"/>
        </w:rPr>
        <w:t>will</w:t>
      </w:r>
      <w:r>
        <w:rPr>
          <w:color w:val="030404"/>
          <w:spacing w:val="-4"/>
        </w:rPr>
        <w:t xml:space="preserve"> </w:t>
      </w:r>
      <w:r>
        <w:rPr>
          <w:color w:val="030404"/>
        </w:rPr>
        <w:t>not</w:t>
      </w:r>
      <w:r>
        <w:rPr>
          <w:color w:val="030404"/>
          <w:spacing w:val="-4"/>
        </w:rPr>
        <w:t xml:space="preserve"> </w:t>
      </w:r>
      <w:r>
        <w:rPr>
          <w:color w:val="030404"/>
        </w:rPr>
        <w:t>permit</w:t>
      </w:r>
      <w:r>
        <w:rPr>
          <w:color w:val="030404"/>
          <w:spacing w:val="-4"/>
        </w:rPr>
        <w:t xml:space="preserve"> </w:t>
      </w:r>
      <w:r>
        <w:rPr>
          <w:color w:val="030404"/>
        </w:rPr>
        <w:t>the</w:t>
      </w:r>
      <w:r>
        <w:rPr>
          <w:color w:val="030404"/>
          <w:spacing w:val="-4"/>
        </w:rPr>
        <w:t xml:space="preserve"> </w:t>
      </w:r>
      <w:r>
        <w:rPr>
          <w:color w:val="030404"/>
        </w:rPr>
        <w:t>Company</w:t>
      </w:r>
      <w:r>
        <w:rPr>
          <w:color w:val="030404"/>
          <w:spacing w:val="-6"/>
        </w:rPr>
        <w:t xml:space="preserve"> </w:t>
      </w:r>
      <w:r>
        <w:rPr>
          <w:color w:val="030404"/>
        </w:rPr>
        <w:t>to</w:t>
      </w:r>
      <w:r>
        <w:rPr>
          <w:color w:val="030404"/>
          <w:spacing w:val="-4"/>
        </w:rPr>
        <w:t xml:space="preserve"> </w:t>
      </w:r>
      <w:r>
        <w:rPr>
          <w:color w:val="030404"/>
        </w:rPr>
        <w:t>gain</w:t>
      </w:r>
      <w:r>
        <w:rPr>
          <w:color w:val="030404"/>
          <w:spacing w:val="-4"/>
        </w:rPr>
        <w:t xml:space="preserve"> </w:t>
      </w:r>
      <w:r>
        <w:rPr>
          <w:color w:val="030404"/>
        </w:rPr>
        <w:t>a</w:t>
      </w:r>
      <w:r>
        <w:rPr>
          <w:color w:val="030404"/>
          <w:spacing w:val="-4"/>
        </w:rPr>
        <w:t xml:space="preserve"> </w:t>
      </w:r>
      <w:r>
        <w:rPr>
          <w:color w:val="030404"/>
        </w:rPr>
        <w:t>FTSE</w:t>
      </w:r>
      <w:r>
        <w:rPr>
          <w:color w:val="030404"/>
          <w:spacing w:val="-4"/>
        </w:rPr>
        <w:t xml:space="preserve"> </w:t>
      </w:r>
      <w:r>
        <w:rPr>
          <w:color w:val="030404"/>
        </w:rPr>
        <w:t>indexation,</w:t>
      </w:r>
      <w:r>
        <w:rPr>
          <w:color w:val="030404"/>
          <w:spacing w:val="-3"/>
        </w:rPr>
        <w:t xml:space="preserve"> </w:t>
      </w:r>
      <w:r>
        <w:rPr>
          <w:color w:val="030404"/>
        </w:rPr>
        <w:t>which</w:t>
      </w:r>
      <w:r>
        <w:rPr>
          <w:color w:val="030404"/>
          <w:spacing w:val="-4"/>
        </w:rPr>
        <w:t xml:space="preserve"> </w:t>
      </w:r>
      <w:r>
        <w:rPr>
          <w:color w:val="030404"/>
        </w:rPr>
        <w:t>may</w:t>
      </w:r>
      <w:r>
        <w:rPr>
          <w:color w:val="030404"/>
          <w:spacing w:val="-6"/>
        </w:rPr>
        <w:t xml:space="preserve"> </w:t>
      </w:r>
      <w:r>
        <w:rPr>
          <w:color w:val="030404"/>
        </w:rPr>
        <w:t>have</w:t>
      </w:r>
      <w:r>
        <w:rPr>
          <w:color w:val="030404"/>
          <w:spacing w:val="-4"/>
        </w:rPr>
        <w:t xml:space="preserve"> </w:t>
      </w:r>
      <w:r>
        <w:rPr>
          <w:color w:val="030404"/>
        </w:rPr>
        <w:t>an</w:t>
      </w:r>
      <w:r>
        <w:rPr>
          <w:color w:val="030404"/>
          <w:spacing w:val="-4"/>
        </w:rPr>
        <w:t xml:space="preserve"> </w:t>
      </w:r>
      <w:r>
        <w:rPr>
          <w:color w:val="030404"/>
        </w:rPr>
        <w:t>adverse</w:t>
      </w:r>
      <w:r>
        <w:rPr>
          <w:color w:val="030404"/>
          <w:spacing w:val="-6"/>
        </w:rPr>
        <w:t xml:space="preserve"> </w:t>
      </w:r>
      <w:r>
        <w:rPr>
          <w:color w:val="030404"/>
        </w:rPr>
        <w:t>effect</w:t>
      </w:r>
      <w:r>
        <w:rPr>
          <w:color w:val="030404"/>
          <w:spacing w:val="-4"/>
        </w:rPr>
        <w:t xml:space="preserve"> </w:t>
      </w:r>
      <w:r>
        <w:rPr>
          <w:color w:val="030404"/>
        </w:rPr>
        <w:t>on</w:t>
      </w:r>
      <w:r>
        <w:rPr>
          <w:color w:val="030404"/>
          <w:spacing w:val="-4"/>
        </w:rPr>
        <w:t xml:space="preserve"> </w:t>
      </w:r>
      <w:r>
        <w:rPr>
          <w:color w:val="030404"/>
        </w:rPr>
        <w:t>the</w:t>
      </w:r>
      <w:r>
        <w:rPr>
          <w:color w:val="030404"/>
          <w:spacing w:val="-4"/>
        </w:rPr>
        <w:t xml:space="preserve"> </w:t>
      </w:r>
      <w:r>
        <w:rPr>
          <w:color w:val="030404"/>
        </w:rPr>
        <w:t>valuation of the Ordinary</w:t>
      </w:r>
      <w:r>
        <w:rPr>
          <w:color w:val="030404"/>
          <w:spacing w:val="-1"/>
        </w:rPr>
        <w:t xml:space="preserve"> </w:t>
      </w:r>
      <w:r>
        <w:rPr>
          <w:color w:val="030404"/>
        </w:rPr>
        <w:t>Shares.</w:t>
      </w:r>
    </w:p>
    <w:p w14:paraId="75D0B5B2" w14:textId="77777777" w:rsidR="00783288" w:rsidRDefault="00783288">
      <w:pPr>
        <w:pStyle w:val="BodyText"/>
        <w:kinsoku w:val="0"/>
        <w:overflowPunct w:val="0"/>
        <w:spacing w:before="10"/>
        <w:rPr>
          <w:sz w:val="17"/>
          <w:szCs w:val="17"/>
        </w:rPr>
      </w:pPr>
    </w:p>
    <w:p w14:paraId="62D76C97" w14:textId="77777777" w:rsidR="00783288" w:rsidRDefault="00E31420">
      <w:pPr>
        <w:pStyle w:val="Heading2"/>
        <w:kinsoku w:val="0"/>
        <w:overflowPunct w:val="0"/>
        <w:rPr>
          <w:color w:val="171718"/>
        </w:rPr>
      </w:pPr>
      <w:r>
        <w:rPr>
          <w:color w:val="171718"/>
        </w:rPr>
        <w:t>Realisation of Investment</w:t>
      </w:r>
    </w:p>
    <w:p w14:paraId="7D6DD1AA" w14:textId="77777777" w:rsidR="00783288" w:rsidRDefault="00783288">
      <w:pPr>
        <w:pStyle w:val="BodyText"/>
        <w:kinsoku w:val="0"/>
        <w:overflowPunct w:val="0"/>
        <w:spacing w:before="1"/>
        <w:rPr>
          <w:b/>
          <w:bCs/>
          <w:i/>
          <w:iCs/>
        </w:rPr>
      </w:pPr>
    </w:p>
    <w:p w14:paraId="79116DC7" w14:textId="585C6476" w:rsidR="00783288" w:rsidRDefault="00E31420">
      <w:pPr>
        <w:pStyle w:val="BodyText"/>
        <w:kinsoku w:val="0"/>
        <w:overflowPunct w:val="0"/>
        <w:spacing w:before="1"/>
        <w:ind w:left="300" w:right="1188"/>
        <w:jc w:val="both"/>
        <w:rPr>
          <w:color w:val="231F20"/>
        </w:rPr>
      </w:pPr>
      <w:r>
        <w:rPr>
          <w:color w:val="231F20"/>
        </w:rPr>
        <w:t>The Company’s listing on the Official List should not be taken as implying that there will always be a liquid market in the Ordinary Shares. Investors should be aware that the value of the Ordinary Shares may be volatile and may go</w:t>
      </w:r>
      <w:r>
        <w:rPr>
          <w:color w:val="231F20"/>
          <w:spacing w:val="-5"/>
        </w:rPr>
        <w:t xml:space="preserve"> </w:t>
      </w:r>
      <w:r>
        <w:rPr>
          <w:color w:val="231F20"/>
        </w:rPr>
        <w:t>down</w:t>
      </w:r>
      <w:r>
        <w:rPr>
          <w:color w:val="231F20"/>
          <w:spacing w:val="-4"/>
        </w:rPr>
        <w:t xml:space="preserve"> </w:t>
      </w:r>
      <w:r>
        <w:rPr>
          <w:color w:val="231F20"/>
        </w:rPr>
        <w:t>as</w:t>
      </w:r>
      <w:r>
        <w:rPr>
          <w:color w:val="231F20"/>
          <w:spacing w:val="-3"/>
        </w:rPr>
        <w:t xml:space="preserve"> </w:t>
      </w:r>
      <w:r>
        <w:rPr>
          <w:color w:val="231F20"/>
        </w:rPr>
        <w:t>well</w:t>
      </w:r>
      <w:r>
        <w:rPr>
          <w:color w:val="231F20"/>
          <w:spacing w:val="-4"/>
        </w:rPr>
        <w:t xml:space="preserve"> </w:t>
      </w:r>
      <w:r>
        <w:rPr>
          <w:color w:val="231F20"/>
        </w:rPr>
        <w:t>as</w:t>
      </w:r>
      <w:r>
        <w:rPr>
          <w:color w:val="231F20"/>
          <w:spacing w:val="-6"/>
        </w:rPr>
        <w:t xml:space="preserve"> </w:t>
      </w:r>
      <w:r>
        <w:rPr>
          <w:color w:val="231F20"/>
        </w:rPr>
        <w:t>up</w:t>
      </w:r>
      <w:r>
        <w:rPr>
          <w:color w:val="231F20"/>
          <w:spacing w:val="-5"/>
        </w:rPr>
        <w:t xml:space="preserve"> </w:t>
      </w:r>
      <w:r>
        <w:rPr>
          <w:color w:val="231F20"/>
        </w:rPr>
        <w:t>and</w:t>
      </w:r>
      <w:r>
        <w:rPr>
          <w:color w:val="231F20"/>
          <w:spacing w:val="-4"/>
        </w:rPr>
        <w:t xml:space="preserve"> </w:t>
      </w:r>
      <w:r>
        <w:rPr>
          <w:color w:val="231F20"/>
        </w:rPr>
        <w:t>investors</w:t>
      </w:r>
      <w:r>
        <w:rPr>
          <w:color w:val="231F20"/>
          <w:spacing w:val="-3"/>
        </w:rPr>
        <w:t xml:space="preserve"> </w:t>
      </w:r>
      <w:r>
        <w:rPr>
          <w:color w:val="231F20"/>
        </w:rPr>
        <w:t>may</w:t>
      </w:r>
      <w:r>
        <w:rPr>
          <w:color w:val="231F20"/>
          <w:spacing w:val="-6"/>
        </w:rPr>
        <w:t xml:space="preserve"> </w:t>
      </w:r>
      <w:r>
        <w:rPr>
          <w:color w:val="231F20"/>
        </w:rPr>
        <w:t>therefore</w:t>
      </w:r>
      <w:r>
        <w:rPr>
          <w:color w:val="231F20"/>
          <w:spacing w:val="-4"/>
        </w:rPr>
        <w:t xml:space="preserve"> </w:t>
      </w:r>
      <w:r>
        <w:rPr>
          <w:color w:val="231F20"/>
        </w:rPr>
        <w:t>not</w:t>
      </w:r>
      <w:r>
        <w:rPr>
          <w:color w:val="231F20"/>
          <w:spacing w:val="-5"/>
        </w:rPr>
        <w:t xml:space="preserve"> </w:t>
      </w:r>
      <w:r>
        <w:rPr>
          <w:color w:val="231F20"/>
        </w:rPr>
        <w:t>recover</w:t>
      </w:r>
      <w:r>
        <w:rPr>
          <w:color w:val="231F20"/>
          <w:spacing w:val="-4"/>
        </w:rPr>
        <w:t xml:space="preserve"> </w:t>
      </w:r>
      <w:r>
        <w:rPr>
          <w:color w:val="231F20"/>
        </w:rPr>
        <w:t>the</w:t>
      </w:r>
      <w:r>
        <w:rPr>
          <w:color w:val="231F20"/>
          <w:spacing w:val="-4"/>
        </w:rPr>
        <w:t xml:space="preserve"> </w:t>
      </w:r>
      <w:r>
        <w:rPr>
          <w:color w:val="231F20"/>
        </w:rPr>
        <w:t>full</w:t>
      </w:r>
      <w:r>
        <w:rPr>
          <w:color w:val="231F20"/>
          <w:spacing w:val="-4"/>
        </w:rPr>
        <w:t xml:space="preserve"> </w:t>
      </w:r>
      <w:r>
        <w:rPr>
          <w:color w:val="231F20"/>
        </w:rPr>
        <w:t>value</w:t>
      </w:r>
      <w:r>
        <w:rPr>
          <w:color w:val="231F20"/>
          <w:spacing w:val="-5"/>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original</w:t>
      </w:r>
      <w:r>
        <w:rPr>
          <w:color w:val="231F20"/>
          <w:spacing w:val="-6"/>
        </w:rPr>
        <w:t xml:space="preserve"> </w:t>
      </w:r>
      <w:r>
        <w:rPr>
          <w:color w:val="231F20"/>
        </w:rPr>
        <w:t>investment.</w:t>
      </w:r>
      <w:r>
        <w:rPr>
          <w:color w:val="231F20"/>
          <w:spacing w:val="-4"/>
        </w:rPr>
        <w:t xml:space="preserve"> </w:t>
      </w:r>
      <w:r>
        <w:rPr>
          <w:color w:val="231F20"/>
        </w:rPr>
        <w:t>The</w:t>
      </w:r>
      <w:r>
        <w:rPr>
          <w:color w:val="231F20"/>
          <w:spacing w:val="-4"/>
        </w:rPr>
        <w:t xml:space="preserve"> </w:t>
      </w:r>
      <w:r>
        <w:rPr>
          <w:color w:val="231F20"/>
        </w:rPr>
        <w:t>price at</w:t>
      </w:r>
      <w:r>
        <w:rPr>
          <w:color w:val="231F20"/>
          <w:spacing w:val="-4"/>
        </w:rPr>
        <w:t xml:space="preserve"> </w:t>
      </w:r>
      <w:r>
        <w:rPr>
          <w:color w:val="231F20"/>
        </w:rPr>
        <w:t>which</w:t>
      </w:r>
      <w:r>
        <w:rPr>
          <w:color w:val="231F20"/>
          <w:spacing w:val="-3"/>
        </w:rPr>
        <w:t xml:space="preserve"> </w:t>
      </w:r>
      <w:r>
        <w:rPr>
          <w:color w:val="231F20"/>
        </w:rPr>
        <w:t>investors</w:t>
      </w:r>
      <w:r>
        <w:rPr>
          <w:color w:val="231F20"/>
          <w:spacing w:val="-3"/>
        </w:rPr>
        <w:t xml:space="preserve"> </w:t>
      </w:r>
      <w:r>
        <w:rPr>
          <w:color w:val="231F20"/>
        </w:rPr>
        <w:t>may</w:t>
      </w:r>
      <w:r>
        <w:rPr>
          <w:color w:val="231F20"/>
          <w:spacing w:val="-5"/>
        </w:rPr>
        <w:t xml:space="preserve"> </w:t>
      </w:r>
      <w:r>
        <w:rPr>
          <w:color w:val="231F20"/>
        </w:rPr>
        <w:t>dispose</w:t>
      </w:r>
      <w:r>
        <w:rPr>
          <w:color w:val="231F20"/>
          <w:spacing w:val="-4"/>
        </w:rPr>
        <w:t xml:space="preserve"> </w:t>
      </w:r>
      <w:r>
        <w:rPr>
          <w:color w:val="231F20"/>
        </w:rPr>
        <w:t>of</w:t>
      </w:r>
      <w:r>
        <w:rPr>
          <w:color w:val="231F20"/>
          <w:spacing w:val="-3"/>
        </w:rPr>
        <w:t xml:space="preserve"> </w:t>
      </w:r>
      <w:r>
        <w:rPr>
          <w:color w:val="231F20"/>
        </w:rPr>
        <w:t>their</w:t>
      </w:r>
      <w:r>
        <w:rPr>
          <w:color w:val="231F20"/>
          <w:spacing w:val="-4"/>
        </w:rPr>
        <w:t xml:space="preserve"> </w:t>
      </w:r>
      <w:r>
        <w:rPr>
          <w:color w:val="231F20"/>
        </w:rPr>
        <w:t>Ordinary</w:t>
      </w:r>
      <w:r>
        <w:rPr>
          <w:color w:val="231F20"/>
          <w:spacing w:val="-5"/>
        </w:rPr>
        <w:t xml:space="preserve"> </w:t>
      </w:r>
      <w:r>
        <w:rPr>
          <w:color w:val="231F20"/>
        </w:rPr>
        <w:t>Shares</w:t>
      </w:r>
      <w:r>
        <w:rPr>
          <w:color w:val="231F20"/>
          <w:spacing w:val="-2"/>
        </w:rPr>
        <w:t xml:space="preserve"> </w:t>
      </w:r>
      <w:r>
        <w:rPr>
          <w:color w:val="231F20"/>
        </w:rPr>
        <w:t>may</w:t>
      </w:r>
      <w:r>
        <w:rPr>
          <w:color w:val="231F20"/>
          <w:spacing w:val="-8"/>
        </w:rPr>
        <w:t xml:space="preserve"> </w:t>
      </w:r>
      <w:r>
        <w:rPr>
          <w:color w:val="231F20"/>
        </w:rPr>
        <w:t>be</w:t>
      </w:r>
      <w:r>
        <w:rPr>
          <w:color w:val="231F20"/>
          <w:spacing w:val="-2"/>
        </w:rPr>
        <w:t xml:space="preserve"> </w:t>
      </w:r>
      <w:r>
        <w:rPr>
          <w:color w:val="231F20"/>
        </w:rPr>
        <w:t>influenced</w:t>
      </w:r>
      <w:r>
        <w:rPr>
          <w:color w:val="231F20"/>
          <w:spacing w:val="-4"/>
        </w:rPr>
        <w:t xml:space="preserve"> </w:t>
      </w:r>
      <w:r>
        <w:rPr>
          <w:color w:val="231F20"/>
        </w:rPr>
        <w:t>by</w:t>
      </w:r>
      <w:r>
        <w:rPr>
          <w:color w:val="231F20"/>
          <w:spacing w:val="-5"/>
        </w:rPr>
        <w:t xml:space="preserve"> </w:t>
      </w:r>
      <w:proofErr w:type="gramStart"/>
      <w:r>
        <w:rPr>
          <w:color w:val="231F20"/>
        </w:rPr>
        <w:t>a</w:t>
      </w:r>
      <w:r>
        <w:rPr>
          <w:color w:val="231F20"/>
          <w:spacing w:val="-3"/>
        </w:rPr>
        <w:t xml:space="preserve"> </w:t>
      </w:r>
      <w:r>
        <w:rPr>
          <w:color w:val="231F20"/>
        </w:rPr>
        <w:t>number</w:t>
      </w:r>
      <w:r>
        <w:rPr>
          <w:color w:val="231F20"/>
          <w:spacing w:val="-4"/>
        </w:rPr>
        <w:t xml:space="preserve"> </w:t>
      </w:r>
      <w:r>
        <w:rPr>
          <w:color w:val="231F20"/>
        </w:rPr>
        <w:t>of</w:t>
      </w:r>
      <w:proofErr w:type="gramEnd"/>
      <w:r>
        <w:rPr>
          <w:color w:val="231F20"/>
          <w:spacing w:val="-5"/>
        </w:rPr>
        <w:t xml:space="preserve"> </w:t>
      </w:r>
      <w:r>
        <w:rPr>
          <w:color w:val="231F20"/>
        </w:rPr>
        <w:t>factors,</w:t>
      </w:r>
      <w:r>
        <w:rPr>
          <w:color w:val="231F20"/>
          <w:spacing w:val="-4"/>
        </w:rPr>
        <w:t xml:space="preserve"> </w:t>
      </w:r>
      <w:r>
        <w:rPr>
          <w:color w:val="231F20"/>
        </w:rPr>
        <w:t>some</w:t>
      </w:r>
      <w:r>
        <w:rPr>
          <w:color w:val="231F20"/>
          <w:spacing w:val="-3"/>
        </w:rPr>
        <w:t xml:space="preserve"> </w:t>
      </w:r>
      <w:r>
        <w:rPr>
          <w:color w:val="231F20"/>
        </w:rPr>
        <w:t>of</w:t>
      </w:r>
      <w:r>
        <w:rPr>
          <w:color w:val="231F20"/>
          <w:spacing w:val="-4"/>
        </w:rPr>
        <w:t xml:space="preserve"> </w:t>
      </w:r>
      <w:r>
        <w:rPr>
          <w:color w:val="231F20"/>
        </w:rPr>
        <w:t xml:space="preserve">which may pertain to the Company and others of which are extraneous. On any disposal investors may realise less than the original amount invested. Investors could lose all or part of their invested capital by participating in the </w:t>
      </w:r>
      <w:r w:rsidR="00E700B8">
        <w:rPr>
          <w:color w:val="231F20"/>
        </w:rPr>
        <w:t>Placing</w:t>
      </w:r>
      <w:r>
        <w:rPr>
          <w:color w:val="231F20"/>
        </w:rPr>
        <w:t>.</w:t>
      </w:r>
    </w:p>
    <w:p w14:paraId="2CAD516C" w14:textId="77777777" w:rsidR="00783288" w:rsidRDefault="00783288">
      <w:pPr>
        <w:pStyle w:val="BodyText"/>
        <w:kinsoku w:val="0"/>
        <w:overflowPunct w:val="0"/>
        <w:spacing w:before="8"/>
        <w:rPr>
          <w:sz w:val="17"/>
          <w:szCs w:val="17"/>
        </w:rPr>
      </w:pPr>
    </w:p>
    <w:p w14:paraId="101965E4" w14:textId="77777777" w:rsidR="00783288" w:rsidRDefault="00E31420">
      <w:pPr>
        <w:pStyle w:val="Heading2"/>
        <w:kinsoku w:val="0"/>
        <w:overflowPunct w:val="0"/>
        <w:spacing w:before="1"/>
        <w:jc w:val="left"/>
        <w:rPr>
          <w:color w:val="231F20"/>
        </w:rPr>
      </w:pPr>
      <w:r>
        <w:rPr>
          <w:color w:val="231F20"/>
        </w:rPr>
        <w:t>Volatility</w:t>
      </w:r>
    </w:p>
    <w:p w14:paraId="3966A482" w14:textId="77777777" w:rsidR="00783288" w:rsidRDefault="00783288">
      <w:pPr>
        <w:pStyle w:val="BodyText"/>
        <w:kinsoku w:val="0"/>
        <w:overflowPunct w:val="0"/>
        <w:spacing w:before="3"/>
        <w:rPr>
          <w:b/>
          <w:bCs/>
          <w:i/>
          <w:iCs/>
        </w:rPr>
      </w:pPr>
    </w:p>
    <w:p w14:paraId="31C1F069" w14:textId="77777777" w:rsidR="00783288" w:rsidRDefault="00E31420">
      <w:pPr>
        <w:pStyle w:val="BodyText"/>
        <w:kinsoku w:val="0"/>
        <w:overflowPunct w:val="0"/>
        <w:ind w:left="300" w:right="1190"/>
        <w:jc w:val="both"/>
        <w:rPr>
          <w:color w:val="020303"/>
        </w:rPr>
      </w:pPr>
      <w:r>
        <w:rPr>
          <w:color w:val="231F20"/>
        </w:rPr>
        <w:t>An investm</w:t>
      </w:r>
      <w:r>
        <w:rPr>
          <w:color w:val="020303"/>
        </w:rPr>
        <w:t>e</w:t>
      </w:r>
      <w:r>
        <w:rPr>
          <w:color w:val="231F20"/>
        </w:rPr>
        <w:t xml:space="preserve">nt </w:t>
      </w:r>
      <w:r>
        <w:rPr>
          <w:color w:val="020303"/>
        </w:rPr>
        <w:t xml:space="preserve">in </w:t>
      </w:r>
      <w:r>
        <w:rPr>
          <w:color w:val="231F20"/>
        </w:rPr>
        <w:t>O</w:t>
      </w:r>
      <w:r>
        <w:rPr>
          <w:color w:val="020303"/>
        </w:rPr>
        <w:t>rdin</w:t>
      </w:r>
      <w:r>
        <w:rPr>
          <w:color w:val="231F20"/>
        </w:rPr>
        <w:t>a</w:t>
      </w:r>
      <w:r>
        <w:rPr>
          <w:color w:val="020303"/>
        </w:rPr>
        <w:t>r</w:t>
      </w:r>
      <w:r>
        <w:rPr>
          <w:color w:val="231F20"/>
        </w:rPr>
        <w:t>y S</w:t>
      </w:r>
      <w:r>
        <w:rPr>
          <w:color w:val="020303"/>
        </w:rPr>
        <w:t>h</w:t>
      </w:r>
      <w:r>
        <w:rPr>
          <w:color w:val="231F20"/>
        </w:rPr>
        <w:t xml:space="preserve">ares </w:t>
      </w:r>
      <w:r>
        <w:rPr>
          <w:color w:val="020303"/>
        </w:rPr>
        <w:t>m</w:t>
      </w:r>
      <w:r>
        <w:rPr>
          <w:color w:val="231F20"/>
        </w:rPr>
        <w:t xml:space="preserve">ay be </w:t>
      </w:r>
      <w:r>
        <w:rPr>
          <w:color w:val="020303"/>
        </w:rPr>
        <w:t>r</w:t>
      </w:r>
      <w:r>
        <w:rPr>
          <w:color w:val="231F20"/>
        </w:rPr>
        <w:t>e</w:t>
      </w:r>
      <w:r>
        <w:rPr>
          <w:color w:val="020303"/>
        </w:rPr>
        <w:t>l</w:t>
      </w:r>
      <w:r>
        <w:rPr>
          <w:color w:val="231F20"/>
        </w:rPr>
        <w:t>ative</w:t>
      </w:r>
      <w:r>
        <w:rPr>
          <w:color w:val="020303"/>
        </w:rPr>
        <w:t>l</w:t>
      </w:r>
      <w:r>
        <w:rPr>
          <w:color w:val="231F20"/>
        </w:rPr>
        <w:t xml:space="preserve">y </w:t>
      </w:r>
      <w:r>
        <w:rPr>
          <w:color w:val="020303"/>
        </w:rPr>
        <w:t>illi</w:t>
      </w:r>
      <w:r>
        <w:rPr>
          <w:color w:val="231F20"/>
        </w:rPr>
        <w:t>q</w:t>
      </w:r>
      <w:r>
        <w:rPr>
          <w:color w:val="020303"/>
        </w:rPr>
        <w:t>uid</w:t>
      </w:r>
      <w:r>
        <w:rPr>
          <w:color w:val="231F20"/>
        </w:rPr>
        <w:t xml:space="preserve">. </w:t>
      </w:r>
      <w:r>
        <w:rPr>
          <w:color w:val="020303"/>
        </w:rPr>
        <w:t>Th</w:t>
      </w:r>
      <w:r>
        <w:rPr>
          <w:color w:val="231F20"/>
        </w:rPr>
        <w:t xml:space="preserve">ere may </w:t>
      </w:r>
      <w:r>
        <w:rPr>
          <w:color w:val="020303"/>
        </w:rPr>
        <w:t>b</w:t>
      </w:r>
      <w:r>
        <w:rPr>
          <w:color w:val="231F20"/>
        </w:rPr>
        <w:t xml:space="preserve">e a </w:t>
      </w:r>
      <w:r>
        <w:rPr>
          <w:color w:val="020303"/>
        </w:rPr>
        <w:t>li</w:t>
      </w:r>
      <w:r>
        <w:rPr>
          <w:color w:val="231F20"/>
        </w:rPr>
        <w:t>mi</w:t>
      </w:r>
      <w:r>
        <w:rPr>
          <w:color w:val="020303"/>
        </w:rPr>
        <w:t>t</w:t>
      </w:r>
      <w:r>
        <w:rPr>
          <w:color w:val="231F20"/>
        </w:rPr>
        <w:t>ed num</w:t>
      </w:r>
      <w:r>
        <w:rPr>
          <w:color w:val="020303"/>
        </w:rPr>
        <w:t>b</w:t>
      </w:r>
      <w:r>
        <w:rPr>
          <w:color w:val="231F20"/>
        </w:rPr>
        <w:t>e</w:t>
      </w:r>
      <w:r>
        <w:rPr>
          <w:color w:val="020303"/>
        </w:rPr>
        <w:t xml:space="preserve">r </w:t>
      </w:r>
      <w:r>
        <w:rPr>
          <w:color w:val="231F20"/>
        </w:rPr>
        <w:t>of S</w:t>
      </w:r>
      <w:r>
        <w:rPr>
          <w:color w:val="020303"/>
        </w:rPr>
        <w:t>h</w:t>
      </w:r>
      <w:r>
        <w:rPr>
          <w:color w:val="231F20"/>
        </w:rPr>
        <w:t>are</w:t>
      </w:r>
      <w:r>
        <w:rPr>
          <w:color w:val="020303"/>
        </w:rPr>
        <w:t>h</w:t>
      </w:r>
      <w:r>
        <w:rPr>
          <w:color w:val="231F20"/>
        </w:rPr>
        <w:t>o</w:t>
      </w:r>
      <w:r>
        <w:rPr>
          <w:color w:val="020303"/>
        </w:rPr>
        <w:t>ld</w:t>
      </w:r>
      <w:r>
        <w:rPr>
          <w:color w:val="231F20"/>
        </w:rPr>
        <w:t>e</w:t>
      </w:r>
      <w:r>
        <w:rPr>
          <w:color w:val="020303"/>
        </w:rPr>
        <w:t>r</w:t>
      </w:r>
      <w:r>
        <w:rPr>
          <w:color w:val="231F20"/>
        </w:rPr>
        <w:t>s a</w:t>
      </w:r>
      <w:r>
        <w:rPr>
          <w:color w:val="020303"/>
        </w:rPr>
        <w:t>n</w:t>
      </w:r>
      <w:r>
        <w:rPr>
          <w:color w:val="231F20"/>
        </w:rPr>
        <w:t>d t</w:t>
      </w:r>
      <w:r>
        <w:rPr>
          <w:color w:val="020303"/>
        </w:rPr>
        <w:t>h</w:t>
      </w:r>
      <w:r>
        <w:rPr>
          <w:color w:val="231F20"/>
        </w:rPr>
        <w:t>i</w:t>
      </w:r>
      <w:r>
        <w:rPr>
          <w:color w:val="333435"/>
        </w:rPr>
        <w:t xml:space="preserve">s </w:t>
      </w:r>
      <w:r>
        <w:rPr>
          <w:color w:val="231F20"/>
        </w:rPr>
        <w:t>may co</w:t>
      </w:r>
      <w:r>
        <w:rPr>
          <w:color w:val="020303"/>
        </w:rPr>
        <w:t>n</w:t>
      </w:r>
      <w:r>
        <w:rPr>
          <w:color w:val="231F20"/>
        </w:rPr>
        <w:t>tri</w:t>
      </w:r>
      <w:r>
        <w:rPr>
          <w:color w:val="020303"/>
        </w:rPr>
        <w:t>b</w:t>
      </w:r>
      <w:r>
        <w:rPr>
          <w:color w:val="231F20"/>
        </w:rPr>
        <w:t xml:space="preserve">ute to </w:t>
      </w:r>
      <w:r>
        <w:rPr>
          <w:color w:val="020303"/>
        </w:rPr>
        <w:t>infr</w:t>
      </w:r>
      <w:r>
        <w:rPr>
          <w:color w:val="231F20"/>
        </w:rPr>
        <w:t>eque</w:t>
      </w:r>
      <w:r>
        <w:rPr>
          <w:color w:val="020303"/>
        </w:rPr>
        <w:t>n</w:t>
      </w:r>
      <w:r>
        <w:rPr>
          <w:color w:val="231F20"/>
        </w:rPr>
        <w:t>t t</w:t>
      </w:r>
      <w:r>
        <w:rPr>
          <w:color w:val="020303"/>
        </w:rPr>
        <w:t>r</w:t>
      </w:r>
      <w:r>
        <w:rPr>
          <w:color w:val="231F20"/>
        </w:rPr>
        <w:t>a</w:t>
      </w:r>
      <w:r>
        <w:rPr>
          <w:color w:val="020303"/>
        </w:rPr>
        <w:t>d</w:t>
      </w:r>
      <w:r>
        <w:rPr>
          <w:color w:val="231F20"/>
        </w:rPr>
        <w:t xml:space="preserve">ing </w:t>
      </w:r>
      <w:r>
        <w:rPr>
          <w:color w:val="020303"/>
        </w:rPr>
        <w:t xml:space="preserve">in </w:t>
      </w:r>
      <w:r>
        <w:rPr>
          <w:color w:val="231F20"/>
        </w:rPr>
        <w:t>the O</w:t>
      </w:r>
      <w:r>
        <w:rPr>
          <w:color w:val="020303"/>
        </w:rPr>
        <w:t>r</w:t>
      </w:r>
      <w:r>
        <w:rPr>
          <w:color w:val="231F20"/>
        </w:rPr>
        <w:t>d</w:t>
      </w:r>
      <w:r>
        <w:rPr>
          <w:color w:val="020303"/>
        </w:rPr>
        <w:t>in</w:t>
      </w:r>
      <w:r>
        <w:rPr>
          <w:color w:val="231F20"/>
        </w:rPr>
        <w:t>a</w:t>
      </w:r>
      <w:r>
        <w:rPr>
          <w:color w:val="020303"/>
        </w:rPr>
        <w:t>r</w:t>
      </w:r>
      <w:r>
        <w:rPr>
          <w:color w:val="231F20"/>
        </w:rPr>
        <w:t>y S</w:t>
      </w:r>
      <w:r>
        <w:rPr>
          <w:color w:val="020303"/>
        </w:rPr>
        <w:t>h</w:t>
      </w:r>
      <w:r>
        <w:rPr>
          <w:color w:val="231F20"/>
        </w:rPr>
        <w:t>a</w:t>
      </w:r>
      <w:r>
        <w:rPr>
          <w:color w:val="020303"/>
        </w:rPr>
        <w:t>r</w:t>
      </w:r>
      <w:r>
        <w:rPr>
          <w:color w:val="231F20"/>
        </w:rPr>
        <w:t>es on t</w:t>
      </w:r>
      <w:r>
        <w:rPr>
          <w:color w:val="020303"/>
        </w:rPr>
        <w:t>h</w:t>
      </w:r>
      <w:r>
        <w:rPr>
          <w:color w:val="231F20"/>
        </w:rPr>
        <w:t xml:space="preserve">e </w:t>
      </w:r>
      <w:r>
        <w:rPr>
          <w:color w:val="020303"/>
        </w:rPr>
        <w:t>L</w:t>
      </w:r>
      <w:r>
        <w:rPr>
          <w:color w:val="231F20"/>
        </w:rPr>
        <w:t>o</w:t>
      </w:r>
      <w:r>
        <w:rPr>
          <w:color w:val="020303"/>
        </w:rPr>
        <w:t>nd</w:t>
      </w:r>
      <w:r>
        <w:rPr>
          <w:color w:val="231F20"/>
        </w:rPr>
        <w:t>on S</w:t>
      </w:r>
      <w:r>
        <w:rPr>
          <w:color w:val="020303"/>
        </w:rPr>
        <w:t>t</w:t>
      </w:r>
      <w:r>
        <w:rPr>
          <w:color w:val="231F20"/>
        </w:rPr>
        <w:t xml:space="preserve">ock </w:t>
      </w:r>
      <w:r>
        <w:rPr>
          <w:color w:val="020303"/>
        </w:rPr>
        <w:t>E</w:t>
      </w:r>
      <w:r>
        <w:rPr>
          <w:color w:val="231F20"/>
        </w:rPr>
        <w:t>xcha</w:t>
      </w:r>
      <w:r>
        <w:rPr>
          <w:color w:val="020303"/>
        </w:rPr>
        <w:t>n</w:t>
      </w:r>
      <w:r>
        <w:rPr>
          <w:color w:val="231F20"/>
        </w:rPr>
        <w:t>ge a</w:t>
      </w:r>
      <w:r>
        <w:rPr>
          <w:color w:val="020303"/>
        </w:rPr>
        <w:t>n</w:t>
      </w:r>
      <w:r>
        <w:rPr>
          <w:color w:val="231F20"/>
        </w:rPr>
        <w:t>d vo</w:t>
      </w:r>
      <w:r>
        <w:rPr>
          <w:color w:val="020303"/>
        </w:rPr>
        <w:t>l</w:t>
      </w:r>
      <w:r>
        <w:rPr>
          <w:color w:val="231F20"/>
        </w:rPr>
        <w:t>at</w:t>
      </w:r>
      <w:r>
        <w:rPr>
          <w:color w:val="020303"/>
        </w:rPr>
        <w:t>il</w:t>
      </w:r>
      <w:r>
        <w:rPr>
          <w:color w:val="231F20"/>
        </w:rPr>
        <w:t>e movements</w:t>
      </w:r>
      <w:r>
        <w:rPr>
          <w:color w:val="231F20"/>
          <w:spacing w:val="-13"/>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market</w:t>
      </w:r>
      <w:r>
        <w:rPr>
          <w:color w:val="231F20"/>
          <w:spacing w:val="-14"/>
        </w:rPr>
        <w:t xml:space="preserve"> </w:t>
      </w:r>
      <w:r>
        <w:rPr>
          <w:color w:val="231F20"/>
        </w:rPr>
        <w:t>price</w:t>
      </w:r>
      <w:r>
        <w:rPr>
          <w:color w:val="231F20"/>
          <w:spacing w:val="-13"/>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Ord</w:t>
      </w:r>
      <w:r>
        <w:rPr>
          <w:color w:val="020303"/>
        </w:rPr>
        <w:t>i</w:t>
      </w:r>
      <w:r>
        <w:rPr>
          <w:color w:val="231F20"/>
        </w:rPr>
        <w:t>nary</w:t>
      </w:r>
      <w:r>
        <w:rPr>
          <w:color w:val="231F20"/>
          <w:spacing w:val="-13"/>
        </w:rPr>
        <w:t xml:space="preserve"> </w:t>
      </w:r>
      <w:r>
        <w:rPr>
          <w:color w:val="231F20"/>
        </w:rPr>
        <w:t>Sha</w:t>
      </w:r>
      <w:r>
        <w:rPr>
          <w:color w:val="020303"/>
        </w:rPr>
        <w:t>r</w:t>
      </w:r>
      <w:r>
        <w:rPr>
          <w:color w:val="231F20"/>
        </w:rPr>
        <w:t>e</w:t>
      </w:r>
      <w:r>
        <w:rPr>
          <w:color w:val="020303"/>
        </w:rPr>
        <w:t>.</w:t>
      </w:r>
      <w:r>
        <w:rPr>
          <w:color w:val="020303"/>
          <w:spacing w:val="-10"/>
        </w:rPr>
        <w:t xml:space="preserve"> </w:t>
      </w:r>
      <w:r>
        <w:rPr>
          <w:color w:val="020303"/>
        </w:rPr>
        <w:t>The</w:t>
      </w:r>
      <w:r>
        <w:rPr>
          <w:color w:val="020303"/>
          <w:spacing w:val="-11"/>
        </w:rPr>
        <w:t xml:space="preserve"> </w:t>
      </w:r>
      <w:r>
        <w:rPr>
          <w:color w:val="020303"/>
        </w:rPr>
        <w:t>market</w:t>
      </w:r>
      <w:r>
        <w:rPr>
          <w:color w:val="020303"/>
          <w:spacing w:val="-14"/>
        </w:rPr>
        <w:t xml:space="preserve"> </w:t>
      </w:r>
      <w:r>
        <w:rPr>
          <w:color w:val="020303"/>
        </w:rPr>
        <w:t>price</w:t>
      </w:r>
      <w:r>
        <w:rPr>
          <w:color w:val="020303"/>
          <w:spacing w:val="-10"/>
        </w:rPr>
        <w:t xml:space="preserve"> </w:t>
      </w:r>
      <w:r>
        <w:rPr>
          <w:color w:val="020303"/>
        </w:rPr>
        <w:t>of</w:t>
      </w:r>
      <w:r>
        <w:rPr>
          <w:color w:val="020303"/>
          <w:spacing w:val="-14"/>
        </w:rPr>
        <w:t xml:space="preserve"> </w:t>
      </w:r>
      <w:r>
        <w:rPr>
          <w:color w:val="020303"/>
        </w:rPr>
        <w:t>the</w:t>
      </w:r>
      <w:r>
        <w:rPr>
          <w:color w:val="020303"/>
          <w:spacing w:val="-13"/>
        </w:rPr>
        <w:t xml:space="preserve"> </w:t>
      </w:r>
      <w:r>
        <w:rPr>
          <w:color w:val="020303"/>
        </w:rPr>
        <w:t>Ordinary</w:t>
      </w:r>
      <w:r>
        <w:rPr>
          <w:color w:val="020303"/>
          <w:spacing w:val="-12"/>
        </w:rPr>
        <w:t xml:space="preserve"> </w:t>
      </w:r>
      <w:r>
        <w:rPr>
          <w:color w:val="020303"/>
        </w:rPr>
        <w:t>Shares</w:t>
      </w:r>
      <w:r>
        <w:rPr>
          <w:color w:val="020303"/>
          <w:spacing w:val="-13"/>
        </w:rPr>
        <w:t xml:space="preserve"> </w:t>
      </w:r>
      <w:r>
        <w:rPr>
          <w:color w:val="020303"/>
        </w:rPr>
        <w:t>may</w:t>
      </w:r>
      <w:r>
        <w:rPr>
          <w:color w:val="020303"/>
          <w:spacing w:val="-13"/>
        </w:rPr>
        <w:t xml:space="preserve"> </w:t>
      </w:r>
      <w:r>
        <w:rPr>
          <w:color w:val="020303"/>
        </w:rPr>
        <w:t>fluctuate</w:t>
      </w:r>
      <w:r>
        <w:rPr>
          <w:color w:val="020303"/>
          <w:spacing w:val="-12"/>
        </w:rPr>
        <w:t xml:space="preserve"> </w:t>
      </w:r>
      <w:r>
        <w:rPr>
          <w:color w:val="020303"/>
        </w:rPr>
        <w:t>based on</w:t>
      </w:r>
      <w:r>
        <w:rPr>
          <w:color w:val="020303"/>
          <w:spacing w:val="-12"/>
        </w:rPr>
        <w:t xml:space="preserve"> </w:t>
      </w:r>
      <w:r>
        <w:rPr>
          <w:color w:val="020303"/>
        </w:rPr>
        <w:t>a</w:t>
      </w:r>
      <w:r>
        <w:rPr>
          <w:color w:val="020303"/>
          <w:spacing w:val="-11"/>
        </w:rPr>
        <w:t xml:space="preserve"> </w:t>
      </w:r>
      <w:r>
        <w:rPr>
          <w:color w:val="020303"/>
        </w:rPr>
        <w:t>number</w:t>
      </w:r>
      <w:r>
        <w:rPr>
          <w:color w:val="020303"/>
          <w:spacing w:val="-12"/>
        </w:rPr>
        <w:t xml:space="preserve"> </w:t>
      </w:r>
      <w:r>
        <w:rPr>
          <w:color w:val="020303"/>
        </w:rPr>
        <w:t>of</w:t>
      </w:r>
      <w:r>
        <w:rPr>
          <w:color w:val="020303"/>
          <w:spacing w:val="-11"/>
        </w:rPr>
        <w:t xml:space="preserve"> </w:t>
      </w:r>
      <w:r>
        <w:rPr>
          <w:color w:val="020303"/>
        </w:rPr>
        <w:t>factors,</w:t>
      </w:r>
      <w:r>
        <w:rPr>
          <w:color w:val="020303"/>
          <w:spacing w:val="-12"/>
        </w:rPr>
        <w:t xml:space="preserve"> </w:t>
      </w:r>
      <w:r>
        <w:rPr>
          <w:color w:val="020303"/>
        </w:rPr>
        <w:t>including</w:t>
      </w:r>
      <w:r>
        <w:rPr>
          <w:color w:val="020303"/>
          <w:spacing w:val="-11"/>
        </w:rPr>
        <w:t xml:space="preserve"> </w:t>
      </w:r>
      <w:r>
        <w:rPr>
          <w:color w:val="020303"/>
        </w:rPr>
        <w:t>inter</w:t>
      </w:r>
      <w:r>
        <w:rPr>
          <w:color w:val="020303"/>
          <w:spacing w:val="-14"/>
        </w:rPr>
        <w:t xml:space="preserve"> </w:t>
      </w:r>
      <w:r>
        <w:rPr>
          <w:color w:val="020303"/>
        </w:rPr>
        <w:t>alia,</w:t>
      </w:r>
      <w:r>
        <w:rPr>
          <w:color w:val="020303"/>
          <w:spacing w:val="-11"/>
        </w:rPr>
        <w:t xml:space="preserve"> </w:t>
      </w:r>
      <w:r>
        <w:rPr>
          <w:color w:val="020303"/>
        </w:rPr>
        <w:t>published</w:t>
      </w:r>
      <w:r>
        <w:rPr>
          <w:color w:val="020303"/>
          <w:spacing w:val="-11"/>
        </w:rPr>
        <w:t xml:space="preserve"> </w:t>
      </w:r>
      <w:r>
        <w:rPr>
          <w:color w:val="020303"/>
        </w:rPr>
        <w:t>details</w:t>
      </w:r>
      <w:r>
        <w:rPr>
          <w:color w:val="020303"/>
          <w:spacing w:val="-12"/>
        </w:rPr>
        <w:t xml:space="preserve"> </w:t>
      </w:r>
      <w:r>
        <w:rPr>
          <w:color w:val="020303"/>
        </w:rPr>
        <w:t>of</w:t>
      </w:r>
      <w:r>
        <w:rPr>
          <w:color w:val="020303"/>
          <w:spacing w:val="-11"/>
        </w:rPr>
        <w:t xml:space="preserve"> </w:t>
      </w:r>
      <w:r>
        <w:rPr>
          <w:color w:val="020303"/>
        </w:rPr>
        <w:t>the</w:t>
      </w:r>
      <w:r>
        <w:rPr>
          <w:color w:val="020303"/>
          <w:spacing w:val="-11"/>
        </w:rPr>
        <w:t xml:space="preserve"> </w:t>
      </w:r>
      <w:r>
        <w:rPr>
          <w:color w:val="020303"/>
        </w:rPr>
        <w:t>Company’s</w:t>
      </w:r>
      <w:r>
        <w:rPr>
          <w:color w:val="020303"/>
          <w:spacing w:val="-10"/>
        </w:rPr>
        <w:t xml:space="preserve"> </w:t>
      </w:r>
      <w:r>
        <w:rPr>
          <w:color w:val="020303"/>
        </w:rPr>
        <w:t>performance</w:t>
      </w:r>
      <w:r>
        <w:rPr>
          <w:color w:val="020303"/>
          <w:spacing w:val="-14"/>
        </w:rPr>
        <w:t xml:space="preserve"> </w:t>
      </w:r>
      <w:r>
        <w:rPr>
          <w:color w:val="020303"/>
        </w:rPr>
        <w:t>(in</w:t>
      </w:r>
      <w:r>
        <w:rPr>
          <w:color w:val="020303"/>
          <w:spacing w:val="-11"/>
        </w:rPr>
        <w:t xml:space="preserve"> </w:t>
      </w:r>
      <w:r>
        <w:rPr>
          <w:color w:val="020303"/>
        </w:rPr>
        <w:t>particular,</w:t>
      </w:r>
      <w:r>
        <w:rPr>
          <w:color w:val="020303"/>
          <w:spacing w:val="-11"/>
        </w:rPr>
        <w:t xml:space="preserve"> </w:t>
      </w:r>
      <w:r>
        <w:rPr>
          <w:color w:val="020303"/>
        </w:rPr>
        <w:t>the</w:t>
      </w:r>
      <w:r>
        <w:rPr>
          <w:color w:val="020303"/>
          <w:spacing w:val="-11"/>
        </w:rPr>
        <w:t xml:space="preserve"> </w:t>
      </w:r>
      <w:r>
        <w:rPr>
          <w:color w:val="020303"/>
        </w:rPr>
        <w:t xml:space="preserve">result of its exploration activities), changes in general economic conditions, the market’s reaction to press releases </w:t>
      </w:r>
      <w:r>
        <w:rPr>
          <w:color w:val="020303"/>
          <w:spacing w:val="-2"/>
        </w:rPr>
        <w:t xml:space="preserve">and </w:t>
      </w:r>
      <w:r>
        <w:rPr>
          <w:color w:val="020303"/>
        </w:rPr>
        <w:t>public announcements made by the Company, as well as the arrival or departure of key</w:t>
      </w:r>
      <w:r>
        <w:rPr>
          <w:color w:val="020303"/>
          <w:spacing w:val="-20"/>
        </w:rPr>
        <w:t xml:space="preserve"> </w:t>
      </w:r>
      <w:r>
        <w:rPr>
          <w:color w:val="020303"/>
        </w:rPr>
        <w:t>personnel.</w:t>
      </w:r>
    </w:p>
    <w:p w14:paraId="7830B62C" w14:textId="77777777" w:rsidR="00783288" w:rsidRDefault="00783288">
      <w:pPr>
        <w:pStyle w:val="BodyText"/>
        <w:kinsoku w:val="0"/>
        <w:overflowPunct w:val="0"/>
        <w:spacing w:before="7"/>
        <w:rPr>
          <w:sz w:val="17"/>
          <w:szCs w:val="17"/>
        </w:rPr>
      </w:pPr>
    </w:p>
    <w:p w14:paraId="7FC9A181" w14:textId="77777777" w:rsidR="00783288" w:rsidRDefault="00E31420">
      <w:pPr>
        <w:pStyle w:val="Heading2"/>
        <w:kinsoku w:val="0"/>
        <w:overflowPunct w:val="0"/>
        <w:spacing w:before="1"/>
        <w:jc w:val="left"/>
        <w:rPr>
          <w:color w:val="171718"/>
        </w:rPr>
      </w:pPr>
      <w:r>
        <w:rPr>
          <w:color w:val="171718"/>
        </w:rPr>
        <w:t>Payment of Dividends</w:t>
      </w:r>
    </w:p>
    <w:p w14:paraId="7545C4E0" w14:textId="77777777" w:rsidR="00783288" w:rsidRDefault="00783288">
      <w:pPr>
        <w:pStyle w:val="BodyText"/>
        <w:kinsoku w:val="0"/>
        <w:overflowPunct w:val="0"/>
        <w:spacing w:before="3"/>
        <w:rPr>
          <w:b/>
          <w:bCs/>
          <w:i/>
          <w:iCs/>
        </w:rPr>
      </w:pPr>
    </w:p>
    <w:p w14:paraId="109EBEB0" w14:textId="77777777" w:rsidR="00783288" w:rsidRDefault="00E31420">
      <w:pPr>
        <w:pStyle w:val="BodyText"/>
        <w:kinsoku w:val="0"/>
        <w:overflowPunct w:val="0"/>
        <w:ind w:left="300" w:right="1191"/>
        <w:jc w:val="both"/>
        <w:rPr>
          <w:color w:val="171718"/>
        </w:rPr>
      </w:pPr>
      <w:r>
        <w:rPr>
          <w:color w:val="020303"/>
        </w:rPr>
        <w:t>Th</w:t>
      </w:r>
      <w:r>
        <w:rPr>
          <w:color w:val="171718"/>
        </w:rPr>
        <w:t>e</w:t>
      </w:r>
      <w:r>
        <w:rPr>
          <w:color w:val="171718"/>
          <w:spacing w:val="-14"/>
        </w:rPr>
        <w:t xml:space="preserve"> </w:t>
      </w:r>
      <w:r>
        <w:rPr>
          <w:color w:val="020303"/>
        </w:rPr>
        <w:t>C</w:t>
      </w:r>
      <w:r>
        <w:rPr>
          <w:color w:val="171718"/>
        </w:rPr>
        <w:t>o</w:t>
      </w:r>
      <w:r>
        <w:rPr>
          <w:color w:val="020303"/>
        </w:rPr>
        <w:t>mp</w:t>
      </w:r>
      <w:r>
        <w:rPr>
          <w:color w:val="171718"/>
        </w:rPr>
        <w:t>a</w:t>
      </w:r>
      <w:r>
        <w:rPr>
          <w:color w:val="020303"/>
        </w:rPr>
        <w:t>n</w:t>
      </w:r>
      <w:r>
        <w:rPr>
          <w:color w:val="171718"/>
        </w:rPr>
        <w:t>y</w:t>
      </w:r>
      <w:r>
        <w:rPr>
          <w:color w:val="171718"/>
          <w:spacing w:val="-15"/>
        </w:rPr>
        <w:t xml:space="preserve"> </w:t>
      </w:r>
      <w:r>
        <w:rPr>
          <w:color w:val="171718"/>
        </w:rPr>
        <w:t>has</w:t>
      </w:r>
      <w:r>
        <w:rPr>
          <w:color w:val="171718"/>
          <w:spacing w:val="-13"/>
        </w:rPr>
        <w:t xml:space="preserve"> </w:t>
      </w:r>
      <w:r>
        <w:rPr>
          <w:color w:val="171718"/>
        </w:rPr>
        <w:t>not</w:t>
      </w:r>
      <w:r>
        <w:rPr>
          <w:color w:val="171718"/>
          <w:spacing w:val="-16"/>
        </w:rPr>
        <w:t xml:space="preserve"> </w:t>
      </w:r>
      <w:r>
        <w:rPr>
          <w:color w:val="171718"/>
        </w:rPr>
        <w:t>declared</w:t>
      </w:r>
      <w:r>
        <w:rPr>
          <w:color w:val="171718"/>
          <w:spacing w:val="-13"/>
        </w:rPr>
        <w:t xml:space="preserve"> </w:t>
      </w:r>
      <w:r>
        <w:rPr>
          <w:color w:val="171718"/>
        </w:rPr>
        <w:t>or</w:t>
      </w:r>
      <w:r>
        <w:rPr>
          <w:color w:val="171718"/>
          <w:spacing w:val="-14"/>
        </w:rPr>
        <w:t xml:space="preserve"> </w:t>
      </w:r>
      <w:r>
        <w:rPr>
          <w:color w:val="171718"/>
        </w:rPr>
        <w:t>paid</w:t>
      </w:r>
      <w:r>
        <w:rPr>
          <w:color w:val="171718"/>
          <w:spacing w:val="-14"/>
        </w:rPr>
        <w:t xml:space="preserve"> </w:t>
      </w:r>
      <w:r>
        <w:rPr>
          <w:color w:val="171718"/>
        </w:rPr>
        <w:t>any</w:t>
      </w:r>
      <w:r>
        <w:rPr>
          <w:color w:val="171718"/>
          <w:spacing w:val="-15"/>
        </w:rPr>
        <w:t xml:space="preserve"> </w:t>
      </w:r>
      <w:r>
        <w:rPr>
          <w:color w:val="171718"/>
        </w:rPr>
        <w:t>d</w:t>
      </w:r>
      <w:r>
        <w:rPr>
          <w:color w:val="020303"/>
        </w:rPr>
        <w:t>i</w:t>
      </w:r>
      <w:r>
        <w:rPr>
          <w:color w:val="171718"/>
        </w:rPr>
        <w:t>v</w:t>
      </w:r>
      <w:r>
        <w:rPr>
          <w:color w:val="020303"/>
        </w:rPr>
        <w:t>i</w:t>
      </w:r>
      <w:r>
        <w:rPr>
          <w:color w:val="171718"/>
        </w:rPr>
        <w:t>dends</w:t>
      </w:r>
      <w:r>
        <w:rPr>
          <w:color w:val="171718"/>
          <w:spacing w:val="-13"/>
        </w:rPr>
        <w:t xml:space="preserve"> </w:t>
      </w:r>
      <w:r>
        <w:rPr>
          <w:color w:val="171718"/>
        </w:rPr>
        <w:t>o</w:t>
      </w:r>
      <w:r>
        <w:rPr>
          <w:color w:val="020303"/>
        </w:rPr>
        <w:t>n</w:t>
      </w:r>
      <w:r>
        <w:rPr>
          <w:color w:val="020303"/>
          <w:spacing w:val="-13"/>
        </w:rPr>
        <w:t xml:space="preserve"> </w:t>
      </w:r>
      <w:r>
        <w:rPr>
          <w:color w:val="020303"/>
        </w:rPr>
        <w:t>th</w:t>
      </w:r>
      <w:r>
        <w:rPr>
          <w:color w:val="171718"/>
        </w:rPr>
        <w:t>e</w:t>
      </w:r>
      <w:r>
        <w:rPr>
          <w:color w:val="171718"/>
          <w:spacing w:val="-16"/>
        </w:rPr>
        <w:t xml:space="preserve"> </w:t>
      </w:r>
      <w:r>
        <w:rPr>
          <w:color w:val="020303"/>
        </w:rPr>
        <w:t>O</w:t>
      </w:r>
      <w:r>
        <w:rPr>
          <w:color w:val="171718"/>
        </w:rPr>
        <w:t>rd</w:t>
      </w:r>
      <w:r>
        <w:rPr>
          <w:color w:val="020303"/>
        </w:rPr>
        <w:t>in</w:t>
      </w:r>
      <w:r>
        <w:rPr>
          <w:color w:val="171718"/>
        </w:rPr>
        <w:t>ary</w:t>
      </w:r>
      <w:r>
        <w:rPr>
          <w:color w:val="171718"/>
          <w:spacing w:val="-15"/>
        </w:rPr>
        <w:t xml:space="preserve"> </w:t>
      </w:r>
      <w:r>
        <w:rPr>
          <w:color w:val="171718"/>
        </w:rPr>
        <w:t>Sha</w:t>
      </w:r>
      <w:r>
        <w:rPr>
          <w:color w:val="020303"/>
        </w:rPr>
        <w:t>r</w:t>
      </w:r>
      <w:r>
        <w:rPr>
          <w:color w:val="171718"/>
        </w:rPr>
        <w:t>es</w:t>
      </w:r>
      <w:r>
        <w:rPr>
          <w:color w:val="171718"/>
          <w:spacing w:val="-13"/>
        </w:rPr>
        <w:t xml:space="preserve"> </w:t>
      </w:r>
      <w:r>
        <w:rPr>
          <w:color w:val="171718"/>
        </w:rPr>
        <w:t>and</w:t>
      </w:r>
      <w:r>
        <w:rPr>
          <w:color w:val="171718"/>
          <w:spacing w:val="-14"/>
        </w:rPr>
        <w:t xml:space="preserve"> </w:t>
      </w:r>
      <w:r>
        <w:rPr>
          <w:color w:val="171718"/>
        </w:rPr>
        <w:t>it</w:t>
      </w:r>
      <w:r>
        <w:rPr>
          <w:color w:val="171718"/>
          <w:spacing w:val="-14"/>
        </w:rPr>
        <w:t xml:space="preserve"> </w:t>
      </w:r>
      <w:r>
        <w:rPr>
          <w:color w:val="171718"/>
        </w:rPr>
        <w:t>is</w:t>
      </w:r>
      <w:r>
        <w:rPr>
          <w:color w:val="171718"/>
          <w:spacing w:val="-13"/>
        </w:rPr>
        <w:t xml:space="preserve"> </w:t>
      </w:r>
      <w:r>
        <w:rPr>
          <w:color w:val="171718"/>
        </w:rPr>
        <w:t>unable</w:t>
      </w:r>
      <w:r>
        <w:rPr>
          <w:color w:val="171718"/>
          <w:spacing w:val="-13"/>
        </w:rPr>
        <w:t xml:space="preserve"> </w:t>
      </w:r>
      <w:r>
        <w:rPr>
          <w:color w:val="171718"/>
        </w:rPr>
        <w:t>to</w:t>
      </w:r>
      <w:r>
        <w:rPr>
          <w:color w:val="171718"/>
          <w:spacing w:val="-13"/>
        </w:rPr>
        <w:t xml:space="preserve"> </w:t>
      </w:r>
      <w:r>
        <w:rPr>
          <w:color w:val="171718"/>
        </w:rPr>
        <w:t>provide</w:t>
      </w:r>
      <w:r>
        <w:rPr>
          <w:color w:val="171718"/>
          <w:spacing w:val="-13"/>
        </w:rPr>
        <w:t xml:space="preserve"> </w:t>
      </w:r>
      <w:r>
        <w:rPr>
          <w:color w:val="171718"/>
        </w:rPr>
        <w:t xml:space="preserve">assurances to investors that it will pay dividends in the foreseeable future. The Company’s ability to declare dividends is contingent upon </w:t>
      </w:r>
      <w:proofErr w:type="gramStart"/>
      <w:r>
        <w:rPr>
          <w:color w:val="171718"/>
        </w:rPr>
        <w:t>a number of</w:t>
      </w:r>
      <w:proofErr w:type="gramEnd"/>
      <w:r>
        <w:rPr>
          <w:color w:val="171718"/>
        </w:rPr>
        <w:t xml:space="preserve"> factors, including, the general financial condition of the Company, the cash requirements of the business and the availability of sufficient distributable</w:t>
      </w:r>
      <w:r>
        <w:rPr>
          <w:color w:val="171718"/>
          <w:spacing w:val="-8"/>
        </w:rPr>
        <w:t xml:space="preserve"> </w:t>
      </w:r>
      <w:r>
        <w:rPr>
          <w:color w:val="171718"/>
        </w:rPr>
        <w:t>reserves.</w:t>
      </w:r>
    </w:p>
    <w:p w14:paraId="2A2049DE" w14:textId="77777777" w:rsidR="006B0596" w:rsidRDefault="006B0596" w:rsidP="006B0596">
      <w:pPr>
        <w:pStyle w:val="BodyText"/>
        <w:kinsoku w:val="0"/>
        <w:overflowPunct w:val="0"/>
        <w:ind w:right="1191"/>
        <w:jc w:val="both"/>
        <w:rPr>
          <w:color w:val="171718"/>
        </w:rPr>
      </w:pPr>
    </w:p>
    <w:p w14:paraId="31CF7863" w14:textId="4A66FC09" w:rsidR="006B0596" w:rsidRDefault="006B0596" w:rsidP="006B0596">
      <w:pPr>
        <w:pStyle w:val="BodyText"/>
        <w:kinsoku w:val="0"/>
        <w:overflowPunct w:val="0"/>
        <w:ind w:right="1191"/>
        <w:jc w:val="both"/>
        <w:rPr>
          <w:color w:val="171718"/>
        </w:rPr>
      </w:pPr>
    </w:p>
    <w:p w14:paraId="6BDFB3CB" w14:textId="00015A60" w:rsidR="008C6A00" w:rsidRDefault="008C6A00" w:rsidP="006B0596">
      <w:pPr>
        <w:pStyle w:val="BodyText"/>
        <w:kinsoku w:val="0"/>
        <w:overflowPunct w:val="0"/>
        <w:ind w:right="1191"/>
        <w:jc w:val="both"/>
        <w:rPr>
          <w:color w:val="171718"/>
        </w:rPr>
      </w:pPr>
    </w:p>
    <w:p w14:paraId="4EF4D071" w14:textId="20ED6867" w:rsidR="008C6A00" w:rsidRDefault="008C6A00" w:rsidP="006B0596">
      <w:pPr>
        <w:pStyle w:val="BodyText"/>
        <w:kinsoku w:val="0"/>
        <w:overflowPunct w:val="0"/>
        <w:ind w:right="1191"/>
        <w:jc w:val="both"/>
        <w:rPr>
          <w:color w:val="171718"/>
        </w:rPr>
      </w:pPr>
    </w:p>
    <w:p w14:paraId="4ECB0797" w14:textId="5DEF1354" w:rsidR="008C6A00" w:rsidRDefault="008C6A00" w:rsidP="006B0596">
      <w:pPr>
        <w:pStyle w:val="BodyText"/>
        <w:kinsoku w:val="0"/>
        <w:overflowPunct w:val="0"/>
        <w:ind w:right="1191"/>
        <w:jc w:val="both"/>
        <w:rPr>
          <w:color w:val="171718"/>
        </w:rPr>
      </w:pPr>
    </w:p>
    <w:p w14:paraId="37C577CD" w14:textId="2D91B7BC" w:rsidR="008C6A00" w:rsidRDefault="008C6A00" w:rsidP="006B0596">
      <w:pPr>
        <w:pStyle w:val="BodyText"/>
        <w:kinsoku w:val="0"/>
        <w:overflowPunct w:val="0"/>
        <w:ind w:right="1191"/>
        <w:jc w:val="both"/>
        <w:rPr>
          <w:color w:val="171718"/>
        </w:rPr>
      </w:pPr>
    </w:p>
    <w:p w14:paraId="4A426CFB" w14:textId="715BB02C" w:rsidR="008C6A00" w:rsidRDefault="008C6A00" w:rsidP="006B0596">
      <w:pPr>
        <w:pStyle w:val="BodyText"/>
        <w:kinsoku w:val="0"/>
        <w:overflowPunct w:val="0"/>
        <w:ind w:right="1191"/>
        <w:jc w:val="both"/>
        <w:rPr>
          <w:color w:val="171718"/>
        </w:rPr>
      </w:pPr>
    </w:p>
    <w:p w14:paraId="658283C4" w14:textId="5B05D2BD" w:rsidR="008C6A00" w:rsidRDefault="008C6A00" w:rsidP="006B0596">
      <w:pPr>
        <w:pStyle w:val="BodyText"/>
        <w:kinsoku w:val="0"/>
        <w:overflowPunct w:val="0"/>
        <w:ind w:right="1191"/>
        <w:jc w:val="both"/>
        <w:rPr>
          <w:color w:val="171718"/>
        </w:rPr>
      </w:pPr>
    </w:p>
    <w:p w14:paraId="09728304" w14:textId="0918E894" w:rsidR="008C6A00" w:rsidRDefault="008C6A00" w:rsidP="006B0596">
      <w:pPr>
        <w:pStyle w:val="BodyText"/>
        <w:kinsoku w:val="0"/>
        <w:overflowPunct w:val="0"/>
        <w:ind w:right="1191"/>
        <w:jc w:val="both"/>
        <w:rPr>
          <w:color w:val="171718"/>
        </w:rPr>
      </w:pPr>
    </w:p>
    <w:p w14:paraId="1B9F2B1E" w14:textId="4445DDF6" w:rsidR="008C6A00" w:rsidRDefault="008C6A00" w:rsidP="006B0596">
      <w:pPr>
        <w:pStyle w:val="BodyText"/>
        <w:kinsoku w:val="0"/>
        <w:overflowPunct w:val="0"/>
        <w:ind w:right="1191"/>
        <w:jc w:val="both"/>
        <w:rPr>
          <w:color w:val="171718"/>
        </w:rPr>
      </w:pPr>
    </w:p>
    <w:p w14:paraId="47610BD2" w14:textId="710F4EE1" w:rsidR="008C6A00" w:rsidRDefault="008C6A00" w:rsidP="006B0596">
      <w:pPr>
        <w:pStyle w:val="BodyText"/>
        <w:kinsoku w:val="0"/>
        <w:overflowPunct w:val="0"/>
        <w:ind w:right="1191"/>
        <w:jc w:val="both"/>
        <w:rPr>
          <w:color w:val="171718"/>
        </w:rPr>
      </w:pPr>
    </w:p>
    <w:p w14:paraId="7351F489" w14:textId="2A1F3411" w:rsidR="008C6A00" w:rsidRDefault="008C6A00" w:rsidP="006B0596">
      <w:pPr>
        <w:pStyle w:val="BodyText"/>
        <w:kinsoku w:val="0"/>
        <w:overflowPunct w:val="0"/>
        <w:ind w:right="1191"/>
        <w:jc w:val="both"/>
        <w:rPr>
          <w:color w:val="171718"/>
        </w:rPr>
      </w:pPr>
    </w:p>
    <w:p w14:paraId="0A1D333D" w14:textId="1D437471" w:rsidR="008C6A00" w:rsidRDefault="008C6A00" w:rsidP="006B0596">
      <w:pPr>
        <w:pStyle w:val="BodyText"/>
        <w:kinsoku w:val="0"/>
        <w:overflowPunct w:val="0"/>
        <w:ind w:right="1191"/>
        <w:jc w:val="both"/>
        <w:rPr>
          <w:color w:val="171718"/>
        </w:rPr>
      </w:pPr>
    </w:p>
    <w:p w14:paraId="3FD6DF41" w14:textId="313F900A" w:rsidR="008C6A00" w:rsidRDefault="008C6A00" w:rsidP="006B0596">
      <w:pPr>
        <w:pStyle w:val="BodyText"/>
        <w:kinsoku w:val="0"/>
        <w:overflowPunct w:val="0"/>
        <w:ind w:right="1191"/>
        <w:jc w:val="both"/>
        <w:rPr>
          <w:color w:val="171718"/>
        </w:rPr>
      </w:pPr>
    </w:p>
    <w:p w14:paraId="6E8597C9" w14:textId="161CF727" w:rsidR="008C6A00" w:rsidRDefault="008C6A00" w:rsidP="006B0596">
      <w:pPr>
        <w:pStyle w:val="BodyText"/>
        <w:kinsoku w:val="0"/>
        <w:overflowPunct w:val="0"/>
        <w:ind w:right="1191"/>
        <w:jc w:val="both"/>
        <w:rPr>
          <w:color w:val="171718"/>
        </w:rPr>
      </w:pPr>
    </w:p>
    <w:p w14:paraId="704253D4" w14:textId="3B96E2DA" w:rsidR="008C6A00" w:rsidRDefault="008C6A00" w:rsidP="006B0596">
      <w:pPr>
        <w:pStyle w:val="BodyText"/>
        <w:kinsoku w:val="0"/>
        <w:overflowPunct w:val="0"/>
        <w:ind w:right="1191"/>
        <w:jc w:val="both"/>
        <w:rPr>
          <w:color w:val="171718"/>
        </w:rPr>
      </w:pPr>
    </w:p>
    <w:p w14:paraId="2689A255" w14:textId="09256841" w:rsidR="008C6A00" w:rsidRDefault="008C6A00" w:rsidP="006B0596">
      <w:pPr>
        <w:pStyle w:val="BodyText"/>
        <w:kinsoku w:val="0"/>
        <w:overflowPunct w:val="0"/>
        <w:ind w:right="1191"/>
        <w:jc w:val="both"/>
        <w:rPr>
          <w:color w:val="171718"/>
        </w:rPr>
      </w:pPr>
    </w:p>
    <w:p w14:paraId="7B1D4320" w14:textId="2CA527B3" w:rsidR="008C6A00" w:rsidRDefault="008C6A00" w:rsidP="006B0596">
      <w:pPr>
        <w:pStyle w:val="BodyText"/>
        <w:kinsoku w:val="0"/>
        <w:overflowPunct w:val="0"/>
        <w:ind w:right="1191"/>
        <w:jc w:val="both"/>
        <w:rPr>
          <w:color w:val="171718"/>
        </w:rPr>
      </w:pPr>
    </w:p>
    <w:p w14:paraId="56F0C848" w14:textId="6E404C38" w:rsidR="008C6A00" w:rsidRDefault="008C6A00" w:rsidP="006B0596">
      <w:pPr>
        <w:pStyle w:val="BodyText"/>
        <w:kinsoku w:val="0"/>
        <w:overflowPunct w:val="0"/>
        <w:ind w:right="1191"/>
        <w:jc w:val="both"/>
        <w:rPr>
          <w:color w:val="171718"/>
        </w:rPr>
      </w:pPr>
    </w:p>
    <w:p w14:paraId="33B8E6EC" w14:textId="577FB8D6" w:rsidR="008C6A00" w:rsidRDefault="008C6A00" w:rsidP="006B0596">
      <w:pPr>
        <w:pStyle w:val="BodyText"/>
        <w:kinsoku w:val="0"/>
        <w:overflowPunct w:val="0"/>
        <w:ind w:right="1191"/>
        <w:jc w:val="both"/>
        <w:rPr>
          <w:color w:val="171718"/>
        </w:rPr>
      </w:pPr>
    </w:p>
    <w:p w14:paraId="59E2C00F" w14:textId="6AEEE2E0" w:rsidR="008C6A00" w:rsidRDefault="008C6A00" w:rsidP="006B0596">
      <w:pPr>
        <w:pStyle w:val="BodyText"/>
        <w:kinsoku w:val="0"/>
        <w:overflowPunct w:val="0"/>
        <w:ind w:right="1191"/>
        <w:jc w:val="both"/>
        <w:rPr>
          <w:color w:val="171718"/>
        </w:rPr>
      </w:pPr>
    </w:p>
    <w:p w14:paraId="6982AD00" w14:textId="5533BC21" w:rsidR="008C6A00" w:rsidRDefault="008C6A00" w:rsidP="006B0596">
      <w:pPr>
        <w:pStyle w:val="BodyText"/>
        <w:kinsoku w:val="0"/>
        <w:overflowPunct w:val="0"/>
        <w:ind w:right="1191"/>
        <w:jc w:val="both"/>
        <w:rPr>
          <w:color w:val="171718"/>
        </w:rPr>
      </w:pPr>
    </w:p>
    <w:p w14:paraId="3CC523BE" w14:textId="71F8FD1F" w:rsidR="008C6A00" w:rsidRDefault="008C6A00" w:rsidP="006B0596">
      <w:pPr>
        <w:pStyle w:val="BodyText"/>
        <w:kinsoku w:val="0"/>
        <w:overflowPunct w:val="0"/>
        <w:ind w:right="1191"/>
        <w:jc w:val="both"/>
        <w:rPr>
          <w:color w:val="171718"/>
        </w:rPr>
      </w:pPr>
    </w:p>
    <w:p w14:paraId="78138AF0" w14:textId="20C622FC" w:rsidR="008C6A00" w:rsidRDefault="008C6A00" w:rsidP="006B0596">
      <w:pPr>
        <w:pStyle w:val="BodyText"/>
        <w:kinsoku w:val="0"/>
        <w:overflowPunct w:val="0"/>
        <w:ind w:right="1191"/>
        <w:jc w:val="both"/>
        <w:rPr>
          <w:color w:val="171718"/>
        </w:rPr>
      </w:pPr>
    </w:p>
    <w:p w14:paraId="6C38D285" w14:textId="5AF12244" w:rsidR="008C6A00" w:rsidRDefault="008C6A00" w:rsidP="006B0596">
      <w:pPr>
        <w:pStyle w:val="BodyText"/>
        <w:kinsoku w:val="0"/>
        <w:overflowPunct w:val="0"/>
        <w:ind w:right="1191"/>
        <w:jc w:val="both"/>
        <w:rPr>
          <w:color w:val="171718"/>
        </w:rPr>
      </w:pPr>
    </w:p>
    <w:p w14:paraId="6FBC5E8C" w14:textId="28840484" w:rsidR="008C6A00" w:rsidRDefault="008C6A00" w:rsidP="006B0596">
      <w:pPr>
        <w:pStyle w:val="BodyText"/>
        <w:kinsoku w:val="0"/>
        <w:overflowPunct w:val="0"/>
        <w:ind w:right="1191"/>
        <w:jc w:val="both"/>
        <w:rPr>
          <w:color w:val="171718"/>
        </w:rPr>
      </w:pPr>
    </w:p>
    <w:p w14:paraId="6BAE05E8" w14:textId="0E2579D7" w:rsidR="008C6A00" w:rsidRDefault="008C6A00" w:rsidP="006B0596">
      <w:pPr>
        <w:pStyle w:val="BodyText"/>
        <w:kinsoku w:val="0"/>
        <w:overflowPunct w:val="0"/>
        <w:ind w:right="1191"/>
        <w:jc w:val="both"/>
        <w:rPr>
          <w:color w:val="171718"/>
        </w:rPr>
      </w:pPr>
    </w:p>
    <w:p w14:paraId="4EBFD797" w14:textId="30BE9552" w:rsidR="008C6A00" w:rsidRDefault="008C6A00" w:rsidP="006B0596">
      <w:pPr>
        <w:pStyle w:val="BodyText"/>
        <w:kinsoku w:val="0"/>
        <w:overflowPunct w:val="0"/>
        <w:ind w:right="1191"/>
        <w:jc w:val="both"/>
        <w:rPr>
          <w:color w:val="171718"/>
        </w:rPr>
      </w:pPr>
    </w:p>
    <w:p w14:paraId="1A733FFC" w14:textId="526A6E2D" w:rsidR="008C6A00" w:rsidRDefault="008C6A00" w:rsidP="006B0596">
      <w:pPr>
        <w:pStyle w:val="BodyText"/>
        <w:kinsoku w:val="0"/>
        <w:overflowPunct w:val="0"/>
        <w:ind w:right="1191"/>
        <w:jc w:val="both"/>
        <w:rPr>
          <w:color w:val="171718"/>
        </w:rPr>
      </w:pPr>
    </w:p>
    <w:p w14:paraId="5811A710" w14:textId="3842EE2D" w:rsidR="008C6A00" w:rsidRDefault="008C6A00" w:rsidP="006B0596">
      <w:pPr>
        <w:pStyle w:val="BodyText"/>
        <w:kinsoku w:val="0"/>
        <w:overflowPunct w:val="0"/>
        <w:ind w:right="1191"/>
        <w:jc w:val="both"/>
        <w:rPr>
          <w:color w:val="171718"/>
        </w:rPr>
      </w:pPr>
    </w:p>
    <w:p w14:paraId="7AB7F442" w14:textId="7E2285DA" w:rsidR="008C6A00" w:rsidRDefault="008C6A00" w:rsidP="006B0596">
      <w:pPr>
        <w:pStyle w:val="BodyText"/>
        <w:kinsoku w:val="0"/>
        <w:overflowPunct w:val="0"/>
        <w:ind w:right="1191"/>
        <w:jc w:val="both"/>
        <w:rPr>
          <w:color w:val="171718"/>
        </w:rPr>
      </w:pPr>
    </w:p>
    <w:p w14:paraId="0D760265" w14:textId="03469C76" w:rsidR="008C6A00" w:rsidRDefault="008C6A00" w:rsidP="006B0596">
      <w:pPr>
        <w:pStyle w:val="BodyText"/>
        <w:kinsoku w:val="0"/>
        <w:overflowPunct w:val="0"/>
        <w:ind w:right="1191"/>
        <w:jc w:val="both"/>
        <w:rPr>
          <w:color w:val="171718"/>
        </w:rPr>
      </w:pPr>
    </w:p>
    <w:p w14:paraId="46ECFE15" w14:textId="0CDC53B6" w:rsidR="008C6A00" w:rsidRDefault="008C6A00" w:rsidP="006B0596">
      <w:pPr>
        <w:pStyle w:val="BodyText"/>
        <w:kinsoku w:val="0"/>
        <w:overflowPunct w:val="0"/>
        <w:ind w:right="1191"/>
        <w:jc w:val="both"/>
        <w:rPr>
          <w:color w:val="171718"/>
        </w:rPr>
      </w:pPr>
    </w:p>
    <w:p w14:paraId="7B841CB1" w14:textId="77777777" w:rsidR="008C6A00" w:rsidRDefault="008C6A00" w:rsidP="006B0596">
      <w:pPr>
        <w:pStyle w:val="BodyText"/>
        <w:kinsoku w:val="0"/>
        <w:overflowPunct w:val="0"/>
        <w:ind w:right="1191"/>
        <w:jc w:val="both"/>
        <w:rPr>
          <w:color w:val="171718"/>
        </w:rPr>
      </w:pPr>
    </w:p>
    <w:p w14:paraId="467CC402" w14:textId="77777777" w:rsidR="00783288" w:rsidRDefault="00E31420">
      <w:pPr>
        <w:pStyle w:val="Heading1"/>
        <w:kinsoku w:val="0"/>
        <w:overflowPunct w:val="0"/>
        <w:spacing w:before="74"/>
        <w:ind w:left="2896"/>
        <w:rPr>
          <w:color w:val="231F20"/>
        </w:rPr>
      </w:pPr>
      <w:r>
        <w:rPr>
          <w:color w:val="231F20"/>
        </w:rPr>
        <w:lastRenderedPageBreak/>
        <w:t>CONSEQUENCES OF A STANDARD LISTING</w:t>
      </w:r>
    </w:p>
    <w:p w14:paraId="3B784EBA" w14:textId="77777777" w:rsidR="00783288" w:rsidRDefault="00783288">
      <w:pPr>
        <w:pStyle w:val="BodyText"/>
        <w:kinsoku w:val="0"/>
        <w:overflowPunct w:val="0"/>
        <w:spacing w:before="3"/>
        <w:rPr>
          <w:b/>
          <w:bCs/>
        </w:rPr>
      </w:pPr>
    </w:p>
    <w:p w14:paraId="117112C9" w14:textId="6B86E638" w:rsidR="00783288" w:rsidRDefault="00E31420">
      <w:pPr>
        <w:pStyle w:val="BodyText"/>
        <w:kinsoku w:val="0"/>
        <w:overflowPunct w:val="0"/>
        <w:ind w:left="300" w:right="1188"/>
        <w:jc w:val="both"/>
        <w:rPr>
          <w:color w:val="231F20"/>
        </w:rPr>
      </w:pPr>
      <w:r>
        <w:rPr>
          <w:color w:val="231F20"/>
        </w:rPr>
        <w:t xml:space="preserve">Application will be made for all of the Ordinary Shares, issued and to be issued pursuant to the </w:t>
      </w:r>
      <w:r w:rsidR="00E700B8">
        <w:rPr>
          <w:color w:val="231F20"/>
        </w:rPr>
        <w:t xml:space="preserve">Placing </w:t>
      </w:r>
      <w:r w:rsidR="002514E7">
        <w:rPr>
          <w:color w:val="231F20"/>
        </w:rPr>
        <w:t xml:space="preserve">and the Labrador Acquisition, </w:t>
      </w:r>
      <w:r>
        <w:rPr>
          <w:color w:val="231F20"/>
        </w:rPr>
        <w:t>to be admitted to listing on the Official List pursuant to Chapter 14 of the Listing Rules, which sets out the requirements for Standard Listings.</w:t>
      </w:r>
    </w:p>
    <w:p w14:paraId="39EA5AFF" w14:textId="77777777" w:rsidR="00783288" w:rsidRDefault="00783288">
      <w:pPr>
        <w:pStyle w:val="BodyText"/>
        <w:kinsoku w:val="0"/>
        <w:overflowPunct w:val="0"/>
      </w:pPr>
    </w:p>
    <w:p w14:paraId="6EB1C864" w14:textId="77777777" w:rsidR="00783288" w:rsidRDefault="00E31420">
      <w:pPr>
        <w:pStyle w:val="BodyText"/>
        <w:kinsoku w:val="0"/>
        <w:overflowPunct w:val="0"/>
        <w:ind w:left="300" w:right="1189"/>
        <w:jc w:val="both"/>
        <w:rPr>
          <w:color w:val="2B2B2C"/>
        </w:rPr>
      </w:pPr>
      <w:r>
        <w:rPr>
          <w:color w:val="231F20"/>
        </w:rPr>
        <w:t xml:space="preserve">The Ordinary Shares will be listed under Chapter 14 of the Listing Rules (Standard Listing (Shares)) and, </w:t>
      </w:r>
      <w:proofErr w:type="gramStart"/>
      <w:r>
        <w:rPr>
          <w:color w:val="231F20"/>
        </w:rPr>
        <w:t>as a consequence</w:t>
      </w:r>
      <w:proofErr w:type="gramEnd"/>
      <w:r>
        <w:rPr>
          <w:color w:val="231F20"/>
        </w:rPr>
        <w:t>, a significant number of the Listing Rules will not apply to the Company. Shareholders will therefore not receive the full protections of the Listing Rules associated with a Premium Listing</w:t>
      </w:r>
      <w:r>
        <w:rPr>
          <w:color w:val="2B2B2C"/>
        </w:rPr>
        <w:t>.</w:t>
      </w:r>
    </w:p>
    <w:p w14:paraId="3561A9C7" w14:textId="77777777" w:rsidR="00783288" w:rsidRDefault="00783288">
      <w:pPr>
        <w:pStyle w:val="BodyText"/>
        <w:kinsoku w:val="0"/>
        <w:overflowPunct w:val="0"/>
      </w:pPr>
    </w:p>
    <w:p w14:paraId="7EBAFE19" w14:textId="77777777" w:rsidR="00783288" w:rsidRDefault="00E31420">
      <w:pPr>
        <w:pStyle w:val="BodyText"/>
        <w:kinsoku w:val="0"/>
        <w:overflowPunct w:val="0"/>
        <w:ind w:left="300" w:right="1191"/>
        <w:jc w:val="both"/>
        <w:rPr>
          <w:color w:val="231F20"/>
        </w:rPr>
      </w:pPr>
      <w:r>
        <w:rPr>
          <w:color w:val="231F20"/>
        </w:rPr>
        <w:t xml:space="preserve">Listing Rule 14.3 sets out the continuing obligations applicable to companies with a Standard Listing and requires that such companies’ listed equity shares </w:t>
      </w:r>
      <w:proofErr w:type="gramStart"/>
      <w:r>
        <w:rPr>
          <w:color w:val="231F20"/>
        </w:rPr>
        <w:t>must be admitted to trading on a regulated market at all times</w:t>
      </w:r>
      <w:proofErr w:type="gramEnd"/>
      <w:r>
        <w:rPr>
          <w:color w:val="231F20"/>
        </w:rPr>
        <w:t>. Such companies</w:t>
      </w:r>
      <w:r>
        <w:rPr>
          <w:color w:val="231F20"/>
          <w:spacing w:val="-8"/>
        </w:rPr>
        <w:t xml:space="preserve"> </w:t>
      </w:r>
      <w:r>
        <w:rPr>
          <w:color w:val="231F20"/>
        </w:rPr>
        <w:t>must</w:t>
      </w:r>
      <w:r>
        <w:rPr>
          <w:color w:val="231F20"/>
          <w:spacing w:val="-6"/>
        </w:rPr>
        <w:t xml:space="preserve"> </w:t>
      </w:r>
      <w:r>
        <w:rPr>
          <w:color w:val="231F20"/>
        </w:rPr>
        <w:t>have</w:t>
      </w:r>
      <w:r>
        <w:rPr>
          <w:color w:val="231F20"/>
          <w:spacing w:val="-5"/>
        </w:rPr>
        <w:t xml:space="preserve"> </w:t>
      </w:r>
      <w:r>
        <w:rPr>
          <w:color w:val="231F20"/>
        </w:rPr>
        <w:t>at</w:t>
      </w:r>
      <w:r>
        <w:rPr>
          <w:color w:val="231F20"/>
          <w:spacing w:val="-6"/>
        </w:rPr>
        <w:t xml:space="preserve"> </w:t>
      </w:r>
      <w:r>
        <w:rPr>
          <w:color w:val="231F20"/>
        </w:rPr>
        <w:t>least</w:t>
      </w:r>
      <w:r>
        <w:rPr>
          <w:color w:val="231F20"/>
          <w:spacing w:val="-9"/>
        </w:rPr>
        <w:t xml:space="preserve"> </w:t>
      </w:r>
      <w:r>
        <w:rPr>
          <w:color w:val="231F20"/>
        </w:rPr>
        <w:t>25</w:t>
      </w:r>
      <w:r>
        <w:rPr>
          <w:color w:val="231F20"/>
          <w:spacing w:val="-5"/>
        </w:rPr>
        <w:t xml:space="preserve"> </w:t>
      </w:r>
      <w:r>
        <w:rPr>
          <w:color w:val="231F20"/>
        </w:rPr>
        <w:t>per</w:t>
      </w:r>
      <w:r>
        <w:rPr>
          <w:color w:val="231F20"/>
          <w:spacing w:val="-7"/>
        </w:rPr>
        <w:t xml:space="preserve"> </w:t>
      </w:r>
      <w:r>
        <w:rPr>
          <w:color w:val="231F20"/>
        </w:rPr>
        <w:t>cent.</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shares</w:t>
      </w:r>
      <w:r>
        <w:rPr>
          <w:color w:val="231F20"/>
          <w:spacing w:val="-5"/>
        </w:rPr>
        <w:t xml:space="preserve"> </w:t>
      </w:r>
      <w:r>
        <w:rPr>
          <w:color w:val="231F20"/>
        </w:rPr>
        <w:t>of</w:t>
      </w:r>
      <w:r>
        <w:rPr>
          <w:color w:val="231F20"/>
          <w:spacing w:val="-6"/>
        </w:rPr>
        <w:t xml:space="preserve"> </w:t>
      </w:r>
      <w:r>
        <w:rPr>
          <w:color w:val="231F20"/>
        </w:rPr>
        <w:t>any</w:t>
      </w:r>
      <w:r>
        <w:rPr>
          <w:color w:val="231F20"/>
          <w:spacing w:val="-7"/>
        </w:rPr>
        <w:t xml:space="preserve"> </w:t>
      </w:r>
      <w:r>
        <w:rPr>
          <w:color w:val="231F20"/>
        </w:rPr>
        <w:t>listed</w:t>
      </w:r>
      <w:r>
        <w:rPr>
          <w:color w:val="231F20"/>
          <w:spacing w:val="-5"/>
        </w:rPr>
        <w:t xml:space="preserve"> </w:t>
      </w:r>
      <w:r>
        <w:rPr>
          <w:color w:val="231F20"/>
        </w:rPr>
        <w:t>class</w:t>
      </w:r>
      <w:r>
        <w:rPr>
          <w:color w:val="231F20"/>
          <w:spacing w:val="-8"/>
        </w:rPr>
        <w:t xml:space="preserve"> </w:t>
      </w:r>
      <w:r>
        <w:rPr>
          <w:color w:val="231F20"/>
        </w:rPr>
        <w:t>in</w:t>
      </w:r>
      <w:r>
        <w:rPr>
          <w:color w:val="231F20"/>
          <w:spacing w:val="-6"/>
        </w:rPr>
        <w:t xml:space="preserve"> </w:t>
      </w:r>
      <w:r>
        <w:rPr>
          <w:color w:val="231F20"/>
        </w:rPr>
        <w:t>public</w:t>
      </w:r>
      <w:r>
        <w:rPr>
          <w:color w:val="231F20"/>
          <w:spacing w:val="-5"/>
        </w:rPr>
        <w:t xml:space="preserve"> </w:t>
      </w:r>
      <w:r>
        <w:rPr>
          <w:color w:val="231F20"/>
        </w:rPr>
        <w:t>hands</w:t>
      </w:r>
      <w:r>
        <w:rPr>
          <w:color w:val="231F20"/>
          <w:spacing w:val="-6"/>
        </w:rPr>
        <w:t xml:space="preserve"> </w:t>
      </w:r>
      <w:r>
        <w:rPr>
          <w:color w:val="231F20"/>
        </w:rPr>
        <w:t>in</w:t>
      </w:r>
      <w:r>
        <w:rPr>
          <w:color w:val="231F20"/>
          <w:spacing w:val="-5"/>
        </w:rPr>
        <w:t xml:space="preserve"> </w:t>
      </w:r>
      <w:r>
        <w:rPr>
          <w:color w:val="231F20"/>
        </w:rPr>
        <w:t>one</w:t>
      </w:r>
      <w:r>
        <w:rPr>
          <w:color w:val="231F20"/>
          <w:spacing w:val="-6"/>
        </w:rPr>
        <w:t xml:space="preserve"> </w:t>
      </w:r>
      <w:r>
        <w:rPr>
          <w:color w:val="231F20"/>
        </w:rPr>
        <w:t>or</w:t>
      </w:r>
      <w:r>
        <w:rPr>
          <w:color w:val="231F20"/>
          <w:spacing w:val="-7"/>
        </w:rPr>
        <w:t xml:space="preserve"> </w:t>
      </w:r>
      <w:r>
        <w:rPr>
          <w:color w:val="231F20"/>
        </w:rPr>
        <w:t>more</w:t>
      </w:r>
      <w:r>
        <w:rPr>
          <w:color w:val="231F20"/>
          <w:spacing w:val="-5"/>
        </w:rPr>
        <w:t xml:space="preserve"> </w:t>
      </w:r>
      <w:r>
        <w:rPr>
          <w:color w:val="231F20"/>
        </w:rPr>
        <w:t xml:space="preserve">Member States </w:t>
      </w:r>
      <w:proofErr w:type="gramStart"/>
      <w:r>
        <w:rPr>
          <w:color w:val="231F20"/>
        </w:rPr>
        <w:t>at all times</w:t>
      </w:r>
      <w:proofErr w:type="gramEnd"/>
      <w:r>
        <w:rPr>
          <w:color w:val="231F20"/>
        </w:rPr>
        <w:t xml:space="preserve"> and the FCA must be notified as soon as possible if these holdings fall below that</w:t>
      </w:r>
      <w:r>
        <w:rPr>
          <w:color w:val="231F20"/>
          <w:spacing w:val="-32"/>
        </w:rPr>
        <w:t xml:space="preserve"> </w:t>
      </w:r>
      <w:r>
        <w:rPr>
          <w:color w:val="231F20"/>
        </w:rPr>
        <w:t>level.</w:t>
      </w:r>
    </w:p>
    <w:p w14:paraId="66B2F7DF" w14:textId="77777777" w:rsidR="00783288" w:rsidRDefault="00783288">
      <w:pPr>
        <w:pStyle w:val="BodyText"/>
        <w:kinsoku w:val="0"/>
        <w:overflowPunct w:val="0"/>
        <w:spacing w:before="2"/>
      </w:pPr>
    </w:p>
    <w:p w14:paraId="7ADC0A56" w14:textId="77777777" w:rsidR="00783288" w:rsidRDefault="00E31420">
      <w:pPr>
        <w:pStyle w:val="BodyText"/>
        <w:kinsoku w:val="0"/>
        <w:overflowPunct w:val="0"/>
        <w:ind w:left="300"/>
        <w:jc w:val="both"/>
        <w:rPr>
          <w:color w:val="231F20"/>
        </w:rPr>
      </w:pPr>
      <w:r>
        <w:rPr>
          <w:color w:val="231F20"/>
        </w:rPr>
        <w:t>The continuing obligations under Chapter 14 also include requirements as to:</w:t>
      </w:r>
    </w:p>
    <w:p w14:paraId="66858DC2" w14:textId="77777777" w:rsidR="00783288" w:rsidRDefault="00783288">
      <w:pPr>
        <w:pStyle w:val="BodyText"/>
        <w:kinsoku w:val="0"/>
        <w:overflowPunct w:val="0"/>
        <w:spacing w:before="1"/>
      </w:pPr>
    </w:p>
    <w:p w14:paraId="2C9C49E2" w14:textId="77777777" w:rsidR="00783288" w:rsidRDefault="00E31420" w:rsidP="00512495">
      <w:pPr>
        <w:pStyle w:val="ListParagraph"/>
        <w:numPr>
          <w:ilvl w:val="0"/>
          <w:numId w:val="22"/>
        </w:numPr>
        <w:tabs>
          <w:tab w:val="left" w:pos="867"/>
        </w:tabs>
        <w:kinsoku w:val="0"/>
        <w:overflowPunct w:val="0"/>
        <w:spacing w:line="237" w:lineRule="auto"/>
        <w:ind w:right="1191"/>
        <w:jc w:val="both"/>
        <w:rPr>
          <w:rFonts w:ascii="Symbol" w:hAnsi="Symbol" w:cs="Symbol"/>
          <w:color w:val="231F20"/>
          <w:sz w:val="18"/>
          <w:szCs w:val="18"/>
        </w:rPr>
      </w:pPr>
      <w:r>
        <w:rPr>
          <w:color w:val="231F20"/>
          <w:sz w:val="18"/>
          <w:szCs w:val="18"/>
        </w:rPr>
        <w:t>the forwarding of circulars and other documentation to the National Storage Mechanism and related notification to a</w:t>
      </w:r>
      <w:r>
        <w:rPr>
          <w:color w:val="231F20"/>
          <w:spacing w:val="-4"/>
          <w:sz w:val="18"/>
          <w:szCs w:val="18"/>
        </w:rPr>
        <w:t xml:space="preserve"> </w:t>
      </w:r>
      <w:proofErr w:type="gramStart"/>
      <w:r>
        <w:rPr>
          <w:color w:val="231F20"/>
          <w:sz w:val="18"/>
          <w:szCs w:val="18"/>
        </w:rPr>
        <w:t>RIS;</w:t>
      </w:r>
      <w:proofErr w:type="gramEnd"/>
    </w:p>
    <w:p w14:paraId="02CB26FE" w14:textId="77777777" w:rsidR="00783288" w:rsidRDefault="00783288">
      <w:pPr>
        <w:pStyle w:val="BodyText"/>
        <w:kinsoku w:val="0"/>
        <w:overflowPunct w:val="0"/>
        <w:spacing w:before="3"/>
      </w:pPr>
    </w:p>
    <w:p w14:paraId="46A3811D" w14:textId="77777777" w:rsidR="00783288" w:rsidRDefault="00E31420" w:rsidP="00512495">
      <w:pPr>
        <w:pStyle w:val="ListParagraph"/>
        <w:numPr>
          <w:ilvl w:val="0"/>
          <w:numId w:val="22"/>
        </w:numPr>
        <w:tabs>
          <w:tab w:val="left" w:pos="867"/>
        </w:tabs>
        <w:kinsoku w:val="0"/>
        <w:overflowPunct w:val="0"/>
        <w:spacing w:line="237" w:lineRule="auto"/>
        <w:ind w:right="1190"/>
        <w:jc w:val="both"/>
        <w:rPr>
          <w:rFonts w:ascii="Symbol" w:hAnsi="Symbol" w:cs="Symbol"/>
          <w:color w:val="231F20"/>
          <w:sz w:val="18"/>
          <w:szCs w:val="18"/>
        </w:rPr>
      </w:pPr>
      <w:r>
        <w:rPr>
          <w:color w:val="231F20"/>
          <w:sz w:val="18"/>
          <w:szCs w:val="18"/>
        </w:rPr>
        <w:t>the provision of contact details of appropriate persons nominated to act as a first point of contact with the FCA</w:t>
      </w:r>
      <w:r>
        <w:rPr>
          <w:color w:val="231F20"/>
          <w:spacing w:val="-8"/>
          <w:sz w:val="18"/>
          <w:szCs w:val="18"/>
        </w:rPr>
        <w:t xml:space="preserve"> </w:t>
      </w:r>
      <w:r>
        <w:rPr>
          <w:color w:val="231F20"/>
          <w:sz w:val="18"/>
          <w:szCs w:val="18"/>
        </w:rPr>
        <w:t>in</w:t>
      </w:r>
      <w:r>
        <w:rPr>
          <w:color w:val="231F20"/>
          <w:spacing w:val="-6"/>
          <w:sz w:val="18"/>
          <w:szCs w:val="18"/>
        </w:rPr>
        <w:t xml:space="preserve"> </w:t>
      </w:r>
      <w:r>
        <w:rPr>
          <w:color w:val="231F20"/>
          <w:sz w:val="18"/>
          <w:szCs w:val="18"/>
        </w:rPr>
        <w:t>relation</w:t>
      </w:r>
      <w:r>
        <w:rPr>
          <w:color w:val="231F20"/>
          <w:spacing w:val="-7"/>
          <w:sz w:val="18"/>
          <w:szCs w:val="18"/>
        </w:rPr>
        <w:t xml:space="preserve"> </w:t>
      </w:r>
      <w:r>
        <w:rPr>
          <w:color w:val="231F20"/>
          <w:sz w:val="18"/>
          <w:szCs w:val="18"/>
        </w:rPr>
        <w:t>to</w:t>
      </w:r>
      <w:r>
        <w:rPr>
          <w:color w:val="231F20"/>
          <w:spacing w:val="-6"/>
          <w:sz w:val="18"/>
          <w:szCs w:val="18"/>
        </w:rPr>
        <w:t xml:space="preserve"> </w:t>
      </w:r>
      <w:r>
        <w:rPr>
          <w:color w:val="231F20"/>
          <w:sz w:val="18"/>
          <w:szCs w:val="18"/>
        </w:rPr>
        <w:t>compliance</w:t>
      </w:r>
      <w:r>
        <w:rPr>
          <w:color w:val="231F20"/>
          <w:spacing w:val="-9"/>
          <w:sz w:val="18"/>
          <w:szCs w:val="18"/>
        </w:rPr>
        <w:t xml:space="preserve"> </w:t>
      </w:r>
      <w:r>
        <w:rPr>
          <w:color w:val="231F20"/>
          <w:sz w:val="18"/>
          <w:szCs w:val="18"/>
        </w:rPr>
        <w:t>with</w:t>
      </w:r>
      <w:r>
        <w:rPr>
          <w:color w:val="231F20"/>
          <w:spacing w:val="-7"/>
          <w:sz w:val="18"/>
          <w:szCs w:val="18"/>
        </w:rPr>
        <w:t xml:space="preserve"> </w:t>
      </w:r>
      <w:r>
        <w:rPr>
          <w:color w:val="231F20"/>
          <w:sz w:val="18"/>
          <w:szCs w:val="18"/>
        </w:rPr>
        <w:t>the</w:t>
      </w:r>
      <w:r>
        <w:rPr>
          <w:color w:val="231F20"/>
          <w:spacing w:val="-6"/>
          <w:sz w:val="18"/>
          <w:szCs w:val="18"/>
        </w:rPr>
        <w:t xml:space="preserve"> </w:t>
      </w:r>
      <w:r>
        <w:rPr>
          <w:color w:val="231F20"/>
          <w:sz w:val="18"/>
          <w:szCs w:val="18"/>
        </w:rPr>
        <w:t>Listing</w:t>
      </w:r>
      <w:r>
        <w:rPr>
          <w:color w:val="231F20"/>
          <w:spacing w:val="-7"/>
          <w:sz w:val="18"/>
          <w:szCs w:val="18"/>
        </w:rPr>
        <w:t xml:space="preserve"> </w:t>
      </w:r>
      <w:r>
        <w:rPr>
          <w:color w:val="231F20"/>
          <w:sz w:val="18"/>
          <w:szCs w:val="18"/>
        </w:rPr>
        <w:t>Rules</w:t>
      </w:r>
      <w:r>
        <w:rPr>
          <w:color w:val="231F20"/>
          <w:spacing w:val="-6"/>
          <w:sz w:val="18"/>
          <w:szCs w:val="18"/>
        </w:rPr>
        <w:t xml:space="preserve"> </w:t>
      </w:r>
      <w:r>
        <w:rPr>
          <w:color w:val="231F20"/>
          <w:sz w:val="18"/>
          <w:szCs w:val="18"/>
        </w:rPr>
        <w:t>and</w:t>
      </w:r>
      <w:r>
        <w:rPr>
          <w:color w:val="231F20"/>
          <w:spacing w:val="-9"/>
          <w:sz w:val="18"/>
          <w:szCs w:val="18"/>
        </w:rPr>
        <w:t xml:space="preserve"> </w:t>
      </w:r>
      <w:r>
        <w:rPr>
          <w:color w:val="231F20"/>
          <w:sz w:val="18"/>
          <w:szCs w:val="18"/>
        </w:rPr>
        <w:t>the</w:t>
      </w:r>
      <w:r>
        <w:rPr>
          <w:color w:val="231F20"/>
          <w:spacing w:val="-10"/>
          <w:sz w:val="18"/>
          <w:szCs w:val="18"/>
        </w:rPr>
        <w:t xml:space="preserve"> </w:t>
      </w:r>
      <w:r>
        <w:rPr>
          <w:color w:val="231F20"/>
          <w:sz w:val="18"/>
          <w:szCs w:val="18"/>
        </w:rPr>
        <w:t>Disclosure</w:t>
      </w:r>
      <w:r>
        <w:rPr>
          <w:color w:val="231F20"/>
          <w:spacing w:val="-6"/>
          <w:sz w:val="18"/>
          <w:szCs w:val="18"/>
        </w:rPr>
        <w:t xml:space="preserve"> </w:t>
      </w:r>
      <w:r>
        <w:rPr>
          <w:color w:val="231F20"/>
          <w:sz w:val="18"/>
          <w:szCs w:val="18"/>
        </w:rPr>
        <w:t>Guidance</w:t>
      </w:r>
      <w:r>
        <w:rPr>
          <w:color w:val="231F20"/>
          <w:spacing w:val="-7"/>
          <w:sz w:val="18"/>
          <w:szCs w:val="18"/>
        </w:rPr>
        <w:t xml:space="preserve"> </w:t>
      </w:r>
      <w:r>
        <w:rPr>
          <w:color w:val="231F20"/>
          <w:sz w:val="18"/>
          <w:szCs w:val="18"/>
        </w:rPr>
        <w:t>and</w:t>
      </w:r>
      <w:r>
        <w:rPr>
          <w:color w:val="231F20"/>
          <w:spacing w:val="-6"/>
          <w:sz w:val="18"/>
          <w:szCs w:val="18"/>
        </w:rPr>
        <w:t xml:space="preserve"> </w:t>
      </w:r>
      <w:r>
        <w:rPr>
          <w:color w:val="231F20"/>
          <w:sz w:val="18"/>
          <w:szCs w:val="18"/>
        </w:rPr>
        <w:t>Transparency</w:t>
      </w:r>
      <w:r>
        <w:rPr>
          <w:color w:val="231F20"/>
          <w:spacing w:val="-8"/>
          <w:sz w:val="18"/>
          <w:szCs w:val="18"/>
        </w:rPr>
        <w:t xml:space="preserve"> </w:t>
      </w:r>
      <w:proofErr w:type="gramStart"/>
      <w:r>
        <w:rPr>
          <w:color w:val="231F20"/>
          <w:sz w:val="18"/>
          <w:szCs w:val="18"/>
        </w:rPr>
        <w:t>Rules;</w:t>
      </w:r>
      <w:proofErr w:type="gramEnd"/>
    </w:p>
    <w:p w14:paraId="099D2123" w14:textId="77777777" w:rsidR="00783288" w:rsidRDefault="00783288">
      <w:pPr>
        <w:pStyle w:val="BodyText"/>
        <w:kinsoku w:val="0"/>
        <w:overflowPunct w:val="0"/>
        <w:spacing w:before="1"/>
      </w:pPr>
    </w:p>
    <w:p w14:paraId="6C0CFFE6" w14:textId="77777777" w:rsidR="00783288" w:rsidRDefault="00E31420" w:rsidP="00512495">
      <w:pPr>
        <w:pStyle w:val="ListParagraph"/>
        <w:numPr>
          <w:ilvl w:val="0"/>
          <w:numId w:val="22"/>
        </w:numPr>
        <w:tabs>
          <w:tab w:val="left" w:pos="867"/>
        </w:tabs>
        <w:kinsoku w:val="0"/>
        <w:overflowPunct w:val="0"/>
        <w:spacing w:before="1"/>
        <w:rPr>
          <w:rFonts w:ascii="Symbol" w:hAnsi="Symbol" w:cs="Symbol"/>
          <w:color w:val="231F20"/>
          <w:sz w:val="18"/>
          <w:szCs w:val="18"/>
        </w:rPr>
      </w:pPr>
      <w:r>
        <w:rPr>
          <w:color w:val="231F20"/>
          <w:sz w:val="18"/>
          <w:szCs w:val="18"/>
        </w:rPr>
        <w:t>the form and content of temporary and definitive documents of</w:t>
      </w:r>
      <w:r>
        <w:rPr>
          <w:color w:val="231F20"/>
          <w:spacing w:val="-3"/>
          <w:sz w:val="18"/>
          <w:szCs w:val="18"/>
        </w:rPr>
        <w:t xml:space="preserve"> </w:t>
      </w:r>
      <w:proofErr w:type="gramStart"/>
      <w:r>
        <w:rPr>
          <w:color w:val="231F20"/>
          <w:sz w:val="18"/>
          <w:szCs w:val="18"/>
        </w:rPr>
        <w:t>title;</w:t>
      </w:r>
      <w:proofErr w:type="gramEnd"/>
    </w:p>
    <w:p w14:paraId="49C1FFA2" w14:textId="77777777" w:rsidR="00783288" w:rsidRDefault="00783288">
      <w:pPr>
        <w:pStyle w:val="BodyText"/>
        <w:kinsoku w:val="0"/>
        <w:overflowPunct w:val="0"/>
        <w:spacing w:before="8"/>
        <w:rPr>
          <w:sz w:val="17"/>
          <w:szCs w:val="17"/>
        </w:rPr>
      </w:pPr>
    </w:p>
    <w:p w14:paraId="3278C50A" w14:textId="77777777" w:rsidR="00783288" w:rsidRDefault="00E31420" w:rsidP="00512495">
      <w:pPr>
        <w:pStyle w:val="ListParagraph"/>
        <w:numPr>
          <w:ilvl w:val="0"/>
          <w:numId w:val="22"/>
        </w:numPr>
        <w:tabs>
          <w:tab w:val="left" w:pos="867"/>
        </w:tabs>
        <w:kinsoku w:val="0"/>
        <w:overflowPunct w:val="0"/>
        <w:rPr>
          <w:rFonts w:ascii="Symbol" w:hAnsi="Symbol" w:cs="Symbol"/>
          <w:color w:val="231F20"/>
          <w:sz w:val="18"/>
          <w:szCs w:val="18"/>
        </w:rPr>
      </w:pPr>
      <w:r>
        <w:rPr>
          <w:color w:val="231F20"/>
          <w:sz w:val="18"/>
          <w:szCs w:val="18"/>
        </w:rPr>
        <w:t>the appointment of a</w:t>
      </w:r>
      <w:r>
        <w:rPr>
          <w:color w:val="231F20"/>
          <w:spacing w:val="-1"/>
          <w:sz w:val="18"/>
          <w:szCs w:val="18"/>
        </w:rPr>
        <w:t xml:space="preserve"> </w:t>
      </w:r>
      <w:proofErr w:type="gramStart"/>
      <w:r>
        <w:rPr>
          <w:color w:val="231F20"/>
          <w:sz w:val="18"/>
          <w:szCs w:val="18"/>
        </w:rPr>
        <w:t>registrar;</w:t>
      </w:r>
      <w:proofErr w:type="gramEnd"/>
    </w:p>
    <w:p w14:paraId="5E2BECA5" w14:textId="77777777" w:rsidR="00783288" w:rsidRDefault="00783288">
      <w:pPr>
        <w:pStyle w:val="BodyText"/>
        <w:kinsoku w:val="0"/>
        <w:overflowPunct w:val="0"/>
      </w:pPr>
    </w:p>
    <w:p w14:paraId="562251E1" w14:textId="77777777" w:rsidR="00783288" w:rsidRDefault="00E31420" w:rsidP="00512495">
      <w:pPr>
        <w:pStyle w:val="ListParagraph"/>
        <w:numPr>
          <w:ilvl w:val="0"/>
          <w:numId w:val="22"/>
        </w:numPr>
        <w:tabs>
          <w:tab w:val="left" w:pos="867"/>
        </w:tabs>
        <w:kinsoku w:val="0"/>
        <w:overflowPunct w:val="0"/>
        <w:rPr>
          <w:rFonts w:ascii="Symbol" w:hAnsi="Symbol" w:cs="Symbol"/>
          <w:color w:val="231F20"/>
          <w:sz w:val="18"/>
          <w:szCs w:val="18"/>
        </w:rPr>
      </w:pPr>
      <w:r>
        <w:rPr>
          <w:color w:val="231F20"/>
          <w:sz w:val="18"/>
          <w:szCs w:val="18"/>
        </w:rPr>
        <w:t>notifying an RIS in relation to changes to equity and debt capital;</w:t>
      </w:r>
      <w:r>
        <w:rPr>
          <w:color w:val="231F20"/>
          <w:spacing w:val="-6"/>
          <w:sz w:val="18"/>
          <w:szCs w:val="18"/>
        </w:rPr>
        <w:t xml:space="preserve"> </w:t>
      </w:r>
      <w:r>
        <w:rPr>
          <w:color w:val="231F20"/>
          <w:sz w:val="18"/>
          <w:szCs w:val="18"/>
        </w:rPr>
        <w:t>and</w:t>
      </w:r>
    </w:p>
    <w:p w14:paraId="7DABF9B4" w14:textId="77777777" w:rsidR="00783288" w:rsidRDefault="00783288">
      <w:pPr>
        <w:pStyle w:val="BodyText"/>
        <w:kinsoku w:val="0"/>
        <w:overflowPunct w:val="0"/>
        <w:spacing w:before="9"/>
        <w:rPr>
          <w:sz w:val="17"/>
          <w:szCs w:val="17"/>
        </w:rPr>
      </w:pPr>
    </w:p>
    <w:p w14:paraId="49976DD8" w14:textId="77777777" w:rsidR="00783288" w:rsidRDefault="00E31420" w:rsidP="00512495">
      <w:pPr>
        <w:pStyle w:val="ListParagraph"/>
        <w:numPr>
          <w:ilvl w:val="0"/>
          <w:numId w:val="22"/>
        </w:numPr>
        <w:tabs>
          <w:tab w:val="left" w:pos="867"/>
        </w:tabs>
        <w:kinsoku w:val="0"/>
        <w:overflowPunct w:val="0"/>
        <w:rPr>
          <w:rFonts w:ascii="Symbol" w:hAnsi="Symbol" w:cs="Symbol"/>
          <w:color w:val="231F20"/>
          <w:sz w:val="18"/>
          <w:szCs w:val="18"/>
        </w:rPr>
      </w:pPr>
      <w:r>
        <w:rPr>
          <w:color w:val="231F20"/>
          <w:sz w:val="18"/>
          <w:szCs w:val="18"/>
        </w:rPr>
        <w:t>compliance with</w:t>
      </w:r>
      <w:proofErr w:type="gramStart"/>
      <w:r>
        <w:rPr>
          <w:color w:val="231F20"/>
          <w:sz w:val="18"/>
          <w:szCs w:val="18"/>
        </w:rPr>
        <w:t>, in particular, Chapters</w:t>
      </w:r>
      <w:proofErr w:type="gramEnd"/>
      <w:r>
        <w:rPr>
          <w:color w:val="231F20"/>
          <w:sz w:val="18"/>
          <w:szCs w:val="18"/>
        </w:rPr>
        <w:t xml:space="preserve"> 4, 5 and 6 of the Disclosure Guidance and Transparency</w:t>
      </w:r>
      <w:r>
        <w:rPr>
          <w:color w:val="231F20"/>
          <w:spacing w:val="-15"/>
          <w:sz w:val="18"/>
          <w:szCs w:val="18"/>
        </w:rPr>
        <w:t xml:space="preserve"> </w:t>
      </w:r>
      <w:r>
        <w:rPr>
          <w:color w:val="231F20"/>
          <w:sz w:val="18"/>
          <w:szCs w:val="18"/>
        </w:rPr>
        <w:t>Rules.</w:t>
      </w:r>
    </w:p>
    <w:p w14:paraId="515DD042" w14:textId="77777777" w:rsidR="00783288" w:rsidRDefault="00783288">
      <w:pPr>
        <w:pStyle w:val="BodyText"/>
        <w:kinsoku w:val="0"/>
        <w:overflowPunct w:val="0"/>
        <w:spacing w:before="11"/>
        <w:rPr>
          <w:sz w:val="17"/>
          <w:szCs w:val="17"/>
        </w:rPr>
      </w:pPr>
    </w:p>
    <w:p w14:paraId="170B572F" w14:textId="77777777" w:rsidR="00783288" w:rsidRDefault="00E31420">
      <w:pPr>
        <w:pStyle w:val="BodyText"/>
        <w:kinsoku w:val="0"/>
        <w:overflowPunct w:val="0"/>
        <w:ind w:left="300"/>
        <w:jc w:val="both"/>
        <w:rPr>
          <w:color w:val="231F20"/>
        </w:rPr>
      </w:pPr>
      <w:r>
        <w:rPr>
          <w:color w:val="231F20"/>
        </w:rPr>
        <w:t>The Company is subject to the Market Abuse Regulation.</w:t>
      </w:r>
    </w:p>
    <w:p w14:paraId="291C6C6F" w14:textId="77777777" w:rsidR="00783288" w:rsidRDefault="00783288">
      <w:pPr>
        <w:pStyle w:val="BodyText"/>
        <w:kinsoku w:val="0"/>
        <w:overflowPunct w:val="0"/>
        <w:spacing w:before="8"/>
        <w:rPr>
          <w:sz w:val="17"/>
          <w:szCs w:val="17"/>
        </w:rPr>
      </w:pPr>
    </w:p>
    <w:p w14:paraId="4278A74E" w14:textId="77777777" w:rsidR="00783288" w:rsidRDefault="00E31420">
      <w:pPr>
        <w:pStyle w:val="BodyText"/>
        <w:kinsoku w:val="0"/>
        <w:overflowPunct w:val="0"/>
        <w:ind w:left="300" w:right="1189"/>
        <w:jc w:val="both"/>
        <w:rPr>
          <w:color w:val="231F20"/>
        </w:rPr>
      </w:pPr>
      <w:r>
        <w:rPr>
          <w:color w:val="231F20"/>
        </w:rPr>
        <w:t>As</w:t>
      </w:r>
      <w:r>
        <w:rPr>
          <w:color w:val="231F20"/>
          <w:spacing w:val="-7"/>
        </w:rPr>
        <w:t xml:space="preserve"> </w:t>
      </w:r>
      <w:r>
        <w:rPr>
          <w:color w:val="231F20"/>
        </w:rPr>
        <w:t>a</w:t>
      </w:r>
      <w:r>
        <w:rPr>
          <w:color w:val="231F20"/>
          <w:spacing w:val="-9"/>
        </w:rPr>
        <w:t xml:space="preserve"> </w:t>
      </w:r>
      <w:r>
        <w:rPr>
          <w:color w:val="231F20"/>
        </w:rPr>
        <w:t>company</w:t>
      </w:r>
      <w:r>
        <w:rPr>
          <w:color w:val="231F20"/>
          <w:spacing w:val="-8"/>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Standard</w:t>
      </w:r>
      <w:r>
        <w:rPr>
          <w:color w:val="231F20"/>
          <w:spacing w:val="-10"/>
        </w:rPr>
        <w:t xml:space="preserve"> </w:t>
      </w:r>
      <w:r>
        <w:rPr>
          <w:color w:val="231F20"/>
        </w:rPr>
        <w:t>Listing,</w:t>
      </w:r>
      <w:r>
        <w:rPr>
          <w:color w:val="231F20"/>
          <w:spacing w:val="-6"/>
        </w:rPr>
        <w:t xml:space="preserve"> </w:t>
      </w:r>
      <w:r>
        <w:rPr>
          <w:color w:val="231F20"/>
        </w:rPr>
        <w:t>the</w:t>
      </w:r>
      <w:r>
        <w:rPr>
          <w:color w:val="231F20"/>
          <w:spacing w:val="-9"/>
        </w:rPr>
        <w:t xml:space="preserve"> </w:t>
      </w:r>
      <w:r>
        <w:rPr>
          <w:color w:val="231F20"/>
        </w:rPr>
        <w:t>Company</w:t>
      </w:r>
      <w:r>
        <w:rPr>
          <w:color w:val="231F20"/>
          <w:spacing w:val="-8"/>
        </w:rPr>
        <w:t xml:space="preserve"> </w:t>
      </w:r>
      <w:r>
        <w:rPr>
          <w:color w:val="231F20"/>
        </w:rPr>
        <w:t>will,</w:t>
      </w:r>
      <w:r>
        <w:rPr>
          <w:color w:val="231F20"/>
          <w:spacing w:val="-6"/>
        </w:rPr>
        <w:t xml:space="preserve"> </w:t>
      </w:r>
      <w:r>
        <w:rPr>
          <w:color w:val="231F20"/>
        </w:rPr>
        <w:t>following</w:t>
      </w:r>
      <w:r>
        <w:rPr>
          <w:color w:val="231F20"/>
          <w:spacing w:val="-6"/>
        </w:rPr>
        <w:t xml:space="preserve"> </w:t>
      </w:r>
      <w:r>
        <w:rPr>
          <w:color w:val="231F20"/>
        </w:rPr>
        <w:t>Admission,</w:t>
      </w:r>
      <w:r>
        <w:rPr>
          <w:color w:val="231F20"/>
          <w:spacing w:val="-10"/>
        </w:rPr>
        <w:t xml:space="preserve"> </w:t>
      </w:r>
      <w:r>
        <w:rPr>
          <w:color w:val="231F20"/>
        </w:rPr>
        <w:t>not</w:t>
      </w:r>
      <w:r>
        <w:rPr>
          <w:color w:val="231F20"/>
          <w:spacing w:val="-6"/>
        </w:rPr>
        <w:t xml:space="preserve"> </w:t>
      </w:r>
      <w:r>
        <w:rPr>
          <w:color w:val="231F20"/>
        </w:rPr>
        <w:t>be</w:t>
      </w:r>
      <w:r>
        <w:rPr>
          <w:color w:val="231F20"/>
          <w:spacing w:val="-6"/>
        </w:rPr>
        <w:t xml:space="preserve"> </w:t>
      </w:r>
      <w:r>
        <w:rPr>
          <w:color w:val="231F20"/>
        </w:rPr>
        <w:t>required</w:t>
      </w:r>
      <w:r>
        <w:rPr>
          <w:color w:val="231F20"/>
          <w:spacing w:val="-6"/>
        </w:rPr>
        <w:t xml:space="preserve"> </w:t>
      </w:r>
      <w:r>
        <w:rPr>
          <w:color w:val="231F20"/>
        </w:rPr>
        <w:t>to</w:t>
      </w:r>
      <w:r>
        <w:rPr>
          <w:color w:val="231F20"/>
          <w:spacing w:val="-9"/>
        </w:rPr>
        <w:t xml:space="preserve"> </w:t>
      </w:r>
      <w:r>
        <w:rPr>
          <w:color w:val="231F20"/>
        </w:rPr>
        <w:t>comply</w:t>
      </w:r>
      <w:r>
        <w:rPr>
          <w:color w:val="231F20"/>
          <w:spacing w:val="-9"/>
        </w:rPr>
        <w:t xml:space="preserve"> </w:t>
      </w:r>
      <w:r>
        <w:rPr>
          <w:color w:val="231F20"/>
        </w:rPr>
        <w:t>with,</w:t>
      </w:r>
      <w:r>
        <w:rPr>
          <w:color w:val="231F20"/>
          <w:spacing w:val="-5"/>
        </w:rPr>
        <w:t xml:space="preserve"> </w:t>
      </w:r>
      <w:r>
        <w:rPr>
          <w:i/>
          <w:iCs/>
          <w:color w:val="231F20"/>
        </w:rPr>
        <w:t>inter alia</w:t>
      </w:r>
      <w:r>
        <w:rPr>
          <w:color w:val="231F20"/>
        </w:rPr>
        <w:t xml:space="preserve">, the provisions of Chapters 6 to 13 of the Listing Rules (except for Listing Principles 1 and 2 as set out </w:t>
      </w:r>
      <w:r>
        <w:rPr>
          <w:color w:val="231F20"/>
          <w:spacing w:val="-3"/>
        </w:rPr>
        <w:t xml:space="preserve">in </w:t>
      </w:r>
      <w:r>
        <w:rPr>
          <w:color w:val="231F20"/>
        </w:rPr>
        <w:t>Chapter 7 of the Listing Rules, as required by the UK Listing Authority), which set out more onerous requirements for</w:t>
      </w:r>
      <w:r>
        <w:rPr>
          <w:color w:val="231F20"/>
          <w:spacing w:val="-8"/>
        </w:rPr>
        <w:t xml:space="preserve"> </w:t>
      </w:r>
      <w:r>
        <w:rPr>
          <w:color w:val="231F20"/>
        </w:rPr>
        <w:t>issuers</w:t>
      </w:r>
      <w:r>
        <w:rPr>
          <w:color w:val="231F20"/>
          <w:spacing w:val="-9"/>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Premium</w:t>
      </w:r>
      <w:r>
        <w:rPr>
          <w:color w:val="231F20"/>
          <w:spacing w:val="-9"/>
        </w:rPr>
        <w:t xml:space="preserve"> </w:t>
      </w:r>
      <w:r>
        <w:rPr>
          <w:color w:val="231F20"/>
        </w:rPr>
        <w:t>Listing</w:t>
      </w:r>
      <w:r>
        <w:rPr>
          <w:color w:val="231F20"/>
          <w:spacing w:val="-10"/>
        </w:rPr>
        <w:t xml:space="preserve"> </w:t>
      </w:r>
      <w:r>
        <w:rPr>
          <w:color w:val="231F20"/>
        </w:rPr>
        <w:t>of</w:t>
      </w:r>
      <w:r>
        <w:rPr>
          <w:color w:val="231F20"/>
          <w:spacing w:val="-7"/>
        </w:rPr>
        <w:t xml:space="preserve"> </w:t>
      </w:r>
      <w:r>
        <w:rPr>
          <w:color w:val="231F20"/>
        </w:rPr>
        <w:t>equity</w:t>
      </w:r>
      <w:r>
        <w:rPr>
          <w:color w:val="231F20"/>
          <w:spacing w:val="-9"/>
        </w:rPr>
        <w:t xml:space="preserve"> </w:t>
      </w:r>
      <w:r>
        <w:rPr>
          <w:color w:val="231F20"/>
        </w:rPr>
        <w:t>securities</w:t>
      </w:r>
      <w:r>
        <w:rPr>
          <w:color w:val="2B2B2C"/>
        </w:rPr>
        <w:t>.</w:t>
      </w:r>
      <w:r>
        <w:rPr>
          <w:color w:val="2B2B2C"/>
          <w:spacing w:val="-7"/>
        </w:rPr>
        <w:t xml:space="preserve"> </w:t>
      </w:r>
      <w:r>
        <w:rPr>
          <w:color w:val="231F20"/>
        </w:rPr>
        <w:t>These</w:t>
      </w:r>
      <w:r>
        <w:rPr>
          <w:color w:val="231F20"/>
          <w:spacing w:val="-10"/>
        </w:rPr>
        <w:t xml:space="preserve"> </w:t>
      </w:r>
      <w:r>
        <w:rPr>
          <w:color w:val="231F20"/>
        </w:rPr>
        <w:t>include</w:t>
      </w:r>
      <w:r>
        <w:rPr>
          <w:color w:val="231F20"/>
          <w:spacing w:val="-10"/>
        </w:rPr>
        <w:t xml:space="preserve"> </w:t>
      </w:r>
      <w:r>
        <w:rPr>
          <w:color w:val="231F20"/>
        </w:rPr>
        <w:t>provisions</w:t>
      </w:r>
      <w:r>
        <w:rPr>
          <w:color w:val="231F20"/>
          <w:spacing w:val="-7"/>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certain</w:t>
      </w:r>
      <w:r>
        <w:rPr>
          <w:color w:val="231F20"/>
          <w:spacing w:val="-10"/>
        </w:rPr>
        <w:t xml:space="preserve"> </w:t>
      </w:r>
      <w:r>
        <w:rPr>
          <w:color w:val="231F20"/>
        </w:rPr>
        <w:t>listing</w:t>
      </w:r>
      <w:r>
        <w:rPr>
          <w:color w:val="231F20"/>
          <w:spacing w:val="-7"/>
        </w:rPr>
        <w:t xml:space="preserve"> </w:t>
      </w:r>
      <w:r>
        <w:rPr>
          <w:color w:val="231F20"/>
        </w:rPr>
        <w:t>principles, the requirement to appoint a sponsor, various continuing obligations, significant transactions, related party transactions, dealings in own securities and treasury shares and contents of</w:t>
      </w:r>
      <w:r>
        <w:rPr>
          <w:color w:val="231F20"/>
          <w:spacing w:val="-14"/>
        </w:rPr>
        <w:t xml:space="preserve"> </w:t>
      </w:r>
      <w:r>
        <w:rPr>
          <w:color w:val="231F20"/>
        </w:rPr>
        <w:t>circulars.</w:t>
      </w:r>
    </w:p>
    <w:p w14:paraId="29B73208" w14:textId="77777777" w:rsidR="00783288" w:rsidRDefault="00783288">
      <w:pPr>
        <w:pStyle w:val="BodyText"/>
        <w:kinsoku w:val="0"/>
        <w:overflowPunct w:val="0"/>
        <w:spacing w:before="3"/>
      </w:pPr>
    </w:p>
    <w:p w14:paraId="74071673" w14:textId="77777777" w:rsidR="00783288" w:rsidRDefault="00E31420">
      <w:pPr>
        <w:pStyle w:val="BodyText"/>
        <w:kinsoku w:val="0"/>
        <w:overflowPunct w:val="0"/>
        <w:ind w:left="300"/>
        <w:jc w:val="both"/>
        <w:rPr>
          <w:color w:val="231F20"/>
        </w:rPr>
      </w:pPr>
      <w:r>
        <w:rPr>
          <w:color w:val="231F20"/>
        </w:rPr>
        <w:t xml:space="preserve">The Company will comply with Chapter 5 of the Listing Rules (Suspending, </w:t>
      </w:r>
      <w:proofErr w:type="gramStart"/>
      <w:r>
        <w:rPr>
          <w:color w:val="231F20"/>
        </w:rPr>
        <w:t>cancelling</w:t>
      </w:r>
      <w:proofErr w:type="gramEnd"/>
      <w:r>
        <w:rPr>
          <w:color w:val="231F20"/>
        </w:rPr>
        <w:t xml:space="preserve"> and restoring listing).</w:t>
      </w:r>
    </w:p>
    <w:p w14:paraId="4EF526CC" w14:textId="77777777" w:rsidR="00783288" w:rsidRDefault="00783288">
      <w:pPr>
        <w:pStyle w:val="BodyText"/>
        <w:kinsoku w:val="0"/>
        <w:overflowPunct w:val="0"/>
        <w:spacing w:before="1"/>
      </w:pPr>
    </w:p>
    <w:p w14:paraId="2DDE450A" w14:textId="77777777" w:rsidR="00783288" w:rsidRDefault="00E31420">
      <w:pPr>
        <w:pStyle w:val="BodyText"/>
        <w:kinsoku w:val="0"/>
        <w:overflowPunct w:val="0"/>
        <w:ind w:left="300" w:right="1189"/>
        <w:jc w:val="both"/>
        <w:rPr>
          <w:color w:val="231F20"/>
        </w:rPr>
      </w:pPr>
      <w:r>
        <w:rPr>
          <w:color w:val="231F20"/>
        </w:rPr>
        <w:t>The Company intends to comply with the Premium Listing Principles set out in Chapter 7 of the Listing Rules notwithstanding</w:t>
      </w:r>
      <w:r>
        <w:rPr>
          <w:color w:val="231F20"/>
          <w:spacing w:val="-14"/>
        </w:rPr>
        <w:t xml:space="preserve"> </w:t>
      </w:r>
      <w:r>
        <w:rPr>
          <w:color w:val="231F20"/>
        </w:rPr>
        <w:t>that</w:t>
      </w:r>
      <w:r>
        <w:rPr>
          <w:color w:val="231F20"/>
          <w:spacing w:val="-14"/>
        </w:rPr>
        <w:t xml:space="preserve"> </w:t>
      </w:r>
      <w:r>
        <w:rPr>
          <w:color w:val="231F20"/>
        </w:rPr>
        <w:t>they</w:t>
      </w:r>
      <w:r>
        <w:rPr>
          <w:color w:val="231F20"/>
          <w:spacing w:val="-16"/>
        </w:rPr>
        <w:t xml:space="preserve"> </w:t>
      </w:r>
      <w:r>
        <w:rPr>
          <w:color w:val="231F20"/>
        </w:rPr>
        <w:t>only</w:t>
      </w:r>
      <w:r>
        <w:rPr>
          <w:color w:val="231F20"/>
          <w:spacing w:val="-15"/>
        </w:rPr>
        <w:t xml:space="preserve"> </w:t>
      </w:r>
      <w:r>
        <w:rPr>
          <w:color w:val="231F20"/>
        </w:rPr>
        <w:t>apply</w:t>
      </w:r>
      <w:r>
        <w:rPr>
          <w:color w:val="231F20"/>
          <w:spacing w:val="-16"/>
        </w:rPr>
        <w:t xml:space="preserve"> </w:t>
      </w:r>
      <w:r>
        <w:rPr>
          <w:color w:val="231F20"/>
        </w:rPr>
        <w:t>to</w:t>
      </w:r>
      <w:r>
        <w:rPr>
          <w:color w:val="231F20"/>
          <w:spacing w:val="-16"/>
        </w:rPr>
        <w:t xml:space="preserve"> </w:t>
      </w:r>
      <w:r>
        <w:rPr>
          <w:color w:val="231F20"/>
        </w:rPr>
        <w:t>companies</w:t>
      </w:r>
      <w:r>
        <w:rPr>
          <w:color w:val="231F20"/>
          <w:spacing w:val="-13"/>
        </w:rPr>
        <w:t xml:space="preserve"> </w:t>
      </w:r>
      <w:r>
        <w:rPr>
          <w:color w:val="231F20"/>
        </w:rPr>
        <w:t>which</w:t>
      </w:r>
      <w:r>
        <w:rPr>
          <w:color w:val="231F20"/>
          <w:spacing w:val="-14"/>
        </w:rPr>
        <w:t xml:space="preserve"> </w:t>
      </w:r>
      <w:r>
        <w:rPr>
          <w:color w:val="231F20"/>
        </w:rPr>
        <w:t>obtain</w:t>
      </w:r>
      <w:r>
        <w:rPr>
          <w:color w:val="231F20"/>
          <w:spacing w:val="-12"/>
        </w:rPr>
        <w:t xml:space="preserve"> </w:t>
      </w:r>
      <w:r>
        <w:rPr>
          <w:color w:val="231F20"/>
        </w:rPr>
        <w:t>a</w:t>
      </w:r>
      <w:r>
        <w:rPr>
          <w:color w:val="231F20"/>
          <w:spacing w:val="-14"/>
        </w:rPr>
        <w:t xml:space="preserve"> </w:t>
      </w:r>
      <w:r>
        <w:rPr>
          <w:color w:val="231F20"/>
        </w:rPr>
        <w:t>Premium</w:t>
      </w:r>
      <w:r>
        <w:rPr>
          <w:color w:val="231F20"/>
          <w:spacing w:val="-13"/>
        </w:rPr>
        <w:t xml:space="preserve"> </w:t>
      </w:r>
      <w:r>
        <w:rPr>
          <w:color w:val="231F20"/>
        </w:rPr>
        <w:t>Listing</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Official</w:t>
      </w:r>
      <w:r>
        <w:rPr>
          <w:color w:val="231F20"/>
          <w:spacing w:val="-16"/>
        </w:rPr>
        <w:t xml:space="preserve"> </w:t>
      </w:r>
      <w:r>
        <w:rPr>
          <w:color w:val="231F20"/>
        </w:rPr>
        <w:t>List</w:t>
      </w:r>
      <w:r>
        <w:rPr>
          <w:color w:val="2B2B2C"/>
        </w:rPr>
        <w:t>.</w:t>
      </w:r>
      <w:r>
        <w:rPr>
          <w:color w:val="2B2B2C"/>
          <w:spacing w:val="-15"/>
        </w:rPr>
        <w:t xml:space="preserve"> </w:t>
      </w:r>
      <w:r>
        <w:rPr>
          <w:color w:val="231F20"/>
        </w:rPr>
        <w:t>The</w:t>
      </w:r>
      <w:r>
        <w:rPr>
          <w:color w:val="231F20"/>
          <w:spacing w:val="-13"/>
        </w:rPr>
        <w:t xml:space="preserve"> </w:t>
      </w:r>
      <w:r>
        <w:rPr>
          <w:color w:val="231F20"/>
        </w:rPr>
        <w:t>Company is not, however, formally subject to such Listing Principles and will not be required to comply with them by the UK Listing Authority.</w:t>
      </w:r>
    </w:p>
    <w:p w14:paraId="430B5DCF" w14:textId="77777777" w:rsidR="00783288" w:rsidRDefault="00783288">
      <w:pPr>
        <w:pStyle w:val="BodyText"/>
        <w:kinsoku w:val="0"/>
        <w:overflowPunct w:val="0"/>
        <w:spacing w:before="11"/>
        <w:rPr>
          <w:sz w:val="17"/>
          <w:szCs w:val="17"/>
        </w:rPr>
      </w:pPr>
    </w:p>
    <w:p w14:paraId="261AAB7D" w14:textId="77777777" w:rsidR="00783288" w:rsidRDefault="00E31420">
      <w:pPr>
        <w:pStyle w:val="BodyText"/>
        <w:kinsoku w:val="0"/>
        <w:overflowPunct w:val="0"/>
        <w:ind w:left="300" w:right="1191"/>
        <w:jc w:val="both"/>
        <w:rPr>
          <w:color w:val="231F20"/>
        </w:rPr>
      </w:pPr>
      <w:r>
        <w:rPr>
          <w:color w:val="231F20"/>
        </w:rPr>
        <w:t>In addition</w:t>
      </w:r>
      <w:r>
        <w:rPr>
          <w:color w:val="2B2B2C"/>
        </w:rPr>
        <w:t xml:space="preserve">, </w:t>
      </w:r>
      <w:r>
        <w:rPr>
          <w:color w:val="231F20"/>
        </w:rPr>
        <w:t>while the Company has a Standard Listing, it is not required to comply with the provisions of, among other things:</w:t>
      </w:r>
    </w:p>
    <w:p w14:paraId="6831935B" w14:textId="77777777" w:rsidR="00783288" w:rsidRDefault="00783288">
      <w:pPr>
        <w:pStyle w:val="BodyText"/>
        <w:kinsoku w:val="0"/>
        <w:overflowPunct w:val="0"/>
        <w:spacing w:before="9"/>
        <w:rPr>
          <w:sz w:val="17"/>
          <w:szCs w:val="17"/>
        </w:rPr>
      </w:pPr>
    </w:p>
    <w:p w14:paraId="50EEE5B2" w14:textId="77777777" w:rsidR="00783288" w:rsidRDefault="00E31420" w:rsidP="00512495">
      <w:pPr>
        <w:pStyle w:val="ListParagraph"/>
        <w:numPr>
          <w:ilvl w:val="0"/>
          <w:numId w:val="22"/>
        </w:numPr>
        <w:tabs>
          <w:tab w:val="left" w:pos="867"/>
        </w:tabs>
        <w:kinsoku w:val="0"/>
        <w:overflowPunct w:val="0"/>
        <w:spacing w:before="1"/>
        <w:ind w:right="1191"/>
        <w:jc w:val="both"/>
        <w:rPr>
          <w:rFonts w:ascii="Symbol" w:hAnsi="Symbol" w:cs="Symbol"/>
          <w:color w:val="231F20"/>
          <w:sz w:val="18"/>
          <w:szCs w:val="18"/>
        </w:rPr>
      </w:pPr>
      <w:r>
        <w:rPr>
          <w:color w:val="231F20"/>
          <w:sz w:val="18"/>
          <w:szCs w:val="18"/>
        </w:rPr>
        <w:t>Chapter</w:t>
      </w:r>
      <w:r>
        <w:rPr>
          <w:color w:val="231F20"/>
          <w:spacing w:val="-8"/>
          <w:sz w:val="18"/>
          <w:szCs w:val="18"/>
        </w:rPr>
        <w:t xml:space="preserve"> </w:t>
      </w:r>
      <w:r>
        <w:rPr>
          <w:color w:val="231F20"/>
          <w:sz w:val="18"/>
          <w:szCs w:val="18"/>
        </w:rPr>
        <w:t>6</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Listing</w:t>
      </w:r>
      <w:r>
        <w:rPr>
          <w:color w:val="231F20"/>
          <w:spacing w:val="-7"/>
          <w:sz w:val="18"/>
          <w:szCs w:val="18"/>
        </w:rPr>
        <w:t xml:space="preserve"> </w:t>
      </w:r>
      <w:r>
        <w:rPr>
          <w:color w:val="231F20"/>
          <w:sz w:val="18"/>
          <w:szCs w:val="18"/>
        </w:rPr>
        <w:t>Rules</w:t>
      </w:r>
      <w:r>
        <w:rPr>
          <w:color w:val="231F20"/>
          <w:spacing w:val="-8"/>
          <w:sz w:val="18"/>
          <w:szCs w:val="18"/>
        </w:rPr>
        <w:t xml:space="preserve"> </w:t>
      </w:r>
      <w:r>
        <w:rPr>
          <w:color w:val="231F20"/>
          <w:sz w:val="18"/>
          <w:szCs w:val="18"/>
        </w:rPr>
        <w:t>containing</w:t>
      </w:r>
      <w:r>
        <w:rPr>
          <w:color w:val="231F20"/>
          <w:spacing w:val="-6"/>
          <w:sz w:val="18"/>
          <w:szCs w:val="18"/>
        </w:rPr>
        <w:t xml:space="preserve"> </w:t>
      </w:r>
      <w:r>
        <w:rPr>
          <w:color w:val="231F20"/>
          <w:sz w:val="18"/>
          <w:szCs w:val="18"/>
        </w:rPr>
        <w:t>additional</w:t>
      </w:r>
      <w:r>
        <w:rPr>
          <w:color w:val="231F20"/>
          <w:spacing w:val="-4"/>
          <w:sz w:val="18"/>
          <w:szCs w:val="18"/>
        </w:rPr>
        <w:t xml:space="preserve"> </w:t>
      </w:r>
      <w:r>
        <w:rPr>
          <w:color w:val="231F20"/>
          <w:sz w:val="18"/>
          <w:szCs w:val="18"/>
        </w:rPr>
        <w:t>requirements</w:t>
      </w:r>
      <w:r>
        <w:rPr>
          <w:color w:val="231F20"/>
          <w:spacing w:val="-7"/>
          <w:sz w:val="18"/>
          <w:szCs w:val="18"/>
        </w:rPr>
        <w:t xml:space="preserve"> </w:t>
      </w:r>
      <w:r>
        <w:rPr>
          <w:color w:val="231F20"/>
          <w:sz w:val="18"/>
          <w:szCs w:val="18"/>
        </w:rPr>
        <w:t>for</w:t>
      </w:r>
      <w:r>
        <w:rPr>
          <w:color w:val="231F20"/>
          <w:spacing w:val="-7"/>
          <w:sz w:val="18"/>
          <w:szCs w:val="18"/>
        </w:rPr>
        <w:t xml:space="preserve"> </w:t>
      </w:r>
      <w:r>
        <w:rPr>
          <w:color w:val="231F20"/>
          <w:sz w:val="18"/>
          <w:szCs w:val="18"/>
        </w:rPr>
        <w:t>the</w:t>
      </w:r>
      <w:r>
        <w:rPr>
          <w:color w:val="231F20"/>
          <w:spacing w:val="-6"/>
          <w:sz w:val="18"/>
          <w:szCs w:val="18"/>
        </w:rPr>
        <w:t xml:space="preserve"> </w:t>
      </w:r>
      <w:r>
        <w:rPr>
          <w:color w:val="231F20"/>
          <w:sz w:val="18"/>
          <w:szCs w:val="18"/>
        </w:rPr>
        <w:t>listing</w:t>
      </w:r>
      <w:r>
        <w:rPr>
          <w:color w:val="231F20"/>
          <w:spacing w:val="-6"/>
          <w:sz w:val="18"/>
          <w:szCs w:val="18"/>
        </w:rPr>
        <w:t xml:space="preserve"> </w:t>
      </w:r>
      <w:r>
        <w:rPr>
          <w:color w:val="231F20"/>
          <w:sz w:val="18"/>
          <w:szCs w:val="18"/>
        </w:rPr>
        <w:t>of</w:t>
      </w:r>
      <w:r>
        <w:rPr>
          <w:color w:val="231F20"/>
          <w:spacing w:val="-7"/>
          <w:sz w:val="18"/>
          <w:szCs w:val="18"/>
        </w:rPr>
        <w:t xml:space="preserve"> </w:t>
      </w:r>
      <w:r>
        <w:rPr>
          <w:color w:val="231F20"/>
          <w:sz w:val="18"/>
          <w:szCs w:val="18"/>
        </w:rPr>
        <w:t>equity</w:t>
      </w:r>
      <w:r>
        <w:rPr>
          <w:color w:val="231F20"/>
          <w:spacing w:val="-8"/>
          <w:sz w:val="18"/>
          <w:szCs w:val="18"/>
        </w:rPr>
        <w:t xml:space="preserve"> </w:t>
      </w:r>
      <w:r>
        <w:rPr>
          <w:color w:val="231F20"/>
          <w:sz w:val="18"/>
          <w:szCs w:val="18"/>
        </w:rPr>
        <w:t>securities,</w:t>
      </w:r>
      <w:r>
        <w:rPr>
          <w:color w:val="231F20"/>
          <w:spacing w:val="-6"/>
          <w:sz w:val="18"/>
          <w:szCs w:val="18"/>
        </w:rPr>
        <w:t xml:space="preserve"> </w:t>
      </w:r>
      <w:r>
        <w:rPr>
          <w:color w:val="231F20"/>
          <w:sz w:val="18"/>
          <w:szCs w:val="18"/>
        </w:rPr>
        <w:t>which</w:t>
      </w:r>
      <w:r>
        <w:rPr>
          <w:color w:val="231F20"/>
          <w:spacing w:val="-6"/>
          <w:sz w:val="18"/>
          <w:szCs w:val="18"/>
        </w:rPr>
        <w:t xml:space="preserve"> </w:t>
      </w:r>
      <w:r>
        <w:rPr>
          <w:color w:val="231F20"/>
          <w:sz w:val="18"/>
          <w:szCs w:val="18"/>
        </w:rPr>
        <w:t>is only applicable to companies with a Premium</w:t>
      </w:r>
      <w:r>
        <w:rPr>
          <w:color w:val="231F20"/>
          <w:spacing w:val="-4"/>
          <w:sz w:val="18"/>
          <w:szCs w:val="18"/>
        </w:rPr>
        <w:t xml:space="preserve"> </w:t>
      </w:r>
      <w:r>
        <w:rPr>
          <w:color w:val="231F20"/>
          <w:sz w:val="18"/>
          <w:szCs w:val="18"/>
        </w:rPr>
        <w:t>Listing.</w:t>
      </w:r>
    </w:p>
    <w:p w14:paraId="77EEBD1F" w14:textId="77777777" w:rsidR="00783288" w:rsidRDefault="00783288">
      <w:pPr>
        <w:pStyle w:val="BodyText"/>
        <w:kinsoku w:val="0"/>
        <w:overflowPunct w:val="0"/>
        <w:spacing w:before="10"/>
        <w:rPr>
          <w:sz w:val="17"/>
          <w:szCs w:val="17"/>
        </w:rPr>
      </w:pPr>
    </w:p>
    <w:p w14:paraId="1CDA37D7" w14:textId="5DDAC4EF" w:rsidR="00783288" w:rsidRDefault="00E31420" w:rsidP="00512495">
      <w:pPr>
        <w:pStyle w:val="ListParagraph"/>
        <w:numPr>
          <w:ilvl w:val="0"/>
          <w:numId w:val="22"/>
        </w:numPr>
        <w:tabs>
          <w:tab w:val="left" w:pos="867"/>
        </w:tabs>
        <w:kinsoku w:val="0"/>
        <w:overflowPunct w:val="0"/>
        <w:ind w:right="1191"/>
        <w:jc w:val="both"/>
        <w:rPr>
          <w:rFonts w:ascii="Symbol" w:hAnsi="Symbol" w:cs="Symbol"/>
          <w:color w:val="231F20"/>
          <w:sz w:val="18"/>
          <w:szCs w:val="18"/>
        </w:rPr>
      </w:pPr>
      <w:r>
        <w:rPr>
          <w:color w:val="231F20"/>
          <w:sz w:val="18"/>
          <w:szCs w:val="18"/>
        </w:rPr>
        <w:t>Chapter 8 of the Listing Rules regarding the appointment of a listing sponsor to guide the Company in understanding and meeting its responsibilities under the Listing Rules in connection with certain matters. The</w:t>
      </w:r>
      <w:r>
        <w:rPr>
          <w:color w:val="231F20"/>
          <w:spacing w:val="-4"/>
          <w:sz w:val="18"/>
          <w:szCs w:val="18"/>
        </w:rPr>
        <w:t xml:space="preserve"> </w:t>
      </w:r>
      <w:r>
        <w:rPr>
          <w:color w:val="231F20"/>
          <w:sz w:val="18"/>
          <w:szCs w:val="18"/>
        </w:rPr>
        <w:t>Company</w:t>
      </w:r>
      <w:r>
        <w:rPr>
          <w:color w:val="231F20"/>
          <w:spacing w:val="-6"/>
          <w:sz w:val="18"/>
          <w:szCs w:val="18"/>
        </w:rPr>
        <w:t xml:space="preserve"> </w:t>
      </w:r>
      <w:r>
        <w:rPr>
          <w:color w:val="231F20"/>
          <w:sz w:val="18"/>
          <w:szCs w:val="18"/>
        </w:rPr>
        <w:t>has</w:t>
      </w:r>
      <w:r>
        <w:rPr>
          <w:color w:val="231F20"/>
          <w:spacing w:val="-3"/>
          <w:sz w:val="18"/>
          <w:szCs w:val="18"/>
        </w:rPr>
        <w:t xml:space="preserve"> </w:t>
      </w:r>
      <w:r>
        <w:rPr>
          <w:color w:val="231F20"/>
          <w:sz w:val="18"/>
          <w:szCs w:val="18"/>
        </w:rPr>
        <w:t>not</w:t>
      </w:r>
      <w:r>
        <w:rPr>
          <w:color w:val="231F20"/>
          <w:spacing w:val="-6"/>
          <w:sz w:val="18"/>
          <w:szCs w:val="18"/>
        </w:rPr>
        <w:t xml:space="preserve"> </w:t>
      </w:r>
      <w:r>
        <w:rPr>
          <w:color w:val="231F20"/>
          <w:sz w:val="18"/>
          <w:szCs w:val="18"/>
        </w:rPr>
        <w:t>and</w:t>
      </w:r>
      <w:r>
        <w:rPr>
          <w:color w:val="231F20"/>
          <w:spacing w:val="-5"/>
          <w:sz w:val="18"/>
          <w:szCs w:val="18"/>
        </w:rPr>
        <w:t xml:space="preserve"> </w:t>
      </w:r>
      <w:r>
        <w:rPr>
          <w:color w:val="231F20"/>
          <w:sz w:val="18"/>
          <w:szCs w:val="18"/>
        </w:rPr>
        <w:t>does</w:t>
      </w:r>
      <w:r>
        <w:rPr>
          <w:color w:val="231F20"/>
          <w:spacing w:val="-3"/>
          <w:sz w:val="18"/>
          <w:szCs w:val="18"/>
        </w:rPr>
        <w:t xml:space="preserve"> </w:t>
      </w:r>
      <w:r>
        <w:rPr>
          <w:color w:val="231F20"/>
          <w:sz w:val="18"/>
          <w:szCs w:val="18"/>
        </w:rPr>
        <w:t>not</w:t>
      </w:r>
      <w:r>
        <w:rPr>
          <w:color w:val="231F20"/>
          <w:spacing w:val="-6"/>
          <w:sz w:val="18"/>
          <w:szCs w:val="18"/>
        </w:rPr>
        <w:t xml:space="preserve"> </w:t>
      </w:r>
      <w:r>
        <w:rPr>
          <w:color w:val="231F20"/>
          <w:sz w:val="18"/>
          <w:szCs w:val="18"/>
        </w:rPr>
        <w:t>intend</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appoint</w:t>
      </w:r>
      <w:r>
        <w:rPr>
          <w:color w:val="231F20"/>
          <w:spacing w:val="-5"/>
          <w:sz w:val="18"/>
          <w:szCs w:val="18"/>
        </w:rPr>
        <w:t xml:space="preserve"> </w:t>
      </w:r>
      <w:r>
        <w:rPr>
          <w:color w:val="231F20"/>
          <w:sz w:val="18"/>
          <w:szCs w:val="18"/>
        </w:rPr>
        <w:t>such</w:t>
      </w:r>
      <w:r>
        <w:rPr>
          <w:color w:val="231F20"/>
          <w:spacing w:val="-4"/>
          <w:sz w:val="18"/>
          <w:szCs w:val="18"/>
        </w:rPr>
        <w:t xml:space="preserve"> </w:t>
      </w:r>
      <w:r>
        <w:rPr>
          <w:color w:val="231F20"/>
          <w:sz w:val="18"/>
          <w:szCs w:val="18"/>
        </w:rPr>
        <w:t>a</w:t>
      </w:r>
      <w:r>
        <w:rPr>
          <w:color w:val="231F20"/>
          <w:spacing w:val="-6"/>
          <w:sz w:val="18"/>
          <w:szCs w:val="18"/>
        </w:rPr>
        <w:t xml:space="preserve"> </w:t>
      </w:r>
      <w:r>
        <w:rPr>
          <w:color w:val="231F20"/>
          <w:sz w:val="18"/>
          <w:szCs w:val="18"/>
        </w:rPr>
        <w:t>sponsor</w:t>
      </w:r>
      <w:r>
        <w:rPr>
          <w:color w:val="231F20"/>
          <w:spacing w:val="-4"/>
          <w:sz w:val="18"/>
          <w:szCs w:val="18"/>
        </w:rPr>
        <w:t xml:space="preserve"> </w:t>
      </w:r>
      <w:r>
        <w:rPr>
          <w:color w:val="231F20"/>
          <w:sz w:val="18"/>
          <w:szCs w:val="18"/>
        </w:rPr>
        <w:t>in</w:t>
      </w:r>
      <w:r>
        <w:rPr>
          <w:color w:val="231F20"/>
          <w:spacing w:val="-4"/>
          <w:sz w:val="18"/>
          <w:szCs w:val="18"/>
        </w:rPr>
        <w:t xml:space="preserve"> </w:t>
      </w:r>
      <w:r>
        <w:rPr>
          <w:color w:val="231F20"/>
          <w:sz w:val="18"/>
          <w:szCs w:val="18"/>
        </w:rPr>
        <w:t>connection</w:t>
      </w:r>
      <w:r>
        <w:rPr>
          <w:color w:val="231F20"/>
          <w:spacing w:val="-4"/>
          <w:sz w:val="18"/>
          <w:szCs w:val="18"/>
        </w:rPr>
        <w:t xml:space="preserve"> </w:t>
      </w:r>
      <w:r>
        <w:rPr>
          <w:color w:val="231F20"/>
          <w:sz w:val="18"/>
          <w:szCs w:val="18"/>
        </w:rPr>
        <w:t>with</w:t>
      </w:r>
      <w:r>
        <w:rPr>
          <w:color w:val="231F20"/>
          <w:spacing w:val="-3"/>
          <w:sz w:val="18"/>
          <w:szCs w:val="18"/>
        </w:rPr>
        <w:t xml:space="preserve"> </w:t>
      </w:r>
      <w:r>
        <w:rPr>
          <w:color w:val="231F20"/>
          <w:sz w:val="18"/>
          <w:szCs w:val="18"/>
        </w:rPr>
        <w:t>the</w:t>
      </w:r>
      <w:r>
        <w:rPr>
          <w:color w:val="231F20"/>
          <w:spacing w:val="-4"/>
          <w:sz w:val="18"/>
          <w:szCs w:val="18"/>
        </w:rPr>
        <w:t xml:space="preserve"> </w:t>
      </w:r>
      <w:r w:rsidR="00E700B8">
        <w:rPr>
          <w:color w:val="231F20"/>
          <w:sz w:val="18"/>
          <w:szCs w:val="18"/>
        </w:rPr>
        <w:t>Placing</w:t>
      </w:r>
      <w:r w:rsidR="002514E7">
        <w:rPr>
          <w:color w:val="231F20"/>
          <w:sz w:val="18"/>
          <w:szCs w:val="18"/>
        </w:rPr>
        <w:t>, the Labrador Acquisit</w:t>
      </w:r>
      <w:r w:rsidR="00341A58">
        <w:rPr>
          <w:color w:val="231F20"/>
          <w:sz w:val="18"/>
          <w:szCs w:val="18"/>
        </w:rPr>
        <w:t>i</w:t>
      </w:r>
      <w:r w:rsidR="002514E7">
        <w:rPr>
          <w:color w:val="231F20"/>
          <w:sz w:val="18"/>
          <w:szCs w:val="18"/>
        </w:rPr>
        <w:t>on</w:t>
      </w:r>
      <w:r w:rsidR="00E700B8">
        <w:rPr>
          <w:color w:val="231F20"/>
          <w:spacing w:val="-4"/>
          <w:sz w:val="18"/>
          <w:szCs w:val="18"/>
        </w:rPr>
        <w:t xml:space="preserve"> </w:t>
      </w:r>
      <w:r>
        <w:rPr>
          <w:color w:val="231F20"/>
          <w:sz w:val="18"/>
          <w:szCs w:val="18"/>
        </w:rPr>
        <w:t>and Admission.</w:t>
      </w:r>
    </w:p>
    <w:p w14:paraId="7A9CE408" w14:textId="77777777" w:rsidR="00783288" w:rsidRDefault="00783288">
      <w:pPr>
        <w:pStyle w:val="BodyText"/>
        <w:kinsoku w:val="0"/>
        <w:overflowPunct w:val="0"/>
      </w:pPr>
    </w:p>
    <w:p w14:paraId="6FE4F832" w14:textId="77777777" w:rsidR="00783288" w:rsidRDefault="00E31420" w:rsidP="00512495">
      <w:pPr>
        <w:pStyle w:val="ListParagraph"/>
        <w:numPr>
          <w:ilvl w:val="0"/>
          <w:numId w:val="22"/>
        </w:numPr>
        <w:tabs>
          <w:tab w:val="left" w:pos="867"/>
        </w:tabs>
        <w:kinsoku w:val="0"/>
        <w:overflowPunct w:val="0"/>
        <w:rPr>
          <w:rFonts w:ascii="Symbol" w:hAnsi="Symbol" w:cs="Symbol"/>
          <w:color w:val="231F20"/>
          <w:sz w:val="18"/>
          <w:szCs w:val="18"/>
        </w:rPr>
      </w:pPr>
      <w:r>
        <w:rPr>
          <w:color w:val="231F20"/>
          <w:sz w:val="18"/>
          <w:szCs w:val="18"/>
        </w:rPr>
        <w:t>Chapter 9 of the Listing Rules regarding continuous obligations for a company with a Premium</w:t>
      </w:r>
      <w:r>
        <w:rPr>
          <w:color w:val="231F20"/>
          <w:spacing w:val="-22"/>
          <w:sz w:val="18"/>
          <w:szCs w:val="18"/>
        </w:rPr>
        <w:t xml:space="preserve"> </w:t>
      </w:r>
      <w:r>
        <w:rPr>
          <w:color w:val="231F20"/>
          <w:sz w:val="18"/>
          <w:szCs w:val="18"/>
        </w:rPr>
        <w:t>Listing.</w:t>
      </w:r>
    </w:p>
    <w:p w14:paraId="3E128894" w14:textId="77777777" w:rsidR="00783288" w:rsidRDefault="00783288">
      <w:pPr>
        <w:pStyle w:val="BodyText"/>
        <w:kinsoku w:val="0"/>
        <w:overflowPunct w:val="0"/>
        <w:spacing w:before="9"/>
        <w:rPr>
          <w:sz w:val="17"/>
          <w:szCs w:val="17"/>
        </w:rPr>
      </w:pPr>
    </w:p>
    <w:p w14:paraId="680E7DB0" w14:textId="77777777" w:rsidR="00783288" w:rsidRDefault="00E31420" w:rsidP="00512495">
      <w:pPr>
        <w:pStyle w:val="ListParagraph"/>
        <w:numPr>
          <w:ilvl w:val="0"/>
          <w:numId w:val="22"/>
        </w:numPr>
        <w:tabs>
          <w:tab w:val="left" w:pos="867"/>
        </w:tabs>
        <w:kinsoku w:val="0"/>
        <w:overflowPunct w:val="0"/>
        <w:ind w:right="1191"/>
        <w:jc w:val="both"/>
        <w:rPr>
          <w:rFonts w:ascii="Symbol" w:hAnsi="Symbol" w:cs="Symbol"/>
          <w:color w:val="231F20"/>
          <w:sz w:val="18"/>
          <w:szCs w:val="18"/>
        </w:rPr>
      </w:pPr>
      <w:r>
        <w:rPr>
          <w:color w:val="231F20"/>
          <w:sz w:val="18"/>
          <w:szCs w:val="18"/>
        </w:rPr>
        <w:t>Chapter</w:t>
      </w:r>
      <w:r>
        <w:rPr>
          <w:color w:val="231F20"/>
          <w:spacing w:val="-5"/>
          <w:sz w:val="18"/>
          <w:szCs w:val="18"/>
        </w:rPr>
        <w:t xml:space="preserve"> </w:t>
      </w:r>
      <w:r>
        <w:rPr>
          <w:color w:val="231F20"/>
          <w:sz w:val="18"/>
          <w:szCs w:val="18"/>
        </w:rPr>
        <w:t>10</w:t>
      </w:r>
      <w:r>
        <w:rPr>
          <w:color w:val="231F20"/>
          <w:spacing w:val="-6"/>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Listing</w:t>
      </w:r>
      <w:r>
        <w:rPr>
          <w:color w:val="231F20"/>
          <w:spacing w:val="-4"/>
          <w:sz w:val="18"/>
          <w:szCs w:val="18"/>
        </w:rPr>
        <w:t xml:space="preserve"> </w:t>
      </w:r>
      <w:r>
        <w:rPr>
          <w:color w:val="231F20"/>
          <w:sz w:val="18"/>
          <w:szCs w:val="18"/>
        </w:rPr>
        <w:t>Rules</w:t>
      </w:r>
      <w:r>
        <w:rPr>
          <w:color w:val="231F20"/>
          <w:spacing w:val="-3"/>
          <w:sz w:val="18"/>
          <w:szCs w:val="18"/>
        </w:rPr>
        <w:t xml:space="preserve"> </w:t>
      </w:r>
      <w:r>
        <w:rPr>
          <w:color w:val="231F20"/>
          <w:sz w:val="18"/>
          <w:szCs w:val="18"/>
        </w:rPr>
        <w:t>relating</w:t>
      </w:r>
      <w:r>
        <w:rPr>
          <w:color w:val="231F20"/>
          <w:spacing w:val="-4"/>
          <w:sz w:val="18"/>
          <w:szCs w:val="18"/>
        </w:rPr>
        <w:t xml:space="preserve"> </w:t>
      </w:r>
      <w:r>
        <w:rPr>
          <w:color w:val="231F20"/>
          <w:sz w:val="18"/>
          <w:szCs w:val="18"/>
        </w:rPr>
        <w:t>to</w:t>
      </w:r>
      <w:r>
        <w:rPr>
          <w:color w:val="231F20"/>
          <w:spacing w:val="-6"/>
          <w:sz w:val="18"/>
          <w:szCs w:val="18"/>
        </w:rPr>
        <w:t xml:space="preserve"> </w:t>
      </w:r>
      <w:r>
        <w:rPr>
          <w:color w:val="231F20"/>
          <w:sz w:val="18"/>
          <w:szCs w:val="18"/>
        </w:rPr>
        <w:t>significant</w:t>
      </w:r>
      <w:r>
        <w:rPr>
          <w:color w:val="231F20"/>
          <w:spacing w:val="-5"/>
          <w:sz w:val="18"/>
          <w:szCs w:val="18"/>
        </w:rPr>
        <w:t xml:space="preserve"> </w:t>
      </w:r>
      <w:r>
        <w:rPr>
          <w:color w:val="231F20"/>
          <w:sz w:val="18"/>
          <w:szCs w:val="18"/>
        </w:rPr>
        <w:t>transactions</w:t>
      </w:r>
      <w:r>
        <w:rPr>
          <w:color w:val="2B2B2C"/>
          <w:sz w:val="18"/>
          <w:szCs w:val="18"/>
        </w:rPr>
        <w:t>.</w:t>
      </w:r>
      <w:r>
        <w:rPr>
          <w:color w:val="2B2B2C"/>
          <w:spacing w:val="-4"/>
          <w:sz w:val="18"/>
          <w:szCs w:val="18"/>
        </w:rPr>
        <w:t xml:space="preserve"> </w:t>
      </w:r>
      <w:r>
        <w:rPr>
          <w:color w:val="231F20"/>
          <w:sz w:val="18"/>
          <w:szCs w:val="18"/>
        </w:rPr>
        <w:t>It</w:t>
      </w:r>
      <w:r>
        <w:rPr>
          <w:color w:val="231F20"/>
          <w:spacing w:val="-4"/>
          <w:sz w:val="18"/>
          <w:szCs w:val="18"/>
        </w:rPr>
        <w:t xml:space="preserve"> </w:t>
      </w:r>
      <w:r>
        <w:rPr>
          <w:color w:val="231F20"/>
          <w:sz w:val="18"/>
          <w:szCs w:val="18"/>
        </w:rPr>
        <w:t>should</w:t>
      </w:r>
      <w:r>
        <w:rPr>
          <w:color w:val="231F20"/>
          <w:spacing w:val="-4"/>
          <w:sz w:val="18"/>
          <w:szCs w:val="18"/>
        </w:rPr>
        <w:t xml:space="preserve"> </w:t>
      </w:r>
      <w:r>
        <w:rPr>
          <w:color w:val="231F20"/>
          <w:sz w:val="18"/>
          <w:szCs w:val="18"/>
        </w:rPr>
        <w:t>be</w:t>
      </w:r>
      <w:r>
        <w:rPr>
          <w:color w:val="231F20"/>
          <w:spacing w:val="-4"/>
          <w:sz w:val="18"/>
          <w:szCs w:val="18"/>
        </w:rPr>
        <w:t xml:space="preserve"> </w:t>
      </w:r>
      <w:r>
        <w:rPr>
          <w:color w:val="231F20"/>
          <w:sz w:val="18"/>
          <w:szCs w:val="18"/>
        </w:rPr>
        <w:t>noted</w:t>
      </w:r>
      <w:r>
        <w:rPr>
          <w:color w:val="231F20"/>
          <w:spacing w:val="-4"/>
          <w:sz w:val="18"/>
          <w:szCs w:val="18"/>
        </w:rPr>
        <w:t xml:space="preserve"> </w:t>
      </w:r>
      <w:r>
        <w:rPr>
          <w:color w:val="231F20"/>
          <w:sz w:val="18"/>
          <w:szCs w:val="18"/>
        </w:rPr>
        <w:t>that</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Company</w:t>
      </w:r>
      <w:r>
        <w:rPr>
          <w:color w:val="231F20"/>
          <w:spacing w:val="-6"/>
          <w:sz w:val="18"/>
          <w:szCs w:val="18"/>
        </w:rPr>
        <w:t xml:space="preserve"> </w:t>
      </w:r>
      <w:r>
        <w:rPr>
          <w:color w:val="231F20"/>
          <w:sz w:val="18"/>
          <w:szCs w:val="18"/>
        </w:rPr>
        <w:t>will only</w:t>
      </w:r>
      <w:r>
        <w:rPr>
          <w:color w:val="231F20"/>
          <w:spacing w:val="-7"/>
          <w:sz w:val="18"/>
          <w:szCs w:val="18"/>
        </w:rPr>
        <w:t xml:space="preserve"> </w:t>
      </w:r>
      <w:r>
        <w:rPr>
          <w:color w:val="231F20"/>
          <w:sz w:val="18"/>
          <w:szCs w:val="18"/>
        </w:rPr>
        <w:t>seek</w:t>
      </w:r>
      <w:r>
        <w:rPr>
          <w:color w:val="231F20"/>
          <w:spacing w:val="-3"/>
          <w:sz w:val="18"/>
          <w:szCs w:val="18"/>
        </w:rPr>
        <w:t xml:space="preserve"> </w:t>
      </w:r>
      <w:r>
        <w:rPr>
          <w:color w:val="231F20"/>
          <w:sz w:val="18"/>
          <w:szCs w:val="18"/>
        </w:rPr>
        <w:t>Shareholder</w:t>
      </w:r>
      <w:r>
        <w:rPr>
          <w:color w:val="231F20"/>
          <w:spacing w:val="-9"/>
          <w:sz w:val="18"/>
          <w:szCs w:val="18"/>
        </w:rPr>
        <w:t xml:space="preserve"> </w:t>
      </w:r>
      <w:r>
        <w:rPr>
          <w:color w:val="231F20"/>
          <w:sz w:val="18"/>
          <w:szCs w:val="18"/>
        </w:rPr>
        <w:t>consent</w:t>
      </w:r>
      <w:r>
        <w:rPr>
          <w:color w:val="231F20"/>
          <w:spacing w:val="-4"/>
          <w:sz w:val="18"/>
          <w:szCs w:val="18"/>
        </w:rPr>
        <w:t xml:space="preserve"> </w:t>
      </w:r>
      <w:r>
        <w:rPr>
          <w:color w:val="231F20"/>
          <w:sz w:val="18"/>
          <w:szCs w:val="18"/>
        </w:rPr>
        <w:t>for</w:t>
      </w:r>
      <w:r>
        <w:rPr>
          <w:color w:val="231F20"/>
          <w:spacing w:val="-7"/>
          <w:sz w:val="18"/>
          <w:szCs w:val="18"/>
        </w:rPr>
        <w:t xml:space="preserve"> </w:t>
      </w:r>
      <w:r>
        <w:rPr>
          <w:color w:val="231F20"/>
          <w:sz w:val="18"/>
          <w:szCs w:val="18"/>
        </w:rPr>
        <w:t>any</w:t>
      </w:r>
      <w:r>
        <w:rPr>
          <w:color w:val="231F20"/>
          <w:spacing w:val="-8"/>
          <w:sz w:val="18"/>
          <w:szCs w:val="18"/>
        </w:rPr>
        <w:t xml:space="preserve"> </w:t>
      </w:r>
      <w:r>
        <w:rPr>
          <w:color w:val="231F20"/>
          <w:sz w:val="18"/>
          <w:szCs w:val="18"/>
        </w:rPr>
        <w:t>further</w:t>
      </w:r>
      <w:r>
        <w:rPr>
          <w:color w:val="231F20"/>
          <w:spacing w:val="-7"/>
          <w:sz w:val="18"/>
          <w:szCs w:val="18"/>
        </w:rPr>
        <w:t xml:space="preserve"> </w:t>
      </w:r>
      <w:r>
        <w:rPr>
          <w:color w:val="231F20"/>
          <w:sz w:val="18"/>
          <w:szCs w:val="18"/>
        </w:rPr>
        <w:t>acquisition</w:t>
      </w:r>
      <w:r>
        <w:rPr>
          <w:color w:val="231F20"/>
          <w:spacing w:val="-6"/>
          <w:sz w:val="18"/>
          <w:szCs w:val="18"/>
        </w:rPr>
        <w:t xml:space="preserve"> </w:t>
      </w:r>
      <w:r>
        <w:rPr>
          <w:color w:val="231F20"/>
          <w:sz w:val="18"/>
          <w:szCs w:val="18"/>
        </w:rPr>
        <w:t>if</w:t>
      </w:r>
      <w:r>
        <w:rPr>
          <w:color w:val="231F20"/>
          <w:spacing w:val="-7"/>
          <w:sz w:val="18"/>
          <w:szCs w:val="18"/>
        </w:rPr>
        <w:t xml:space="preserve"> </w:t>
      </w:r>
      <w:r>
        <w:rPr>
          <w:color w:val="231F20"/>
          <w:sz w:val="18"/>
          <w:szCs w:val="18"/>
        </w:rPr>
        <w:t>required</w:t>
      </w:r>
      <w:r>
        <w:rPr>
          <w:color w:val="231F20"/>
          <w:spacing w:val="-6"/>
          <w:sz w:val="18"/>
          <w:szCs w:val="18"/>
        </w:rPr>
        <w:t xml:space="preserve"> </w:t>
      </w:r>
      <w:r>
        <w:rPr>
          <w:color w:val="231F20"/>
          <w:sz w:val="18"/>
          <w:szCs w:val="18"/>
        </w:rPr>
        <w:t>by</w:t>
      </w:r>
      <w:r>
        <w:rPr>
          <w:color w:val="231F20"/>
          <w:spacing w:val="-8"/>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Companies</w:t>
      </w:r>
      <w:r>
        <w:rPr>
          <w:color w:val="231F20"/>
          <w:spacing w:val="-6"/>
          <w:sz w:val="18"/>
          <w:szCs w:val="18"/>
        </w:rPr>
        <w:t xml:space="preserve"> </w:t>
      </w:r>
      <w:r>
        <w:rPr>
          <w:color w:val="231F20"/>
          <w:sz w:val="18"/>
          <w:szCs w:val="18"/>
        </w:rPr>
        <w:t>Act</w:t>
      </w:r>
      <w:r>
        <w:rPr>
          <w:color w:val="231F20"/>
          <w:spacing w:val="-4"/>
          <w:sz w:val="18"/>
          <w:szCs w:val="18"/>
        </w:rPr>
        <w:t xml:space="preserve"> </w:t>
      </w:r>
      <w:r>
        <w:rPr>
          <w:color w:val="231F20"/>
          <w:sz w:val="18"/>
          <w:szCs w:val="18"/>
        </w:rPr>
        <w:t>or</w:t>
      </w:r>
      <w:r>
        <w:rPr>
          <w:color w:val="231F20"/>
          <w:spacing w:val="-5"/>
          <w:sz w:val="18"/>
          <w:szCs w:val="18"/>
        </w:rPr>
        <w:t xml:space="preserve"> </w:t>
      </w:r>
      <w:r>
        <w:rPr>
          <w:color w:val="231F20"/>
          <w:sz w:val="18"/>
          <w:szCs w:val="18"/>
        </w:rPr>
        <w:t>the</w:t>
      </w:r>
      <w:r>
        <w:rPr>
          <w:color w:val="231F20"/>
          <w:spacing w:val="-6"/>
          <w:sz w:val="18"/>
          <w:szCs w:val="18"/>
        </w:rPr>
        <w:t xml:space="preserve"> </w:t>
      </w:r>
      <w:r>
        <w:rPr>
          <w:color w:val="231F20"/>
          <w:sz w:val="18"/>
          <w:szCs w:val="18"/>
        </w:rPr>
        <w:t>Takeover Code.</w:t>
      </w:r>
    </w:p>
    <w:p w14:paraId="0EF8C6AC" w14:textId="77777777" w:rsidR="00783288" w:rsidRDefault="00783288">
      <w:pPr>
        <w:pStyle w:val="BodyText"/>
        <w:kinsoku w:val="0"/>
        <w:overflowPunct w:val="0"/>
        <w:spacing w:before="10"/>
        <w:rPr>
          <w:sz w:val="17"/>
          <w:szCs w:val="17"/>
        </w:rPr>
      </w:pPr>
    </w:p>
    <w:p w14:paraId="78EA6004" w14:textId="77777777" w:rsidR="00783288" w:rsidRDefault="00E31420" w:rsidP="00512495">
      <w:pPr>
        <w:pStyle w:val="ListParagraph"/>
        <w:numPr>
          <w:ilvl w:val="0"/>
          <w:numId w:val="22"/>
        </w:numPr>
        <w:tabs>
          <w:tab w:val="left" w:pos="867"/>
        </w:tabs>
        <w:kinsoku w:val="0"/>
        <w:overflowPunct w:val="0"/>
        <w:ind w:right="1191"/>
        <w:jc w:val="both"/>
        <w:rPr>
          <w:rFonts w:ascii="Symbol" w:hAnsi="Symbol" w:cs="Symbol"/>
          <w:color w:val="231F20"/>
          <w:sz w:val="18"/>
          <w:szCs w:val="18"/>
        </w:rPr>
      </w:pPr>
      <w:r>
        <w:rPr>
          <w:color w:val="231F20"/>
          <w:sz w:val="18"/>
          <w:szCs w:val="18"/>
        </w:rPr>
        <w:t>Chapter</w:t>
      </w:r>
      <w:r>
        <w:rPr>
          <w:color w:val="231F20"/>
          <w:spacing w:val="-13"/>
          <w:sz w:val="18"/>
          <w:szCs w:val="18"/>
        </w:rPr>
        <w:t xml:space="preserve"> </w:t>
      </w:r>
      <w:r>
        <w:rPr>
          <w:color w:val="231F20"/>
          <w:sz w:val="18"/>
          <w:szCs w:val="18"/>
        </w:rPr>
        <w:t>11</w:t>
      </w:r>
      <w:r>
        <w:rPr>
          <w:color w:val="231F20"/>
          <w:spacing w:val="-11"/>
          <w:sz w:val="18"/>
          <w:szCs w:val="18"/>
        </w:rPr>
        <w:t xml:space="preserve"> </w:t>
      </w:r>
      <w:r>
        <w:rPr>
          <w:color w:val="231F20"/>
          <w:sz w:val="18"/>
          <w:szCs w:val="18"/>
        </w:rPr>
        <w:t>of</w:t>
      </w:r>
      <w:r>
        <w:rPr>
          <w:color w:val="231F20"/>
          <w:spacing w:val="-11"/>
          <w:sz w:val="18"/>
          <w:szCs w:val="18"/>
        </w:rPr>
        <w:t xml:space="preserve"> </w:t>
      </w:r>
      <w:r>
        <w:rPr>
          <w:color w:val="231F20"/>
          <w:sz w:val="18"/>
          <w:szCs w:val="18"/>
        </w:rPr>
        <w:t>the</w:t>
      </w:r>
      <w:r>
        <w:rPr>
          <w:color w:val="231F20"/>
          <w:spacing w:val="-11"/>
          <w:sz w:val="18"/>
          <w:szCs w:val="18"/>
        </w:rPr>
        <w:t xml:space="preserve"> </w:t>
      </w:r>
      <w:r>
        <w:rPr>
          <w:color w:val="231F20"/>
          <w:sz w:val="18"/>
          <w:szCs w:val="18"/>
        </w:rPr>
        <w:t>Listing</w:t>
      </w:r>
      <w:r>
        <w:rPr>
          <w:color w:val="231F20"/>
          <w:spacing w:val="-11"/>
          <w:sz w:val="18"/>
          <w:szCs w:val="18"/>
        </w:rPr>
        <w:t xml:space="preserve"> </w:t>
      </w:r>
      <w:r>
        <w:rPr>
          <w:color w:val="231F20"/>
          <w:sz w:val="18"/>
          <w:szCs w:val="18"/>
        </w:rPr>
        <w:t>Rules</w:t>
      </w:r>
      <w:r>
        <w:rPr>
          <w:color w:val="231F20"/>
          <w:spacing w:val="-13"/>
          <w:sz w:val="18"/>
          <w:szCs w:val="18"/>
        </w:rPr>
        <w:t xml:space="preserve"> </w:t>
      </w:r>
      <w:r>
        <w:rPr>
          <w:color w:val="231F20"/>
          <w:sz w:val="18"/>
          <w:szCs w:val="18"/>
        </w:rPr>
        <w:t>regarding</w:t>
      </w:r>
      <w:r>
        <w:rPr>
          <w:color w:val="231F20"/>
          <w:spacing w:val="-11"/>
          <w:sz w:val="18"/>
          <w:szCs w:val="18"/>
        </w:rPr>
        <w:t xml:space="preserve"> </w:t>
      </w:r>
      <w:r>
        <w:rPr>
          <w:color w:val="231F20"/>
          <w:sz w:val="18"/>
          <w:szCs w:val="18"/>
        </w:rPr>
        <w:t>related</w:t>
      </w:r>
      <w:r>
        <w:rPr>
          <w:color w:val="231F20"/>
          <w:spacing w:val="-12"/>
          <w:sz w:val="18"/>
          <w:szCs w:val="18"/>
        </w:rPr>
        <w:t xml:space="preserve"> </w:t>
      </w:r>
      <w:r>
        <w:rPr>
          <w:color w:val="231F20"/>
          <w:sz w:val="18"/>
          <w:szCs w:val="18"/>
        </w:rPr>
        <w:t>party</w:t>
      </w:r>
      <w:r>
        <w:rPr>
          <w:color w:val="231F20"/>
          <w:spacing w:val="-13"/>
          <w:sz w:val="18"/>
          <w:szCs w:val="18"/>
        </w:rPr>
        <w:t xml:space="preserve"> </w:t>
      </w:r>
      <w:r>
        <w:rPr>
          <w:color w:val="231F20"/>
          <w:sz w:val="18"/>
          <w:szCs w:val="18"/>
        </w:rPr>
        <w:t>transactions</w:t>
      </w:r>
      <w:r>
        <w:rPr>
          <w:color w:val="2B2B2C"/>
          <w:sz w:val="18"/>
          <w:szCs w:val="18"/>
        </w:rPr>
        <w:t>.</w:t>
      </w:r>
      <w:r>
        <w:rPr>
          <w:color w:val="2B2B2C"/>
          <w:spacing w:val="-11"/>
          <w:sz w:val="18"/>
          <w:szCs w:val="18"/>
        </w:rPr>
        <w:t xml:space="preserve"> </w:t>
      </w:r>
      <w:r>
        <w:rPr>
          <w:color w:val="231F20"/>
          <w:sz w:val="18"/>
          <w:szCs w:val="18"/>
        </w:rPr>
        <w:t>It</w:t>
      </w:r>
      <w:r>
        <w:rPr>
          <w:color w:val="231F20"/>
          <w:spacing w:val="-14"/>
          <w:sz w:val="18"/>
          <w:szCs w:val="18"/>
        </w:rPr>
        <w:t xml:space="preserve"> </w:t>
      </w:r>
      <w:r>
        <w:rPr>
          <w:color w:val="231F20"/>
          <w:sz w:val="18"/>
          <w:szCs w:val="18"/>
        </w:rPr>
        <w:t>should</w:t>
      </w:r>
      <w:r>
        <w:rPr>
          <w:color w:val="231F20"/>
          <w:spacing w:val="-13"/>
          <w:sz w:val="18"/>
          <w:szCs w:val="18"/>
        </w:rPr>
        <w:t xml:space="preserve"> </w:t>
      </w:r>
      <w:r>
        <w:rPr>
          <w:color w:val="231F20"/>
          <w:sz w:val="18"/>
          <w:szCs w:val="18"/>
        </w:rPr>
        <w:t>be</w:t>
      </w:r>
      <w:r>
        <w:rPr>
          <w:color w:val="231F20"/>
          <w:spacing w:val="-11"/>
          <w:sz w:val="18"/>
          <w:szCs w:val="18"/>
        </w:rPr>
        <w:t xml:space="preserve"> </w:t>
      </w:r>
      <w:r>
        <w:rPr>
          <w:color w:val="231F20"/>
          <w:sz w:val="18"/>
          <w:szCs w:val="18"/>
        </w:rPr>
        <w:t>noted</w:t>
      </w:r>
      <w:r>
        <w:rPr>
          <w:color w:val="231F20"/>
          <w:spacing w:val="-11"/>
          <w:sz w:val="18"/>
          <w:szCs w:val="18"/>
        </w:rPr>
        <w:t xml:space="preserve"> </w:t>
      </w:r>
      <w:r>
        <w:rPr>
          <w:color w:val="231F20"/>
          <w:sz w:val="18"/>
          <w:szCs w:val="18"/>
        </w:rPr>
        <w:t>therefore</w:t>
      </w:r>
      <w:r>
        <w:rPr>
          <w:color w:val="231F20"/>
          <w:spacing w:val="-11"/>
          <w:sz w:val="18"/>
          <w:szCs w:val="18"/>
        </w:rPr>
        <w:t xml:space="preserve"> </w:t>
      </w:r>
      <w:r>
        <w:rPr>
          <w:color w:val="231F20"/>
          <w:sz w:val="18"/>
          <w:szCs w:val="18"/>
        </w:rPr>
        <w:t>that</w:t>
      </w:r>
      <w:r>
        <w:rPr>
          <w:color w:val="231F20"/>
          <w:spacing w:val="-11"/>
          <w:sz w:val="18"/>
          <w:szCs w:val="18"/>
        </w:rPr>
        <w:t xml:space="preserve"> </w:t>
      </w:r>
      <w:r>
        <w:rPr>
          <w:color w:val="231F20"/>
          <w:sz w:val="18"/>
          <w:szCs w:val="18"/>
        </w:rPr>
        <w:t>related party transactions will not require Shareholder</w:t>
      </w:r>
      <w:r>
        <w:rPr>
          <w:color w:val="231F20"/>
          <w:spacing w:val="-2"/>
          <w:sz w:val="18"/>
          <w:szCs w:val="18"/>
        </w:rPr>
        <w:t xml:space="preserve"> </w:t>
      </w:r>
      <w:r>
        <w:rPr>
          <w:color w:val="231F20"/>
          <w:sz w:val="18"/>
          <w:szCs w:val="18"/>
        </w:rPr>
        <w:t>consent.</w:t>
      </w:r>
    </w:p>
    <w:p w14:paraId="527267BF" w14:textId="77777777" w:rsidR="00783288" w:rsidRDefault="00783288" w:rsidP="00512495">
      <w:pPr>
        <w:pStyle w:val="ListParagraph"/>
        <w:numPr>
          <w:ilvl w:val="0"/>
          <w:numId w:val="22"/>
        </w:numPr>
        <w:tabs>
          <w:tab w:val="left" w:pos="867"/>
        </w:tabs>
        <w:kinsoku w:val="0"/>
        <w:overflowPunct w:val="0"/>
        <w:ind w:right="1191"/>
        <w:jc w:val="both"/>
        <w:rPr>
          <w:rFonts w:ascii="Symbol" w:hAnsi="Symbol" w:cs="Symbol"/>
          <w:color w:val="231F20"/>
          <w:sz w:val="18"/>
          <w:szCs w:val="18"/>
        </w:rPr>
        <w:sectPr w:rsidR="00783288">
          <w:pgSz w:w="11900" w:h="16840"/>
          <w:pgMar w:top="1360" w:right="240" w:bottom="1160" w:left="1140" w:header="0" w:footer="891" w:gutter="0"/>
          <w:cols w:space="720"/>
          <w:noEndnote/>
        </w:sectPr>
      </w:pPr>
    </w:p>
    <w:p w14:paraId="0A02F29E" w14:textId="77777777" w:rsidR="00783288" w:rsidRDefault="00E31420" w:rsidP="00512495">
      <w:pPr>
        <w:pStyle w:val="ListParagraph"/>
        <w:numPr>
          <w:ilvl w:val="0"/>
          <w:numId w:val="22"/>
        </w:numPr>
        <w:tabs>
          <w:tab w:val="left" w:pos="867"/>
        </w:tabs>
        <w:kinsoku w:val="0"/>
        <w:overflowPunct w:val="0"/>
        <w:spacing w:before="85"/>
        <w:ind w:right="1193"/>
        <w:rPr>
          <w:rFonts w:ascii="Symbol" w:hAnsi="Symbol" w:cs="Symbol"/>
          <w:color w:val="231F20"/>
          <w:sz w:val="18"/>
          <w:szCs w:val="18"/>
        </w:rPr>
      </w:pPr>
      <w:r>
        <w:rPr>
          <w:color w:val="231F20"/>
          <w:sz w:val="18"/>
          <w:szCs w:val="18"/>
        </w:rPr>
        <w:lastRenderedPageBreak/>
        <w:t>Chapter 12 of the Listing Rules regarding purchases by the Company of its Ordinary Shares. However, Shareholder</w:t>
      </w:r>
      <w:r>
        <w:rPr>
          <w:color w:val="231F20"/>
          <w:spacing w:val="-4"/>
          <w:sz w:val="18"/>
          <w:szCs w:val="18"/>
        </w:rPr>
        <w:t xml:space="preserve"> </w:t>
      </w:r>
      <w:r>
        <w:rPr>
          <w:color w:val="231F20"/>
          <w:sz w:val="18"/>
          <w:szCs w:val="18"/>
        </w:rPr>
        <w:t>authority</w:t>
      </w:r>
      <w:r>
        <w:rPr>
          <w:color w:val="231F20"/>
          <w:spacing w:val="-3"/>
          <w:sz w:val="18"/>
          <w:szCs w:val="18"/>
        </w:rPr>
        <w:t xml:space="preserve"> </w:t>
      </w:r>
      <w:r>
        <w:rPr>
          <w:color w:val="231F20"/>
          <w:sz w:val="18"/>
          <w:szCs w:val="18"/>
        </w:rPr>
        <w:t>is</w:t>
      </w:r>
      <w:r>
        <w:rPr>
          <w:color w:val="231F20"/>
          <w:spacing w:val="-2"/>
          <w:sz w:val="18"/>
          <w:szCs w:val="18"/>
        </w:rPr>
        <w:t xml:space="preserve"> </w:t>
      </w:r>
      <w:r>
        <w:rPr>
          <w:color w:val="231F20"/>
          <w:sz w:val="18"/>
          <w:szCs w:val="18"/>
        </w:rPr>
        <w:t>required</w:t>
      </w:r>
      <w:r>
        <w:rPr>
          <w:color w:val="231F20"/>
          <w:spacing w:val="-1"/>
          <w:sz w:val="18"/>
          <w:szCs w:val="18"/>
        </w:rPr>
        <w:t xml:space="preserve"> </w:t>
      </w:r>
      <w:proofErr w:type="gramStart"/>
      <w:r>
        <w:rPr>
          <w:color w:val="231F20"/>
          <w:sz w:val="18"/>
          <w:szCs w:val="18"/>
        </w:rPr>
        <w:t>in</w:t>
      </w:r>
      <w:r>
        <w:rPr>
          <w:color w:val="231F20"/>
          <w:spacing w:val="-4"/>
          <w:sz w:val="18"/>
          <w:szCs w:val="18"/>
        </w:rPr>
        <w:t xml:space="preserve"> </w:t>
      </w:r>
      <w:r>
        <w:rPr>
          <w:color w:val="231F20"/>
          <w:sz w:val="18"/>
          <w:szCs w:val="18"/>
        </w:rPr>
        <w:t>order</w:t>
      </w:r>
      <w:r>
        <w:rPr>
          <w:color w:val="231F20"/>
          <w:spacing w:val="-4"/>
          <w:sz w:val="18"/>
          <w:szCs w:val="18"/>
        </w:rPr>
        <w:t xml:space="preserve"> </w:t>
      </w:r>
      <w:r>
        <w:rPr>
          <w:color w:val="231F20"/>
          <w:sz w:val="18"/>
          <w:szCs w:val="18"/>
        </w:rPr>
        <w:t>for</w:t>
      </w:r>
      <w:proofErr w:type="gramEnd"/>
      <w:r>
        <w:rPr>
          <w:color w:val="231F20"/>
          <w:spacing w:val="-2"/>
          <w:sz w:val="18"/>
          <w:szCs w:val="18"/>
        </w:rPr>
        <w:t xml:space="preserve"> </w:t>
      </w:r>
      <w:r>
        <w:rPr>
          <w:color w:val="231F20"/>
          <w:sz w:val="18"/>
          <w:szCs w:val="18"/>
        </w:rPr>
        <w:t>a</w:t>
      </w:r>
      <w:r>
        <w:rPr>
          <w:color w:val="231F20"/>
          <w:spacing w:val="-4"/>
          <w:sz w:val="18"/>
          <w:szCs w:val="18"/>
        </w:rPr>
        <w:t xml:space="preserve"> </w:t>
      </w:r>
      <w:r>
        <w:rPr>
          <w:color w:val="231F20"/>
          <w:sz w:val="18"/>
          <w:szCs w:val="18"/>
        </w:rPr>
        <w:t>company</w:t>
      </w:r>
      <w:r>
        <w:rPr>
          <w:color w:val="231F20"/>
          <w:spacing w:val="-3"/>
          <w:sz w:val="18"/>
          <w:szCs w:val="18"/>
        </w:rPr>
        <w:t xml:space="preserve"> </w:t>
      </w:r>
      <w:r>
        <w:rPr>
          <w:color w:val="231F20"/>
          <w:sz w:val="18"/>
          <w:szCs w:val="18"/>
        </w:rPr>
        <w:t>to</w:t>
      </w:r>
      <w:r>
        <w:rPr>
          <w:color w:val="231F20"/>
          <w:spacing w:val="-1"/>
          <w:sz w:val="18"/>
          <w:szCs w:val="18"/>
        </w:rPr>
        <w:t xml:space="preserve"> </w:t>
      </w:r>
      <w:r>
        <w:rPr>
          <w:color w:val="231F20"/>
          <w:sz w:val="18"/>
          <w:szCs w:val="18"/>
        </w:rPr>
        <w:t>buy</w:t>
      </w:r>
      <w:r>
        <w:rPr>
          <w:color w:val="231F20"/>
          <w:spacing w:val="-2"/>
          <w:sz w:val="18"/>
          <w:szCs w:val="18"/>
        </w:rPr>
        <w:t xml:space="preserve"> </w:t>
      </w:r>
      <w:r>
        <w:rPr>
          <w:color w:val="231F20"/>
          <w:sz w:val="18"/>
          <w:szCs w:val="18"/>
        </w:rPr>
        <w:t>back</w:t>
      </w:r>
      <w:r>
        <w:rPr>
          <w:color w:val="231F20"/>
          <w:spacing w:val="-1"/>
          <w:sz w:val="18"/>
          <w:szCs w:val="18"/>
        </w:rPr>
        <w:t xml:space="preserve"> </w:t>
      </w:r>
      <w:r>
        <w:rPr>
          <w:color w:val="231F20"/>
          <w:sz w:val="18"/>
          <w:szCs w:val="18"/>
        </w:rPr>
        <w:t>its</w:t>
      </w:r>
      <w:r>
        <w:rPr>
          <w:color w:val="231F20"/>
          <w:spacing w:val="-1"/>
          <w:sz w:val="18"/>
          <w:szCs w:val="18"/>
        </w:rPr>
        <w:t xml:space="preserve"> </w:t>
      </w:r>
      <w:r>
        <w:rPr>
          <w:color w:val="231F20"/>
          <w:sz w:val="18"/>
          <w:szCs w:val="18"/>
        </w:rPr>
        <w:t>shares</w:t>
      </w:r>
      <w:r>
        <w:rPr>
          <w:color w:val="231F20"/>
          <w:spacing w:val="-1"/>
          <w:sz w:val="18"/>
          <w:szCs w:val="18"/>
        </w:rPr>
        <w:t xml:space="preserve"> </w:t>
      </w:r>
      <w:r>
        <w:rPr>
          <w:color w:val="231F20"/>
          <w:sz w:val="18"/>
          <w:szCs w:val="18"/>
        </w:rPr>
        <w:t>under</w:t>
      </w:r>
      <w:r>
        <w:rPr>
          <w:color w:val="231F20"/>
          <w:spacing w:val="-2"/>
          <w:sz w:val="18"/>
          <w:szCs w:val="18"/>
        </w:rPr>
        <w:t xml:space="preserve"> </w:t>
      </w:r>
      <w:r>
        <w:rPr>
          <w:color w:val="231F20"/>
          <w:sz w:val="18"/>
          <w:szCs w:val="18"/>
        </w:rPr>
        <w:t>the</w:t>
      </w:r>
      <w:r>
        <w:rPr>
          <w:color w:val="231F20"/>
          <w:spacing w:val="-1"/>
          <w:sz w:val="18"/>
          <w:szCs w:val="18"/>
        </w:rPr>
        <w:t xml:space="preserve"> </w:t>
      </w:r>
      <w:r>
        <w:rPr>
          <w:color w:val="231F20"/>
          <w:sz w:val="18"/>
          <w:szCs w:val="18"/>
        </w:rPr>
        <w:t>Companies</w:t>
      </w:r>
      <w:r>
        <w:rPr>
          <w:color w:val="231F20"/>
          <w:spacing w:val="-1"/>
          <w:sz w:val="18"/>
          <w:szCs w:val="18"/>
        </w:rPr>
        <w:t xml:space="preserve"> </w:t>
      </w:r>
      <w:r>
        <w:rPr>
          <w:color w:val="231F20"/>
          <w:sz w:val="18"/>
          <w:szCs w:val="18"/>
        </w:rPr>
        <w:t>Act.</w:t>
      </w:r>
    </w:p>
    <w:p w14:paraId="2E223DEA" w14:textId="77777777" w:rsidR="00783288" w:rsidRDefault="00783288">
      <w:pPr>
        <w:pStyle w:val="BodyText"/>
        <w:kinsoku w:val="0"/>
        <w:overflowPunct w:val="0"/>
        <w:spacing w:before="10"/>
        <w:rPr>
          <w:sz w:val="17"/>
          <w:szCs w:val="17"/>
        </w:rPr>
      </w:pPr>
    </w:p>
    <w:p w14:paraId="72ADFB6B" w14:textId="77777777" w:rsidR="00783288" w:rsidRDefault="00E31420" w:rsidP="00512495">
      <w:pPr>
        <w:pStyle w:val="ListParagraph"/>
        <w:numPr>
          <w:ilvl w:val="0"/>
          <w:numId w:val="22"/>
        </w:numPr>
        <w:tabs>
          <w:tab w:val="left" w:pos="867"/>
        </w:tabs>
        <w:kinsoku w:val="0"/>
        <w:overflowPunct w:val="0"/>
        <w:spacing w:before="1"/>
        <w:rPr>
          <w:rFonts w:ascii="Symbol" w:hAnsi="Symbol" w:cs="Symbol"/>
          <w:color w:val="231F20"/>
          <w:sz w:val="18"/>
          <w:szCs w:val="18"/>
        </w:rPr>
      </w:pPr>
      <w:r>
        <w:rPr>
          <w:color w:val="231F20"/>
          <w:sz w:val="18"/>
          <w:szCs w:val="18"/>
        </w:rPr>
        <w:t>Chapter 13 of the Listing Rules regarding the form and content of circulars to be sent to</w:t>
      </w:r>
      <w:r>
        <w:rPr>
          <w:color w:val="231F20"/>
          <w:spacing w:val="-14"/>
          <w:sz w:val="18"/>
          <w:szCs w:val="18"/>
        </w:rPr>
        <w:t xml:space="preserve"> </w:t>
      </w:r>
      <w:r>
        <w:rPr>
          <w:color w:val="231F20"/>
          <w:sz w:val="18"/>
          <w:szCs w:val="18"/>
        </w:rPr>
        <w:t>Shareholders.</w:t>
      </w:r>
    </w:p>
    <w:p w14:paraId="179327AB" w14:textId="77777777" w:rsidR="00783288" w:rsidRDefault="00783288" w:rsidP="00512495">
      <w:pPr>
        <w:pStyle w:val="ListParagraph"/>
        <w:numPr>
          <w:ilvl w:val="0"/>
          <w:numId w:val="22"/>
        </w:numPr>
        <w:tabs>
          <w:tab w:val="left" w:pos="867"/>
        </w:tabs>
        <w:kinsoku w:val="0"/>
        <w:overflowPunct w:val="0"/>
        <w:spacing w:before="1"/>
        <w:rPr>
          <w:rFonts w:ascii="Symbol" w:hAnsi="Symbol" w:cs="Symbol"/>
          <w:color w:val="231F20"/>
          <w:sz w:val="18"/>
          <w:szCs w:val="18"/>
        </w:rPr>
        <w:sectPr w:rsidR="00783288">
          <w:pgSz w:w="11900" w:h="16840"/>
          <w:pgMar w:top="1560" w:right="240" w:bottom="1160" w:left="1140" w:header="0" w:footer="891" w:gutter="0"/>
          <w:cols w:space="720"/>
          <w:noEndnote/>
        </w:sectPr>
      </w:pPr>
    </w:p>
    <w:p w14:paraId="03657EE7" w14:textId="3C8B6FBE" w:rsidR="00783288" w:rsidRDefault="00E31420">
      <w:pPr>
        <w:pStyle w:val="Heading1"/>
        <w:kinsoku w:val="0"/>
        <w:overflowPunct w:val="0"/>
        <w:spacing w:before="74"/>
        <w:ind w:left="377" w:right="1273"/>
        <w:jc w:val="center"/>
        <w:rPr>
          <w:color w:val="050606"/>
        </w:rPr>
      </w:pPr>
      <w:r>
        <w:rPr>
          <w:color w:val="050606"/>
        </w:rPr>
        <w:lastRenderedPageBreak/>
        <w:t>IMPORTANT INFORMATION</w:t>
      </w:r>
    </w:p>
    <w:p w14:paraId="4C4AAB8E" w14:textId="77777777" w:rsidR="00D56AD8" w:rsidRPr="00D23A75" w:rsidRDefault="00D56AD8" w:rsidP="00D23A75"/>
    <w:p w14:paraId="193C8F91" w14:textId="29F797BC" w:rsidR="00783288" w:rsidRDefault="00E31420">
      <w:pPr>
        <w:pStyle w:val="BodyText"/>
        <w:kinsoku w:val="0"/>
        <w:overflowPunct w:val="0"/>
        <w:ind w:left="300" w:right="1188"/>
        <w:jc w:val="both"/>
        <w:rPr>
          <w:color w:val="050606"/>
        </w:rPr>
      </w:pPr>
      <w:r>
        <w:rPr>
          <w:color w:val="050606"/>
        </w:rPr>
        <w:t>In</w:t>
      </w:r>
      <w:r>
        <w:rPr>
          <w:color w:val="050606"/>
          <w:spacing w:val="-2"/>
        </w:rPr>
        <w:t xml:space="preserve"> </w:t>
      </w:r>
      <w:r>
        <w:rPr>
          <w:color w:val="050606"/>
        </w:rPr>
        <w:t>deciding</w:t>
      </w:r>
      <w:r>
        <w:rPr>
          <w:color w:val="050606"/>
          <w:spacing w:val="-4"/>
        </w:rPr>
        <w:t xml:space="preserve"> </w:t>
      </w:r>
      <w:proofErr w:type="gramStart"/>
      <w:r>
        <w:rPr>
          <w:color w:val="050606"/>
        </w:rPr>
        <w:t>whether</w:t>
      </w:r>
      <w:r>
        <w:rPr>
          <w:color w:val="050606"/>
          <w:spacing w:val="-5"/>
        </w:rPr>
        <w:t xml:space="preserve"> </w:t>
      </w:r>
      <w:r>
        <w:rPr>
          <w:color w:val="050606"/>
        </w:rPr>
        <w:t>or</w:t>
      </w:r>
      <w:r>
        <w:rPr>
          <w:color w:val="050606"/>
          <w:spacing w:val="-2"/>
        </w:rPr>
        <w:t xml:space="preserve"> </w:t>
      </w:r>
      <w:r>
        <w:rPr>
          <w:color w:val="050606"/>
        </w:rPr>
        <w:t>not</w:t>
      </w:r>
      <w:proofErr w:type="gramEnd"/>
      <w:r>
        <w:rPr>
          <w:color w:val="050606"/>
          <w:spacing w:val="-2"/>
        </w:rPr>
        <w:t xml:space="preserve"> </w:t>
      </w:r>
      <w:r>
        <w:rPr>
          <w:color w:val="050606"/>
        </w:rPr>
        <w:t>to</w:t>
      </w:r>
      <w:r>
        <w:rPr>
          <w:color w:val="050606"/>
          <w:spacing w:val="-5"/>
        </w:rPr>
        <w:t xml:space="preserve"> </w:t>
      </w:r>
      <w:r>
        <w:rPr>
          <w:color w:val="050606"/>
        </w:rPr>
        <w:t>invest</w:t>
      </w:r>
      <w:r>
        <w:rPr>
          <w:color w:val="050606"/>
          <w:spacing w:val="-2"/>
        </w:rPr>
        <w:t xml:space="preserve"> </w:t>
      </w:r>
      <w:r>
        <w:rPr>
          <w:color w:val="050606"/>
        </w:rPr>
        <w:t>in</w:t>
      </w:r>
      <w:r>
        <w:rPr>
          <w:color w:val="050606"/>
          <w:spacing w:val="-2"/>
        </w:rPr>
        <w:t xml:space="preserve"> </w:t>
      </w:r>
      <w:r w:rsidR="00E700B8">
        <w:rPr>
          <w:color w:val="050606"/>
        </w:rPr>
        <w:t>Placing</w:t>
      </w:r>
      <w:r w:rsidR="00E700B8">
        <w:rPr>
          <w:color w:val="050606"/>
          <w:spacing w:val="-1"/>
        </w:rPr>
        <w:t xml:space="preserve"> </w:t>
      </w:r>
      <w:r>
        <w:rPr>
          <w:color w:val="050606"/>
        </w:rPr>
        <w:t>Shares</w:t>
      </w:r>
      <w:r w:rsidR="00813DB6">
        <w:rPr>
          <w:color w:val="050606"/>
        </w:rPr>
        <w:t xml:space="preserve"> or Labrador Consideration Shares</w:t>
      </w:r>
      <w:r>
        <w:rPr>
          <w:color w:val="050606"/>
        </w:rPr>
        <w:t>,</w:t>
      </w:r>
      <w:r>
        <w:rPr>
          <w:color w:val="050606"/>
          <w:spacing w:val="-4"/>
        </w:rPr>
        <w:t xml:space="preserve"> </w:t>
      </w:r>
      <w:r>
        <w:rPr>
          <w:color w:val="050606"/>
        </w:rPr>
        <w:t>prospective</w:t>
      </w:r>
      <w:r>
        <w:rPr>
          <w:color w:val="050606"/>
          <w:spacing w:val="-5"/>
        </w:rPr>
        <w:t xml:space="preserve"> </w:t>
      </w:r>
      <w:r>
        <w:rPr>
          <w:color w:val="050606"/>
        </w:rPr>
        <w:t>investors</w:t>
      </w:r>
      <w:r>
        <w:rPr>
          <w:color w:val="050606"/>
          <w:spacing w:val="-3"/>
        </w:rPr>
        <w:t xml:space="preserve"> </w:t>
      </w:r>
      <w:r>
        <w:rPr>
          <w:color w:val="050606"/>
        </w:rPr>
        <w:t>should</w:t>
      </w:r>
      <w:r>
        <w:rPr>
          <w:color w:val="050606"/>
          <w:spacing w:val="-4"/>
        </w:rPr>
        <w:t xml:space="preserve"> </w:t>
      </w:r>
      <w:r>
        <w:rPr>
          <w:color w:val="050606"/>
        </w:rPr>
        <w:t>rely</w:t>
      </w:r>
      <w:r>
        <w:rPr>
          <w:color w:val="050606"/>
          <w:spacing w:val="-6"/>
        </w:rPr>
        <w:t xml:space="preserve"> </w:t>
      </w:r>
      <w:r>
        <w:rPr>
          <w:color w:val="050606"/>
        </w:rPr>
        <w:t>only</w:t>
      </w:r>
      <w:r>
        <w:rPr>
          <w:color w:val="050606"/>
          <w:spacing w:val="-4"/>
        </w:rPr>
        <w:t xml:space="preserve"> </w:t>
      </w:r>
      <w:r>
        <w:rPr>
          <w:color w:val="050606"/>
        </w:rPr>
        <w:t>on</w:t>
      </w:r>
      <w:r>
        <w:rPr>
          <w:color w:val="050606"/>
          <w:spacing w:val="-4"/>
        </w:rPr>
        <w:t xml:space="preserve"> </w:t>
      </w:r>
      <w:r>
        <w:rPr>
          <w:color w:val="050606"/>
        </w:rPr>
        <w:t>the</w:t>
      </w:r>
      <w:r>
        <w:rPr>
          <w:color w:val="050606"/>
          <w:spacing w:val="-3"/>
        </w:rPr>
        <w:t xml:space="preserve"> </w:t>
      </w:r>
      <w:r>
        <w:rPr>
          <w:color w:val="050606"/>
        </w:rPr>
        <w:t>information contained in this Document and the information incorporated by reference as set out at Part IV. No person has been authorised to give any information or make any representations other than as contained in this Document and,</w:t>
      </w:r>
      <w:r>
        <w:rPr>
          <w:color w:val="050606"/>
          <w:spacing w:val="-4"/>
        </w:rPr>
        <w:t xml:space="preserve"> </w:t>
      </w:r>
      <w:r>
        <w:rPr>
          <w:color w:val="050606"/>
        </w:rPr>
        <w:t>if</w:t>
      </w:r>
      <w:r>
        <w:rPr>
          <w:color w:val="050606"/>
          <w:spacing w:val="-2"/>
        </w:rPr>
        <w:t xml:space="preserve"> </w:t>
      </w:r>
      <w:r>
        <w:rPr>
          <w:color w:val="050606"/>
        </w:rPr>
        <w:t>given</w:t>
      </w:r>
      <w:r>
        <w:rPr>
          <w:color w:val="050606"/>
          <w:spacing w:val="-4"/>
        </w:rPr>
        <w:t xml:space="preserve"> </w:t>
      </w:r>
      <w:r>
        <w:rPr>
          <w:color w:val="050606"/>
        </w:rPr>
        <w:t>or</w:t>
      </w:r>
      <w:r>
        <w:rPr>
          <w:color w:val="050606"/>
          <w:spacing w:val="-2"/>
        </w:rPr>
        <w:t xml:space="preserve"> </w:t>
      </w:r>
      <w:r>
        <w:rPr>
          <w:color w:val="050606"/>
        </w:rPr>
        <w:t>made,</w:t>
      </w:r>
      <w:r>
        <w:rPr>
          <w:color w:val="050606"/>
          <w:spacing w:val="-4"/>
        </w:rPr>
        <w:t xml:space="preserve"> </w:t>
      </w:r>
      <w:r>
        <w:rPr>
          <w:color w:val="050606"/>
        </w:rPr>
        <w:t>such</w:t>
      </w:r>
      <w:r>
        <w:rPr>
          <w:color w:val="050606"/>
          <w:spacing w:val="-3"/>
        </w:rPr>
        <w:t xml:space="preserve"> </w:t>
      </w:r>
      <w:r>
        <w:rPr>
          <w:color w:val="050606"/>
        </w:rPr>
        <w:t>information</w:t>
      </w:r>
      <w:r>
        <w:rPr>
          <w:color w:val="050606"/>
          <w:spacing w:val="-4"/>
        </w:rPr>
        <w:t xml:space="preserve"> </w:t>
      </w:r>
      <w:r>
        <w:rPr>
          <w:color w:val="050606"/>
        </w:rPr>
        <w:t>or</w:t>
      </w:r>
      <w:r>
        <w:rPr>
          <w:color w:val="050606"/>
          <w:spacing w:val="-2"/>
        </w:rPr>
        <w:t xml:space="preserve"> </w:t>
      </w:r>
      <w:r>
        <w:rPr>
          <w:color w:val="050606"/>
        </w:rPr>
        <w:t>representations</w:t>
      </w:r>
      <w:r>
        <w:rPr>
          <w:color w:val="050606"/>
          <w:spacing w:val="-3"/>
        </w:rPr>
        <w:t xml:space="preserve"> </w:t>
      </w:r>
      <w:r>
        <w:rPr>
          <w:color w:val="050606"/>
        </w:rPr>
        <w:t>must</w:t>
      </w:r>
      <w:r>
        <w:rPr>
          <w:color w:val="050606"/>
          <w:spacing w:val="-3"/>
        </w:rPr>
        <w:t xml:space="preserve"> </w:t>
      </w:r>
      <w:r>
        <w:rPr>
          <w:color w:val="050606"/>
        </w:rPr>
        <w:t>not</w:t>
      </w:r>
      <w:r>
        <w:rPr>
          <w:color w:val="050606"/>
          <w:spacing w:val="-3"/>
        </w:rPr>
        <w:t xml:space="preserve"> </w:t>
      </w:r>
      <w:r>
        <w:rPr>
          <w:color w:val="050606"/>
        </w:rPr>
        <w:t>be</w:t>
      </w:r>
      <w:r>
        <w:rPr>
          <w:color w:val="050606"/>
          <w:spacing w:val="-1"/>
        </w:rPr>
        <w:t xml:space="preserve"> </w:t>
      </w:r>
      <w:r>
        <w:rPr>
          <w:color w:val="050606"/>
        </w:rPr>
        <w:t>relied</w:t>
      </w:r>
      <w:r>
        <w:rPr>
          <w:color w:val="050606"/>
          <w:spacing w:val="-1"/>
        </w:rPr>
        <w:t xml:space="preserve"> </w:t>
      </w:r>
      <w:r>
        <w:rPr>
          <w:color w:val="050606"/>
        </w:rPr>
        <w:t>on</w:t>
      </w:r>
      <w:r>
        <w:rPr>
          <w:color w:val="050606"/>
          <w:spacing w:val="-1"/>
        </w:rPr>
        <w:t xml:space="preserve"> </w:t>
      </w:r>
      <w:r>
        <w:rPr>
          <w:color w:val="050606"/>
        </w:rPr>
        <w:t>as</w:t>
      </w:r>
      <w:r>
        <w:rPr>
          <w:color w:val="050606"/>
          <w:spacing w:val="-3"/>
        </w:rPr>
        <w:t xml:space="preserve"> </w:t>
      </w:r>
      <w:r>
        <w:rPr>
          <w:color w:val="050606"/>
        </w:rPr>
        <w:t>having</w:t>
      </w:r>
      <w:r>
        <w:rPr>
          <w:color w:val="050606"/>
          <w:spacing w:val="-6"/>
        </w:rPr>
        <w:t xml:space="preserve"> </w:t>
      </w:r>
      <w:r>
        <w:rPr>
          <w:color w:val="050606"/>
        </w:rPr>
        <w:t>been</w:t>
      </w:r>
      <w:r>
        <w:rPr>
          <w:color w:val="050606"/>
          <w:spacing w:val="-4"/>
        </w:rPr>
        <w:t xml:space="preserve"> </w:t>
      </w:r>
      <w:r>
        <w:rPr>
          <w:color w:val="050606"/>
        </w:rPr>
        <w:t>authorised</w:t>
      </w:r>
      <w:r>
        <w:rPr>
          <w:color w:val="050606"/>
          <w:spacing w:val="-3"/>
        </w:rPr>
        <w:t xml:space="preserve"> </w:t>
      </w:r>
      <w:r>
        <w:rPr>
          <w:color w:val="050606"/>
        </w:rPr>
        <w:t>by</w:t>
      </w:r>
      <w:r>
        <w:rPr>
          <w:color w:val="050606"/>
          <w:spacing w:val="-3"/>
        </w:rPr>
        <w:t xml:space="preserve"> </w:t>
      </w:r>
      <w:r>
        <w:rPr>
          <w:color w:val="050606"/>
        </w:rPr>
        <w:t>the Company, the Directors</w:t>
      </w:r>
      <w:r w:rsidR="001A7F80">
        <w:rPr>
          <w:color w:val="050606"/>
        </w:rPr>
        <w:t xml:space="preserve"> or Panmure Gordon</w:t>
      </w:r>
      <w:r>
        <w:rPr>
          <w:color w:val="231F20"/>
        </w:rPr>
        <w:t xml:space="preserve">. </w:t>
      </w:r>
      <w:r>
        <w:rPr>
          <w:color w:val="050606"/>
        </w:rPr>
        <w:t>Without prejudice to the Company’s obligations under FSMA, the Prospectus</w:t>
      </w:r>
      <w:r>
        <w:rPr>
          <w:color w:val="050606"/>
          <w:spacing w:val="-5"/>
        </w:rPr>
        <w:t xml:space="preserve"> </w:t>
      </w:r>
      <w:r>
        <w:rPr>
          <w:color w:val="050606"/>
        </w:rPr>
        <w:t>Regulation</w:t>
      </w:r>
      <w:r>
        <w:rPr>
          <w:color w:val="050606"/>
          <w:spacing w:val="-5"/>
        </w:rPr>
        <w:t xml:space="preserve"> </w:t>
      </w:r>
      <w:r>
        <w:rPr>
          <w:color w:val="050606"/>
        </w:rPr>
        <w:t>Rules,</w:t>
      </w:r>
      <w:r>
        <w:rPr>
          <w:color w:val="050606"/>
          <w:spacing w:val="-7"/>
        </w:rPr>
        <w:t xml:space="preserve"> </w:t>
      </w:r>
      <w:r>
        <w:rPr>
          <w:color w:val="050606"/>
        </w:rPr>
        <w:t>the</w:t>
      </w:r>
      <w:r>
        <w:rPr>
          <w:color w:val="050606"/>
          <w:spacing w:val="-7"/>
        </w:rPr>
        <w:t xml:space="preserve"> </w:t>
      </w:r>
      <w:r>
        <w:rPr>
          <w:color w:val="050606"/>
        </w:rPr>
        <w:t>Listing</w:t>
      </w:r>
      <w:r>
        <w:rPr>
          <w:color w:val="050606"/>
          <w:spacing w:val="-6"/>
        </w:rPr>
        <w:t xml:space="preserve"> </w:t>
      </w:r>
      <w:r>
        <w:rPr>
          <w:color w:val="050606"/>
        </w:rPr>
        <w:t>Rules</w:t>
      </w:r>
      <w:r>
        <w:rPr>
          <w:color w:val="050606"/>
          <w:spacing w:val="-7"/>
        </w:rPr>
        <w:t xml:space="preserve"> </w:t>
      </w:r>
      <w:r>
        <w:rPr>
          <w:color w:val="050606"/>
        </w:rPr>
        <w:t>and</w:t>
      </w:r>
      <w:r>
        <w:rPr>
          <w:color w:val="050606"/>
          <w:spacing w:val="-7"/>
        </w:rPr>
        <w:t xml:space="preserve"> </w:t>
      </w:r>
      <w:r>
        <w:rPr>
          <w:color w:val="050606"/>
        </w:rPr>
        <w:t>the</w:t>
      </w:r>
      <w:r>
        <w:rPr>
          <w:color w:val="050606"/>
          <w:spacing w:val="-7"/>
        </w:rPr>
        <w:t xml:space="preserve"> </w:t>
      </w:r>
      <w:r>
        <w:rPr>
          <w:color w:val="050606"/>
        </w:rPr>
        <w:t>Disclosure</w:t>
      </w:r>
      <w:r>
        <w:rPr>
          <w:color w:val="050606"/>
          <w:spacing w:val="-7"/>
        </w:rPr>
        <w:t xml:space="preserve"> </w:t>
      </w:r>
      <w:r>
        <w:rPr>
          <w:color w:val="050606"/>
        </w:rPr>
        <w:t>Guidance</w:t>
      </w:r>
      <w:r>
        <w:rPr>
          <w:color w:val="050606"/>
          <w:spacing w:val="-7"/>
        </w:rPr>
        <w:t xml:space="preserve"> </w:t>
      </w:r>
      <w:r>
        <w:rPr>
          <w:color w:val="050606"/>
        </w:rPr>
        <w:t>and</w:t>
      </w:r>
      <w:r>
        <w:rPr>
          <w:color w:val="050606"/>
          <w:spacing w:val="-7"/>
        </w:rPr>
        <w:t xml:space="preserve"> </w:t>
      </w:r>
      <w:r>
        <w:rPr>
          <w:color w:val="050606"/>
        </w:rPr>
        <w:t>Transparency</w:t>
      </w:r>
      <w:r>
        <w:rPr>
          <w:color w:val="050606"/>
          <w:spacing w:val="-7"/>
        </w:rPr>
        <w:t xml:space="preserve"> </w:t>
      </w:r>
      <w:r>
        <w:rPr>
          <w:color w:val="050606"/>
        </w:rPr>
        <w:t>Rules,</w:t>
      </w:r>
      <w:r>
        <w:rPr>
          <w:color w:val="050606"/>
          <w:spacing w:val="-6"/>
        </w:rPr>
        <w:t xml:space="preserve"> </w:t>
      </w:r>
      <w:r>
        <w:rPr>
          <w:color w:val="050606"/>
        </w:rPr>
        <w:t>neither</w:t>
      </w:r>
      <w:r>
        <w:rPr>
          <w:color w:val="050606"/>
          <w:spacing w:val="-8"/>
        </w:rPr>
        <w:t xml:space="preserve"> </w:t>
      </w:r>
      <w:r>
        <w:rPr>
          <w:color w:val="050606"/>
        </w:rPr>
        <w:t>the delivery of this Document nor any subscription made under this Document shall, under any circumstances, create any implication that there has been no change in the affairs of the Company since the date of this Document or that the information contained herein is correct as at any time after its</w:t>
      </w:r>
      <w:r>
        <w:rPr>
          <w:color w:val="050606"/>
          <w:spacing w:val="-17"/>
        </w:rPr>
        <w:t xml:space="preserve"> </w:t>
      </w:r>
      <w:r>
        <w:rPr>
          <w:color w:val="050606"/>
        </w:rPr>
        <w:t>date.</w:t>
      </w:r>
    </w:p>
    <w:p w14:paraId="435C7D66" w14:textId="77777777" w:rsidR="00783288" w:rsidRDefault="00783288">
      <w:pPr>
        <w:pStyle w:val="BodyText"/>
        <w:kinsoku w:val="0"/>
        <w:overflowPunct w:val="0"/>
        <w:spacing w:before="1"/>
      </w:pPr>
    </w:p>
    <w:p w14:paraId="4E439615" w14:textId="1A84CEDB" w:rsidR="00783288" w:rsidRDefault="00E31420">
      <w:pPr>
        <w:pStyle w:val="BodyText"/>
        <w:kinsoku w:val="0"/>
        <w:overflowPunct w:val="0"/>
        <w:spacing w:before="1"/>
        <w:ind w:left="300" w:right="1191"/>
        <w:jc w:val="both"/>
        <w:rPr>
          <w:color w:val="231F20"/>
        </w:rPr>
      </w:pPr>
      <w:r>
        <w:rPr>
          <w:color w:val="050606"/>
        </w:rPr>
        <w:t>Prospective investors must not treat the contents of this Document or any subsequent communications from the Company</w:t>
      </w:r>
      <w:r w:rsidR="001A7F80">
        <w:rPr>
          <w:color w:val="050606"/>
        </w:rPr>
        <w:t>, Panmure Gordon</w:t>
      </w:r>
      <w:r>
        <w:rPr>
          <w:color w:val="050606"/>
        </w:rPr>
        <w:t xml:space="preserve"> or any of their respective affiliates, officers, directors, employees or agents as advice relating to legal, financial</w:t>
      </w:r>
      <w:r>
        <w:rPr>
          <w:color w:val="231F20"/>
        </w:rPr>
        <w:t xml:space="preserve">, </w:t>
      </w:r>
      <w:r>
        <w:rPr>
          <w:color w:val="050606"/>
        </w:rPr>
        <w:t>taxation, accounting, regulatory, investment or any other matter</w:t>
      </w:r>
      <w:r>
        <w:rPr>
          <w:color w:val="231F20"/>
        </w:rPr>
        <w:t>.</w:t>
      </w:r>
    </w:p>
    <w:p w14:paraId="11E19047" w14:textId="77777777" w:rsidR="00783288" w:rsidRDefault="00783288">
      <w:pPr>
        <w:pStyle w:val="BodyText"/>
        <w:kinsoku w:val="0"/>
        <w:overflowPunct w:val="0"/>
        <w:spacing w:before="11"/>
        <w:rPr>
          <w:sz w:val="17"/>
          <w:szCs w:val="17"/>
        </w:rPr>
      </w:pPr>
    </w:p>
    <w:p w14:paraId="1568B5CF" w14:textId="00C63232" w:rsidR="00783288" w:rsidRDefault="00E31420">
      <w:pPr>
        <w:pStyle w:val="BodyText"/>
        <w:kinsoku w:val="0"/>
        <w:overflowPunct w:val="0"/>
        <w:ind w:left="300" w:right="1189"/>
        <w:jc w:val="both"/>
        <w:rPr>
          <w:color w:val="050606"/>
        </w:rPr>
      </w:pPr>
      <w:r>
        <w:rPr>
          <w:color w:val="050606"/>
        </w:rPr>
        <w:t xml:space="preserve">Neither </w:t>
      </w:r>
      <w:r w:rsidR="001A7F80">
        <w:rPr>
          <w:color w:val="050606"/>
        </w:rPr>
        <w:t>Panmure Gordon</w:t>
      </w:r>
      <w:r>
        <w:rPr>
          <w:color w:val="050606"/>
        </w:rPr>
        <w:t xml:space="preserve"> nor any person acting on </w:t>
      </w:r>
      <w:r w:rsidR="005545A6">
        <w:rPr>
          <w:color w:val="050606"/>
        </w:rPr>
        <w:t>its</w:t>
      </w:r>
      <w:r>
        <w:rPr>
          <w:color w:val="050606"/>
        </w:rPr>
        <w:t xml:space="preserve"> behalf makes any representations or warranties, express or implied, with respect to the completeness, accuracy or verification of this Document nor does any such person authorise the contents of this Document. No such person accepts any responsibility or liability whatsoever for the contents of this Document or for any other statement made or purported to be made by it or on its behalf in connection</w:t>
      </w:r>
      <w:r>
        <w:rPr>
          <w:color w:val="050606"/>
          <w:spacing w:val="-10"/>
        </w:rPr>
        <w:t xml:space="preserve"> </w:t>
      </w:r>
      <w:r>
        <w:rPr>
          <w:color w:val="050606"/>
        </w:rPr>
        <w:t>with</w:t>
      </w:r>
      <w:r>
        <w:rPr>
          <w:color w:val="050606"/>
          <w:spacing w:val="-9"/>
        </w:rPr>
        <w:t xml:space="preserve"> </w:t>
      </w:r>
      <w:r>
        <w:rPr>
          <w:color w:val="050606"/>
        </w:rPr>
        <w:t>the</w:t>
      </w:r>
      <w:r>
        <w:rPr>
          <w:color w:val="050606"/>
          <w:spacing w:val="-10"/>
        </w:rPr>
        <w:t xml:space="preserve"> </w:t>
      </w:r>
      <w:r>
        <w:rPr>
          <w:color w:val="050606"/>
        </w:rPr>
        <w:t>Company,</w:t>
      </w:r>
      <w:r>
        <w:rPr>
          <w:color w:val="050606"/>
          <w:spacing w:val="-11"/>
        </w:rPr>
        <w:t xml:space="preserve"> </w:t>
      </w:r>
      <w:r>
        <w:rPr>
          <w:color w:val="050606"/>
        </w:rPr>
        <w:t>the</w:t>
      </w:r>
      <w:r>
        <w:rPr>
          <w:color w:val="050606"/>
          <w:spacing w:val="-10"/>
        </w:rPr>
        <w:t xml:space="preserve"> </w:t>
      </w:r>
      <w:r>
        <w:rPr>
          <w:color w:val="050606"/>
        </w:rPr>
        <w:t>Ordinary</w:t>
      </w:r>
      <w:r>
        <w:rPr>
          <w:color w:val="050606"/>
          <w:spacing w:val="-10"/>
        </w:rPr>
        <w:t xml:space="preserve"> </w:t>
      </w:r>
      <w:r>
        <w:rPr>
          <w:color w:val="050606"/>
        </w:rPr>
        <w:t>Shares,</w:t>
      </w:r>
      <w:r>
        <w:rPr>
          <w:color w:val="050606"/>
          <w:spacing w:val="-9"/>
        </w:rPr>
        <w:t xml:space="preserve"> </w:t>
      </w:r>
      <w:r>
        <w:rPr>
          <w:color w:val="050606"/>
        </w:rPr>
        <w:t>the</w:t>
      </w:r>
      <w:r>
        <w:rPr>
          <w:color w:val="050606"/>
          <w:spacing w:val="-10"/>
        </w:rPr>
        <w:t xml:space="preserve"> </w:t>
      </w:r>
      <w:r w:rsidR="00E700B8">
        <w:rPr>
          <w:color w:val="050606"/>
        </w:rPr>
        <w:t>Placing</w:t>
      </w:r>
      <w:r w:rsidR="002514E7">
        <w:rPr>
          <w:color w:val="050606"/>
        </w:rPr>
        <w:t>, the Labrador Acquisition</w:t>
      </w:r>
      <w:r w:rsidR="00E700B8">
        <w:rPr>
          <w:color w:val="050606"/>
          <w:spacing w:val="-7"/>
        </w:rPr>
        <w:t xml:space="preserve"> </w:t>
      </w:r>
      <w:r>
        <w:rPr>
          <w:color w:val="050606"/>
        </w:rPr>
        <w:t>or</w:t>
      </w:r>
      <w:r>
        <w:rPr>
          <w:color w:val="050606"/>
          <w:spacing w:val="-10"/>
        </w:rPr>
        <w:t xml:space="preserve"> </w:t>
      </w:r>
      <w:r>
        <w:rPr>
          <w:color w:val="050606"/>
        </w:rPr>
        <w:t>Admission.</w:t>
      </w:r>
      <w:r>
        <w:rPr>
          <w:color w:val="050606"/>
          <w:spacing w:val="-9"/>
        </w:rPr>
        <w:t xml:space="preserve"> </w:t>
      </w:r>
      <w:r w:rsidR="00886B8F">
        <w:rPr>
          <w:color w:val="050606"/>
        </w:rPr>
        <w:t>Panmure Gordon</w:t>
      </w:r>
      <w:r>
        <w:rPr>
          <w:color w:val="050606"/>
          <w:spacing w:val="-9"/>
        </w:rPr>
        <w:t xml:space="preserve"> </w:t>
      </w:r>
      <w:r>
        <w:rPr>
          <w:color w:val="050606"/>
        </w:rPr>
        <w:t>accordingly</w:t>
      </w:r>
      <w:r>
        <w:rPr>
          <w:color w:val="050606"/>
          <w:spacing w:val="-10"/>
        </w:rPr>
        <w:t xml:space="preserve"> </w:t>
      </w:r>
      <w:r>
        <w:rPr>
          <w:color w:val="050606"/>
        </w:rPr>
        <w:t>disclaims all and any liability whether arising in tort or contract or otherwise which it might otherwise have in respect of this Document</w:t>
      </w:r>
      <w:r>
        <w:rPr>
          <w:color w:val="050606"/>
          <w:spacing w:val="-11"/>
        </w:rPr>
        <w:t xml:space="preserve"> </w:t>
      </w:r>
      <w:r>
        <w:rPr>
          <w:color w:val="050606"/>
        </w:rPr>
        <w:t>or</w:t>
      </w:r>
      <w:r>
        <w:rPr>
          <w:color w:val="050606"/>
          <w:spacing w:val="-12"/>
        </w:rPr>
        <w:t xml:space="preserve"> </w:t>
      </w:r>
      <w:r>
        <w:rPr>
          <w:color w:val="050606"/>
        </w:rPr>
        <w:t>any</w:t>
      </w:r>
      <w:r>
        <w:rPr>
          <w:color w:val="050606"/>
          <w:spacing w:val="-13"/>
        </w:rPr>
        <w:t xml:space="preserve"> </w:t>
      </w:r>
      <w:r>
        <w:rPr>
          <w:color w:val="050606"/>
        </w:rPr>
        <w:t>such</w:t>
      </w:r>
      <w:r>
        <w:rPr>
          <w:color w:val="050606"/>
          <w:spacing w:val="-13"/>
        </w:rPr>
        <w:t xml:space="preserve"> </w:t>
      </w:r>
      <w:r>
        <w:rPr>
          <w:color w:val="050606"/>
        </w:rPr>
        <w:t>statement</w:t>
      </w:r>
      <w:r>
        <w:rPr>
          <w:color w:val="231F20"/>
        </w:rPr>
        <w:t>.</w:t>
      </w:r>
      <w:r>
        <w:rPr>
          <w:color w:val="231F20"/>
          <w:spacing w:val="-11"/>
        </w:rPr>
        <w:t xml:space="preserve"> </w:t>
      </w:r>
      <w:r>
        <w:rPr>
          <w:color w:val="050606"/>
        </w:rPr>
        <w:t>Neither</w:t>
      </w:r>
      <w:r>
        <w:rPr>
          <w:color w:val="050606"/>
          <w:spacing w:val="-11"/>
        </w:rPr>
        <w:t xml:space="preserve"> </w:t>
      </w:r>
      <w:r w:rsidR="001A7F80">
        <w:rPr>
          <w:color w:val="050606"/>
        </w:rPr>
        <w:t>Panmure Gordon</w:t>
      </w:r>
      <w:r>
        <w:rPr>
          <w:color w:val="050606"/>
          <w:spacing w:val="-10"/>
        </w:rPr>
        <w:t xml:space="preserve"> </w:t>
      </w:r>
      <w:r>
        <w:rPr>
          <w:color w:val="050606"/>
        </w:rPr>
        <w:t>nor</w:t>
      </w:r>
      <w:r>
        <w:rPr>
          <w:color w:val="050606"/>
          <w:spacing w:val="-12"/>
        </w:rPr>
        <w:t xml:space="preserve"> </w:t>
      </w:r>
      <w:r>
        <w:rPr>
          <w:color w:val="050606"/>
        </w:rPr>
        <w:t>any</w:t>
      </w:r>
      <w:r>
        <w:rPr>
          <w:color w:val="050606"/>
          <w:spacing w:val="-13"/>
        </w:rPr>
        <w:t xml:space="preserve"> </w:t>
      </w:r>
      <w:r>
        <w:rPr>
          <w:color w:val="050606"/>
        </w:rPr>
        <w:t>person</w:t>
      </w:r>
      <w:r>
        <w:rPr>
          <w:color w:val="050606"/>
          <w:spacing w:val="-11"/>
        </w:rPr>
        <w:t xml:space="preserve"> </w:t>
      </w:r>
      <w:r>
        <w:rPr>
          <w:color w:val="050606"/>
        </w:rPr>
        <w:t>acting</w:t>
      </w:r>
      <w:r>
        <w:rPr>
          <w:color w:val="050606"/>
          <w:spacing w:val="-10"/>
        </w:rPr>
        <w:t xml:space="preserve"> </w:t>
      </w:r>
      <w:r>
        <w:rPr>
          <w:color w:val="050606"/>
        </w:rPr>
        <w:t>on</w:t>
      </w:r>
      <w:r>
        <w:rPr>
          <w:color w:val="050606"/>
          <w:spacing w:val="-11"/>
        </w:rPr>
        <w:t xml:space="preserve"> </w:t>
      </w:r>
      <w:r w:rsidR="005545A6">
        <w:rPr>
          <w:color w:val="050606"/>
        </w:rPr>
        <w:t xml:space="preserve">its </w:t>
      </w:r>
      <w:r>
        <w:rPr>
          <w:color w:val="050606"/>
        </w:rPr>
        <w:t>behalf</w:t>
      </w:r>
      <w:r>
        <w:rPr>
          <w:color w:val="050606"/>
          <w:spacing w:val="-11"/>
        </w:rPr>
        <w:t xml:space="preserve"> </w:t>
      </w:r>
      <w:r>
        <w:rPr>
          <w:color w:val="050606"/>
        </w:rPr>
        <w:t>accepts</w:t>
      </w:r>
      <w:r>
        <w:rPr>
          <w:color w:val="050606"/>
          <w:spacing w:val="-9"/>
        </w:rPr>
        <w:t xml:space="preserve"> </w:t>
      </w:r>
      <w:r>
        <w:rPr>
          <w:color w:val="050606"/>
        </w:rPr>
        <w:t>any</w:t>
      </w:r>
      <w:r>
        <w:rPr>
          <w:color w:val="050606"/>
          <w:spacing w:val="-13"/>
        </w:rPr>
        <w:t xml:space="preserve"> </w:t>
      </w:r>
      <w:r>
        <w:rPr>
          <w:color w:val="050606"/>
        </w:rPr>
        <w:t>responsibility or</w:t>
      </w:r>
      <w:r>
        <w:rPr>
          <w:color w:val="050606"/>
          <w:spacing w:val="-5"/>
        </w:rPr>
        <w:t xml:space="preserve"> </w:t>
      </w:r>
      <w:r>
        <w:rPr>
          <w:color w:val="050606"/>
        </w:rPr>
        <w:t>obligation</w:t>
      </w:r>
      <w:r>
        <w:rPr>
          <w:color w:val="050606"/>
          <w:spacing w:val="-6"/>
        </w:rPr>
        <w:t xml:space="preserve"> </w:t>
      </w:r>
      <w:r>
        <w:rPr>
          <w:color w:val="050606"/>
        </w:rPr>
        <w:t>to</w:t>
      </w:r>
      <w:r>
        <w:rPr>
          <w:color w:val="050606"/>
          <w:spacing w:val="-6"/>
        </w:rPr>
        <w:t xml:space="preserve"> </w:t>
      </w:r>
      <w:r>
        <w:rPr>
          <w:color w:val="050606"/>
        </w:rPr>
        <w:t>update,</w:t>
      </w:r>
      <w:r>
        <w:rPr>
          <w:color w:val="050606"/>
          <w:spacing w:val="-4"/>
        </w:rPr>
        <w:t xml:space="preserve"> </w:t>
      </w:r>
      <w:r>
        <w:rPr>
          <w:color w:val="050606"/>
        </w:rPr>
        <w:t>review</w:t>
      </w:r>
      <w:r>
        <w:rPr>
          <w:color w:val="050606"/>
          <w:spacing w:val="-8"/>
        </w:rPr>
        <w:t xml:space="preserve"> </w:t>
      </w:r>
      <w:r>
        <w:rPr>
          <w:color w:val="050606"/>
        </w:rPr>
        <w:t>or</w:t>
      </w:r>
      <w:r>
        <w:rPr>
          <w:color w:val="050606"/>
          <w:spacing w:val="-4"/>
        </w:rPr>
        <w:t xml:space="preserve"> </w:t>
      </w:r>
      <w:r>
        <w:rPr>
          <w:color w:val="050606"/>
        </w:rPr>
        <w:t>revise</w:t>
      </w:r>
      <w:r>
        <w:rPr>
          <w:color w:val="050606"/>
          <w:spacing w:val="-6"/>
        </w:rPr>
        <w:t xml:space="preserve"> </w:t>
      </w:r>
      <w:r>
        <w:rPr>
          <w:color w:val="050606"/>
        </w:rPr>
        <w:t>the</w:t>
      </w:r>
      <w:r>
        <w:rPr>
          <w:color w:val="050606"/>
          <w:spacing w:val="-6"/>
        </w:rPr>
        <w:t xml:space="preserve"> </w:t>
      </w:r>
      <w:r>
        <w:rPr>
          <w:color w:val="050606"/>
        </w:rPr>
        <w:t>information</w:t>
      </w:r>
      <w:r>
        <w:rPr>
          <w:color w:val="050606"/>
          <w:spacing w:val="-5"/>
        </w:rPr>
        <w:t xml:space="preserve"> </w:t>
      </w:r>
      <w:r>
        <w:rPr>
          <w:color w:val="050606"/>
        </w:rPr>
        <w:t>in</w:t>
      </w:r>
      <w:r>
        <w:rPr>
          <w:color w:val="050606"/>
          <w:spacing w:val="-4"/>
        </w:rPr>
        <w:t xml:space="preserve"> </w:t>
      </w:r>
      <w:r>
        <w:rPr>
          <w:color w:val="050606"/>
        </w:rPr>
        <w:t>this</w:t>
      </w:r>
      <w:r>
        <w:rPr>
          <w:color w:val="050606"/>
          <w:spacing w:val="-6"/>
        </w:rPr>
        <w:t xml:space="preserve"> </w:t>
      </w:r>
      <w:r>
        <w:rPr>
          <w:color w:val="050606"/>
        </w:rPr>
        <w:t>Document</w:t>
      </w:r>
      <w:r>
        <w:rPr>
          <w:color w:val="050606"/>
          <w:spacing w:val="-6"/>
        </w:rPr>
        <w:t xml:space="preserve"> </w:t>
      </w:r>
      <w:r>
        <w:rPr>
          <w:color w:val="050606"/>
        </w:rPr>
        <w:t>or</w:t>
      </w:r>
      <w:r>
        <w:rPr>
          <w:color w:val="050606"/>
          <w:spacing w:val="-4"/>
        </w:rPr>
        <w:t xml:space="preserve"> </w:t>
      </w:r>
      <w:r>
        <w:rPr>
          <w:color w:val="050606"/>
        </w:rPr>
        <w:t>to</w:t>
      </w:r>
      <w:r>
        <w:rPr>
          <w:color w:val="050606"/>
          <w:spacing w:val="-5"/>
        </w:rPr>
        <w:t xml:space="preserve"> </w:t>
      </w:r>
      <w:r>
        <w:rPr>
          <w:color w:val="050606"/>
        </w:rPr>
        <w:t>publish</w:t>
      </w:r>
      <w:r>
        <w:rPr>
          <w:color w:val="050606"/>
          <w:spacing w:val="-6"/>
        </w:rPr>
        <w:t xml:space="preserve"> </w:t>
      </w:r>
      <w:r>
        <w:rPr>
          <w:color w:val="050606"/>
        </w:rPr>
        <w:t>or</w:t>
      </w:r>
      <w:r>
        <w:rPr>
          <w:color w:val="050606"/>
          <w:spacing w:val="-4"/>
        </w:rPr>
        <w:t xml:space="preserve"> </w:t>
      </w:r>
      <w:r>
        <w:rPr>
          <w:color w:val="050606"/>
        </w:rPr>
        <w:t>distribute</w:t>
      </w:r>
      <w:r>
        <w:rPr>
          <w:color w:val="050606"/>
          <w:spacing w:val="-6"/>
        </w:rPr>
        <w:t xml:space="preserve"> </w:t>
      </w:r>
      <w:r>
        <w:rPr>
          <w:color w:val="050606"/>
        </w:rPr>
        <w:t>any</w:t>
      </w:r>
      <w:r>
        <w:rPr>
          <w:color w:val="050606"/>
          <w:spacing w:val="-7"/>
        </w:rPr>
        <w:t xml:space="preserve"> </w:t>
      </w:r>
      <w:r>
        <w:rPr>
          <w:color w:val="050606"/>
        </w:rPr>
        <w:t>information which</w:t>
      </w:r>
      <w:r>
        <w:rPr>
          <w:color w:val="050606"/>
          <w:spacing w:val="-4"/>
        </w:rPr>
        <w:t xml:space="preserve"> </w:t>
      </w:r>
      <w:r>
        <w:rPr>
          <w:color w:val="050606"/>
        </w:rPr>
        <w:t>comes</w:t>
      </w:r>
      <w:r>
        <w:rPr>
          <w:color w:val="050606"/>
          <w:spacing w:val="-6"/>
        </w:rPr>
        <w:t xml:space="preserve"> </w:t>
      </w:r>
      <w:r>
        <w:rPr>
          <w:color w:val="050606"/>
        </w:rPr>
        <w:t>to</w:t>
      </w:r>
      <w:r>
        <w:rPr>
          <w:color w:val="050606"/>
          <w:spacing w:val="-6"/>
        </w:rPr>
        <w:t xml:space="preserve"> </w:t>
      </w:r>
      <w:r>
        <w:rPr>
          <w:color w:val="050606"/>
        </w:rPr>
        <w:t>its</w:t>
      </w:r>
      <w:r>
        <w:rPr>
          <w:color w:val="050606"/>
          <w:spacing w:val="-6"/>
        </w:rPr>
        <w:t xml:space="preserve"> </w:t>
      </w:r>
      <w:r>
        <w:rPr>
          <w:color w:val="050606"/>
        </w:rPr>
        <w:t>or</w:t>
      </w:r>
      <w:r>
        <w:rPr>
          <w:color w:val="050606"/>
          <w:spacing w:val="-4"/>
        </w:rPr>
        <w:t xml:space="preserve"> </w:t>
      </w:r>
      <w:r>
        <w:rPr>
          <w:color w:val="050606"/>
        </w:rPr>
        <w:t>their</w:t>
      </w:r>
      <w:r>
        <w:rPr>
          <w:color w:val="050606"/>
          <w:spacing w:val="-3"/>
        </w:rPr>
        <w:t xml:space="preserve"> </w:t>
      </w:r>
      <w:r>
        <w:rPr>
          <w:color w:val="050606"/>
        </w:rPr>
        <w:t>attention</w:t>
      </w:r>
      <w:r>
        <w:rPr>
          <w:color w:val="050606"/>
          <w:spacing w:val="-6"/>
        </w:rPr>
        <w:t xml:space="preserve"> </w:t>
      </w:r>
      <w:r>
        <w:rPr>
          <w:color w:val="050606"/>
        </w:rPr>
        <w:t>after</w:t>
      </w:r>
      <w:r>
        <w:rPr>
          <w:color w:val="050606"/>
          <w:spacing w:val="-7"/>
        </w:rPr>
        <w:t xml:space="preserve"> </w:t>
      </w:r>
      <w:r>
        <w:rPr>
          <w:color w:val="050606"/>
        </w:rPr>
        <w:t>the</w:t>
      </w:r>
      <w:r>
        <w:rPr>
          <w:color w:val="050606"/>
          <w:spacing w:val="-6"/>
        </w:rPr>
        <w:t xml:space="preserve"> </w:t>
      </w:r>
      <w:r>
        <w:rPr>
          <w:color w:val="050606"/>
        </w:rPr>
        <w:t>date</w:t>
      </w:r>
      <w:r>
        <w:rPr>
          <w:color w:val="050606"/>
          <w:spacing w:val="-6"/>
        </w:rPr>
        <w:t xml:space="preserve"> </w:t>
      </w:r>
      <w:r>
        <w:rPr>
          <w:color w:val="050606"/>
        </w:rPr>
        <w:t>of</w:t>
      </w:r>
      <w:r>
        <w:rPr>
          <w:color w:val="050606"/>
          <w:spacing w:val="-3"/>
        </w:rPr>
        <w:t xml:space="preserve"> </w:t>
      </w:r>
      <w:r>
        <w:rPr>
          <w:color w:val="050606"/>
        </w:rPr>
        <w:t>this</w:t>
      </w:r>
      <w:r>
        <w:rPr>
          <w:color w:val="050606"/>
          <w:spacing w:val="-3"/>
        </w:rPr>
        <w:t xml:space="preserve"> </w:t>
      </w:r>
      <w:r>
        <w:rPr>
          <w:color w:val="050606"/>
        </w:rPr>
        <w:t>Document,</w:t>
      </w:r>
      <w:r>
        <w:rPr>
          <w:color w:val="050606"/>
          <w:spacing w:val="-4"/>
        </w:rPr>
        <w:t xml:space="preserve"> </w:t>
      </w:r>
      <w:r>
        <w:rPr>
          <w:color w:val="050606"/>
        </w:rPr>
        <w:t>and</w:t>
      </w:r>
      <w:r>
        <w:rPr>
          <w:color w:val="050606"/>
          <w:spacing w:val="-4"/>
        </w:rPr>
        <w:t xml:space="preserve"> </w:t>
      </w:r>
      <w:r>
        <w:rPr>
          <w:color w:val="050606"/>
        </w:rPr>
        <w:t>the</w:t>
      </w:r>
      <w:r>
        <w:rPr>
          <w:color w:val="050606"/>
          <w:spacing w:val="-4"/>
        </w:rPr>
        <w:t xml:space="preserve"> </w:t>
      </w:r>
      <w:r>
        <w:rPr>
          <w:color w:val="050606"/>
        </w:rPr>
        <w:t>distribution</w:t>
      </w:r>
      <w:r>
        <w:rPr>
          <w:color w:val="050606"/>
          <w:spacing w:val="-4"/>
        </w:rPr>
        <w:t xml:space="preserve"> </w:t>
      </w:r>
      <w:r>
        <w:rPr>
          <w:color w:val="050606"/>
        </w:rPr>
        <w:t>of</w:t>
      </w:r>
      <w:r>
        <w:rPr>
          <w:color w:val="050606"/>
          <w:spacing w:val="-4"/>
        </w:rPr>
        <w:t xml:space="preserve"> </w:t>
      </w:r>
      <w:r>
        <w:rPr>
          <w:color w:val="050606"/>
        </w:rPr>
        <w:t>this</w:t>
      </w:r>
      <w:r>
        <w:rPr>
          <w:color w:val="050606"/>
          <w:spacing w:val="-3"/>
        </w:rPr>
        <w:t xml:space="preserve"> </w:t>
      </w:r>
      <w:r>
        <w:rPr>
          <w:color w:val="050606"/>
        </w:rPr>
        <w:t>Document</w:t>
      </w:r>
      <w:r>
        <w:rPr>
          <w:color w:val="050606"/>
          <w:spacing w:val="-5"/>
        </w:rPr>
        <w:t xml:space="preserve"> </w:t>
      </w:r>
      <w:r>
        <w:rPr>
          <w:color w:val="050606"/>
        </w:rPr>
        <w:t>shall</w:t>
      </w:r>
      <w:r>
        <w:rPr>
          <w:color w:val="050606"/>
          <w:spacing w:val="-6"/>
        </w:rPr>
        <w:t xml:space="preserve"> </w:t>
      </w:r>
      <w:r>
        <w:rPr>
          <w:color w:val="050606"/>
        </w:rPr>
        <w:t xml:space="preserve">not constitute a representation by </w:t>
      </w:r>
      <w:r w:rsidR="001A7F80">
        <w:rPr>
          <w:color w:val="050606"/>
        </w:rPr>
        <w:t>Panmure Gordon</w:t>
      </w:r>
      <w:r>
        <w:rPr>
          <w:color w:val="050606"/>
        </w:rPr>
        <w:t xml:space="preserve"> or any such person that this Document will be updated, reviewed or revised or that any such information will be published or distributed after the date hereof. However, nothing in this paragraph excludes or limits any responsibility which </w:t>
      </w:r>
      <w:r w:rsidR="001A7F80">
        <w:rPr>
          <w:color w:val="050606"/>
        </w:rPr>
        <w:t>Panmure Gordon</w:t>
      </w:r>
      <w:r>
        <w:rPr>
          <w:color w:val="050606"/>
        </w:rPr>
        <w:t xml:space="preserve"> may have under FSMA or the regulatory regime established thereunder, or which, by law or regulation, cannot otherwise be limited or</w:t>
      </w:r>
      <w:r>
        <w:rPr>
          <w:color w:val="050606"/>
          <w:spacing w:val="-21"/>
        </w:rPr>
        <w:t xml:space="preserve"> </w:t>
      </w:r>
      <w:r>
        <w:rPr>
          <w:color w:val="050606"/>
        </w:rPr>
        <w:t>excluded.</w:t>
      </w:r>
    </w:p>
    <w:p w14:paraId="6D137AA6" w14:textId="77777777" w:rsidR="00783288" w:rsidRDefault="00783288">
      <w:pPr>
        <w:pStyle w:val="BodyText"/>
        <w:kinsoku w:val="0"/>
        <w:overflowPunct w:val="0"/>
        <w:spacing w:before="10"/>
        <w:rPr>
          <w:sz w:val="17"/>
          <w:szCs w:val="17"/>
        </w:rPr>
      </w:pPr>
    </w:p>
    <w:p w14:paraId="1F5511D7" w14:textId="33F8C93D" w:rsidR="00783288" w:rsidRDefault="001A7F80">
      <w:pPr>
        <w:pStyle w:val="BodyText"/>
        <w:kinsoku w:val="0"/>
        <w:overflowPunct w:val="0"/>
        <w:ind w:left="300" w:right="1190"/>
        <w:jc w:val="both"/>
        <w:rPr>
          <w:color w:val="2F2E30"/>
        </w:rPr>
      </w:pPr>
      <w:r>
        <w:rPr>
          <w:color w:val="050606"/>
        </w:rPr>
        <w:t>Panmure Gordon</w:t>
      </w:r>
      <w:r w:rsidR="00E31420">
        <w:rPr>
          <w:color w:val="050606"/>
        </w:rPr>
        <w:t xml:space="preserve"> and any affiliate thereof acting as an investor for its or their own account(s) may subscribe for, retain, purchase</w:t>
      </w:r>
      <w:r w:rsidR="00E31420">
        <w:rPr>
          <w:color w:val="050606"/>
          <w:spacing w:val="-9"/>
        </w:rPr>
        <w:t xml:space="preserve"> </w:t>
      </w:r>
      <w:r w:rsidR="00E31420">
        <w:rPr>
          <w:color w:val="050606"/>
        </w:rPr>
        <w:t>or</w:t>
      </w:r>
      <w:r w:rsidR="00E31420">
        <w:rPr>
          <w:color w:val="050606"/>
          <w:spacing w:val="-12"/>
        </w:rPr>
        <w:t xml:space="preserve"> </w:t>
      </w:r>
      <w:r w:rsidR="00E31420">
        <w:rPr>
          <w:color w:val="050606"/>
        </w:rPr>
        <w:t>sell</w:t>
      </w:r>
      <w:r w:rsidR="00E31420">
        <w:rPr>
          <w:color w:val="050606"/>
          <w:spacing w:val="-8"/>
        </w:rPr>
        <w:t xml:space="preserve"> </w:t>
      </w:r>
      <w:r w:rsidR="00E31420">
        <w:rPr>
          <w:color w:val="050606"/>
        </w:rPr>
        <w:t>Ordinary</w:t>
      </w:r>
      <w:r w:rsidR="00E31420">
        <w:rPr>
          <w:color w:val="050606"/>
          <w:spacing w:val="-10"/>
        </w:rPr>
        <w:t xml:space="preserve"> </w:t>
      </w:r>
      <w:r w:rsidR="00E31420">
        <w:rPr>
          <w:color w:val="050606"/>
        </w:rPr>
        <w:t>Shares</w:t>
      </w:r>
      <w:r w:rsidR="00E31420">
        <w:rPr>
          <w:color w:val="050606"/>
          <w:spacing w:val="-7"/>
        </w:rPr>
        <w:t xml:space="preserve"> </w:t>
      </w:r>
      <w:r w:rsidR="00E31420">
        <w:rPr>
          <w:color w:val="050606"/>
        </w:rPr>
        <w:t>for</w:t>
      </w:r>
      <w:r w:rsidR="00E31420">
        <w:rPr>
          <w:color w:val="050606"/>
          <w:spacing w:val="-9"/>
        </w:rPr>
        <w:t xml:space="preserve"> </w:t>
      </w:r>
      <w:r w:rsidR="00E31420">
        <w:rPr>
          <w:color w:val="050606"/>
        </w:rPr>
        <w:t>its</w:t>
      </w:r>
      <w:r w:rsidR="00E31420">
        <w:rPr>
          <w:color w:val="050606"/>
          <w:spacing w:val="-7"/>
        </w:rPr>
        <w:t xml:space="preserve"> </w:t>
      </w:r>
      <w:r w:rsidR="00E31420">
        <w:rPr>
          <w:color w:val="050606"/>
        </w:rPr>
        <w:t>or</w:t>
      </w:r>
      <w:r w:rsidR="00E31420">
        <w:rPr>
          <w:color w:val="050606"/>
          <w:spacing w:val="-9"/>
        </w:rPr>
        <w:t xml:space="preserve"> </w:t>
      </w:r>
      <w:r w:rsidR="00E31420">
        <w:rPr>
          <w:color w:val="050606"/>
        </w:rPr>
        <w:t>their</w:t>
      </w:r>
      <w:r w:rsidR="00E31420">
        <w:rPr>
          <w:color w:val="050606"/>
          <w:spacing w:val="-9"/>
        </w:rPr>
        <w:t xml:space="preserve"> </w:t>
      </w:r>
      <w:r w:rsidR="00E31420">
        <w:rPr>
          <w:color w:val="050606"/>
        </w:rPr>
        <w:t>own</w:t>
      </w:r>
      <w:r w:rsidR="00E31420">
        <w:rPr>
          <w:color w:val="050606"/>
          <w:spacing w:val="-8"/>
        </w:rPr>
        <w:t xml:space="preserve"> </w:t>
      </w:r>
      <w:r w:rsidR="00E31420">
        <w:rPr>
          <w:color w:val="050606"/>
        </w:rPr>
        <w:t>account(s)</w:t>
      </w:r>
      <w:r w:rsidR="00E31420">
        <w:rPr>
          <w:color w:val="050606"/>
          <w:spacing w:val="-9"/>
        </w:rPr>
        <w:t xml:space="preserve"> </w:t>
      </w:r>
      <w:r w:rsidR="00E31420">
        <w:rPr>
          <w:color w:val="050606"/>
        </w:rPr>
        <w:t>and</w:t>
      </w:r>
      <w:r w:rsidR="00E31420">
        <w:rPr>
          <w:color w:val="050606"/>
          <w:spacing w:val="-8"/>
        </w:rPr>
        <w:t xml:space="preserve"> </w:t>
      </w:r>
      <w:r w:rsidR="00E31420">
        <w:rPr>
          <w:color w:val="050606"/>
        </w:rPr>
        <w:t>may</w:t>
      </w:r>
      <w:r w:rsidR="00E31420">
        <w:rPr>
          <w:color w:val="050606"/>
          <w:spacing w:val="-10"/>
        </w:rPr>
        <w:t xml:space="preserve"> </w:t>
      </w:r>
      <w:r w:rsidR="00E31420">
        <w:rPr>
          <w:color w:val="050606"/>
        </w:rPr>
        <w:t>offer</w:t>
      </w:r>
      <w:r w:rsidR="00E31420">
        <w:rPr>
          <w:color w:val="050606"/>
          <w:spacing w:val="-8"/>
        </w:rPr>
        <w:t xml:space="preserve"> </w:t>
      </w:r>
      <w:r w:rsidR="00E31420">
        <w:rPr>
          <w:color w:val="050606"/>
        </w:rPr>
        <w:t>or</w:t>
      </w:r>
      <w:r w:rsidR="00E31420">
        <w:rPr>
          <w:color w:val="050606"/>
          <w:spacing w:val="-9"/>
        </w:rPr>
        <w:t xml:space="preserve"> </w:t>
      </w:r>
      <w:r w:rsidR="00E31420">
        <w:rPr>
          <w:color w:val="050606"/>
        </w:rPr>
        <w:t>sell</w:t>
      </w:r>
      <w:r w:rsidR="00E31420">
        <w:rPr>
          <w:color w:val="050606"/>
          <w:spacing w:val="-9"/>
        </w:rPr>
        <w:t xml:space="preserve"> </w:t>
      </w:r>
      <w:r w:rsidR="00E31420">
        <w:rPr>
          <w:color w:val="050606"/>
        </w:rPr>
        <w:t>such</w:t>
      </w:r>
      <w:r w:rsidR="00E31420">
        <w:rPr>
          <w:color w:val="050606"/>
          <w:spacing w:val="-8"/>
        </w:rPr>
        <w:t xml:space="preserve"> </w:t>
      </w:r>
      <w:r w:rsidR="00E31420">
        <w:rPr>
          <w:color w:val="050606"/>
        </w:rPr>
        <w:t>securities</w:t>
      </w:r>
      <w:r w:rsidR="00E31420">
        <w:rPr>
          <w:color w:val="050606"/>
          <w:spacing w:val="-8"/>
        </w:rPr>
        <w:t xml:space="preserve"> </w:t>
      </w:r>
      <w:r w:rsidR="00E31420">
        <w:rPr>
          <w:color w:val="050606"/>
        </w:rPr>
        <w:t>otherwise</w:t>
      </w:r>
      <w:r w:rsidR="00E31420">
        <w:rPr>
          <w:color w:val="050606"/>
          <w:spacing w:val="-8"/>
        </w:rPr>
        <w:t xml:space="preserve"> </w:t>
      </w:r>
      <w:r w:rsidR="00E31420">
        <w:rPr>
          <w:color w:val="050606"/>
        </w:rPr>
        <w:t xml:space="preserve">than in connection with the </w:t>
      </w:r>
      <w:r w:rsidR="00E700B8">
        <w:rPr>
          <w:color w:val="050606"/>
        </w:rPr>
        <w:t>Placing</w:t>
      </w:r>
      <w:r w:rsidR="00E31420">
        <w:rPr>
          <w:color w:val="050606"/>
        </w:rPr>
        <w:t xml:space="preserve">. </w:t>
      </w:r>
      <w:r w:rsidR="00886B8F">
        <w:rPr>
          <w:color w:val="050606"/>
        </w:rPr>
        <w:t>Panmure Gordon do</w:t>
      </w:r>
      <w:r w:rsidR="005545A6">
        <w:rPr>
          <w:color w:val="050606"/>
        </w:rPr>
        <w:t>es</w:t>
      </w:r>
      <w:r w:rsidR="00886B8F">
        <w:rPr>
          <w:color w:val="050606"/>
        </w:rPr>
        <w:t xml:space="preserve"> </w:t>
      </w:r>
      <w:r w:rsidR="00E31420">
        <w:rPr>
          <w:color w:val="050606"/>
        </w:rPr>
        <w:t>not intend to disclose the extent of any such investments or transactions otherwise than in accordance with any applicable legal or regulatory</w:t>
      </w:r>
      <w:r w:rsidR="00E31420">
        <w:rPr>
          <w:color w:val="050606"/>
          <w:spacing w:val="-10"/>
        </w:rPr>
        <w:t xml:space="preserve"> </w:t>
      </w:r>
      <w:r w:rsidR="00E31420">
        <w:rPr>
          <w:color w:val="050606"/>
        </w:rPr>
        <w:t>requirements</w:t>
      </w:r>
      <w:r w:rsidR="00E31420">
        <w:rPr>
          <w:color w:val="2F2E30"/>
        </w:rPr>
        <w:t>.</w:t>
      </w:r>
    </w:p>
    <w:p w14:paraId="1D9A2F5D" w14:textId="77777777" w:rsidR="00783288" w:rsidRDefault="00783288">
      <w:pPr>
        <w:pStyle w:val="BodyText"/>
        <w:kinsoku w:val="0"/>
        <w:overflowPunct w:val="0"/>
      </w:pPr>
    </w:p>
    <w:p w14:paraId="3F17B67C" w14:textId="77777777" w:rsidR="00783288" w:rsidRDefault="00E31420">
      <w:pPr>
        <w:pStyle w:val="BodyText"/>
        <w:kinsoku w:val="0"/>
        <w:overflowPunct w:val="0"/>
        <w:ind w:left="300" w:right="1188"/>
        <w:jc w:val="both"/>
        <w:rPr>
          <w:color w:val="050606"/>
        </w:rPr>
      </w:pPr>
      <w:r>
        <w:rPr>
          <w:color w:val="050606"/>
        </w:rPr>
        <w:t>This Document is being furnished by the Company in connection with an offering exempt from registration under the</w:t>
      </w:r>
      <w:r>
        <w:rPr>
          <w:color w:val="050606"/>
          <w:spacing w:val="-5"/>
        </w:rPr>
        <w:t xml:space="preserve"> </w:t>
      </w:r>
      <w:r>
        <w:rPr>
          <w:color w:val="050606"/>
        </w:rPr>
        <w:t>US</w:t>
      </w:r>
      <w:r>
        <w:rPr>
          <w:color w:val="050606"/>
          <w:spacing w:val="-4"/>
        </w:rPr>
        <w:t xml:space="preserve"> </w:t>
      </w:r>
      <w:r>
        <w:rPr>
          <w:color w:val="050606"/>
        </w:rPr>
        <w:t>Securities</w:t>
      </w:r>
      <w:r>
        <w:rPr>
          <w:color w:val="050606"/>
          <w:spacing w:val="-3"/>
        </w:rPr>
        <w:t xml:space="preserve"> </w:t>
      </w:r>
      <w:r>
        <w:rPr>
          <w:color w:val="050606"/>
        </w:rPr>
        <w:t>Act</w:t>
      </w:r>
      <w:r>
        <w:rPr>
          <w:color w:val="050606"/>
          <w:spacing w:val="-6"/>
        </w:rPr>
        <w:t xml:space="preserve"> </w:t>
      </w:r>
      <w:r>
        <w:rPr>
          <w:color w:val="050606"/>
        </w:rPr>
        <w:t>solely</w:t>
      </w:r>
      <w:r>
        <w:rPr>
          <w:color w:val="050606"/>
          <w:spacing w:val="-6"/>
        </w:rPr>
        <w:t xml:space="preserve"> </w:t>
      </w:r>
      <w:r>
        <w:rPr>
          <w:color w:val="050606"/>
        </w:rPr>
        <w:t>to</w:t>
      </w:r>
      <w:r>
        <w:rPr>
          <w:color w:val="050606"/>
          <w:spacing w:val="-6"/>
        </w:rPr>
        <w:t xml:space="preserve"> </w:t>
      </w:r>
      <w:r>
        <w:rPr>
          <w:color w:val="050606"/>
        </w:rPr>
        <w:t>enable</w:t>
      </w:r>
      <w:r>
        <w:rPr>
          <w:color w:val="050606"/>
          <w:spacing w:val="-4"/>
        </w:rPr>
        <w:t xml:space="preserve"> </w:t>
      </w:r>
      <w:r>
        <w:rPr>
          <w:color w:val="050606"/>
        </w:rPr>
        <w:t>a</w:t>
      </w:r>
      <w:r>
        <w:rPr>
          <w:color w:val="050606"/>
          <w:spacing w:val="-6"/>
        </w:rPr>
        <w:t xml:space="preserve"> </w:t>
      </w:r>
      <w:r>
        <w:rPr>
          <w:color w:val="050606"/>
        </w:rPr>
        <w:t>prospective</w:t>
      </w:r>
      <w:r>
        <w:rPr>
          <w:color w:val="050606"/>
          <w:spacing w:val="-6"/>
        </w:rPr>
        <w:t xml:space="preserve"> </w:t>
      </w:r>
      <w:r>
        <w:rPr>
          <w:color w:val="050606"/>
        </w:rPr>
        <w:t>investor</w:t>
      </w:r>
      <w:r>
        <w:rPr>
          <w:color w:val="050606"/>
          <w:spacing w:val="-5"/>
        </w:rPr>
        <w:t xml:space="preserve"> </w:t>
      </w:r>
      <w:r>
        <w:rPr>
          <w:color w:val="050606"/>
        </w:rPr>
        <w:t>to</w:t>
      </w:r>
      <w:r>
        <w:rPr>
          <w:color w:val="050606"/>
          <w:spacing w:val="-4"/>
        </w:rPr>
        <w:t xml:space="preserve"> </w:t>
      </w:r>
      <w:r>
        <w:rPr>
          <w:color w:val="050606"/>
        </w:rPr>
        <w:t>consider</w:t>
      </w:r>
      <w:r>
        <w:rPr>
          <w:color w:val="050606"/>
          <w:spacing w:val="-7"/>
        </w:rPr>
        <w:t xml:space="preserve"> </w:t>
      </w:r>
      <w:r>
        <w:rPr>
          <w:color w:val="050606"/>
        </w:rPr>
        <w:t>the</w:t>
      </w:r>
      <w:r>
        <w:rPr>
          <w:color w:val="050606"/>
          <w:spacing w:val="-6"/>
        </w:rPr>
        <w:t xml:space="preserve"> </w:t>
      </w:r>
      <w:r>
        <w:rPr>
          <w:color w:val="050606"/>
        </w:rPr>
        <w:t>subscription</w:t>
      </w:r>
      <w:r>
        <w:rPr>
          <w:color w:val="050606"/>
          <w:spacing w:val="-6"/>
        </w:rPr>
        <w:t xml:space="preserve"> </w:t>
      </w:r>
      <w:r>
        <w:rPr>
          <w:color w:val="050606"/>
        </w:rPr>
        <w:t>for</w:t>
      </w:r>
      <w:r>
        <w:rPr>
          <w:color w:val="050606"/>
          <w:spacing w:val="-7"/>
        </w:rPr>
        <w:t xml:space="preserve"> </w:t>
      </w:r>
      <w:r>
        <w:rPr>
          <w:color w:val="050606"/>
        </w:rPr>
        <w:t>Ordinary</w:t>
      </w:r>
      <w:r>
        <w:rPr>
          <w:color w:val="050606"/>
          <w:spacing w:val="-6"/>
        </w:rPr>
        <w:t xml:space="preserve"> </w:t>
      </w:r>
      <w:r>
        <w:rPr>
          <w:color w:val="050606"/>
        </w:rPr>
        <w:t>Shares.</w:t>
      </w:r>
      <w:r>
        <w:rPr>
          <w:color w:val="050606"/>
          <w:spacing w:val="-6"/>
        </w:rPr>
        <w:t xml:space="preserve"> </w:t>
      </w:r>
      <w:r>
        <w:rPr>
          <w:color w:val="050606"/>
        </w:rPr>
        <w:t>Any reproduction or distribution of this Document, in whole or in part, and any disclosure of its contents or use of any information herein for any purpose other than considering an investment in the Ordinary Shares offered hereby is prohibited.</w:t>
      </w:r>
      <w:r>
        <w:rPr>
          <w:color w:val="050606"/>
          <w:spacing w:val="-3"/>
        </w:rPr>
        <w:t xml:space="preserve"> </w:t>
      </w:r>
      <w:r>
        <w:rPr>
          <w:color w:val="050606"/>
        </w:rPr>
        <w:t>Each</w:t>
      </w:r>
      <w:r>
        <w:rPr>
          <w:color w:val="050606"/>
          <w:spacing w:val="-1"/>
        </w:rPr>
        <w:t xml:space="preserve"> </w:t>
      </w:r>
      <w:r>
        <w:rPr>
          <w:color w:val="050606"/>
        </w:rPr>
        <w:t>offeree</w:t>
      </w:r>
      <w:r>
        <w:rPr>
          <w:color w:val="050606"/>
          <w:spacing w:val="-1"/>
        </w:rPr>
        <w:t xml:space="preserve"> </w:t>
      </w:r>
      <w:r>
        <w:rPr>
          <w:color w:val="050606"/>
        </w:rPr>
        <w:t>of</w:t>
      </w:r>
      <w:r>
        <w:rPr>
          <w:color w:val="050606"/>
          <w:spacing w:val="-4"/>
        </w:rPr>
        <w:t xml:space="preserve"> </w:t>
      </w:r>
      <w:r>
        <w:rPr>
          <w:color w:val="050606"/>
        </w:rPr>
        <w:t>the</w:t>
      </w:r>
      <w:r>
        <w:rPr>
          <w:color w:val="050606"/>
          <w:spacing w:val="-4"/>
        </w:rPr>
        <w:t xml:space="preserve"> </w:t>
      </w:r>
      <w:r>
        <w:rPr>
          <w:color w:val="050606"/>
        </w:rPr>
        <w:t>Ordinary</w:t>
      </w:r>
      <w:r>
        <w:rPr>
          <w:color w:val="050606"/>
          <w:spacing w:val="-3"/>
        </w:rPr>
        <w:t xml:space="preserve"> </w:t>
      </w:r>
      <w:r>
        <w:rPr>
          <w:color w:val="050606"/>
        </w:rPr>
        <w:t>Shares,</w:t>
      </w:r>
      <w:r>
        <w:rPr>
          <w:color w:val="050606"/>
          <w:spacing w:val="-4"/>
        </w:rPr>
        <w:t xml:space="preserve"> </w:t>
      </w:r>
      <w:r>
        <w:rPr>
          <w:color w:val="050606"/>
        </w:rPr>
        <w:t>by</w:t>
      </w:r>
      <w:r>
        <w:rPr>
          <w:color w:val="050606"/>
          <w:spacing w:val="-4"/>
        </w:rPr>
        <w:t xml:space="preserve"> </w:t>
      </w:r>
      <w:r>
        <w:rPr>
          <w:color w:val="050606"/>
        </w:rPr>
        <w:t>accepting</w:t>
      </w:r>
      <w:r>
        <w:rPr>
          <w:color w:val="050606"/>
          <w:spacing w:val="-1"/>
        </w:rPr>
        <w:t xml:space="preserve"> </w:t>
      </w:r>
      <w:r>
        <w:rPr>
          <w:color w:val="050606"/>
        </w:rPr>
        <w:t>delivery</w:t>
      </w:r>
      <w:r>
        <w:rPr>
          <w:color w:val="050606"/>
          <w:spacing w:val="-3"/>
        </w:rPr>
        <w:t xml:space="preserve"> </w:t>
      </w:r>
      <w:r>
        <w:rPr>
          <w:color w:val="050606"/>
        </w:rPr>
        <w:t>of</w:t>
      </w:r>
      <w:r>
        <w:rPr>
          <w:color w:val="050606"/>
          <w:spacing w:val="-2"/>
        </w:rPr>
        <w:t xml:space="preserve"> </w:t>
      </w:r>
      <w:r>
        <w:rPr>
          <w:color w:val="050606"/>
        </w:rPr>
        <w:t>this</w:t>
      </w:r>
      <w:r>
        <w:rPr>
          <w:color w:val="050606"/>
          <w:spacing w:val="-1"/>
        </w:rPr>
        <w:t xml:space="preserve"> </w:t>
      </w:r>
      <w:r>
        <w:rPr>
          <w:color w:val="050606"/>
        </w:rPr>
        <w:t>Document,</w:t>
      </w:r>
      <w:r>
        <w:rPr>
          <w:color w:val="050606"/>
          <w:spacing w:val="-2"/>
        </w:rPr>
        <w:t xml:space="preserve"> </w:t>
      </w:r>
      <w:r>
        <w:rPr>
          <w:color w:val="050606"/>
        </w:rPr>
        <w:t>agrees</w:t>
      </w:r>
      <w:r>
        <w:rPr>
          <w:color w:val="050606"/>
          <w:spacing w:val="-4"/>
        </w:rPr>
        <w:t xml:space="preserve"> </w:t>
      </w:r>
      <w:r>
        <w:rPr>
          <w:color w:val="050606"/>
        </w:rPr>
        <w:t>to</w:t>
      </w:r>
      <w:r>
        <w:rPr>
          <w:color w:val="050606"/>
          <w:spacing w:val="-1"/>
        </w:rPr>
        <w:t xml:space="preserve"> </w:t>
      </w:r>
      <w:r>
        <w:rPr>
          <w:color w:val="050606"/>
        </w:rPr>
        <w:t>the</w:t>
      </w:r>
      <w:r>
        <w:rPr>
          <w:color w:val="050606"/>
          <w:spacing w:val="-1"/>
        </w:rPr>
        <w:t xml:space="preserve"> </w:t>
      </w:r>
      <w:r>
        <w:rPr>
          <w:color w:val="050606"/>
        </w:rPr>
        <w:t>foregoing.</w:t>
      </w:r>
    </w:p>
    <w:p w14:paraId="0BC099A1" w14:textId="77777777" w:rsidR="00783288" w:rsidRDefault="00783288">
      <w:pPr>
        <w:pStyle w:val="BodyText"/>
        <w:kinsoku w:val="0"/>
        <w:overflowPunct w:val="0"/>
        <w:spacing w:before="1"/>
      </w:pPr>
    </w:p>
    <w:p w14:paraId="76D25C26" w14:textId="19CEC750" w:rsidR="00783288" w:rsidRDefault="00E31420">
      <w:pPr>
        <w:pStyle w:val="BodyText"/>
        <w:kinsoku w:val="0"/>
        <w:overflowPunct w:val="0"/>
        <w:ind w:left="300" w:right="1188"/>
        <w:jc w:val="both"/>
        <w:rPr>
          <w:color w:val="050606"/>
        </w:rPr>
      </w:pPr>
      <w:r>
        <w:rPr>
          <w:color w:val="050606"/>
        </w:rPr>
        <w:t>This</w:t>
      </w:r>
      <w:r>
        <w:rPr>
          <w:color w:val="050606"/>
          <w:spacing w:val="-3"/>
        </w:rPr>
        <w:t xml:space="preserve"> </w:t>
      </w:r>
      <w:r>
        <w:rPr>
          <w:color w:val="050606"/>
        </w:rPr>
        <w:t>Document</w:t>
      </w:r>
      <w:r>
        <w:rPr>
          <w:color w:val="050606"/>
          <w:spacing w:val="-5"/>
        </w:rPr>
        <w:t xml:space="preserve"> </w:t>
      </w:r>
      <w:r>
        <w:rPr>
          <w:color w:val="050606"/>
        </w:rPr>
        <w:t>does</w:t>
      </w:r>
      <w:r>
        <w:rPr>
          <w:color w:val="050606"/>
          <w:spacing w:val="-2"/>
        </w:rPr>
        <w:t xml:space="preserve"> </w:t>
      </w:r>
      <w:r>
        <w:rPr>
          <w:color w:val="050606"/>
        </w:rPr>
        <w:t>not</w:t>
      </w:r>
      <w:r>
        <w:rPr>
          <w:color w:val="050606"/>
          <w:spacing w:val="-5"/>
        </w:rPr>
        <w:t xml:space="preserve"> </w:t>
      </w:r>
      <w:r>
        <w:rPr>
          <w:color w:val="050606"/>
        </w:rPr>
        <w:t>constitute,</w:t>
      </w:r>
      <w:r>
        <w:rPr>
          <w:color w:val="050606"/>
          <w:spacing w:val="-6"/>
        </w:rPr>
        <w:t xml:space="preserve"> </w:t>
      </w:r>
      <w:r>
        <w:rPr>
          <w:color w:val="050606"/>
        </w:rPr>
        <w:t>and</w:t>
      </w:r>
      <w:r>
        <w:rPr>
          <w:color w:val="050606"/>
          <w:spacing w:val="-5"/>
        </w:rPr>
        <w:t xml:space="preserve"> </w:t>
      </w:r>
      <w:r>
        <w:rPr>
          <w:color w:val="050606"/>
        </w:rPr>
        <w:t>may</w:t>
      </w:r>
      <w:r>
        <w:rPr>
          <w:color w:val="050606"/>
          <w:spacing w:val="-5"/>
        </w:rPr>
        <w:t xml:space="preserve"> </w:t>
      </w:r>
      <w:r>
        <w:rPr>
          <w:color w:val="050606"/>
        </w:rPr>
        <w:t>not</w:t>
      </w:r>
      <w:r>
        <w:rPr>
          <w:color w:val="050606"/>
          <w:spacing w:val="-3"/>
        </w:rPr>
        <w:t xml:space="preserve"> </w:t>
      </w:r>
      <w:r>
        <w:rPr>
          <w:color w:val="050606"/>
        </w:rPr>
        <w:t>be</w:t>
      </w:r>
      <w:r>
        <w:rPr>
          <w:color w:val="050606"/>
          <w:spacing w:val="-6"/>
        </w:rPr>
        <w:t xml:space="preserve"> </w:t>
      </w:r>
      <w:r>
        <w:rPr>
          <w:color w:val="050606"/>
        </w:rPr>
        <w:t>used</w:t>
      </w:r>
      <w:r>
        <w:rPr>
          <w:color w:val="050606"/>
          <w:spacing w:val="-3"/>
        </w:rPr>
        <w:t xml:space="preserve"> </w:t>
      </w:r>
      <w:r>
        <w:rPr>
          <w:color w:val="050606"/>
        </w:rPr>
        <w:t>for</w:t>
      </w:r>
      <w:r>
        <w:rPr>
          <w:color w:val="050606"/>
          <w:spacing w:val="-6"/>
        </w:rPr>
        <w:t xml:space="preserve"> </w:t>
      </w:r>
      <w:r>
        <w:rPr>
          <w:color w:val="050606"/>
        </w:rPr>
        <w:t>the</w:t>
      </w:r>
      <w:r>
        <w:rPr>
          <w:color w:val="050606"/>
          <w:spacing w:val="-2"/>
        </w:rPr>
        <w:t xml:space="preserve"> </w:t>
      </w:r>
      <w:r>
        <w:rPr>
          <w:color w:val="050606"/>
        </w:rPr>
        <w:t>purposes</w:t>
      </w:r>
      <w:r>
        <w:rPr>
          <w:color w:val="050606"/>
          <w:spacing w:val="-3"/>
        </w:rPr>
        <w:t xml:space="preserve"> </w:t>
      </w:r>
      <w:r>
        <w:rPr>
          <w:color w:val="050606"/>
        </w:rPr>
        <w:t>of,</w:t>
      </w:r>
      <w:r>
        <w:rPr>
          <w:color w:val="050606"/>
          <w:spacing w:val="-3"/>
        </w:rPr>
        <w:t xml:space="preserve"> </w:t>
      </w:r>
      <w:r>
        <w:rPr>
          <w:color w:val="050606"/>
        </w:rPr>
        <w:t>an</w:t>
      </w:r>
      <w:r>
        <w:rPr>
          <w:color w:val="050606"/>
          <w:spacing w:val="-3"/>
        </w:rPr>
        <w:t xml:space="preserve"> </w:t>
      </w:r>
      <w:r>
        <w:rPr>
          <w:color w:val="050606"/>
        </w:rPr>
        <w:t>offer</w:t>
      </w:r>
      <w:r>
        <w:rPr>
          <w:color w:val="050606"/>
          <w:spacing w:val="-3"/>
        </w:rPr>
        <w:t xml:space="preserve"> </w:t>
      </w:r>
      <w:r>
        <w:rPr>
          <w:color w:val="050606"/>
        </w:rPr>
        <w:t>to</w:t>
      </w:r>
      <w:r>
        <w:rPr>
          <w:color w:val="050606"/>
          <w:spacing w:val="-5"/>
        </w:rPr>
        <w:t xml:space="preserve"> </w:t>
      </w:r>
      <w:r>
        <w:rPr>
          <w:color w:val="050606"/>
        </w:rPr>
        <w:t>sell</w:t>
      </w:r>
      <w:r>
        <w:rPr>
          <w:color w:val="050606"/>
          <w:spacing w:val="-4"/>
        </w:rPr>
        <w:t xml:space="preserve"> </w:t>
      </w:r>
      <w:r>
        <w:rPr>
          <w:color w:val="050606"/>
        </w:rPr>
        <w:t>or</w:t>
      </w:r>
      <w:r>
        <w:rPr>
          <w:color w:val="050606"/>
          <w:spacing w:val="-3"/>
        </w:rPr>
        <w:t xml:space="preserve"> </w:t>
      </w:r>
      <w:r>
        <w:rPr>
          <w:color w:val="050606"/>
        </w:rPr>
        <w:t>an</w:t>
      </w:r>
      <w:r>
        <w:rPr>
          <w:color w:val="050606"/>
          <w:spacing w:val="-3"/>
        </w:rPr>
        <w:t xml:space="preserve"> </w:t>
      </w:r>
      <w:r>
        <w:rPr>
          <w:color w:val="050606"/>
        </w:rPr>
        <w:t>invitation</w:t>
      </w:r>
      <w:r>
        <w:rPr>
          <w:color w:val="050606"/>
          <w:spacing w:val="-3"/>
        </w:rPr>
        <w:t xml:space="preserve"> </w:t>
      </w:r>
      <w:r>
        <w:rPr>
          <w:color w:val="050606"/>
        </w:rPr>
        <w:t>or</w:t>
      </w:r>
      <w:r>
        <w:rPr>
          <w:color w:val="050606"/>
          <w:spacing w:val="-4"/>
        </w:rPr>
        <w:t xml:space="preserve"> </w:t>
      </w:r>
      <w:r>
        <w:rPr>
          <w:color w:val="050606"/>
        </w:rPr>
        <w:t>the solicitation of an offer to subscribe for or buy, any Ordinary Shares by any person in any jurisdiction: (</w:t>
      </w:r>
      <w:proofErr w:type="spellStart"/>
      <w:r>
        <w:rPr>
          <w:color w:val="050606"/>
        </w:rPr>
        <w:t>i</w:t>
      </w:r>
      <w:proofErr w:type="spellEnd"/>
      <w:r>
        <w:rPr>
          <w:color w:val="050606"/>
        </w:rPr>
        <w:t>) in which such offer or invitation is not authorised, (ii) in which the person making such offer or invitation is not qualified to do so, or (iii) in which, or to any person to whom, it is unlawful to make such offer, solicitation or invitation. The distribution of this Document and the offering of the Ordinary Shares in certain jurisdictions may be restricted. Accordingly, persons outside the UK into whose possession this Document comes are required by the Company</w:t>
      </w:r>
      <w:r w:rsidR="00D20471">
        <w:rPr>
          <w:color w:val="050606"/>
        </w:rPr>
        <w:t xml:space="preserve">, </w:t>
      </w:r>
      <w:r>
        <w:rPr>
          <w:color w:val="050606"/>
        </w:rPr>
        <w:t xml:space="preserve"> </w:t>
      </w:r>
      <w:r w:rsidR="00D20471">
        <w:rPr>
          <w:color w:val="050606"/>
        </w:rPr>
        <w:t xml:space="preserve">and Panmure Gordon </w:t>
      </w:r>
      <w:r>
        <w:rPr>
          <w:color w:val="050606"/>
        </w:rPr>
        <w:t>to inform themselves about and to observe any restrictions as to the offer or sale of Ordinary Shares</w:t>
      </w:r>
      <w:r>
        <w:rPr>
          <w:color w:val="050606"/>
          <w:spacing w:val="-7"/>
        </w:rPr>
        <w:t xml:space="preserve"> </w:t>
      </w:r>
      <w:r>
        <w:rPr>
          <w:color w:val="050606"/>
        </w:rPr>
        <w:t>and</w:t>
      </w:r>
      <w:r>
        <w:rPr>
          <w:color w:val="050606"/>
          <w:spacing w:val="-4"/>
        </w:rPr>
        <w:t xml:space="preserve"> </w:t>
      </w:r>
      <w:r>
        <w:rPr>
          <w:color w:val="050606"/>
        </w:rPr>
        <w:t>the</w:t>
      </w:r>
      <w:r>
        <w:rPr>
          <w:color w:val="050606"/>
          <w:spacing w:val="-4"/>
        </w:rPr>
        <w:t xml:space="preserve"> </w:t>
      </w:r>
      <w:r>
        <w:rPr>
          <w:color w:val="050606"/>
        </w:rPr>
        <w:t>distribution</w:t>
      </w:r>
      <w:r>
        <w:rPr>
          <w:color w:val="050606"/>
          <w:spacing w:val="-6"/>
        </w:rPr>
        <w:t xml:space="preserve"> </w:t>
      </w:r>
      <w:r>
        <w:rPr>
          <w:color w:val="050606"/>
        </w:rPr>
        <w:t>of</w:t>
      </w:r>
      <w:r>
        <w:rPr>
          <w:color w:val="050606"/>
          <w:spacing w:val="-4"/>
        </w:rPr>
        <w:t xml:space="preserve"> </w:t>
      </w:r>
      <w:r>
        <w:rPr>
          <w:color w:val="050606"/>
        </w:rPr>
        <w:t>this</w:t>
      </w:r>
      <w:r>
        <w:rPr>
          <w:color w:val="050606"/>
          <w:spacing w:val="-3"/>
        </w:rPr>
        <w:t xml:space="preserve"> </w:t>
      </w:r>
      <w:r>
        <w:rPr>
          <w:color w:val="050606"/>
        </w:rPr>
        <w:t>Document</w:t>
      </w:r>
      <w:r>
        <w:rPr>
          <w:color w:val="050606"/>
          <w:spacing w:val="-6"/>
        </w:rPr>
        <w:t xml:space="preserve"> </w:t>
      </w:r>
      <w:r>
        <w:rPr>
          <w:color w:val="050606"/>
        </w:rPr>
        <w:t>under</w:t>
      </w:r>
      <w:r>
        <w:rPr>
          <w:color w:val="050606"/>
          <w:spacing w:val="-4"/>
        </w:rPr>
        <w:t xml:space="preserve"> </w:t>
      </w:r>
      <w:r>
        <w:rPr>
          <w:color w:val="050606"/>
        </w:rPr>
        <w:t>the</w:t>
      </w:r>
      <w:r>
        <w:rPr>
          <w:color w:val="050606"/>
          <w:spacing w:val="-6"/>
        </w:rPr>
        <w:t xml:space="preserve"> </w:t>
      </w:r>
      <w:r>
        <w:rPr>
          <w:color w:val="050606"/>
        </w:rPr>
        <w:t>laws</w:t>
      </w:r>
      <w:r>
        <w:rPr>
          <w:color w:val="050606"/>
          <w:spacing w:val="-3"/>
        </w:rPr>
        <w:t xml:space="preserve"> </w:t>
      </w:r>
      <w:r>
        <w:rPr>
          <w:color w:val="050606"/>
        </w:rPr>
        <w:t>and</w:t>
      </w:r>
      <w:r>
        <w:rPr>
          <w:color w:val="050606"/>
          <w:spacing w:val="-2"/>
        </w:rPr>
        <w:t xml:space="preserve"> </w:t>
      </w:r>
      <w:r>
        <w:rPr>
          <w:color w:val="050606"/>
        </w:rPr>
        <w:t>regulations</w:t>
      </w:r>
      <w:r>
        <w:rPr>
          <w:color w:val="050606"/>
          <w:spacing w:val="-4"/>
        </w:rPr>
        <w:t xml:space="preserve"> </w:t>
      </w:r>
      <w:r>
        <w:rPr>
          <w:color w:val="050606"/>
        </w:rPr>
        <w:t>of</w:t>
      </w:r>
      <w:r>
        <w:rPr>
          <w:color w:val="050606"/>
          <w:spacing w:val="-6"/>
        </w:rPr>
        <w:t xml:space="preserve"> </w:t>
      </w:r>
      <w:r>
        <w:rPr>
          <w:color w:val="050606"/>
        </w:rPr>
        <w:t>any</w:t>
      </w:r>
      <w:r>
        <w:rPr>
          <w:color w:val="050606"/>
          <w:spacing w:val="-6"/>
        </w:rPr>
        <w:t xml:space="preserve"> </w:t>
      </w:r>
      <w:r>
        <w:rPr>
          <w:color w:val="050606"/>
        </w:rPr>
        <w:t>territory</w:t>
      </w:r>
      <w:r>
        <w:rPr>
          <w:color w:val="050606"/>
          <w:spacing w:val="-6"/>
        </w:rPr>
        <w:t xml:space="preserve"> </w:t>
      </w:r>
      <w:r>
        <w:rPr>
          <w:color w:val="050606"/>
        </w:rPr>
        <w:t>in</w:t>
      </w:r>
      <w:r>
        <w:rPr>
          <w:color w:val="050606"/>
          <w:spacing w:val="-4"/>
        </w:rPr>
        <w:t xml:space="preserve"> </w:t>
      </w:r>
      <w:r>
        <w:rPr>
          <w:color w:val="050606"/>
        </w:rPr>
        <w:t>connection</w:t>
      </w:r>
      <w:r>
        <w:rPr>
          <w:color w:val="050606"/>
          <w:spacing w:val="-4"/>
        </w:rPr>
        <w:t xml:space="preserve"> </w:t>
      </w:r>
      <w:r>
        <w:rPr>
          <w:color w:val="050606"/>
        </w:rPr>
        <w:t>with</w:t>
      </w:r>
      <w:r>
        <w:rPr>
          <w:color w:val="050606"/>
          <w:spacing w:val="-4"/>
        </w:rPr>
        <w:t xml:space="preserve"> </w:t>
      </w:r>
      <w:r>
        <w:rPr>
          <w:color w:val="050606"/>
        </w:rPr>
        <w:t xml:space="preserve">any applications for </w:t>
      </w:r>
      <w:r w:rsidR="00E700B8">
        <w:rPr>
          <w:color w:val="050606"/>
        </w:rPr>
        <w:t xml:space="preserve">Placing </w:t>
      </w:r>
      <w:r>
        <w:rPr>
          <w:color w:val="050606"/>
        </w:rPr>
        <w:t>Shares</w:t>
      </w:r>
      <w:r w:rsidR="002514E7">
        <w:rPr>
          <w:color w:val="050606"/>
        </w:rPr>
        <w:t xml:space="preserve"> or Labrador Consideration Shares</w:t>
      </w:r>
      <w:r>
        <w:rPr>
          <w:color w:val="2F2E30"/>
        </w:rPr>
        <w:t xml:space="preserve">, </w:t>
      </w:r>
      <w:r>
        <w:rPr>
          <w:color w:val="050606"/>
        </w:rPr>
        <w:t>including obtaining any requisite governmental or other consent and observing any other formality prescribed in such territory. No action has been taken or will be taken in any jurisdiction by the Company</w:t>
      </w:r>
      <w:r>
        <w:rPr>
          <w:color w:val="050606"/>
          <w:spacing w:val="-6"/>
        </w:rPr>
        <w:t xml:space="preserve"> </w:t>
      </w:r>
      <w:r w:rsidR="00D20471">
        <w:rPr>
          <w:color w:val="050606"/>
        </w:rPr>
        <w:t>or Panmure Gordon</w:t>
      </w:r>
      <w:r>
        <w:rPr>
          <w:color w:val="050606"/>
          <w:spacing w:val="-1"/>
        </w:rPr>
        <w:t xml:space="preserve"> </w:t>
      </w:r>
      <w:r>
        <w:rPr>
          <w:color w:val="050606"/>
        </w:rPr>
        <w:t>that</w:t>
      </w:r>
      <w:r>
        <w:rPr>
          <w:color w:val="050606"/>
          <w:spacing w:val="-6"/>
        </w:rPr>
        <w:t xml:space="preserve"> </w:t>
      </w:r>
      <w:r>
        <w:rPr>
          <w:color w:val="050606"/>
        </w:rPr>
        <w:t>would</w:t>
      </w:r>
      <w:r>
        <w:rPr>
          <w:color w:val="050606"/>
          <w:spacing w:val="-1"/>
        </w:rPr>
        <w:t xml:space="preserve"> </w:t>
      </w:r>
      <w:r>
        <w:rPr>
          <w:color w:val="050606"/>
        </w:rPr>
        <w:t>permit</w:t>
      </w:r>
      <w:r>
        <w:rPr>
          <w:color w:val="050606"/>
          <w:spacing w:val="-4"/>
        </w:rPr>
        <w:t xml:space="preserve"> </w:t>
      </w:r>
      <w:r>
        <w:rPr>
          <w:color w:val="050606"/>
        </w:rPr>
        <w:t>a</w:t>
      </w:r>
      <w:r>
        <w:rPr>
          <w:color w:val="050606"/>
          <w:spacing w:val="-1"/>
        </w:rPr>
        <w:t xml:space="preserve"> </w:t>
      </w:r>
      <w:r>
        <w:rPr>
          <w:color w:val="050606"/>
        </w:rPr>
        <w:t>public</w:t>
      </w:r>
      <w:r>
        <w:rPr>
          <w:color w:val="050606"/>
          <w:spacing w:val="-3"/>
        </w:rPr>
        <w:t xml:space="preserve"> </w:t>
      </w:r>
      <w:r>
        <w:rPr>
          <w:color w:val="050606"/>
        </w:rPr>
        <w:t>offering</w:t>
      </w:r>
      <w:r>
        <w:rPr>
          <w:color w:val="050606"/>
          <w:spacing w:val="-5"/>
        </w:rPr>
        <w:t xml:space="preserve"> </w:t>
      </w:r>
      <w:r>
        <w:rPr>
          <w:color w:val="050606"/>
        </w:rPr>
        <w:t>of</w:t>
      </w:r>
      <w:r>
        <w:rPr>
          <w:color w:val="050606"/>
          <w:spacing w:val="-2"/>
        </w:rPr>
        <w:t xml:space="preserve"> </w:t>
      </w:r>
      <w:r>
        <w:rPr>
          <w:color w:val="050606"/>
        </w:rPr>
        <w:t>the</w:t>
      </w:r>
      <w:r>
        <w:rPr>
          <w:color w:val="050606"/>
          <w:spacing w:val="-1"/>
        </w:rPr>
        <w:t xml:space="preserve"> </w:t>
      </w:r>
      <w:r>
        <w:rPr>
          <w:color w:val="050606"/>
        </w:rPr>
        <w:t>Ordinary</w:t>
      </w:r>
      <w:r>
        <w:rPr>
          <w:color w:val="050606"/>
          <w:spacing w:val="-3"/>
        </w:rPr>
        <w:t xml:space="preserve"> </w:t>
      </w:r>
      <w:r>
        <w:rPr>
          <w:color w:val="050606"/>
        </w:rPr>
        <w:t>Shares</w:t>
      </w:r>
      <w:r>
        <w:rPr>
          <w:color w:val="050606"/>
          <w:spacing w:val="-3"/>
        </w:rPr>
        <w:t xml:space="preserve"> </w:t>
      </w:r>
      <w:r>
        <w:rPr>
          <w:color w:val="050606"/>
        </w:rPr>
        <w:t>in</w:t>
      </w:r>
      <w:r>
        <w:rPr>
          <w:color w:val="050606"/>
          <w:spacing w:val="-1"/>
        </w:rPr>
        <w:t xml:space="preserve"> </w:t>
      </w:r>
      <w:r>
        <w:rPr>
          <w:color w:val="050606"/>
        </w:rPr>
        <w:t>any</w:t>
      </w:r>
      <w:r>
        <w:rPr>
          <w:color w:val="050606"/>
          <w:spacing w:val="-4"/>
        </w:rPr>
        <w:t xml:space="preserve"> </w:t>
      </w:r>
      <w:r>
        <w:rPr>
          <w:color w:val="050606"/>
        </w:rPr>
        <w:t>jurisdiction</w:t>
      </w:r>
      <w:r>
        <w:rPr>
          <w:color w:val="050606"/>
          <w:spacing w:val="-4"/>
        </w:rPr>
        <w:t xml:space="preserve"> </w:t>
      </w:r>
      <w:r>
        <w:rPr>
          <w:color w:val="050606"/>
        </w:rPr>
        <w:t>where</w:t>
      </w:r>
      <w:r>
        <w:rPr>
          <w:color w:val="050606"/>
          <w:spacing w:val="-1"/>
        </w:rPr>
        <w:t xml:space="preserve"> </w:t>
      </w:r>
      <w:r>
        <w:rPr>
          <w:color w:val="050606"/>
        </w:rPr>
        <w:t xml:space="preserve">action for that purpose is required, nor has any such action been taken with respect to the possession or distribution of this Document other than in any jurisdiction where action for that purpose is required. Neither the Company nor </w:t>
      </w:r>
      <w:r w:rsidR="00D20471">
        <w:rPr>
          <w:color w:val="050606"/>
        </w:rPr>
        <w:t>Panmure Gordon</w:t>
      </w:r>
      <w:r>
        <w:rPr>
          <w:color w:val="050606"/>
        </w:rPr>
        <w:t xml:space="preserve"> accepts any responsibility for any violation of any of these restrictions by any other</w:t>
      </w:r>
      <w:r>
        <w:rPr>
          <w:color w:val="050606"/>
          <w:spacing w:val="-27"/>
        </w:rPr>
        <w:t xml:space="preserve"> </w:t>
      </w:r>
      <w:r>
        <w:rPr>
          <w:color w:val="050606"/>
        </w:rPr>
        <w:t>person.</w:t>
      </w:r>
    </w:p>
    <w:p w14:paraId="7F261383" w14:textId="77777777" w:rsidR="00783288" w:rsidRDefault="00783288">
      <w:pPr>
        <w:pStyle w:val="BodyText"/>
        <w:kinsoku w:val="0"/>
        <w:overflowPunct w:val="0"/>
      </w:pPr>
    </w:p>
    <w:p w14:paraId="72C79694" w14:textId="77777777" w:rsidR="00783288" w:rsidRDefault="00E31420">
      <w:pPr>
        <w:pStyle w:val="BodyText"/>
        <w:kinsoku w:val="0"/>
        <w:overflowPunct w:val="0"/>
        <w:spacing w:before="1"/>
        <w:ind w:left="300" w:right="1189"/>
        <w:jc w:val="both"/>
        <w:rPr>
          <w:color w:val="050606"/>
        </w:rPr>
      </w:pPr>
      <w:r>
        <w:rPr>
          <w:color w:val="050606"/>
        </w:rPr>
        <w:t>The Ordinary Shares have not been nor will be registered under the US Securities Act, or under any relevant securities laws of any state or other jurisdiction in the US, or under the applicable securities laws of Australia, Canada, the Republic of South Africa or Japan. Subject to certain exceptions, the Ordinary Shares may not be taken up, offered, sold, resold, reoffered, pledged, transferred, distributed or delivered directly or indirectly, within, into</w:t>
      </w:r>
      <w:r>
        <w:rPr>
          <w:color w:val="050606"/>
          <w:spacing w:val="-4"/>
        </w:rPr>
        <w:t xml:space="preserve"> </w:t>
      </w:r>
      <w:r>
        <w:rPr>
          <w:color w:val="050606"/>
        </w:rPr>
        <w:t>or</w:t>
      </w:r>
      <w:r>
        <w:rPr>
          <w:color w:val="050606"/>
          <w:spacing w:val="-4"/>
        </w:rPr>
        <w:t xml:space="preserve"> </w:t>
      </w:r>
      <w:r>
        <w:rPr>
          <w:color w:val="050606"/>
        </w:rPr>
        <w:t>in</w:t>
      </w:r>
      <w:r>
        <w:rPr>
          <w:color w:val="050606"/>
          <w:spacing w:val="-4"/>
        </w:rPr>
        <w:t xml:space="preserve"> </w:t>
      </w:r>
      <w:r>
        <w:rPr>
          <w:color w:val="050606"/>
        </w:rPr>
        <w:t>the</w:t>
      </w:r>
      <w:r>
        <w:rPr>
          <w:color w:val="050606"/>
          <w:spacing w:val="-3"/>
        </w:rPr>
        <w:t xml:space="preserve"> </w:t>
      </w:r>
      <w:r>
        <w:rPr>
          <w:color w:val="050606"/>
        </w:rPr>
        <w:t>US,</w:t>
      </w:r>
      <w:r>
        <w:rPr>
          <w:color w:val="050606"/>
          <w:spacing w:val="-2"/>
        </w:rPr>
        <w:t xml:space="preserve"> </w:t>
      </w:r>
      <w:r>
        <w:rPr>
          <w:color w:val="050606"/>
        </w:rPr>
        <w:t>Australia,</w:t>
      </w:r>
      <w:r>
        <w:rPr>
          <w:color w:val="050606"/>
          <w:spacing w:val="-2"/>
        </w:rPr>
        <w:t xml:space="preserve"> </w:t>
      </w:r>
      <w:r>
        <w:rPr>
          <w:color w:val="050606"/>
        </w:rPr>
        <w:t>Canada,</w:t>
      </w:r>
      <w:r>
        <w:rPr>
          <w:color w:val="050606"/>
          <w:spacing w:val="-4"/>
        </w:rPr>
        <w:t xml:space="preserve"> </w:t>
      </w:r>
      <w:r>
        <w:rPr>
          <w:color w:val="050606"/>
        </w:rPr>
        <w:t>the</w:t>
      </w:r>
      <w:r>
        <w:rPr>
          <w:color w:val="050606"/>
          <w:spacing w:val="-1"/>
        </w:rPr>
        <w:t xml:space="preserve"> </w:t>
      </w:r>
      <w:r>
        <w:rPr>
          <w:color w:val="050606"/>
        </w:rPr>
        <w:t>Republic</w:t>
      </w:r>
      <w:r>
        <w:rPr>
          <w:color w:val="050606"/>
          <w:spacing w:val="-2"/>
        </w:rPr>
        <w:t xml:space="preserve"> </w:t>
      </w:r>
      <w:r>
        <w:rPr>
          <w:color w:val="050606"/>
        </w:rPr>
        <w:t>of</w:t>
      </w:r>
      <w:r>
        <w:rPr>
          <w:color w:val="050606"/>
          <w:spacing w:val="-4"/>
        </w:rPr>
        <w:t xml:space="preserve"> </w:t>
      </w:r>
      <w:r>
        <w:rPr>
          <w:color w:val="050606"/>
        </w:rPr>
        <w:t>South</w:t>
      </w:r>
      <w:r>
        <w:rPr>
          <w:color w:val="050606"/>
          <w:spacing w:val="-1"/>
        </w:rPr>
        <w:t xml:space="preserve"> </w:t>
      </w:r>
      <w:r>
        <w:rPr>
          <w:color w:val="050606"/>
        </w:rPr>
        <w:t>Africa</w:t>
      </w:r>
      <w:r>
        <w:rPr>
          <w:color w:val="050606"/>
          <w:spacing w:val="-4"/>
        </w:rPr>
        <w:t xml:space="preserve"> </w:t>
      </w:r>
      <w:r>
        <w:rPr>
          <w:color w:val="050606"/>
        </w:rPr>
        <w:t>or</w:t>
      </w:r>
      <w:r>
        <w:rPr>
          <w:color w:val="050606"/>
          <w:spacing w:val="-3"/>
        </w:rPr>
        <w:t xml:space="preserve"> </w:t>
      </w:r>
      <w:r>
        <w:rPr>
          <w:color w:val="050606"/>
        </w:rPr>
        <w:t>Japan</w:t>
      </w:r>
      <w:r>
        <w:rPr>
          <w:color w:val="050606"/>
          <w:spacing w:val="-4"/>
        </w:rPr>
        <w:t xml:space="preserve"> </w:t>
      </w:r>
      <w:r>
        <w:rPr>
          <w:color w:val="050606"/>
        </w:rPr>
        <w:t>or</w:t>
      </w:r>
      <w:r>
        <w:rPr>
          <w:color w:val="050606"/>
          <w:spacing w:val="-4"/>
        </w:rPr>
        <w:t xml:space="preserve"> </w:t>
      </w:r>
      <w:r>
        <w:rPr>
          <w:color w:val="050606"/>
        </w:rPr>
        <w:t>to</w:t>
      </w:r>
      <w:r>
        <w:rPr>
          <w:color w:val="050606"/>
          <w:spacing w:val="-4"/>
        </w:rPr>
        <w:t xml:space="preserve"> </w:t>
      </w:r>
      <w:r>
        <w:rPr>
          <w:color w:val="050606"/>
        </w:rPr>
        <w:t>any</w:t>
      </w:r>
      <w:r>
        <w:rPr>
          <w:color w:val="050606"/>
          <w:spacing w:val="-2"/>
        </w:rPr>
        <w:t xml:space="preserve"> </w:t>
      </w:r>
      <w:r>
        <w:rPr>
          <w:color w:val="050606"/>
        </w:rPr>
        <w:t>national</w:t>
      </w:r>
      <w:r>
        <w:rPr>
          <w:color w:val="2F2E30"/>
        </w:rPr>
        <w:t>,</w:t>
      </w:r>
      <w:r>
        <w:rPr>
          <w:color w:val="2F2E30"/>
          <w:spacing w:val="-2"/>
        </w:rPr>
        <w:t xml:space="preserve"> </w:t>
      </w:r>
      <w:r>
        <w:rPr>
          <w:color w:val="050606"/>
        </w:rPr>
        <w:t>resident</w:t>
      </w:r>
      <w:r>
        <w:rPr>
          <w:color w:val="050606"/>
          <w:spacing w:val="-4"/>
        </w:rPr>
        <w:t xml:space="preserve"> </w:t>
      </w:r>
      <w:r>
        <w:rPr>
          <w:color w:val="050606"/>
        </w:rPr>
        <w:t>or</w:t>
      </w:r>
      <w:r>
        <w:rPr>
          <w:color w:val="050606"/>
          <w:spacing w:val="-4"/>
        </w:rPr>
        <w:t xml:space="preserve"> </w:t>
      </w:r>
      <w:r>
        <w:rPr>
          <w:color w:val="050606"/>
        </w:rPr>
        <w:t>citizen</w:t>
      </w:r>
      <w:r>
        <w:rPr>
          <w:color w:val="050606"/>
          <w:spacing w:val="-3"/>
        </w:rPr>
        <w:t xml:space="preserve"> </w:t>
      </w:r>
      <w:r>
        <w:rPr>
          <w:color w:val="050606"/>
        </w:rPr>
        <w:t>of the US, Australia, Canada, the Republic of South Africa or</w:t>
      </w:r>
      <w:r>
        <w:rPr>
          <w:color w:val="050606"/>
          <w:spacing w:val="-10"/>
        </w:rPr>
        <w:t xml:space="preserve"> </w:t>
      </w:r>
      <w:r>
        <w:rPr>
          <w:color w:val="050606"/>
        </w:rPr>
        <w:t>Japan.</w:t>
      </w:r>
    </w:p>
    <w:p w14:paraId="6DE88DB2" w14:textId="77777777" w:rsidR="00783288" w:rsidRDefault="00783288">
      <w:pPr>
        <w:pStyle w:val="BodyText"/>
        <w:kinsoku w:val="0"/>
        <w:overflowPunct w:val="0"/>
        <w:spacing w:before="9"/>
        <w:rPr>
          <w:sz w:val="17"/>
          <w:szCs w:val="17"/>
        </w:rPr>
      </w:pPr>
    </w:p>
    <w:p w14:paraId="59550F49" w14:textId="61BF8BBB" w:rsidR="00783288" w:rsidRDefault="00E31420">
      <w:pPr>
        <w:pStyle w:val="BodyText"/>
        <w:kinsoku w:val="0"/>
        <w:overflowPunct w:val="0"/>
        <w:spacing w:before="79"/>
        <w:ind w:left="300" w:right="1191"/>
        <w:jc w:val="both"/>
        <w:rPr>
          <w:color w:val="2F2E30"/>
        </w:rPr>
      </w:pPr>
      <w:r>
        <w:rPr>
          <w:color w:val="050606"/>
        </w:rPr>
        <w:t>The Ordinary Shares have not been approved or disapproved by the SEC, any federal or state securities commission</w:t>
      </w:r>
      <w:r>
        <w:rPr>
          <w:color w:val="050606"/>
          <w:spacing w:val="-13"/>
        </w:rPr>
        <w:t xml:space="preserve"> </w:t>
      </w:r>
      <w:r>
        <w:rPr>
          <w:color w:val="050606"/>
        </w:rPr>
        <w:t>in</w:t>
      </w:r>
      <w:r>
        <w:rPr>
          <w:color w:val="050606"/>
          <w:spacing w:val="-13"/>
        </w:rPr>
        <w:t xml:space="preserve"> </w:t>
      </w:r>
      <w:r>
        <w:rPr>
          <w:color w:val="050606"/>
        </w:rPr>
        <w:t>the</w:t>
      </w:r>
      <w:r>
        <w:rPr>
          <w:color w:val="050606"/>
          <w:spacing w:val="-13"/>
        </w:rPr>
        <w:t xml:space="preserve"> </w:t>
      </w:r>
      <w:r>
        <w:rPr>
          <w:color w:val="050606"/>
        </w:rPr>
        <w:t>Unites</w:t>
      </w:r>
      <w:r>
        <w:rPr>
          <w:color w:val="050606"/>
          <w:spacing w:val="-13"/>
        </w:rPr>
        <w:t xml:space="preserve"> </w:t>
      </w:r>
      <w:r>
        <w:rPr>
          <w:color w:val="050606"/>
        </w:rPr>
        <w:t>States</w:t>
      </w:r>
      <w:r>
        <w:rPr>
          <w:color w:val="050606"/>
          <w:spacing w:val="-9"/>
        </w:rPr>
        <w:t xml:space="preserve"> </w:t>
      </w:r>
      <w:r>
        <w:rPr>
          <w:color w:val="050606"/>
        </w:rPr>
        <w:t>or</w:t>
      </w:r>
      <w:r>
        <w:rPr>
          <w:color w:val="050606"/>
          <w:spacing w:val="-14"/>
        </w:rPr>
        <w:t xml:space="preserve"> </w:t>
      </w:r>
      <w:r>
        <w:rPr>
          <w:color w:val="050606"/>
        </w:rPr>
        <w:t>any</w:t>
      </w:r>
      <w:r>
        <w:rPr>
          <w:color w:val="050606"/>
          <w:spacing w:val="-15"/>
        </w:rPr>
        <w:t xml:space="preserve"> </w:t>
      </w:r>
      <w:r>
        <w:rPr>
          <w:color w:val="050606"/>
        </w:rPr>
        <w:t>other</w:t>
      </w:r>
      <w:r>
        <w:rPr>
          <w:color w:val="050606"/>
          <w:spacing w:val="-14"/>
        </w:rPr>
        <w:t xml:space="preserve"> </w:t>
      </w:r>
      <w:r>
        <w:rPr>
          <w:color w:val="050606"/>
        </w:rPr>
        <w:t>regulatory</w:t>
      </w:r>
      <w:r>
        <w:rPr>
          <w:color w:val="050606"/>
          <w:spacing w:val="-12"/>
        </w:rPr>
        <w:t xml:space="preserve"> </w:t>
      </w:r>
      <w:r>
        <w:rPr>
          <w:color w:val="050606"/>
        </w:rPr>
        <w:t>authority</w:t>
      </w:r>
      <w:r>
        <w:rPr>
          <w:color w:val="050606"/>
          <w:spacing w:val="-13"/>
        </w:rPr>
        <w:t xml:space="preserve"> </w:t>
      </w:r>
      <w:r>
        <w:rPr>
          <w:color w:val="050606"/>
        </w:rPr>
        <w:t>in</w:t>
      </w:r>
      <w:r>
        <w:rPr>
          <w:color w:val="050606"/>
          <w:spacing w:val="-13"/>
        </w:rPr>
        <w:t xml:space="preserve"> </w:t>
      </w:r>
      <w:r>
        <w:rPr>
          <w:color w:val="050606"/>
        </w:rPr>
        <w:t>the</w:t>
      </w:r>
      <w:r>
        <w:rPr>
          <w:color w:val="050606"/>
          <w:spacing w:val="-13"/>
        </w:rPr>
        <w:t xml:space="preserve"> </w:t>
      </w:r>
      <w:r>
        <w:rPr>
          <w:color w:val="050606"/>
        </w:rPr>
        <w:t>United</w:t>
      </w:r>
      <w:r>
        <w:rPr>
          <w:color w:val="050606"/>
          <w:spacing w:val="-12"/>
        </w:rPr>
        <w:t xml:space="preserve"> </w:t>
      </w:r>
      <w:r>
        <w:rPr>
          <w:color w:val="050606"/>
        </w:rPr>
        <w:t>States,</w:t>
      </w:r>
      <w:r>
        <w:rPr>
          <w:color w:val="050606"/>
          <w:spacing w:val="-14"/>
        </w:rPr>
        <w:t xml:space="preserve"> </w:t>
      </w:r>
      <w:r>
        <w:rPr>
          <w:color w:val="050606"/>
        </w:rPr>
        <w:t>nor</w:t>
      </w:r>
      <w:r>
        <w:rPr>
          <w:color w:val="050606"/>
          <w:spacing w:val="-14"/>
        </w:rPr>
        <w:t xml:space="preserve"> </w:t>
      </w:r>
      <w:r>
        <w:rPr>
          <w:color w:val="050606"/>
        </w:rPr>
        <w:t>have</w:t>
      </w:r>
      <w:r>
        <w:rPr>
          <w:color w:val="050606"/>
          <w:spacing w:val="-11"/>
        </w:rPr>
        <w:t xml:space="preserve"> </w:t>
      </w:r>
      <w:r>
        <w:rPr>
          <w:color w:val="050606"/>
        </w:rPr>
        <w:t>any</w:t>
      </w:r>
      <w:r>
        <w:rPr>
          <w:color w:val="050606"/>
          <w:spacing w:val="-12"/>
        </w:rPr>
        <w:t xml:space="preserve"> </w:t>
      </w:r>
      <w:r>
        <w:rPr>
          <w:color w:val="050606"/>
        </w:rPr>
        <w:t>of</w:t>
      </w:r>
      <w:r>
        <w:rPr>
          <w:color w:val="050606"/>
          <w:spacing w:val="-14"/>
        </w:rPr>
        <w:t xml:space="preserve"> </w:t>
      </w:r>
      <w:r>
        <w:rPr>
          <w:color w:val="050606"/>
        </w:rPr>
        <w:t>the</w:t>
      </w:r>
      <w:r>
        <w:rPr>
          <w:color w:val="050606"/>
          <w:spacing w:val="-11"/>
        </w:rPr>
        <w:t xml:space="preserve"> </w:t>
      </w:r>
      <w:r>
        <w:rPr>
          <w:color w:val="050606"/>
        </w:rPr>
        <w:t>foregoing authorities</w:t>
      </w:r>
      <w:r>
        <w:rPr>
          <w:color w:val="050606"/>
          <w:spacing w:val="6"/>
        </w:rPr>
        <w:t xml:space="preserve"> </w:t>
      </w:r>
      <w:r>
        <w:rPr>
          <w:color w:val="050606"/>
        </w:rPr>
        <w:t>passed</w:t>
      </w:r>
      <w:r>
        <w:rPr>
          <w:color w:val="050606"/>
          <w:spacing w:val="6"/>
        </w:rPr>
        <w:t xml:space="preserve"> </w:t>
      </w:r>
      <w:r>
        <w:rPr>
          <w:color w:val="050606"/>
        </w:rPr>
        <w:t>upon</w:t>
      </w:r>
      <w:r>
        <w:rPr>
          <w:color w:val="050606"/>
          <w:spacing w:val="6"/>
        </w:rPr>
        <w:t xml:space="preserve"> </w:t>
      </w:r>
      <w:r>
        <w:rPr>
          <w:color w:val="050606"/>
        </w:rPr>
        <w:t>or</w:t>
      </w:r>
      <w:r>
        <w:rPr>
          <w:color w:val="050606"/>
          <w:spacing w:val="5"/>
        </w:rPr>
        <w:t xml:space="preserve"> </w:t>
      </w:r>
      <w:r>
        <w:rPr>
          <w:color w:val="050606"/>
        </w:rPr>
        <w:t>endorsed</w:t>
      </w:r>
      <w:r>
        <w:rPr>
          <w:color w:val="050606"/>
          <w:spacing w:val="6"/>
        </w:rPr>
        <w:t xml:space="preserve"> </w:t>
      </w:r>
      <w:r>
        <w:rPr>
          <w:color w:val="050606"/>
        </w:rPr>
        <w:t>the</w:t>
      </w:r>
      <w:r>
        <w:rPr>
          <w:color w:val="050606"/>
          <w:spacing w:val="3"/>
        </w:rPr>
        <w:t xml:space="preserve"> </w:t>
      </w:r>
      <w:r>
        <w:rPr>
          <w:color w:val="050606"/>
        </w:rPr>
        <w:t>merits</w:t>
      </w:r>
      <w:r>
        <w:rPr>
          <w:color w:val="050606"/>
          <w:spacing w:val="6"/>
        </w:rPr>
        <w:t xml:space="preserve"> </w:t>
      </w:r>
      <w:r>
        <w:rPr>
          <w:color w:val="050606"/>
        </w:rPr>
        <w:t>of</w:t>
      </w:r>
      <w:r>
        <w:rPr>
          <w:color w:val="050606"/>
          <w:spacing w:val="3"/>
        </w:rPr>
        <w:t xml:space="preserve"> </w:t>
      </w:r>
      <w:r>
        <w:rPr>
          <w:color w:val="050606"/>
        </w:rPr>
        <w:t>the</w:t>
      </w:r>
      <w:r>
        <w:rPr>
          <w:color w:val="050606"/>
          <w:spacing w:val="6"/>
        </w:rPr>
        <w:t xml:space="preserve"> </w:t>
      </w:r>
      <w:r>
        <w:rPr>
          <w:color w:val="050606"/>
        </w:rPr>
        <w:t>offering</w:t>
      </w:r>
      <w:r>
        <w:rPr>
          <w:color w:val="050606"/>
          <w:spacing w:val="7"/>
        </w:rPr>
        <w:t xml:space="preserve"> </w:t>
      </w:r>
      <w:r>
        <w:rPr>
          <w:color w:val="050606"/>
        </w:rPr>
        <w:t>of</w:t>
      </w:r>
      <w:r>
        <w:rPr>
          <w:color w:val="050606"/>
          <w:spacing w:val="6"/>
        </w:rPr>
        <w:t xml:space="preserve"> </w:t>
      </w:r>
      <w:r>
        <w:rPr>
          <w:color w:val="050606"/>
        </w:rPr>
        <w:t>the</w:t>
      </w:r>
      <w:r>
        <w:rPr>
          <w:color w:val="050606"/>
          <w:spacing w:val="6"/>
        </w:rPr>
        <w:t xml:space="preserve"> </w:t>
      </w:r>
      <w:r>
        <w:rPr>
          <w:color w:val="050606"/>
        </w:rPr>
        <w:t>Ordinary</w:t>
      </w:r>
      <w:r>
        <w:rPr>
          <w:color w:val="050606"/>
          <w:spacing w:val="4"/>
        </w:rPr>
        <w:t xml:space="preserve"> </w:t>
      </w:r>
      <w:r>
        <w:rPr>
          <w:color w:val="050606"/>
        </w:rPr>
        <w:t>Shares</w:t>
      </w:r>
      <w:r>
        <w:rPr>
          <w:color w:val="050606"/>
          <w:spacing w:val="6"/>
        </w:rPr>
        <w:t xml:space="preserve"> </w:t>
      </w:r>
      <w:r>
        <w:rPr>
          <w:color w:val="050606"/>
        </w:rPr>
        <w:t>or</w:t>
      </w:r>
      <w:r>
        <w:rPr>
          <w:color w:val="050606"/>
          <w:spacing w:val="3"/>
        </w:rPr>
        <w:t xml:space="preserve"> </w:t>
      </w:r>
      <w:r>
        <w:rPr>
          <w:color w:val="050606"/>
        </w:rPr>
        <w:t>confirmed</w:t>
      </w:r>
      <w:r>
        <w:rPr>
          <w:color w:val="050606"/>
          <w:spacing w:val="6"/>
        </w:rPr>
        <w:t xml:space="preserve"> </w:t>
      </w:r>
      <w:r>
        <w:rPr>
          <w:color w:val="050606"/>
        </w:rPr>
        <w:t>the</w:t>
      </w:r>
      <w:r>
        <w:rPr>
          <w:color w:val="050606"/>
          <w:spacing w:val="4"/>
        </w:rPr>
        <w:t xml:space="preserve"> </w:t>
      </w:r>
      <w:r>
        <w:rPr>
          <w:color w:val="050606"/>
        </w:rPr>
        <w:t>accuracy</w:t>
      </w:r>
      <w:r w:rsidR="00D56AD8">
        <w:rPr>
          <w:color w:val="050606"/>
        </w:rPr>
        <w:t xml:space="preserve"> </w:t>
      </w:r>
      <w:r>
        <w:rPr>
          <w:color w:val="050606"/>
        </w:rPr>
        <w:lastRenderedPageBreak/>
        <w:t>or</w:t>
      </w:r>
      <w:r>
        <w:rPr>
          <w:color w:val="050606"/>
          <w:spacing w:val="-3"/>
        </w:rPr>
        <w:t xml:space="preserve"> </w:t>
      </w:r>
      <w:r>
        <w:rPr>
          <w:color w:val="050606"/>
        </w:rPr>
        <w:t>determined</w:t>
      </w:r>
      <w:r>
        <w:rPr>
          <w:color w:val="050606"/>
          <w:spacing w:val="-2"/>
        </w:rPr>
        <w:t xml:space="preserve"> </w:t>
      </w:r>
      <w:r>
        <w:rPr>
          <w:color w:val="050606"/>
        </w:rPr>
        <w:t>the</w:t>
      </w:r>
      <w:r>
        <w:rPr>
          <w:color w:val="050606"/>
          <w:spacing w:val="-5"/>
        </w:rPr>
        <w:t xml:space="preserve"> </w:t>
      </w:r>
      <w:r>
        <w:rPr>
          <w:color w:val="050606"/>
        </w:rPr>
        <w:t>adequacy</w:t>
      </w:r>
      <w:r>
        <w:rPr>
          <w:color w:val="050606"/>
          <w:spacing w:val="-4"/>
        </w:rPr>
        <w:t xml:space="preserve"> </w:t>
      </w:r>
      <w:r>
        <w:rPr>
          <w:color w:val="050606"/>
        </w:rPr>
        <w:t>of</w:t>
      </w:r>
      <w:r>
        <w:rPr>
          <w:color w:val="050606"/>
          <w:spacing w:val="-4"/>
        </w:rPr>
        <w:t xml:space="preserve"> </w:t>
      </w:r>
      <w:r>
        <w:rPr>
          <w:color w:val="050606"/>
        </w:rPr>
        <w:t>the</w:t>
      </w:r>
      <w:r>
        <w:rPr>
          <w:color w:val="050606"/>
          <w:spacing w:val="-5"/>
        </w:rPr>
        <w:t xml:space="preserve"> </w:t>
      </w:r>
      <w:r>
        <w:rPr>
          <w:color w:val="050606"/>
        </w:rPr>
        <w:t>information</w:t>
      </w:r>
      <w:r>
        <w:rPr>
          <w:color w:val="050606"/>
          <w:spacing w:val="-5"/>
        </w:rPr>
        <w:t xml:space="preserve"> </w:t>
      </w:r>
      <w:r>
        <w:rPr>
          <w:color w:val="050606"/>
        </w:rPr>
        <w:t>contained</w:t>
      </w:r>
      <w:r>
        <w:rPr>
          <w:color w:val="050606"/>
          <w:spacing w:val="-4"/>
        </w:rPr>
        <w:t xml:space="preserve"> </w:t>
      </w:r>
      <w:r>
        <w:rPr>
          <w:color w:val="050606"/>
        </w:rPr>
        <w:t>in</w:t>
      </w:r>
      <w:r>
        <w:rPr>
          <w:color w:val="050606"/>
          <w:spacing w:val="-5"/>
        </w:rPr>
        <w:t xml:space="preserve"> </w:t>
      </w:r>
      <w:r>
        <w:rPr>
          <w:color w:val="050606"/>
        </w:rPr>
        <w:t>this</w:t>
      </w:r>
      <w:r>
        <w:rPr>
          <w:color w:val="050606"/>
          <w:spacing w:val="-1"/>
        </w:rPr>
        <w:t xml:space="preserve"> </w:t>
      </w:r>
      <w:r>
        <w:rPr>
          <w:color w:val="050606"/>
        </w:rPr>
        <w:t>Document</w:t>
      </w:r>
      <w:r>
        <w:rPr>
          <w:color w:val="231F20"/>
        </w:rPr>
        <w:t>.</w:t>
      </w:r>
      <w:r>
        <w:rPr>
          <w:color w:val="231F20"/>
          <w:spacing w:val="-3"/>
        </w:rPr>
        <w:t xml:space="preserve"> </w:t>
      </w:r>
      <w:r>
        <w:rPr>
          <w:color w:val="050606"/>
        </w:rPr>
        <w:t>Any</w:t>
      </w:r>
      <w:r>
        <w:rPr>
          <w:color w:val="050606"/>
          <w:spacing w:val="-4"/>
        </w:rPr>
        <w:t xml:space="preserve"> </w:t>
      </w:r>
      <w:r>
        <w:rPr>
          <w:color w:val="050606"/>
        </w:rPr>
        <w:t>representation</w:t>
      </w:r>
      <w:r>
        <w:rPr>
          <w:color w:val="050606"/>
          <w:spacing w:val="-2"/>
        </w:rPr>
        <w:t xml:space="preserve"> </w:t>
      </w:r>
      <w:r>
        <w:rPr>
          <w:color w:val="050606"/>
        </w:rPr>
        <w:t>to</w:t>
      </w:r>
      <w:r>
        <w:rPr>
          <w:color w:val="050606"/>
          <w:spacing w:val="-1"/>
        </w:rPr>
        <w:t xml:space="preserve"> </w:t>
      </w:r>
      <w:r>
        <w:rPr>
          <w:color w:val="050606"/>
        </w:rPr>
        <w:t>the</w:t>
      </w:r>
      <w:r>
        <w:rPr>
          <w:color w:val="050606"/>
          <w:spacing w:val="-5"/>
        </w:rPr>
        <w:t xml:space="preserve"> </w:t>
      </w:r>
      <w:r>
        <w:rPr>
          <w:color w:val="050606"/>
        </w:rPr>
        <w:t>contrary</w:t>
      </w:r>
      <w:r>
        <w:rPr>
          <w:color w:val="050606"/>
          <w:spacing w:val="-7"/>
        </w:rPr>
        <w:t xml:space="preserve"> </w:t>
      </w:r>
      <w:r>
        <w:rPr>
          <w:color w:val="050606"/>
        </w:rPr>
        <w:t>is</w:t>
      </w:r>
      <w:r>
        <w:rPr>
          <w:color w:val="050606"/>
          <w:spacing w:val="-3"/>
        </w:rPr>
        <w:t xml:space="preserve"> </w:t>
      </w:r>
      <w:r>
        <w:rPr>
          <w:color w:val="050606"/>
        </w:rPr>
        <w:t>a criminal offence in the United</w:t>
      </w:r>
      <w:r>
        <w:rPr>
          <w:color w:val="050606"/>
          <w:spacing w:val="-2"/>
        </w:rPr>
        <w:t xml:space="preserve"> </w:t>
      </w:r>
      <w:r>
        <w:rPr>
          <w:color w:val="050606"/>
        </w:rPr>
        <w:t>States</w:t>
      </w:r>
      <w:r>
        <w:rPr>
          <w:color w:val="2F2E30"/>
        </w:rPr>
        <w:t>.</w:t>
      </w:r>
    </w:p>
    <w:p w14:paraId="2F385530" w14:textId="77777777" w:rsidR="00783288" w:rsidRDefault="00783288">
      <w:pPr>
        <w:pStyle w:val="BodyText"/>
        <w:kinsoku w:val="0"/>
        <w:overflowPunct w:val="0"/>
        <w:spacing w:before="7"/>
        <w:rPr>
          <w:sz w:val="17"/>
          <w:szCs w:val="17"/>
        </w:rPr>
      </w:pPr>
    </w:p>
    <w:p w14:paraId="1F28DAF8" w14:textId="77777777" w:rsidR="00783288" w:rsidRDefault="00E31420">
      <w:pPr>
        <w:pStyle w:val="Heading1"/>
        <w:kinsoku w:val="0"/>
        <w:overflowPunct w:val="0"/>
        <w:jc w:val="both"/>
        <w:rPr>
          <w:color w:val="050606"/>
        </w:rPr>
      </w:pPr>
      <w:r>
        <w:rPr>
          <w:color w:val="050606"/>
        </w:rPr>
        <w:t>Data Protection</w:t>
      </w:r>
    </w:p>
    <w:p w14:paraId="7D652F56" w14:textId="77777777" w:rsidR="00783288" w:rsidRDefault="00783288">
      <w:pPr>
        <w:pStyle w:val="BodyText"/>
        <w:kinsoku w:val="0"/>
        <w:overflowPunct w:val="0"/>
        <w:spacing w:before="3"/>
        <w:rPr>
          <w:b/>
          <w:bCs/>
        </w:rPr>
      </w:pPr>
    </w:p>
    <w:p w14:paraId="2DD5EEE1" w14:textId="0FFE60D7" w:rsidR="00783288" w:rsidRDefault="00E31420">
      <w:pPr>
        <w:pStyle w:val="BodyText"/>
        <w:kinsoku w:val="0"/>
        <w:overflowPunct w:val="0"/>
        <w:spacing w:before="1"/>
        <w:ind w:left="300" w:right="1188"/>
        <w:jc w:val="both"/>
        <w:rPr>
          <w:color w:val="050606"/>
        </w:rPr>
      </w:pPr>
      <w:r>
        <w:rPr>
          <w:color w:val="050606"/>
        </w:rPr>
        <w:t xml:space="preserve">The following information is provided to prospective investors in accordance with Article 13 and Article 14 of the </w:t>
      </w:r>
      <w:r w:rsidR="00A97863">
        <w:rPr>
          <w:color w:val="050606"/>
        </w:rPr>
        <w:t xml:space="preserve">UK version of the General Data Protection </w:t>
      </w:r>
      <w:r>
        <w:rPr>
          <w:color w:val="050606"/>
        </w:rPr>
        <w:t>Regulation</w:t>
      </w:r>
      <w:r w:rsidR="00A97863">
        <w:rPr>
          <w:color w:val="050606"/>
        </w:rPr>
        <w:t xml:space="preserve"> (EU)</w:t>
      </w:r>
      <w:r>
        <w:rPr>
          <w:color w:val="050606"/>
        </w:rPr>
        <w:t xml:space="preserve"> 20</w:t>
      </w:r>
      <w:r w:rsidR="00515CF8">
        <w:rPr>
          <w:color w:val="050606"/>
        </w:rPr>
        <w:t>1</w:t>
      </w:r>
      <w:r>
        <w:rPr>
          <w:color w:val="050606"/>
        </w:rPr>
        <w:t xml:space="preserve">6/679 </w:t>
      </w:r>
      <w:r w:rsidR="00A97863">
        <w:rPr>
          <w:color w:val="050606"/>
        </w:rPr>
        <w:t>which is part of UK law by virtue of the European Union (Withdrawal) Act 2018</w:t>
      </w:r>
      <w:r w:rsidR="00515CF8">
        <w:rPr>
          <w:color w:val="050606"/>
        </w:rPr>
        <w:t xml:space="preserve"> as </w:t>
      </w:r>
      <w:r w:rsidR="00A97863">
        <w:rPr>
          <w:color w:val="050606"/>
        </w:rPr>
        <w:t>amended by the Data Protection, Privacy and Electronic Communications (Amendments etc.) (EU Exit) Regulations</w:t>
      </w:r>
      <w:r>
        <w:rPr>
          <w:color w:val="050606"/>
        </w:rPr>
        <w:t xml:space="preserve"> (the “GDPR”). For the purposes of this section, an investor</w:t>
      </w:r>
      <w:r>
        <w:rPr>
          <w:color w:val="050606"/>
          <w:spacing w:val="-9"/>
        </w:rPr>
        <w:t xml:space="preserve"> </w:t>
      </w:r>
      <w:r>
        <w:rPr>
          <w:color w:val="050606"/>
        </w:rPr>
        <w:t>is</w:t>
      </w:r>
      <w:r>
        <w:rPr>
          <w:color w:val="050606"/>
          <w:spacing w:val="-8"/>
        </w:rPr>
        <w:t xml:space="preserve"> </w:t>
      </w:r>
      <w:r>
        <w:rPr>
          <w:color w:val="050606"/>
        </w:rPr>
        <w:t>deemed</w:t>
      </w:r>
      <w:r>
        <w:rPr>
          <w:color w:val="050606"/>
          <w:spacing w:val="-9"/>
        </w:rPr>
        <w:t xml:space="preserve"> </w:t>
      </w:r>
      <w:r>
        <w:rPr>
          <w:color w:val="050606"/>
        </w:rPr>
        <w:t>to</w:t>
      </w:r>
      <w:r>
        <w:rPr>
          <w:color w:val="050606"/>
          <w:spacing w:val="-9"/>
        </w:rPr>
        <w:t xml:space="preserve"> </w:t>
      </w:r>
      <w:r>
        <w:rPr>
          <w:color w:val="050606"/>
        </w:rPr>
        <w:t>include</w:t>
      </w:r>
      <w:r>
        <w:rPr>
          <w:color w:val="050606"/>
          <w:spacing w:val="-9"/>
        </w:rPr>
        <w:t xml:space="preserve"> </w:t>
      </w:r>
      <w:r>
        <w:rPr>
          <w:color w:val="050606"/>
        </w:rPr>
        <w:t>the</w:t>
      </w:r>
      <w:r>
        <w:rPr>
          <w:color w:val="050606"/>
          <w:spacing w:val="-9"/>
        </w:rPr>
        <w:t xml:space="preserve"> </w:t>
      </w:r>
      <w:r>
        <w:rPr>
          <w:color w:val="050606"/>
        </w:rPr>
        <w:t>legal</w:t>
      </w:r>
      <w:r>
        <w:rPr>
          <w:color w:val="050606"/>
          <w:spacing w:val="-9"/>
        </w:rPr>
        <w:t xml:space="preserve"> </w:t>
      </w:r>
      <w:r>
        <w:rPr>
          <w:color w:val="050606"/>
        </w:rPr>
        <w:t>or</w:t>
      </w:r>
      <w:r>
        <w:rPr>
          <w:color w:val="050606"/>
          <w:spacing w:val="-9"/>
        </w:rPr>
        <w:t xml:space="preserve"> </w:t>
      </w:r>
      <w:r>
        <w:rPr>
          <w:color w:val="050606"/>
        </w:rPr>
        <w:t>natural</w:t>
      </w:r>
      <w:r>
        <w:rPr>
          <w:color w:val="050606"/>
          <w:spacing w:val="-9"/>
        </w:rPr>
        <w:t xml:space="preserve"> </w:t>
      </w:r>
      <w:r>
        <w:rPr>
          <w:color w:val="050606"/>
        </w:rPr>
        <w:t>person</w:t>
      </w:r>
      <w:r>
        <w:rPr>
          <w:color w:val="050606"/>
          <w:spacing w:val="-10"/>
        </w:rPr>
        <w:t xml:space="preserve"> </w:t>
      </w:r>
      <w:r>
        <w:rPr>
          <w:color w:val="050606"/>
        </w:rPr>
        <w:t>making</w:t>
      </w:r>
      <w:r>
        <w:rPr>
          <w:color w:val="050606"/>
          <w:spacing w:val="-9"/>
        </w:rPr>
        <w:t xml:space="preserve"> </w:t>
      </w:r>
      <w:r>
        <w:rPr>
          <w:color w:val="050606"/>
        </w:rPr>
        <w:t>the</w:t>
      </w:r>
      <w:r>
        <w:rPr>
          <w:color w:val="050606"/>
          <w:spacing w:val="-9"/>
        </w:rPr>
        <w:t xml:space="preserve"> </w:t>
      </w:r>
      <w:r>
        <w:rPr>
          <w:color w:val="050606"/>
        </w:rPr>
        <w:t>investment</w:t>
      </w:r>
      <w:r>
        <w:rPr>
          <w:color w:val="050606"/>
          <w:spacing w:val="-9"/>
        </w:rPr>
        <w:t xml:space="preserve"> </w:t>
      </w:r>
      <w:r>
        <w:rPr>
          <w:color w:val="050606"/>
        </w:rPr>
        <w:t>in</w:t>
      </w:r>
      <w:r>
        <w:rPr>
          <w:color w:val="050606"/>
          <w:spacing w:val="-9"/>
        </w:rPr>
        <w:t xml:space="preserve"> </w:t>
      </w:r>
      <w:r>
        <w:rPr>
          <w:color w:val="050606"/>
        </w:rPr>
        <w:t>the</w:t>
      </w:r>
      <w:r>
        <w:rPr>
          <w:color w:val="050606"/>
          <w:spacing w:val="-9"/>
        </w:rPr>
        <w:t xml:space="preserve"> </w:t>
      </w:r>
      <w:r>
        <w:rPr>
          <w:color w:val="050606"/>
        </w:rPr>
        <w:t>Company</w:t>
      </w:r>
      <w:r>
        <w:rPr>
          <w:color w:val="050606"/>
          <w:spacing w:val="-10"/>
        </w:rPr>
        <w:t xml:space="preserve"> </w:t>
      </w:r>
      <w:r>
        <w:rPr>
          <w:color w:val="050606"/>
        </w:rPr>
        <w:t>and</w:t>
      </w:r>
      <w:r>
        <w:rPr>
          <w:color w:val="050606"/>
          <w:spacing w:val="-9"/>
        </w:rPr>
        <w:t xml:space="preserve"> </w:t>
      </w:r>
      <w:r>
        <w:rPr>
          <w:color w:val="050606"/>
        </w:rPr>
        <w:t>any</w:t>
      </w:r>
      <w:r>
        <w:rPr>
          <w:color w:val="050606"/>
          <w:spacing w:val="-10"/>
        </w:rPr>
        <w:t xml:space="preserve"> </w:t>
      </w:r>
      <w:r>
        <w:rPr>
          <w:color w:val="050606"/>
        </w:rPr>
        <w:t>beneficial owner.</w:t>
      </w:r>
    </w:p>
    <w:p w14:paraId="0339F24D" w14:textId="77777777" w:rsidR="00783288" w:rsidRDefault="00783288">
      <w:pPr>
        <w:pStyle w:val="BodyText"/>
        <w:kinsoku w:val="0"/>
        <w:overflowPunct w:val="0"/>
        <w:spacing w:before="10"/>
        <w:rPr>
          <w:sz w:val="17"/>
          <w:szCs w:val="17"/>
        </w:rPr>
      </w:pPr>
    </w:p>
    <w:p w14:paraId="61112F2A" w14:textId="77777777" w:rsidR="00783288" w:rsidRDefault="00E31420" w:rsidP="00512495">
      <w:pPr>
        <w:pStyle w:val="ListParagraph"/>
        <w:numPr>
          <w:ilvl w:val="0"/>
          <w:numId w:val="21"/>
        </w:numPr>
        <w:tabs>
          <w:tab w:val="left" w:pos="867"/>
        </w:tabs>
        <w:kinsoku w:val="0"/>
        <w:overflowPunct w:val="0"/>
        <w:ind w:right="1192"/>
        <w:jc w:val="both"/>
        <w:rPr>
          <w:color w:val="050606"/>
          <w:sz w:val="18"/>
          <w:szCs w:val="18"/>
        </w:rPr>
      </w:pPr>
      <w:r>
        <w:rPr>
          <w:color w:val="050606"/>
          <w:sz w:val="18"/>
          <w:szCs w:val="18"/>
        </w:rPr>
        <w:t>The</w:t>
      </w:r>
      <w:r>
        <w:rPr>
          <w:color w:val="050606"/>
          <w:spacing w:val="-12"/>
          <w:sz w:val="18"/>
          <w:szCs w:val="18"/>
        </w:rPr>
        <w:t xml:space="preserve"> </w:t>
      </w:r>
      <w:r>
        <w:rPr>
          <w:color w:val="050606"/>
          <w:sz w:val="18"/>
          <w:szCs w:val="18"/>
        </w:rPr>
        <w:t>Company</w:t>
      </w:r>
      <w:r>
        <w:rPr>
          <w:color w:val="050606"/>
          <w:spacing w:val="-13"/>
          <w:sz w:val="18"/>
          <w:szCs w:val="18"/>
        </w:rPr>
        <w:t xml:space="preserve"> </w:t>
      </w:r>
      <w:r>
        <w:rPr>
          <w:color w:val="050606"/>
          <w:sz w:val="18"/>
          <w:szCs w:val="18"/>
        </w:rPr>
        <w:t>is</w:t>
      </w:r>
      <w:r>
        <w:rPr>
          <w:color w:val="050606"/>
          <w:spacing w:val="-10"/>
          <w:sz w:val="18"/>
          <w:szCs w:val="18"/>
        </w:rPr>
        <w:t xml:space="preserve"> </w:t>
      </w:r>
      <w:r>
        <w:rPr>
          <w:color w:val="050606"/>
          <w:sz w:val="18"/>
          <w:szCs w:val="18"/>
        </w:rPr>
        <w:t>the</w:t>
      </w:r>
      <w:r>
        <w:rPr>
          <w:color w:val="050606"/>
          <w:spacing w:val="-14"/>
          <w:sz w:val="18"/>
          <w:szCs w:val="18"/>
        </w:rPr>
        <w:t xml:space="preserve"> </w:t>
      </w:r>
      <w:r>
        <w:rPr>
          <w:color w:val="050606"/>
          <w:sz w:val="18"/>
          <w:szCs w:val="18"/>
        </w:rPr>
        <w:t>controller</w:t>
      </w:r>
      <w:r>
        <w:rPr>
          <w:color w:val="050606"/>
          <w:spacing w:val="-14"/>
          <w:sz w:val="18"/>
          <w:szCs w:val="18"/>
        </w:rPr>
        <w:t xml:space="preserve"> </w:t>
      </w:r>
      <w:r>
        <w:rPr>
          <w:color w:val="050606"/>
          <w:sz w:val="18"/>
          <w:szCs w:val="18"/>
        </w:rPr>
        <w:t>of</w:t>
      </w:r>
      <w:r>
        <w:rPr>
          <w:color w:val="050606"/>
          <w:spacing w:val="-11"/>
          <w:sz w:val="18"/>
          <w:szCs w:val="18"/>
        </w:rPr>
        <w:t xml:space="preserve"> </w:t>
      </w:r>
      <w:r>
        <w:rPr>
          <w:color w:val="050606"/>
          <w:sz w:val="18"/>
          <w:szCs w:val="18"/>
        </w:rPr>
        <w:t>any</w:t>
      </w:r>
      <w:r>
        <w:rPr>
          <w:color w:val="050606"/>
          <w:spacing w:val="-13"/>
          <w:sz w:val="18"/>
          <w:szCs w:val="18"/>
        </w:rPr>
        <w:t xml:space="preserve"> </w:t>
      </w:r>
      <w:r>
        <w:rPr>
          <w:color w:val="050606"/>
          <w:sz w:val="18"/>
          <w:szCs w:val="18"/>
        </w:rPr>
        <w:t>personal</w:t>
      </w:r>
      <w:r>
        <w:rPr>
          <w:color w:val="050606"/>
          <w:spacing w:val="-13"/>
          <w:sz w:val="18"/>
          <w:szCs w:val="18"/>
        </w:rPr>
        <w:t xml:space="preserve"> </w:t>
      </w:r>
      <w:r>
        <w:rPr>
          <w:color w:val="050606"/>
          <w:sz w:val="18"/>
          <w:szCs w:val="18"/>
        </w:rPr>
        <w:t>data</w:t>
      </w:r>
      <w:r>
        <w:rPr>
          <w:color w:val="050606"/>
          <w:spacing w:val="-14"/>
          <w:sz w:val="18"/>
          <w:szCs w:val="18"/>
        </w:rPr>
        <w:t xml:space="preserve"> </w:t>
      </w:r>
      <w:r>
        <w:rPr>
          <w:color w:val="050606"/>
          <w:sz w:val="18"/>
          <w:szCs w:val="18"/>
        </w:rPr>
        <w:t>that</w:t>
      </w:r>
      <w:r>
        <w:rPr>
          <w:color w:val="050606"/>
          <w:spacing w:val="-11"/>
          <w:sz w:val="18"/>
          <w:szCs w:val="18"/>
        </w:rPr>
        <w:t xml:space="preserve"> </w:t>
      </w:r>
      <w:r>
        <w:rPr>
          <w:color w:val="050606"/>
          <w:sz w:val="18"/>
          <w:szCs w:val="18"/>
        </w:rPr>
        <w:t>may</w:t>
      </w:r>
      <w:r>
        <w:rPr>
          <w:color w:val="050606"/>
          <w:spacing w:val="-12"/>
          <w:sz w:val="18"/>
          <w:szCs w:val="18"/>
        </w:rPr>
        <w:t xml:space="preserve"> </w:t>
      </w:r>
      <w:r>
        <w:rPr>
          <w:color w:val="050606"/>
          <w:sz w:val="18"/>
          <w:szCs w:val="18"/>
        </w:rPr>
        <w:t>be</w:t>
      </w:r>
      <w:r>
        <w:rPr>
          <w:color w:val="050606"/>
          <w:spacing w:val="-12"/>
          <w:sz w:val="18"/>
          <w:szCs w:val="18"/>
        </w:rPr>
        <w:t xml:space="preserve"> </w:t>
      </w:r>
      <w:r>
        <w:rPr>
          <w:color w:val="050606"/>
          <w:sz w:val="18"/>
          <w:szCs w:val="18"/>
        </w:rPr>
        <w:t>supplied</w:t>
      </w:r>
      <w:r>
        <w:rPr>
          <w:color w:val="050606"/>
          <w:spacing w:val="-13"/>
          <w:sz w:val="18"/>
          <w:szCs w:val="18"/>
        </w:rPr>
        <w:t xml:space="preserve"> </w:t>
      </w:r>
      <w:r>
        <w:rPr>
          <w:color w:val="050606"/>
          <w:sz w:val="18"/>
          <w:szCs w:val="18"/>
        </w:rPr>
        <w:t>by</w:t>
      </w:r>
      <w:r>
        <w:rPr>
          <w:color w:val="050606"/>
          <w:spacing w:val="-13"/>
          <w:sz w:val="18"/>
          <w:szCs w:val="18"/>
        </w:rPr>
        <w:t xml:space="preserve"> </w:t>
      </w:r>
      <w:r>
        <w:rPr>
          <w:color w:val="050606"/>
          <w:sz w:val="18"/>
          <w:szCs w:val="18"/>
        </w:rPr>
        <w:t>investors,</w:t>
      </w:r>
      <w:r>
        <w:rPr>
          <w:color w:val="050606"/>
          <w:spacing w:val="-11"/>
          <w:sz w:val="18"/>
          <w:szCs w:val="18"/>
        </w:rPr>
        <w:t xml:space="preserve"> </w:t>
      </w:r>
      <w:r>
        <w:rPr>
          <w:color w:val="050606"/>
          <w:sz w:val="18"/>
          <w:szCs w:val="18"/>
        </w:rPr>
        <w:t>and</w:t>
      </w:r>
      <w:r>
        <w:rPr>
          <w:color w:val="050606"/>
          <w:spacing w:val="-12"/>
          <w:sz w:val="18"/>
          <w:szCs w:val="18"/>
        </w:rPr>
        <w:t xml:space="preserve"> </w:t>
      </w:r>
      <w:r>
        <w:rPr>
          <w:color w:val="050606"/>
          <w:sz w:val="18"/>
          <w:szCs w:val="18"/>
        </w:rPr>
        <w:t>its</w:t>
      </w:r>
      <w:r>
        <w:rPr>
          <w:color w:val="050606"/>
          <w:spacing w:val="-10"/>
          <w:sz w:val="18"/>
          <w:szCs w:val="18"/>
        </w:rPr>
        <w:t xml:space="preserve"> </w:t>
      </w:r>
      <w:r>
        <w:rPr>
          <w:color w:val="050606"/>
          <w:sz w:val="18"/>
          <w:szCs w:val="18"/>
        </w:rPr>
        <w:t>contact</w:t>
      </w:r>
      <w:r>
        <w:rPr>
          <w:color w:val="050606"/>
          <w:spacing w:val="-11"/>
          <w:sz w:val="18"/>
          <w:szCs w:val="18"/>
        </w:rPr>
        <w:t xml:space="preserve"> </w:t>
      </w:r>
      <w:r>
        <w:rPr>
          <w:color w:val="050606"/>
          <w:sz w:val="18"/>
          <w:szCs w:val="18"/>
        </w:rPr>
        <w:t>details can be found on page 4 of this</w:t>
      </w:r>
      <w:r>
        <w:rPr>
          <w:color w:val="050606"/>
          <w:spacing w:val="-7"/>
          <w:sz w:val="18"/>
          <w:szCs w:val="18"/>
        </w:rPr>
        <w:t xml:space="preserve"> </w:t>
      </w:r>
      <w:r>
        <w:rPr>
          <w:color w:val="050606"/>
          <w:sz w:val="18"/>
          <w:szCs w:val="18"/>
        </w:rPr>
        <w:t>Document.</w:t>
      </w:r>
    </w:p>
    <w:p w14:paraId="6B4B4B21" w14:textId="77777777" w:rsidR="00783288" w:rsidRDefault="00783288">
      <w:pPr>
        <w:pStyle w:val="BodyText"/>
        <w:kinsoku w:val="0"/>
        <w:overflowPunct w:val="0"/>
        <w:spacing w:before="1"/>
      </w:pPr>
    </w:p>
    <w:p w14:paraId="428E1EE9" w14:textId="7ED89B67" w:rsidR="00783288" w:rsidRDefault="00E31420" w:rsidP="00512495">
      <w:pPr>
        <w:pStyle w:val="ListParagraph"/>
        <w:numPr>
          <w:ilvl w:val="0"/>
          <w:numId w:val="21"/>
        </w:numPr>
        <w:tabs>
          <w:tab w:val="left" w:pos="867"/>
        </w:tabs>
        <w:kinsoku w:val="0"/>
        <w:overflowPunct w:val="0"/>
        <w:ind w:right="1190"/>
        <w:jc w:val="both"/>
        <w:rPr>
          <w:color w:val="050606"/>
          <w:sz w:val="18"/>
          <w:szCs w:val="18"/>
        </w:rPr>
      </w:pPr>
      <w:r>
        <w:rPr>
          <w:color w:val="050606"/>
          <w:sz w:val="18"/>
          <w:szCs w:val="18"/>
        </w:rPr>
        <w:t xml:space="preserve">Investors will be asked to provide information to the Company, including personal data, as part of their applications for </w:t>
      </w:r>
      <w:r w:rsidR="00E700B8">
        <w:rPr>
          <w:color w:val="050606"/>
          <w:sz w:val="18"/>
          <w:szCs w:val="18"/>
        </w:rPr>
        <w:t xml:space="preserve">Placing </w:t>
      </w:r>
      <w:r>
        <w:rPr>
          <w:color w:val="050606"/>
          <w:sz w:val="18"/>
          <w:szCs w:val="18"/>
        </w:rPr>
        <w:t>Shares</w:t>
      </w:r>
      <w:r w:rsidR="002514E7">
        <w:rPr>
          <w:color w:val="050606"/>
          <w:sz w:val="18"/>
          <w:szCs w:val="18"/>
        </w:rPr>
        <w:t xml:space="preserve"> or Labrador </w:t>
      </w:r>
      <w:r w:rsidR="00A16477">
        <w:rPr>
          <w:color w:val="050606"/>
          <w:sz w:val="18"/>
          <w:szCs w:val="18"/>
        </w:rPr>
        <w:t>Consideration</w:t>
      </w:r>
      <w:r w:rsidR="002514E7">
        <w:rPr>
          <w:color w:val="050606"/>
          <w:sz w:val="18"/>
          <w:szCs w:val="18"/>
        </w:rPr>
        <w:t xml:space="preserve"> Shares</w:t>
      </w:r>
      <w:r>
        <w:rPr>
          <w:color w:val="050606"/>
          <w:sz w:val="18"/>
          <w:szCs w:val="18"/>
        </w:rPr>
        <w:t xml:space="preserve">. If an investor does not provide </w:t>
      </w:r>
      <w:proofErr w:type="gramStart"/>
      <w:r>
        <w:rPr>
          <w:color w:val="050606"/>
          <w:sz w:val="18"/>
          <w:szCs w:val="18"/>
        </w:rPr>
        <w:t>all of</w:t>
      </w:r>
      <w:proofErr w:type="gramEnd"/>
      <w:r>
        <w:rPr>
          <w:color w:val="050606"/>
          <w:sz w:val="18"/>
          <w:szCs w:val="18"/>
        </w:rPr>
        <w:t xml:space="preserve"> the information requested, the Company</w:t>
      </w:r>
      <w:r>
        <w:rPr>
          <w:color w:val="050606"/>
          <w:spacing w:val="-11"/>
          <w:sz w:val="18"/>
          <w:szCs w:val="18"/>
        </w:rPr>
        <w:t xml:space="preserve"> </w:t>
      </w:r>
      <w:r>
        <w:rPr>
          <w:color w:val="050606"/>
          <w:sz w:val="18"/>
          <w:szCs w:val="18"/>
        </w:rPr>
        <w:t>will</w:t>
      </w:r>
      <w:r>
        <w:rPr>
          <w:color w:val="050606"/>
          <w:spacing w:val="-9"/>
          <w:sz w:val="18"/>
          <w:szCs w:val="18"/>
        </w:rPr>
        <w:t xml:space="preserve"> </w:t>
      </w:r>
      <w:r>
        <w:rPr>
          <w:color w:val="050606"/>
          <w:sz w:val="18"/>
          <w:szCs w:val="18"/>
        </w:rPr>
        <w:t>not</w:t>
      </w:r>
      <w:r>
        <w:rPr>
          <w:color w:val="050606"/>
          <w:spacing w:val="-9"/>
          <w:sz w:val="18"/>
          <w:szCs w:val="18"/>
        </w:rPr>
        <w:t xml:space="preserve"> </w:t>
      </w:r>
      <w:r>
        <w:rPr>
          <w:color w:val="050606"/>
          <w:sz w:val="18"/>
          <w:szCs w:val="18"/>
        </w:rPr>
        <w:t>be</w:t>
      </w:r>
      <w:r>
        <w:rPr>
          <w:color w:val="050606"/>
          <w:spacing w:val="-9"/>
          <w:sz w:val="18"/>
          <w:szCs w:val="18"/>
        </w:rPr>
        <w:t xml:space="preserve"> </w:t>
      </w:r>
      <w:r>
        <w:rPr>
          <w:color w:val="050606"/>
          <w:sz w:val="18"/>
          <w:szCs w:val="18"/>
        </w:rPr>
        <w:t>able</w:t>
      </w:r>
      <w:r>
        <w:rPr>
          <w:color w:val="050606"/>
          <w:spacing w:val="-9"/>
          <w:sz w:val="18"/>
          <w:szCs w:val="18"/>
        </w:rPr>
        <w:t xml:space="preserve"> </w:t>
      </w:r>
      <w:r>
        <w:rPr>
          <w:color w:val="050606"/>
          <w:sz w:val="18"/>
          <w:szCs w:val="18"/>
        </w:rPr>
        <w:t>to</w:t>
      </w:r>
      <w:r>
        <w:rPr>
          <w:color w:val="050606"/>
          <w:spacing w:val="-9"/>
          <w:sz w:val="18"/>
          <w:szCs w:val="18"/>
        </w:rPr>
        <w:t xml:space="preserve"> </w:t>
      </w:r>
      <w:r>
        <w:rPr>
          <w:color w:val="050606"/>
          <w:sz w:val="18"/>
          <w:szCs w:val="18"/>
        </w:rPr>
        <w:t>process</w:t>
      </w:r>
      <w:r>
        <w:rPr>
          <w:color w:val="050606"/>
          <w:spacing w:val="-9"/>
          <w:sz w:val="18"/>
          <w:szCs w:val="18"/>
        </w:rPr>
        <w:t xml:space="preserve"> </w:t>
      </w:r>
      <w:r>
        <w:rPr>
          <w:color w:val="050606"/>
          <w:sz w:val="18"/>
          <w:szCs w:val="18"/>
        </w:rPr>
        <w:t>the</w:t>
      </w:r>
      <w:r>
        <w:rPr>
          <w:color w:val="050606"/>
          <w:spacing w:val="-9"/>
          <w:sz w:val="18"/>
          <w:szCs w:val="18"/>
        </w:rPr>
        <w:t xml:space="preserve"> </w:t>
      </w:r>
      <w:r>
        <w:rPr>
          <w:color w:val="050606"/>
          <w:sz w:val="18"/>
          <w:szCs w:val="18"/>
        </w:rPr>
        <w:t>application</w:t>
      </w:r>
      <w:r>
        <w:rPr>
          <w:color w:val="050606"/>
          <w:spacing w:val="-9"/>
          <w:sz w:val="18"/>
          <w:szCs w:val="18"/>
        </w:rPr>
        <w:t xml:space="preserve"> </w:t>
      </w:r>
      <w:r>
        <w:rPr>
          <w:color w:val="050606"/>
          <w:sz w:val="18"/>
          <w:szCs w:val="18"/>
        </w:rPr>
        <w:t>and</w:t>
      </w:r>
      <w:r>
        <w:rPr>
          <w:color w:val="050606"/>
          <w:spacing w:val="-9"/>
          <w:sz w:val="18"/>
          <w:szCs w:val="18"/>
        </w:rPr>
        <w:t xml:space="preserve"> </w:t>
      </w:r>
      <w:r>
        <w:rPr>
          <w:color w:val="050606"/>
          <w:sz w:val="18"/>
          <w:szCs w:val="18"/>
        </w:rPr>
        <w:t>the</w:t>
      </w:r>
      <w:r>
        <w:rPr>
          <w:color w:val="050606"/>
          <w:spacing w:val="-9"/>
          <w:sz w:val="18"/>
          <w:szCs w:val="18"/>
        </w:rPr>
        <w:t xml:space="preserve"> </w:t>
      </w:r>
      <w:r>
        <w:rPr>
          <w:color w:val="050606"/>
          <w:sz w:val="18"/>
          <w:szCs w:val="18"/>
        </w:rPr>
        <w:t>investor</w:t>
      </w:r>
      <w:r>
        <w:rPr>
          <w:color w:val="050606"/>
          <w:spacing w:val="-9"/>
          <w:sz w:val="18"/>
          <w:szCs w:val="18"/>
        </w:rPr>
        <w:t xml:space="preserve"> </w:t>
      </w:r>
      <w:r>
        <w:rPr>
          <w:color w:val="050606"/>
          <w:sz w:val="18"/>
          <w:szCs w:val="18"/>
        </w:rPr>
        <w:t>will</w:t>
      </w:r>
      <w:r>
        <w:rPr>
          <w:color w:val="050606"/>
          <w:spacing w:val="-9"/>
          <w:sz w:val="18"/>
          <w:szCs w:val="18"/>
        </w:rPr>
        <w:t xml:space="preserve"> </w:t>
      </w:r>
      <w:r>
        <w:rPr>
          <w:color w:val="050606"/>
          <w:sz w:val="18"/>
          <w:szCs w:val="18"/>
        </w:rPr>
        <w:t>not</w:t>
      </w:r>
      <w:r>
        <w:rPr>
          <w:color w:val="050606"/>
          <w:spacing w:val="-10"/>
          <w:sz w:val="18"/>
          <w:szCs w:val="18"/>
        </w:rPr>
        <w:t xml:space="preserve"> </w:t>
      </w:r>
      <w:r>
        <w:rPr>
          <w:color w:val="050606"/>
          <w:sz w:val="18"/>
          <w:szCs w:val="18"/>
        </w:rPr>
        <w:t>receive</w:t>
      </w:r>
      <w:r>
        <w:rPr>
          <w:color w:val="050606"/>
          <w:spacing w:val="-9"/>
          <w:sz w:val="18"/>
          <w:szCs w:val="18"/>
        </w:rPr>
        <w:t xml:space="preserve"> </w:t>
      </w:r>
      <w:r>
        <w:rPr>
          <w:color w:val="050606"/>
          <w:sz w:val="18"/>
          <w:szCs w:val="18"/>
        </w:rPr>
        <w:t>any</w:t>
      </w:r>
      <w:r>
        <w:rPr>
          <w:color w:val="050606"/>
          <w:spacing w:val="-10"/>
          <w:sz w:val="18"/>
          <w:szCs w:val="18"/>
        </w:rPr>
        <w:t xml:space="preserve"> </w:t>
      </w:r>
      <w:r w:rsidR="00E700B8">
        <w:rPr>
          <w:color w:val="050606"/>
          <w:sz w:val="18"/>
          <w:szCs w:val="18"/>
        </w:rPr>
        <w:t xml:space="preserve">Placing </w:t>
      </w:r>
      <w:r>
        <w:rPr>
          <w:color w:val="050606"/>
          <w:sz w:val="18"/>
          <w:szCs w:val="18"/>
        </w:rPr>
        <w:t>Shares</w:t>
      </w:r>
      <w:r w:rsidR="002514E7" w:rsidRPr="002514E7">
        <w:rPr>
          <w:color w:val="050606"/>
          <w:sz w:val="18"/>
          <w:szCs w:val="18"/>
        </w:rPr>
        <w:t xml:space="preserve"> </w:t>
      </w:r>
      <w:r w:rsidR="002514E7">
        <w:rPr>
          <w:color w:val="050606"/>
          <w:sz w:val="18"/>
          <w:szCs w:val="18"/>
        </w:rPr>
        <w:t xml:space="preserve">or Labrador </w:t>
      </w:r>
      <w:r w:rsidR="00A16477">
        <w:rPr>
          <w:color w:val="050606"/>
          <w:sz w:val="18"/>
          <w:szCs w:val="18"/>
        </w:rPr>
        <w:t>Consideration</w:t>
      </w:r>
      <w:r w:rsidR="002514E7">
        <w:rPr>
          <w:color w:val="050606"/>
          <w:sz w:val="18"/>
          <w:szCs w:val="18"/>
        </w:rPr>
        <w:t xml:space="preserve"> Shares</w:t>
      </w:r>
      <w:r>
        <w:rPr>
          <w:color w:val="050606"/>
          <w:sz w:val="18"/>
          <w:szCs w:val="18"/>
        </w:rPr>
        <w:t>.</w:t>
      </w:r>
    </w:p>
    <w:p w14:paraId="6144961A" w14:textId="77777777" w:rsidR="00783288" w:rsidRDefault="00783288">
      <w:pPr>
        <w:pStyle w:val="BodyText"/>
        <w:kinsoku w:val="0"/>
        <w:overflowPunct w:val="0"/>
      </w:pPr>
    </w:p>
    <w:p w14:paraId="1F3F4BE6" w14:textId="77777777" w:rsidR="00783288" w:rsidRDefault="00E31420" w:rsidP="00512495">
      <w:pPr>
        <w:pStyle w:val="ListParagraph"/>
        <w:numPr>
          <w:ilvl w:val="0"/>
          <w:numId w:val="21"/>
        </w:numPr>
        <w:tabs>
          <w:tab w:val="left" w:pos="867"/>
        </w:tabs>
        <w:kinsoku w:val="0"/>
        <w:overflowPunct w:val="0"/>
        <w:rPr>
          <w:color w:val="050606"/>
          <w:sz w:val="18"/>
          <w:szCs w:val="18"/>
        </w:rPr>
      </w:pPr>
      <w:r>
        <w:rPr>
          <w:color w:val="050606"/>
          <w:sz w:val="18"/>
          <w:szCs w:val="18"/>
        </w:rPr>
        <w:t>The personal data provided by investors will be processed for the following</w:t>
      </w:r>
      <w:r>
        <w:rPr>
          <w:color w:val="050606"/>
          <w:spacing w:val="-9"/>
          <w:sz w:val="18"/>
          <w:szCs w:val="18"/>
        </w:rPr>
        <w:t xml:space="preserve"> </w:t>
      </w:r>
      <w:r>
        <w:rPr>
          <w:color w:val="050606"/>
          <w:sz w:val="18"/>
          <w:szCs w:val="18"/>
        </w:rPr>
        <w:t>purposes:</w:t>
      </w:r>
    </w:p>
    <w:p w14:paraId="5A4F71F9" w14:textId="77777777" w:rsidR="00783288" w:rsidRDefault="00783288">
      <w:pPr>
        <w:pStyle w:val="BodyText"/>
        <w:kinsoku w:val="0"/>
        <w:overflowPunct w:val="0"/>
        <w:spacing w:before="1"/>
      </w:pPr>
    </w:p>
    <w:p w14:paraId="34D438DF" w14:textId="61BF54E2" w:rsidR="00783288" w:rsidRDefault="00E31420" w:rsidP="00512495">
      <w:pPr>
        <w:pStyle w:val="ListParagraph"/>
        <w:numPr>
          <w:ilvl w:val="1"/>
          <w:numId w:val="21"/>
        </w:numPr>
        <w:tabs>
          <w:tab w:val="left" w:pos="1433"/>
        </w:tabs>
        <w:kinsoku w:val="0"/>
        <w:overflowPunct w:val="0"/>
        <w:ind w:right="1189"/>
        <w:jc w:val="both"/>
        <w:rPr>
          <w:color w:val="050606"/>
          <w:sz w:val="18"/>
          <w:szCs w:val="18"/>
        </w:rPr>
      </w:pPr>
      <w:r>
        <w:rPr>
          <w:color w:val="050606"/>
          <w:sz w:val="18"/>
          <w:szCs w:val="18"/>
        </w:rPr>
        <w:t xml:space="preserve">processing the investor’s application for </w:t>
      </w:r>
      <w:r w:rsidR="00E700B8">
        <w:rPr>
          <w:color w:val="050606"/>
          <w:sz w:val="18"/>
          <w:szCs w:val="18"/>
        </w:rPr>
        <w:t xml:space="preserve">Placing </w:t>
      </w:r>
      <w:r>
        <w:rPr>
          <w:color w:val="050606"/>
          <w:sz w:val="18"/>
          <w:szCs w:val="18"/>
        </w:rPr>
        <w:t>Shares</w:t>
      </w:r>
      <w:r w:rsidR="002514E7" w:rsidRPr="002514E7">
        <w:rPr>
          <w:color w:val="050606"/>
          <w:sz w:val="18"/>
          <w:szCs w:val="18"/>
        </w:rPr>
        <w:t xml:space="preserve"> </w:t>
      </w:r>
      <w:r w:rsidR="002514E7">
        <w:rPr>
          <w:color w:val="050606"/>
          <w:sz w:val="18"/>
          <w:szCs w:val="18"/>
        </w:rPr>
        <w:t xml:space="preserve">or Labrador </w:t>
      </w:r>
      <w:r w:rsidR="00A16477">
        <w:rPr>
          <w:color w:val="050606"/>
          <w:sz w:val="18"/>
          <w:szCs w:val="18"/>
        </w:rPr>
        <w:t>Consideration</w:t>
      </w:r>
      <w:r w:rsidR="002514E7">
        <w:rPr>
          <w:color w:val="050606"/>
          <w:sz w:val="18"/>
          <w:szCs w:val="18"/>
        </w:rPr>
        <w:t xml:space="preserve"> Shares</w:t>
      </w:r>
      <w:r>
        <w:rPr>
          <w:color w:val="050606"/>
          <w:sz w:val="18"/>
          <w:szCs w:val="18"/>
        </w:rPr>
        <w:t>, collecting funds and communications regarding the</w:t>
      </w:r>
      <w:r>
        <w:rPr>
          <w:color w:val="050606"/>
          <w:spacing w:val="1"/>
          <w:sz w:val="18"/>
          <w:szCs w:val="18"/>
        </w:rPr>
        <w:t xml:space="preserve"> </w:t>
      </w:r>
      <w:r w:rsidR="00E700B8">
        <w:rPr>
          <w:color w:val="050606"/>
          <w:sz w:val="18"/>
          <w:szCs w:val="18"/>
        </w:rPr>
        <w:t>Placing</w:t>
      </w:r>
      <w:r w:rsidR="002514E7">
        <w:rPr>
          <w:color w:val="050606"/>
          <w:sz w:val="18"/>
          <w:szCs w:val="18"/>
        </w:rPr>
        <w:t xml:space="preserve"> or Labrador </w:t>
      </w:r>
      <w:proofErr w:type="gramStart"/>
      <w:r w:rsidR="002514E7">
        <w:rPr>
          <w:color w:val="050606"/>
          <w:sz w:val="18"/>
          <w:szCs w:val="18"/>
        </w:rPr>
        <w:t>Acquisition</w:t>
      </w:r>
      <w:r>
        <w:rPr>
          <w:color w:val="050606"/>
          <w:sz w:val="18"/>
          <w:szCs w:val="18"/>
        </w:rPr>
        <w:t>;</w:t>
      </w:r>
      <w:proofErr w:type="gramEnd"/>
    </w:p>
    <w:p w14:paraId="4C968D91" w14:textId="77777777" w:rsidR="00783288" w:rsidRDefault="00783288">
      <w:pPr>
        <w:pStyle w:val="BodyText"/>
        <w:kinsoku w:val="0"/>
        <w:overflowPunct w:val="0"/>
        <w:spacing w:before="10"/>
        <w:rPr>
          <w:sz w:val="17"/>
          <w:szCs w:val="17"/>
        </w:rPr>
      </w:pPr>
    </w:p>
    <w:p w14:paraId="46C1C340" w14:textId="77777777" w:rsidR="00783288" w:rsidRDefault="00E31420" w:rsidP="00512495">
      <w:pPr>
        <w:pStyle w:val="ListParagraph"/>
        <w:numPr>
          <w:ilvl w:val="1"/>
          <w:numId w:val="21"/>
        </w:numPr>
        <w:tabs>
          <w:tab w:val="left" w:pos="1433"/>
        </w:tabs>
        <w:kinsoku w:val="0"/>
        <w:overflowPunct w:val="0"/>
        <w:ind w:right="1192"/>
        <w:jc w:val="both"/>
        <w:rPr>
          <w:color w:val="050606"/>
          <w:sz w:val="18"/>
          <w:szCs w:val="18"/>
        </w:rPr>
      </w:pPr>
      <w:r>
        <w:rPr>
          <w:color w:val="050606"/>
          <w:sz w:val="18"/>
          <w:szCs w:val="18"/>
        </w:rPr>
        <w:t>verifying the identity of the investor to comply with statutory and regulatory requirements including but not limited to in relation to anti-money laundering</w:t>
      </w:r>
      <w:r>
        <w:rPr>
          <w:color w:val="050606"/>
          <w:spacing w:val="-5"/>
          <w:sz w:val="18"/>
          <w:szCs w:val="18"/>
        </w:rPr>
        <w:t xml:space="preserve"> </w:t>
      </w:r>
      <w:proofErr w:type="gramStart"/>
      <w:r>
        <w:rPr>
          <w:color w:val="050606"/>
          <w:sz w:val="18"/>
          <w:szCs w:val="18"/>
        </w:rPr>
        <w:t>procedures;</w:t>
      </w:r>
      <w:proofErr w:type="gramEnd"/>
    </w:p>
    <w:p w14:paraId="126C4459" w14:textId="77777777" w:rsidR="00783288" w:rsidRDefault="00783288">
      <w:pPr>
        <w:pStyle w:val="BodyText"/>
        <w:kinsoku w:val="0"/>
        <w:overflowPunct w:val="0"/>
      </w:pPr>
    </w:p>
    <w:p w14:paraId="5E86B27E" w14:textId="77777777" w:rsidR="00783288" w:rsidRDefault="00E31420" w:rsidP="00512495">
      <w:pPr>
        <w:pStyle w:val="ListParagraph"/>
        <w:numPr>
          <w:ilvl w:val="1"/>
          <w:numId w:val="21"/>
        </w:numPr>
        <w:tabs>
          <w:tab w:val="left" w:pos="1433"/>
        </w:tabs>
        <w:kinsoku w:val="0"/>
        <w:overflowPunct w:val="0"/>
        <w:spacing w:before="1"/>
        <w:ind w:right="1191"/>
        <w:jc w:val="both"/>
        <w:rPr>
          <w:color w:val="050606"/>
          <w:sz w:val="18"/>
          <w:szCs w:val="18"/>
        </w:rPr>
      </w:pPr>
      <w:r>
        <w:rPr>
          <w:color w:val="050606"/>
          <w:sz w:val="18"/>
          <w:szCs w:val="18"/>
        </w:rPr>
        <w:t>meeting the legal, regulatory, reporting and/or financial obligations of the Company in the United Kingdom or</w:t>
      </w:r>
      <w:r>
        <w:rPr>
          <w:color w:val="050606"/>
          <w:spacing w:val="-2"/>
          <w:sz w:val="18"/>
          <w:szCs w:val="18"/>
        </w:rPr>
        <w:t xml:space="preserve"> </w:t>
      </w:r>
      <w:proofErr w:type="gramStart"/>
      <w:r>
        <w:rPr>
          <w:color w:val="050606"/>
          <w:sz w:val="18"/>
          <w:szCs w:val="18"/>
        </w:rPr>
        <w:t>elsewhere;</w:t>
      </w:r>
      <w:proofErr w:type="gramEnd"/>
    </w:p>
    <w:p w14:paraId="707A7366" w14:textId="77777777" w:rsidR="00783288" w:rsidRDefault="00783288">
      <w:pPr>
        <w:pStyle w:val="BodyText"/>
        <w:kinsoku w:val="0"/>
        <w:overflowPunct w:val="0"/>
      </w:pPr>
    </w:p>
    <w:p w14:paraId="24A9F1EA" w14:textId="77777777" w:rsidR="00783288" w:rsidRDefault="00E31420" w:rsidP="00512495">
      <w:pPr>
        <w:pStyle w:val="ListParagraph"/>
        <w:numPr>
          <w:ilvl w:val="1"/>
          <w:numId w:val="21"/>
        </w:numPr>
        <w:tabs>
          <w:tab w:val="left" w:pos="1433"/>
        </w:tabs>
        <w:kinsoku w:val="0"/>
        <w:overflowPunct w:val="0"/>
        <w:ind w:right="1190"/>
        <w:jc w:val="both"/>
        <w:rPr>
          <w:color w:val="050606"/>
          <w:sz w:val="18"/>
          <w:szCs w:val="18"/>
        </w:rPr>
      </w:pPr>
      <w:r>
        <w:rPr>
          <w:color w:val="050606"/>
          <w:sz w:val="18"/>
          <w:szCs w:val="18"/>
        </w:rPr>
        <w:t>administering the Company’s shareholder records, including sending notices and information about the Company to its</w:t>
      </w:r>
      <w:r>
        <w:rPr>
          <w:color w:val="050606"/>
          <w:spacing w:val="-2"/>
          <w:sz w:val="18"/>
          <w:szCs w:val="18"/>
        </w:rPr>
        <w:t xml:space="preserve"> </w:t>
      </w:r>
      <w:proofErr w:type="gramStart"/>
      <w:r>
        <w:rPr>
          <w:color w:val="050606"/>
          <w:sz w:val="18"/>
          <w:szCs w:val="18"/>
        </w:rPr>
        <w:t>shareholders;</w:t>
      </w:r>
      <w:proofErr w:type="gramEnd"/>
    </w:p>
    <w:p w14:paraId="26B25A2D" w14:textId="77777777" w:rsidR="00783288" w:rsidRDefault="00783288">
      <w:pPr>
        <w:pStyle w:val="BodyText"/>
        <w:kinsoku w:val="0"/>
        <w:overflowPunct w:val="0"/>
        <w:spacing w:before="1"/>
      </w:pPr>
    </w:p>
    <w:p w14:paraId="233A44B8" w14:textId="77777777" w:rsidR="00783288" w:rsidRDefault="00E31420" w:rsidP="00512495">
      <w:pPr>
        <w:pStyle w:val="ListParagraph"/>
        <w:numPr>
          <w:ilvl w:val="1"/>
          <w:numId w:val="21"/>
        </w:numPr>
        <w:tabs>
          <w:tab w:val="left" w:pos="1433"/>
        </w:tabs>
        <w:kinsoku w:val="0"/>
        <w:overflowPunct w:val="0"/>
        <w:rPr>
          <w:color w:val="050606"/>
          <w:sz w:val="18"/>
          <w:szCs w:val="18"/>
        </w:rPr>
      </w:pPr>
      <w:r>
        <w:rPr>
          <w:color w:val="050606"/>
          <w:sz w:val="18"/>
          <w:szCs w:val="18"/>
        </w:rPr>
        <w:t>administering the payment of dividends and any tax liabilities that may arise from the</w:t>
      </w:r>
      <w:r>
        <w:rPr>
          <w:color w:val="050606"/>
          <w:spacing w:val="-17"/>
          <w:sz w:val="18"/>
          <w:szCs w:val="18"/>
        </w:rPr>
        <w:t xml:space="preserve"> </w:t>
      </w:r>
      <w:proofErr w:type="gramStart"/>
      <w:r>
        <w:rPr>
          <w:color w:val="050606"/>
          <w:sz w:val="18"/>
          <w:szCs w:val="18"/>
        </w:rPr>
        <w:t>same;</w:t>
      </w:r>
      <w:proofErr w:type="gramEnd"/>
    </w:p>
    <w:p w14:paraId="0D6B0E8E" w14:textId="77777777" w:rsidR="00783288" w:rsidRDefault="00783288">
      <w:pPr>
        <w:pStyle w:val="BodyText"/>
        <w:kinsoku w:val="0"/>
        <w:overflowPunct w:val="0"/>
        <w:spacing w:before="10"/>
        <w:rPr>
          <w:sz w:val="17"/>
          <w:szCs w:val="17"/>
        </w:rPr>
      </w:pPr>
    </w:p>
    <w:p w14:paraId="5F1A0A8B" w14:textId="77777777" w:rsidR="00783288" w:rsidRDefault="00E31420" w:rsidP="00512495">
      <w:pPr>
        <w:pStyle w:val="ListParagraph"/>
        <w:numPr>
          <w:ilvl w:val="1"/>
          <w:numId w:val="21"/>
        </w:numPr>
        <w:tabs>
          <w:tab w:val="left" w:pos="1433"/>
        </w:tabs>
        <w:kinsoku w:val="0"/>
        <w:overflowPunct w:val="0"/>
        <w:ind w:right="1190"/>
        <w:jc w:val="both"/>
        <w:rPr>
          <w:color w:val="050606"/>
          <w:sz w:val="18"/>
          <w:szCs w:val="18"/>
        </w:rPr>
      </w:pPr>
      <w:r>
        <w:rPr>
          <w:color w:val="050606"/>
          <w:sz w:val="18"/>
          <w:szCs w:val="18"/>
        </w:rPr>
        <w:t>disclosing personal data to other functionaries of, or advisers to, the Company to operate and/or administer the Company.</w:t>
      </w:r>
    </w:p>
    <w:p w14:paraId="05134FBD" w14:textId="77777777" w:rsidR="00783288" w:rsidRDefault="00783288">
      <w:pPr>
        <w:pStyle w:val="BodyText"/>
        <w:kinsoku w:val="0"/>
        <w:overflowPunct w:val="0"/>
      </w:pPr>
    </w:p>
    <w:p w14:paraId="50E6C5F3" w14:textId="77777777" w:rsidR="00783288" w:rsidRDefault="00E31420" w:rsidP="00512495">
      <w:pPr>
        <w:pStyle w:val="ListParagraph"/>
        <w:numPr>
          <w:ilvl w:val="0"/>
          <w:numId w:val="21"/>
        </w:numPr>
        <w:tabs>
          <w:tab w:val="left" w:pos="867"/>
        </w:tabs>
        <w:kinsoku w:val="0"/>
        <w:overflowPunct w:val="0"/>
        <w:spacing w:before="1"/>
        <w:rPr>
          <w:color w:val="050606"/>
          <w:sz w:val="18"/>
          <w:szCs w:val="18"/>
        </w:rPr>
      </w:pPr>
      <w:r>
        <w:rPr>
          <w:color w:val="050606"/>
          <w:sz w:val="18"/>
          <w:szCs w:val="18"/>
        </w:rPr>
        <w:t>The legal basis on which such personal data is provided</w:t>
      </w:r>
      <w:r>
        <w:rPr>
          <w:color w:val="050606"/>
          <w:spacing w:val="-8"/>
          <w:sz w:val="18"/>
          <w:szCs w:val="18"/>
        </w:rPr>
        <w:t xml:space="preserve"> </w:t>
      </w:r>
      <w:r>
        <w:rPr>
          <w:color w:val="050606"/>
          <w:sz w:val="18"/>
          <w:szCs w:val="18"/>
        </w:rPr>
        <w:t>is:</w:t>
      </w:r>
    </w:p>
    <w:p w14:paraId="4044CF46" w14:textId="77777777" w:rsidR="00783288" w:rsidRDefault="00783288">
      <w:pPr>
        <w:pStyle w:val="BodyText"/>
        <w:kinsoku w:val="0"/>
        <w:overflowPunct w:val="0"/>
        <w:spacing w:before="10"/>
        <w:rPr>
          <w:sz w:val="17"/>
          <w:szCs w:val="17"/>
        </w:rPr>
      </w:pPr>
    </w:p>
    <w:p w14:paraId="2AD07BA9" w14:textId="77777777" w:rsidR="00783288" w:rsidRDefault="00E31420" w:rsidP="00512495">
      <w:pPr>
        <w:pStyle w:val="ListParagraph"/>
        <w:numPr>
          <w:ilvl w:val="1"/>
          <w:numId w:val="21"/>
        </w:numPr>
        <w:tabs>
          <w:tab w:val="left" w:pos="1433"/>
        </w:tabs>
        <w:kinsoku w:val="0"/>
        <w:overflowPunct w:val="0"/>
        <w:ind w:right="1190"/>
        <w:jc w:val="both"/>
        <w:rPr>
          <w:color w:val="050606"/>
          <w:sz w:val="18"/>
          <w:szCs w:val="18"/>
        </w:rPr>
      </w:pPr>
      <w:r>
        <w:rPr>
          <w:color w:val="050606"/>
          <w:sz w:val="18"/>
          <w:szCs w:val="18"/>
        </w:rPr>
        <w:t>processing is necessary for the performance of a contract to which the investor is party or in order to</w:t>
      </w:r>
      <w:r>
        <w:rPr>
          <w:color w:val="050606"/>
          <w:spacing w:val="-4"/>
          <w:sz w:val="18"/>
          <w:szCs w:val="18"/>
        </w:rPr>
        <w:t xml:space="preserve"> </w:t>
      </w:r>
      <w:r>
        <w:rPr>
          <w:color w:val="050606"/>
          <w:sz w:val="18"/>
          <w:szCs w:val="18"/>
        </w:rPr>
        <w:t>take</w:t>
      </w:r>
      <w:r>
        <w:rPr>
          <w:color w:val="050606"/>
          <w:spacing w:val="-6"/>
          <w:sz w:val="18"/>
          <w:szCs w:val="18"/>
        </w:rPr>
        <w:t xml:space="preserve"> </w:t>
      </w:r>
      <w:r>
        <w:rPr>
          <w:color w:val="050606"/>
          <w:sz w:val="18"/>
          <w:szCs w:val="18"/>
        </w:rPr>
        <w:t>steps</w:t>
      </w:r>
      <w:r>
        <w:rPr>
          <w:color w:val="050606"/>
          <w:spacing w:val="-5"/>
          <w:sz w:val="18"/>
          <w:szCs w:val="18"/>
        </w:rPr>
        <w:t xml:space="preserve"> </w:t>
      </w:r>
      <w:r>
        <w:rPr>
          <w:color w:val="050606"/>
          <w:sz w:val="18"/>
          <w:szCs w:val="18"/>
        </w:rPr>
        <w:t>at</w:t>
      </w:r>
      <w:r>
        <w:rPr>
          <w:color w:val="050606"/>
          <w:spacing w:val="-6"/>
          <w:sz w:val="18"/>
          <w:szCs w:val="18"/>
        </w:rPr>
        <w:t xml:space="preserve"> </w:t>
      </w:r>
      <w:r>
        <w:rPr>
          <w:color w:val="050606"/>
          <w:sz w:val="18"/>
          <w:szCs w:val="18"/>
        </w:rPr>
        <w:t>the</w:t>
      </w:r>
      <w:r>
        <w:rPr>
          <w:color w:val="050606"/>
          <w:spacing w:val="-4"/>
          <w:sz w:val="18"/>
          <w:szCs w:val="18"/>
        </w:rPr>
        <w:t xml:space="preserve"> </w:t>
      </w:r>
      <w:r>
        <w:rPr>
          <w:color w:val="050606"/>
          <w:sz w:val="18"/>
          <w:szCs w:val="18"/>
        </w:rPr>
        <w:t>request</w:t>
      </w:r>
      <w:r>
        <w:rPr>
          <w:color w:val="050606"/>
          <w:spacing w:val="-5"/>
          <w:sz w:val="18"/>
          <w:szCs w:val="18"/>
        </w:rPr>
        <w:t xml:space="preserve"> </w:t>
      </w:r>
      <w:r>
        <w:rPr>
          <w:color w:val="050606"/>
          <w:sz w:val="18"/>
          <w:szCs w:val="18"/>
        </w:rPr>
        <w:t>of</w:t>
      </w:r>
      <w:r>
        <w:rPr>
          <w:color w:val="050606"/>
          <w:spacing w:val="-6"/>
          <w:sz w:val="18"/>
          <w:szCs w:val="18"/>
        </w:rPr>
        <w:t xml:space="preserve"> </w:t>
      </w:r>
      <w:r>
        <w:rPr>
          <w:color w:val="050606"/>
          <w:sz w:val="18"/>
          <w:szCs w:val="18"/>
        </w:rPr>
        <w:t>the</w:t>
      </w:r>
      <w:r>
        <w:rPr>
          <w:color w:val="050606"/>
          <w:spacing w:val="-4"/>
          <w:sz w:val="18"/>
          <w:szCs w:val="18"/>
        </w:rPr>
        <w:t xml:space="preserve"> </w:t>
      </w:r>
      <w:r>
        <w:rPr>
          <w:color w:val="050606"/>
          <w:sz w:val="18"/>
          <w:szCs w:val="18"/>
        </w:rPr>
        <w:t>investor</w:t>
      </w:r>
      <w:r>
        <w:rPr>
          <w:color w:val="050606"/>
          <w:spacing w:val="-6"/>
          <w:sz w:val="18"/>
          <w:szCs w:val="18"/>
        </w:rPr>
        <w:t xml:space="preserve"> </w:t>
      </w:r>
      <w:r>
        <w:rPr>
          <w:color w:val="050606"/>
          <w:sz w:val="18"/>
          <w:szCs w:val="18"/>
        </w:rPr>
        <w:t>prior</w:t>
      </w:r>
      <w:r>
        <w:rPr>
          <w:color w:val="050606"/>
          <w:spacing w:val="-7"/>
          <w:sz w:val="18"/>
          <w:szCs w:val="18"/>
        </w:rPr>
        <w:t xml:space="preserve"> </w:t>
      </w:r>
      <w:r>
        <w:rPr>
          <w:color w:val="050606"/>
          <w:sz w:val="18"/>
          <w:szCs w:val="18"/>
        </w:rPr>
        <w:t>to</w:t>
      </w:r>
      <w:r>
        <w:rPr>
          <w:color w:val="050606"/>
          <w:spacing w:val="-6"/>
          <w:sz w:val="18"/>
          <w:szCs w:val="18"/>
        </w:rPr>
        <w:t xml:space="preserve"> </w:t>
      </w:r>
      <w:r>
        <w:rPr>
          <w:color w:val="050606"/>
          <w:sz w:val="18"/>
          <w:szCs w:val="18"/>
        </w:rPr>
        <w:t>entering</w:t>
      </w:r>
      <w:r>
        <w:rPr>
          <w:color w:val="050606"/>
          <w:spacing w:val="-5"/>
          <w:sz w:val="18"/>
          <w:szCs w:val="18"/>
        </w:rPr>
        <w:t xml:space="preserve"> </w:t>
      </w:r>
      <w:r>
        <w:rPr>
          <w:color w:val="050606"/>
          <w:sz w:val="18"/>
          <w:szCs w:val="18"/>
        </w:rPr>
        <w:t>into</w:t>
      </w:r>
      <w:r>
        <w:rPr>
          <w:color w:val="050606"/>
          <w:spacing w:val="-4"/>
          <w:sz w:val="18"/>
          <w:szCs w:val="18"/>
        </w:rPr>
        <w:t xml:space="preserve"> </w:t>
      </w:r>
      <w:r>
        <w:rPr>
          <w:color w:val="050606"/>
          <w:sz w:val="18"/>
          <w:szCs w:val="18"/>
        </w:rPr>
        <w:t>a</w:t>
      </w:r>
      <w:r>
        <w:rPr>
          <w:color w:val="050606"/>
          <w:spacing w:val="-6"/>
          <w:sz w:val="18"/>
          <w:szCs w:val="18"/>
        </w:rPr>
        <w:t xml:space="preserve"> </w:t>
      </w:r>
      <w:r>
        <w:rPr>
          <w:color w:val="050606"/>
          <w:sz w:val="18"/>
          <w:szCs w:val="18"/>
        </w:rPr>
        <w:t>contract</w:t>
      </w:r>
      <w:r>
        <w:rPr>
          <w:color w:val="050606"/>
          <w:spacing w:val="-3"/>
          <w:sz w:val="18"/>
          <w:szCs w:val="18"/>
        </w:rPr>
        <w:t xml:space="preserve"> </w:t>
      </w:r>
      <w:r>
        <w:rPr>
          <w:color w:val="050606"/>
          <w:sz w:val="18"/>
          <w:szCs w:val="18"/>
        </w:rPr>
        <w:t>(in</w:t>
      </w:r>
      <w:r>
        <w:rPr>
          <w:color w:val="050606"/>
          <w:spacing w:val="-6"/>
          <w:sz w:val="18"/>
          <w:szCs w:val="18"/>
        </w:rPr>
        <w:t xml:space="preserve"> </w:t>
      </w:r>
      <w:r>
        <w:rPr>
          <w:color w:val="050606"/>
          <w:sz w:val="18"/>
          <w:szCs w:val="18"/>
        </w:rPr>
        <w:t>each</w:t>
      </w:r>
      <w:r>
        <w:rPr>
          <w:color w:val="050606"/>
          <w:spacing w:val="-6"/>
          <w:sz w:val="18"/>
          <w:szCs w:val="18"/>
        </w:rPr>
        <w:t xml:space="preserve"> </w:t>
      </w:r>
      <w:r>
        <w:rPr>
          <w:color w:val="050606"/>
          <w:sz w:val="18"/>
          <w:szCs w:val="18"/>
        </w:rPr>
        <w:t>case</w:t>
      </w:r>
      <w:r>
        <w:rPr>
          <w:color w:val="050606"/>
          <w:spacing w:val="-5"/>
          <w:sz w:val="18"/>
          <w:szCs w:val="18"/>
        </w:rPr>
        <w:t xml:space="preserve"> </w:t>
      </w:r>
      <w:r>
        <w:rPr>
          <w:color w:val="050606"/>
          <w:sz w:val="18"/>
          <w:szCs w:val="18"/>
        </w:rPr>
        <w:t>the</w:t>
      </w:r>
      <w:r>
        <w:rPr>
          <w:color w:val="050606"/>
          <w:spacing w:val="-9"/>
          <w:sz w:val="18"/>
          <w:szCs w:val="18"/>
        </w:rPr>
        <w:t xml:space="preserve"> </w:t>
      </w:r>
      <w:r>
        <w:rPr>
          <w:color w:val="050606"/>
          <w:sz w:val="18"/>
          <w:szCs w:val="18"/>
        </w:rPr>
        <w:t>contract concerned being the contract to subscribe for shares in the Company);</w:t>
      </w:r>
      <w:r>
        <w:rPr>
          <w:color w:val="050606"/>
          <w:spacing w:val="-11"/>
          <w:sz w:val="18"/>
          <w:szCs w:val="18"/>
        </w:rPr>
        <w:t xml:space="preserve"> </w:t>
      </w:r>
      <w:r>
        <w:rPr>
          <w:color w:val="050606"/>
          <w:sz w:val="18"/>
          <w:szCs w:val="18"/>
        </w:rPr>
        <w:t>and/or</w:t>
      </w:r>
    </w:p>
    <w:p w14:paraId="1B24C3F6" w14:textId="77777777" w:rsidR="00783288" w:rsidRDefault="00783288">
      <w:pPr>
        <w:pStyle w:val="BodyText"/>
        <w:kinsoku w:val="0"/>
        <w:overflowPunct w:val="0"/>
      </w:pPr>
    </w:p>
    <w:p w14:paraId="6C7E655E" w14:textId="77777777" w:rsidR="00783288" w:rsidRDefault="00E31420" w:rsidP="00512495">
      <w:pPr>
        <w:pStyle w:val="ListParagraph"/>
        <w:numPr>
          <w:ilvl w:val="1"/>
          <w:numId w:val="21"/>
        </w:numPr>
        <w:tabs>
          <w:tab w:val="left" w:pos="1433"/>
        </w:tabs>
        <w:kinsoku w:val="0"/>
        <w:overflowPunct w:val="0"/>
        <w:ind w:right="1193"/>
        <w:jc w:val="both"/>
        <w:rPr>
          <w:color w:val="050606"/>
          <w:sz w:val="18"/>
          <w:szCs w:val="18"/>
        </w:rPr>
      </w:pPr>
      <w:r>
        <w:rPr>
          <w:color w:val="050606"/>
          <w:sz w:val="18"/>
          <w:szCs w:val="18"/>
        </w:rPr>
        <w:t>processing is necessary for compliance with legal obligations to which the Company is subject, particularly those set out in paragraphs 3.2 and 3.3 above;</w:t>
      </w:r>
      <w:r>
        <w:rPr>
          <w:color w:val="050606"/>
          <w:spacing w:val="-6"/>
          <w:sz w:val="18"/>
          <w:szCs w:val="18"/>
        </w:rPr>
        <w:t xml:space="preserve"> </w:t>
      </w:r>
      <w:r>
        <w:rPr>
          <w:color w:val="050606"/>
          <w:sz w:val="18"/>
          <w:szCs w:val="18"/>
        </w:rPr>
        <w:t>and/or</w:t>
      </w:r>
    </w:p>
    <w:p w14:paraId="4803BF68" w14:textId="77777777" w:rsidR="00783288" w:rsidRDefault="00783288">
      <w:pPr>
        <w:pStyle w:val="BodyText"/>
        <w:kinsoku w:val="0"/>
        <w:overflowPunct w:val="0"/>
      </w:pPr>
    </w:p>
    <w:p w14:paraId="52D2E726" w14:textId="77777777" w:rsidR="00783288" w:rsidRDefault="00E31420" w:rsidP="00512495">
      <w:pPr>
        <w:pStyle w:val="ListParagraph"/>
        <w:numPr>
          <w:ilvl w:val="1"/>
          <w:numId w:val="21"/>
        </w:numPr>
        <w:tabs>
          <w:tab w:val="left" w:pos="1433"/>
        </w:tabs>
        <w:kinsoku w:val="0"/>
        <w:overflowPunct w:val="0"/>
        <w:ind w:right="1191"/>
        <w:jc w:val="both"/>
        <w:rPr>
          <w:color w:val="050606"/>
          <w:sz w:val="18"/>
          <w:szCs w:val="18"/>
        </w:rPr>
      </w:pPr>
      <w:r>
        <w:rPr>
          <w:color w:val="050606"/>
          <w:sz w:val="18"/>
          <w:szCs w:val="18"/>
        </w:rPr>
        <w:t>the processing is necessary for the purposes of the legitimate interests pursued by the Company, namely the issue of shares and the effective administration of its shareholder</w:t>
      </w:r>
      <w:r>
        <w:rPr>
          <w:color w:val="050606"/>
          <w:spacing w:val="-19"/>
          <w:sz w:val="18"/>
          <w:szCs w:val="18"/>
        </w:rPr>
        <w:t xml:space="preserve"> </w:t>
      </w:r>
      <w:r>
        <w:rPr>
          <w:color w:val="050606"/>
          <w:sz w:val="18"/>
          <w:szCs w:val="18"/>
        </w:rPr>
        <w:t>records.</w:t>
      </w:r>
    </w:p>
    <w:p w14:paraId="7FFA8BFF" w14:textId="77777777" w:rsidR="00783288" w:rsidRDefault="00783288">
      <w:pPr>
        <w:pStyle w:val="BodyText"/>
        <w:kinsoku w:val="0"/>
        <w:overflowPunct w:val="0"/>
        <w:spacing w:before="1"/>
      </w:pPr>
    </w:p>
    <w:p w14:paraId="49D9A4C1" w14:textId="77777777" w:rsidR="00783288" w:rsidRDefault="00E31420" w:rsidP="00512495">
      <w:pPr>
        <w:pStyle w:val="ListParagraph"/>
        <w:numPr>
          <w:ilvl w:val="0"/>
          <w:numId w:val="21"/>
        </w:numPr>
        <w:tabs>
          <w:tab w:val="left" w:pos="867"/>
        </w:tabs>
        <w:kinsoku w:val="0"/>
        <w:overflowPunct w:val="0"/>
        <w:rPr>
          <w:color w:val="050606"/>
          <w:sz w:val="18"/>
          <w:szCs w:val="18"/>
        </w:rPr>
      </w:pPr>
      <w:r>
        <w:rPr>
          <w:color w:val="050606"/>
          <w:sz w:val="18"/>
          <w:szCs w:val="18"/>
        </w:rPr>
        <w:t>The</w:t>
      </w:r>
      <w:r>
        <w:rPr>
          <w:color w:val="050606"/>
          <w:spacing w:val="-9"/>
          <w:sz w:val="18"/>
          <w:szCs w:val="18"/>
        </w:rPr>
        <w:t xml:space="preserve"> </w:t>
      </w:r>
      <w:r>
        <w:rPr>
          <w:color w:val="050606"/>
          <w:sz w:val="18"/>
          <w:szCs w:val="18"/>
        </w:rPr>
        <w:t>Company</w:t>
      </w:r>
      <w:r>
        <w:rPr>
          <w:color w:val="050606"/>
          <w:spacing w:val="-9"/>
          <w:sz w:val="18"/>
          <w:szCs w:val="18"/>
        </w:rPr>
        <w:t xml:space="preserve"> </w:t>
      </w:r>
      <w:r>
        <w:rPr>
          <w:color w:val="050606"/>
          <w:sz w:val="18"/>
          <w:szCs w:val="18"/>
        </w:rPr>
        <w:t>may</w:t>
      </w:r>
      <w:r>
        <w:rPr>
          <w:color w:val="050606"/>
          <w:spacing w:val="-9"/>
          <w:sz w:val="18"/>
          <w:szCs w:val="18"/>
        </w:rPr>
        <w:t xml:space="preserve"> </w:t>
      </w:r>
      <w:r>
        <w:rPr>
          <w:color w:val="050606"/>
          <w:sz w:val="18"/>
          <w:szCs w:val="18"/>
        </w:rPr>
        <w:t>provide</w:t>
      </w:r>
      <w:r>
        <w:rPr>
          <w:color w:val="050606"/>
          <w:spacing w:val="-8"/>
          <w:sz w:val="18"/>
          <w:szCs w:val="18"/>
        </w:rPr>
        <w:t xml:space="preserve"> </w:t>
      </w:r>
      <w:r>
        <w:rPr>
          <w:color w:val="050606"/>
          <w:sz w:val="18"/>
          <w:szCs w:val="18"/>
        </w:rPr>
        <w:t>personal</w:t>
      </w:r>
      <w:r>
        <w:rPr>
          <w:color w:val="050606"/>
          <w:spacing w:val="-8"/>
          <w:sz w:val="18"/>
          <w:szCs w:val="18"/>
        </w:rPr>
        <w:t xml:space="preserve"> </w:t>
      </w:r>
      <w:r>
        <w:rPr>
          <w:color w:val="050606"/>
          <w:sz w:val="18"/>
          <w:szCs w:val="18"/>
        </w:rPr>
        <w:t>data</w:t>
      </w:r>
      <w:r>
        <w:rPr>
          <w:color w:val="050606"/>
          <w:spacing w:val="-8"/>
          <w:sz w:val="18"/>
          <w:szCs w:val="18"/>
        </w:rPr>
        <w:t xml:space="preserve"> </w:t>
      </w:r>
      <w:r>
        <w:rPr>
          <w:color w:val="050606"/>
          <w:sz w:val="18"/>
          <w:szCs w:val="18"/>
        </w:rPr>
        <w:t>regarding</w:t>
      </w:r>
      <w:r>
        <w:rPr>
          <w:color w:val="050606"/>
          <w:spacing w:val="-10"/>
          <w:sz w:val="18"/>
          <w:szCs w:val="18"/>
        </w:rPr>
        <w:t xml:space="preserve"> </w:t>
      </w:r>
      <w:r>
        <w:rPr>
          <w:color w:val="050606"/>
          <w:sz w:val="18"/>
          <w:szCs w:val="18"/>
        </w:rPr>
        <w:t>investors</w:t>
      </w:r>
      <w:r>
        <w:rPr>
          <w:color w:val="050606"/>
          <w:spacing w:val="-12"/>
          <w:sz w:val="18"/>
          <w:szCs w:val="18"/>
        </w:rPr>
        <w:t xml:space="preserve"> </w:t>
      </w:r>
      <w:r>
        <w:rPr>
          <w:color w:val="050606"/>
          <w:sz w:val="18"/>
          <w:szCs w:val="18"/>
        </w:rPr>
        <w:t>to</w:t>
      </w:r>
      <w:r>
        <w:rPr>
          <w:color w:val="050606"/>
          <w:spacing w:val="-8"/>
          <w:sz w:val="18"/>
          <w:szCs w:val="18"/>
        </w:rPr>
        <w:t xml:space="preserve"> </w:t>
      </w:r>
      <w:r>
        <w:rPr>
          <w:color w:val="050606"/>
          <w:sz w:val="18"/>
          <w:szCs w:val="18"/>
        </w:rPr>
        <w:t>third</w:t>
      </w:r>
      <w:r>
        <w:rPr>
          <w:color w:val="050606"/>
          <w:spacing w:val="-8"/>
          <w:sz w:val="18"/>
          <w:szCs w:val="18"/>
        </w:rPr>
        <w:t xml:space="preserve"> </w:t>
      </w:r>
      <w:r>
        <w:rPr>
          <w:color w:val="050606"/>
          <w:sz w:val="18"/>
          <w:szCs w:val="18"/>
        </w:rPr>
        <w:t>parties</w:t>
      </w:r>
      <w:r>
        <w:rPr>
          <w:color w:val="050606"/>
          <w:spacing w:val="-9"/>
          <w:sz w:val="18"/>
          <w:szCs w:val="18"/>
        </w:rPr>
        <w:t xml:space="preserve"> </w:t>
      </w:r>
      <w:r>
        <w:rPr>
          <w:color w:val="050606"/>
          <w:sz w:val="18"/>
          <w:szCs w:val="18"/>
        </w:rPr>
        <w:t>in</w:t>
      </w:r>
      <w:r>
        <w:rPr>
          <w:color w:val="050606"/>
          <w:spacing w:val="-8"/>
          <w:sz w:val="18"/>
          <w:szCs w:val="18"/>
        </w:rPr>
        <w:t xml:space="preserve"> </w:t>
      </w:r>
      <w:r>
        <w:rPr>
          <w:color w:val="050606"/>
          <w:sz w:val="18"/>
          <w:szCs w:val="18"/>
        </w:rPr>
        <w:t>the</w:t>
      </w:r>
      <w:r>
        <w:rPr>
          <w:color w:val="050606"/>
          <w:spacing w:val="-8"/>
          <w:sz w:val="18"/>
          <w:szCs w:val="18"/>
        </w:rPr>
        <w:t xml:space="preserve"> </w:t>
      </w:r>
      <w:r>
        <w:rPr>
          <w:color w:val="050606"/>
          <w:sz w:val="18"/>
          <w:szCs w:val="18"/>
        </w:rPr>
        <w:t>following</w:t>
      </w:r>
      <w:r>
        <w:rPr>
          <w:color w:val="050606"/>
          <w:spacing w:val="-10"/>
          <w:sz w:val="18"/>
          <w:szCs w:val="18"/>
        </w:rPr>
        <w:t xml:space="preserve"> </w:t>
      </w:r>
      <w:r>
        <w:rPr>
          <w:color w:val="050606"/>
          <w:sz w:val="18"/>
          <w:szCs w:val="18"/>
        </w:rPr>
        <w:t>circumstances:</w:t>
      </w:r>
    </w:p>
    <w:p w14:paraId="3D926857" w14:textId="77777777" w:rsidR="00783288" w:rsidRDefault="00783288">
      <w:pPr>
        <w:pStyle w:val="BodyText"/>
        <w:kinsoku w:val="0"/>
        <w:overflowPunct w:val="0"/>
        <w:spacing w:before="10"/>
        <w:rPr>
          <w:sz w:val="17"/>
          <w:szCs w:val="17"/>
        </w:rPr>
      </w:pPr>
    </w:p>
    <w:p w14:paraId="34B99E7C" w14:textId="77777777" w:rsidR="00783288" w:rsidRDefault="00E31420" w:rsidP="00512495">
      <w:pPr>
        <w:pStyle w:val="ListParagraph"/>
        <w:numPr>
          <w:ilvl w:val="1"/>
          <w:numId w:val="21"/>
        </w:numPr>
        <w:tabs>
          <w:tab w:val="left" w:pos="1433"/>
        </w:tabs>
        <w:kinsoku w:val="0"/>
        <w:overflowPunct w:val="0"/>
        <w:ind w:right="1189"/>
        <w:jc w:val="both"/>
        <w:rPr>
          <w:color w:val="050606"/>
          <w:sz w:val="18"/>
          <w:szCs w:val="18"/>
        </w:rPr>
      </w:pPr>
      <w:r>
        <w:rPr>
          <w:color w:val="050606"/>
          <w:sz w:val="18"/>
          <w:szCs w:val="18"/>
        </w:rPr>
        <w:t>it will be required to disclose information about investors to government and regulatory and tax authorities in order to comply with applicable</w:t>
      </w:r>
      <w:r>
        <w:rPr>
          <w:color w:val="050606"/>
          <w:spacing w:val="-4"/>
          <w:sz w:val="18"/>
          <w:szCs w:val="18"/>
        </w:rPr>
        <w:t xml:space="preserve"> </w:t>
      </w:r>
      <w:proofErr w:type="gramStart"/>
      <w:r>
        <w:rPr>
          <w:color w:val="050606"/>
          <w:sz w:val="18"/>
          <w:szCs w:val="18"/>
        </w:rPr>
        <w:t>law;</w:t>
      </w:r>
      <w:proofErr w:type="gramEnd"/>
    </w:p>
    <w:p w14:paraId="5001BC75" w14:textId="77777777" w:rsidR="00783288" w:rsidRDefault="00783288">
      <w:pPr>
        <w:pStyle w:val="BodyText"/>
        <w:kinsoku w:val="0"/>
        <w:overflowPunct w:val="0"/>
        <w:spacing w:before="1"/>
      </w:pPr>
    </w:p>
    <w:p w14:paraId="6DA7C44B" w14:textId="77777777" w:rsidR="00783288" w:rsidRDefault="00E31420" w:rsidP="00512495">
      <w:pPr>
        <w:pStyle w:val="ListParagraph"/>
        <w:numPr>
          <w:ilvl w:val="1"/>
          <w:numId w:val="21"/>
        </w:numPr>
        <w:tabs>
          <w:tab w:val="left" w:pos="1433"/>
        </w:tabs>
        <w:kinsoku w:val="0"/>
        <w:overflowPunct w:val="0"/>
        <w:ind w:right="1189"/>
        <w:jc w:val="both"/>
        <w:rPr>
          <w:color w:val="050606"/>
          <w:sz w:val="18"/>
          <w:szCs w:val="18"/>
        </w:rPr>
      </w:pPr>
      <w:r>
        <w:rPr>
          <w:color w:val="050606"/>
          <w:sz w:val="18"/>
          <w:szCs w:val="18"/>
        </w:rPr>
        <w:t>it</w:t>
      </w:r>
      <w:r>
        <w:rPr>
          <w:color w:val="050606"/>
          <w:spacing w:val="-10"/>
          <w:sz w:val="18"/>
          <w:szCs w:val="18"/>
        </w:rPr>
        <w:t xml:space="preserve"> </w:t>
      </w:r>
      <w:r>
        <w:rPr>
          <w:color w:val="050606"/>
          <w:sz w:val="18"/>
          <w:szCs w:val="18"/>
        </w:rPr>
        <w:t>may</w:t>
      </w:r>
      <w:r>
        <w:rPr>
          <w:color w:val="050606"/>
          <w:spacing w:val="-11"/>
          <w:sz w:val="18"/>
          <w:szCs w:val="18"/>
        </w:rPr>
        <w:t xml:space="preserve"> </w:t>
      </w:r>
      <w:r>
        <w:rPr>
          <w:color w:val="050606"/>
          <w:sz w:val="18"/>
          <w:szCs w:val="18"/>
        </w:rPr>
        <w:t>delegate</w:t>
      </w:r>
      <w:r>
        <w:rPr>
          <w:color w:val="050606"/>
          <w:spacing w:val="-12"/>
          <w:sz w:val="18"/>
          <w:szCs w:val="18"/>
        </w:rPr>
        <w:t xml:space="preserve"> </w:t>
      </w:r>
      <w:r>
        <w:rPr>
          <w:color w:val="050606"/>
          <w:sz w:val="18"/>
          <w:szCs w:val="18"/>
        </w:rPr>
        <w:t>certain</w:t>
      </w:r>
      <w:r>
        <w:rPr>
          <w:color w:val="050606"/>
          <w:spacing w:val="-10"/>
          <w:sz w:val="18"/>
          <w:szCs w:val="18"/>
        </w:rPr>
        <w:t xml:space="preserve"> </w:t>
      </w:r>
      <w:r>
        <w:rPr>
          <w:color w:val="050606"/>
          <w:sz w:val="18"/>
          <w:szCs w:val="18"/>
        </w:rPr>
        <w:t>administrative</w:t>
      </w:r>
      <w:r>
        <w:rPr>
          <w:color w:val="050606"/>
          <w:spacing w:val="-9"/>
          <w:sz w:val="18"/>
          <w:szCs w:val="18"/>
        </w:rPr>
        <w:t xml:space="preserve"> </w:t>
      </w:r>
      <w:r>
        <w:rPr>
          <w:color w:val="050606"/>
          <w:sz w:val="18"/>
          <w:szCs w:val="18"/>
        </w:rPr>
        <w:t>functions</w:t>
      </w:r>
      <w:r>
        <w:rPr>
          <w:color w:val="050606"/>
          <w:spacing w:val="-9"/>
          <w:sz w:val="18"/>
          <w:szCs w:val="18"/>
        </w:rPr>
        <w:t xml:space="preserve"> </w:t>
      </w:r>
      <w:r>
        <w:rPr>
          <w:color w:val="050606"/>
          <w:sz w:val="18"/>
          <w:szCs w:val="18"/>
        </w:rPr>
        <w:t>to</w:t>
      </w:r>
      <w:r>
        <w:rPr>
          <w:color w:val="050606"/>
          <w:spacing w:val="-10"/>
          <w:sz w:val="18"/>
          <w:szCs w:val="18"/>
        </w:rPr>
        <w:t xml:space="preserve"> </w:t>
      </w:r>
      <w:r>
        <w:rPr>
          <w:color w:val="050606"/>
          <w:sz w:val="18"/>
          <w:szCs w:val="18"/>
        </w:rPr>
        <w:t>third</w:t>
      </w:r>
      <w:r>
        <w:rPr>
          <w:color w:val="050606"/>
          <w:spacing w:val="-9"/>
          <w:sz w:val="18"/>
          <w:szCs w:val="18"/>
        </w:rPr>
        <w:t xml:space="preserve"> </w:t>
      </w:r>
      <w:r>
        <w:rPr>
          <w:color w:val="050606"/>
          <w:sz w:val="18"/>
          <w:szCs w:val="18"/>
        </w:rPr>
        <w:t>parties</w:t>
      </w:r>
      <w:r>
        <w:rPr>
          <w:color w:val="050606"/>
          <w:spacing w:val="-9"/>
          <w:sz w:val="18"/>
          <w:szCs w:val="18"/>
        </w:rPr>
        <w:t xml:space="preserve"> </w:t>
      </w:r>
      <w:r>
        <w:rPr>
          <w:color w:val="050606"/>
          <w:sz w:val="18"/>
          <w:szCs w:val="18"/>
        </w:rPr>
        <w:t>including</w:t>
      </w:r>
      <w:r>
        <w:rPr>
          <w:color w:val="050606"/>
          <w:spacing w:val="-10"/>
          <w:sz w:val="18"/>
          <w:szCs w:val="18"/>
        </w:rPr>
        <w:t xml:space="preserve"> </w:t>
      </w:r>
      <w:r>
        <w:rPr>
          <w:color w:val="050606"/>
          <w:sz w:val="18"/>
          <w:szCs w:val="18"/>
        </w:rPr>
        <w:t>its</w:t>
      </w:r>
      <w:r>
        <w:rPr>
          <w:color w:val="050606"/>
          <w:spacing w:val="-8"/>
          <w:sz w:val="18"/>
          <w:szCs w:val="18"/>
        </w:rPr>
        <w:t xml:space="preserve"> </w:t>
      </w:r>
      <w:r>
        <w:rPr>
          <w:color w:val="050606"/>
          <w:sz w:val="18"/>
          <w:szCs w:val="18"/>
        </w:rPr>
        <w:t>brokers,</w:t>
      </w:r>
      <w:r>
        <w:rPr>
          <w:color w:val="050606"/>
          <w:spacing w:val="-10"/>
          <w:sz w:val="18"/>
          <w:szCs w:val="18"/>
        </w:rPr>
        <w:t xml:space="preserve"> </w:t>
      </w:r>
      <w:r>
        <w:rPr>
          <w:color w:val="050606"/>
          <w:sz w:val="18"/>
          <w:szCs w:val="18"/>
        </w:rPr>
        <w:t>share</w:t>
      </w:r>
      <w:r>
        <w:rPr>
          <w:color w:val="050606"/>
          <w:spacing w:val="-10"/>
          <w:sz w:val="18"/>
          <w:szCs w:val="18"/>
        </w:rPr>
        <w:t xml:space="preserve"> </w:t>
      </w:r>
      <w:r>
        <w:rPr>
          <w:color w:val="050606"/>
          <w:sz w:val="18"/>
          <w:szCs w:val="18"/>
        </w:rPr>
        <w:t>registrars, solicitors</w:t>
      </w:r>
      <w:r>
        <w:rPr>
          <w:color w:val="050606"/>
          <w:spacing w:val="-10"/>
          <w:sz w:val="18"/>
          <w:szCs w:val="18"/>
        </w:rPr>
        <w:t xml:space="preserve"> </w:t>
      </w:r>
      <w:r>
        <w:rPr>
          <w:color w:val="050606"/>
          <w:sz w:val="18"/>
          <w:szCs w:val="18"/>
        </w:rPr>
        <w:t>and</w:t>
      </w:r>
      <w:r>
        <w:rPr>
          <w:color w:val="050606"/>
          <w:spacing w:val="-11"/>
          <w:sz w:val="18"/>
          <w:szCs w:val="18"/>
        </w:rPr>
        <w:t xml:space="preserve"> </w:t>
      </w:r>
      <w:r>
        <w:rPr>
          <w:color w:val="050606"/>
          <w:sz w:val="18"/>
          <w:szCs w:val="18"/>
        </w:rPr>
        <w:t>accountants</w:t>
      </w:r>
      <w:r>
        <w:rPr>
          <w:color w:val="050606"/>
          <w:spacing w:val="-10"/>
          <w:sz w:val="18"/>
          <w:szCs w:val="18"/>
        </w:rPr>
        <w:t xml:space="preserve"> </w:t>
      </w:r>
      <w:r>
        <w:rPr>
          <w:color w:val="050606"/>
          <w:sz w:val="18"/>
          <w:szCs w:val="18"/>
        </w:rPr>
        <w:t>and,</w:t>
      </w:r>
      <w:r>
        <w:rPr>
          <w:color w:val="050606"/>
          <w:spacing w:val="-14"/>
          <w:sz w:val="18"/>
          <w:szCs w:val="18"/>
        </w:rPr>
        <w:t xml:space="preserve"> </w:t>
      </w:r>
      <w:r>
        <w:rPr>
          <w:color w:val="050606"/>
          <w:sz w:val="18"/>
          <w:szCs w:val="18"/>
        </w:rPr>
        <w:t>to</w:t>
      </w:r>
      <w:r>
        <w:rPr>
          <w:color w:val="050606"/>
          <w:spacing w:val="-11"/>
          <w:sz w:val="18"/>
          <w:szCs w:val="18"/>
        </w:rPr>
        <w:t xml:space="preserve"> </w:t>
      </w:r>
      <w:r>
        <w:rPr>
          <w:color w:val="050606"/>
          <w:sz w:val="18"/>
          <w:szCs w:val="18"/>
        </w:rPr>
        <w:t>enable</w:t>
      </w:r>
      <w:r>
        <w:rPr>
          <w:color w:val="050606"/>
          <w:spacing w:val="-11"/>
          <w:sz w:val="18"/>
          <w:szCs w:val="18"/>
        </w:rPr>
        <w:t xml:space="preserve"> </w:t>
      </w:r>
      <w:r>
        <w:rPr>
          <w:color w:val="050606"/>
          <w:sz w:val="18"/>
          <w:szCs w:val="18"/>
        </w:rPr>
        <w:t>such</w:t>
      </w:r>
      <w:r>
        <w:rPr>
          <w:color w:val="050606"/>
          <w:spacing w:val="-11"/>
          <w:sz w:val="18"/>
          <w:szCs w:val="18"/>
        </w:rPr>
        <w:t xml:space="preserve"> </w:t>
      </w:r>
      <w:r>
        <w:rPr>
          <w:color w:val="050606"/>
          <w:sz w:val="18"/>
          <w:szCs w:val="18"/>
        </w:rPr>
        <w:t>parties</w:t>
      </w:r>
      <w:r>
        <w:rPr>
          <w:color w:val="050606"/>
          <w:spacing w:val="-10"/>
          <w:sz w:val="18"/>
          <w:szCs w:val="18"/>
        </w:rPr>
        <w:t xml:space="preserve"> </w:t>
      </w:r>
      <w:r>
        <w:rPr>
          <w:color w:val="050606"/>
          <w:sz w:val="18"/>
          <w:szCs w:val="18"/>
        </w:rPr>
        <w:t>to</w:t>
      </w:r>
      <w:r>
        <w:rPr>
          <w:color w:val="050606"/>
          <w:spacing w:val="-11"/>
          <w:sz w:val="18"/>
          <w:szCs w:val="18"/>
        </w:rPr>
        <w:t xml:space="preserve"> </w:t>
      </w:r>
      <w:r>
        <w:rPr>
          <w:color w:val="050606"/>
          <w:sz w:val="18"/>
          <w:szCs w:val="18"/>
        </w:rPr>
        <w:t>perform</w:t>
      </w:r>
      <w:r>
        <w:rPr>
          <w:color w:val="050606"/>
          <w:spacing w:val="-10"/>
          <w:sz w:val="18"/>
          <w:szCs w:val="18"/>
        </w:rPr>
        <w:t xml:space="preserve"> </w:t>
      </w:r>
      <w:r>
        <w:rPr>
          <w:color w:val="050606"/>
          <w:sz w:val="18"/>
          <w:szCs w:val="18"/>
        </w:rPr>
        <w:t>their</w:t>
      </w:r>
      <w:r>
        <w:rPr>
          <w:color w:val="050606"/>
          <w:spacing w:val="-12"/>
          <w:sz w:val="18"/>
          <w:szCs w:val="18"/>
        </w:rPr>
        <w:t xml:space="preserve"> </w:t>
      </w:r>
      <w:r>
        <w:rPr>
          <w:color w:val="050606"/>
          <w:sz w:val="18"/>
          <w:szCs w:val="18"/>
        </w:rPr>
        <w:t>functions,</w:t>
      </w:r>
      <w:r>
        <w:rPr>
          <w:color w:val="050606"/>
          <w:spacing w:val="-11"/>
          <w:sz w:val="18"/>
          <w:szCs w:val="18"/>
        </w:rPr>
        <w:t xml:space="preserve"> </w:t>
      </w:r>
      <w:r>
        <w:rPr>
          <w:color w:val="050606"/>
          <w:sz w:val="18"/>
          <w:szCs w:val="18"/>
        </w:rPr>
        <w:t>it</w:t>
      </w:r>
      <w:r>
        <w:rPr>
          <w:color w:val="050606"/>
          <w:spacing w:val="-11"/>
          <w:sz w:val="18"/>
          <w:szCs w:val="18"/>
        </w:rPr>
        <w:t xml:space="preserve"> </w:t>
      </w:r>
      <w:r>
        <w:rPr>
          <w:color w:val="050606"/>
          <w:sz w:val="18"/>
          <w:szCs w:val="18"/>
        </w:rPr>
        <w:t>may</w:t>
      </w:r>
      <w:r>
        <w:rPr>
          <w:color w:val="050606"/>
          <w:spacing w:val="-13"/>
          <w:sz w:val="18"/>
          <w:szCs w:val="18"/>
        </w:rPr>
        <w:t xml:space="preserve"> </w:t>
      </w:r>
      <w:r>
        <w:rPr>
          <w:color w:val="050606"/>
          <w:sz w:val="18"/>
          <w:szCs w:val="18"/>
        </w:rPr>
        <w:t>be</w:t>
      </w:r>
      <w:r>
        <w:rPr>
          <w:color w:val="050606"/>
          <w:spacing w:val="-11"/>
          <w:sz w:val="18"/>
          <w:szCs w:val="18"/>
        </w:rPr>
        <w:t xml:space="preserve"> </w:t>
      </w:r>
      <w:r>
        <w:rPr>
          <w:color w:val="050606"/>
          <w:sz w:val="18"/>
          <w:szCs w:val="18"/>
        </w:rPr>
        <w:t>necessary for the Company to disclose investor information for that purpose;</w:t>
      </w:r>
      <w:r>
        <w:rPr>
          <w:color w:val="050606"/>
          <w:spacing w:val="-12"/>
          <w:sz w:val="18"/>
          <w:szCs w:val="18"/>
        </w:rPr>
        <w:t xml:space="preserve"> </w:t>
      </w:r>
      <w:r>
        <w:rPr>
          <w:color w:val="050606"/>
          <w:sz w:val="18"/>
          <w:szCs w:val="18"/>
        </w:rPr>
        <w:t>and</w:t>
      </w:r>
    </w:p>
    <w:p w14:paraId="582271BF" w14:textId="77777777" w:rsidR="00783288" w:rsidRDefault="00783288">
      <w:pPr>
        <w:pStyle w:val="BodyText"/>
        <w:kinsoku w:val="0"/>
        <w:overflowPunct w:val="0"/>
      </w:pPr>
    </w:p>
    <w:p w14:paraId="3C729A02" w14:textId="77777777" w:rsidR="00783288" w:rsidRDefault="00E31420" w:rsidP="00512495">
      <w:pPr>
        <w:pStyle w:val="ListParagraph"/>
        <w:numPr>
          <w:ilvl w:val="1"/>
          <w:numId w:val="21"/>
        </w:numPr>
        <w:tabs>
          <w:tab w:val="left" w:pos="1433"/>
        </w:tabs>
        <w:kinsoku w:val="0"/>
        <w:overflowPunct w:val="0"/>
        <w:ind w:right="1193"/>
        <w:jc w:val="both"/>
        <w:rPr>
          <w:color w:val="050606"/>
          <w:sz w:val="18"/>
          <w:szCs w:val="18"/>
        </w:rPr>
      </w:pPr>
      <w:r>
        <w:rPr>
          <w:color w:val="050606"/>
          <w:sz w:val="18"/>
          <w:szCs w:val="18"/>
        </w:rPr>
        <w:t>it may also need to disclose information about its shareholders to potential lenders or potential purchasers of the share capital of the</w:t>
      </w:r>
      <w:r>
        <w:rPr>
          <w:color w:val="050606"/>
          <w:spacing w:val="-3"/>
          <w:sz w:val="18"/>
          <w:szCs w:val="18"/>
        </w:rPr>
        <w:t xml:space="preserve"> </w:t>
      </w:r>
      <w:r>
        <w:rPr>
          <w:color w:val="050606"/>
          <w:sz w:val="18"/>
          <w:szCs w:val="18"/>
        </w:rPr>
        <w:t>Company.</w:t>
      </w:r>
    </w:p>
    <w:p w14:paraId="138B0E9A" w14:textId="77777777" w:rsidR="00783288" w:rsidRDefault="00783288">
      <w:pPr>
        <w:pStyle w:val="BodyText"/>
        <w:kinsoku w:val="0"/>
        <w:overflowPunct w:val="0"/>
      </w:pPr>
    </w:p>
    <w:p w14:paraId="58BBF58C" w14:textId="084B1E55" w:rsidR="00783288" w:rsidRDefault="00E31420" w:rsidP="00512495">
      <w:pPr>
        <w:pStyle w:val="ListParagraph"/>
        <w:numPr>
          <w:ilvl w:val="0"/>
          <w:numId w:val="21"/>
        </w:numPr>
        <w:tabs>
          <w:tab w:val="left" w:pos="867"/>
        </w:tabs>
        <w:kinsoku w:val="0"/>
        <w:overflowPunct w:val="0"/>
        <w:spacing w:before="1"/>
        <w:ind w:right="1188"/>
        <w:jc w:val="both"/>
        <w:rPr>
          <w:color w:val="050606"/>
          <w:sz w:val="18"/>
          <w:szCs w:val="18"/>
        </w:rPr>
      </w:pPr>
      <w:r>
        <w:rPr>
          <w:color w:val="050606"/>
          <w:sz w:val="18"/>
          <w:szCs w:val="18"/>
        </w:rPr>
        <w:t>In</w:t>
      </w:r>
      <w:r>
        <w:rPr>
          <w:color w:val="050606"/>
          <w:spacing w:val="-5"/>
          <w:sz w:val="18"/>
          <w:szCs w:val="18"/>
        </w:rPr>
        <w:t xml:space="preserve"> </w:t>
      </w:r>
      <w:r>
        <w:rPr>
          <w:color w:val="050606"/>
          <w:sz w:val="18"/>
          <w:szCs w:val="18"/>
        </w:rPr>
        <w:t>some</w:t>
      </w:r>
      <w:r>
        <w:rPr>
          <w:color w:val="050606"/>
          <w:spacing w:val="-6"/>
          <w:sz w:val="18"/>
          <w:szCs w:val="18"/>
        </w:rPr>
        <w:t xml:space="preserve"> </w:t>
      </w:r>
      <w:r>
        <w:rPr>
          <w:color w:val="050606"/>
          <w:sz w:val="18"/>
          <w:szCs w:val="18"/>
        </w:rPr>
        <w:t>cases,</w:t>
      </w:r>
      <w:r>
        <w:rPr>
          <w:color w:val="050606"/>
          <w:spacing w:val="-7"/>
          <w:sz w:val="18"/>
          <w:szCs w:val="18"/>
        </w:rPr>
        <w:t xml:space="preserve"> </w:t>
      </w:r>
      <w:r>
        <w:rPr>
          <w:color w:val="050606"/>
          <w:sz w:val="18"/>
          <w:szCs w:val="18"/>
        </w:rPr>
        <w:t>the</w:t>
      </w:r>
      <w:r>
        <w:rPr>
          <w:color w:val="050606"/>
          <w:spacing w:val="-4"/>
          <w:sz w:val="18"/>
          <w:szCs w:val="18"/>
        </w:rPr>
        <w:t xml:space="preserve"> </w:t>
      </w:r>
      <w:r>
        <w:rPr>
          <w:color w:val="050606"/>
          <w:sz w:val="18"/>
          <w:szCs w:val="18"/>
        </w:rPr>
        <w:t>disclosure</w:t>
      </w:r>
      <w:r>
        <w:rPr>
          <w:color w:val="050606"/>
          <w:spacing w:val="-6"/>
          <w:sz w:val="18"/>
          <w:szCs w:val="18"/>
        </w:rPr>
        <w:t xml:space="preserve"> </w:t>
      </w:r>
      <w:r>
        <w:rPr>
          <w:color w:val="050606"/>
          <w:sz w:val="18"/>
          <w:szCs w:val="18"/>
        </w:rPr>
        <w:t>of</w:t>
      </w:r>
      <w:r>
        <w:rPr>
          <w:color w:val="050606"/>
          <w:spacing w:val="-5"/>
          <w:sz w:val="18"/>
          <w:szCs w:val="18"/>
        </w:rPr>
        <w:t xml:space="preserve"> </w:t>
      </w:r>
      <w:r>
        <w:rPr>
          <w:color w:val="050606"/>
          <w:sz w:val="18"/>
          <w:szCs w:val="18"/>
        </w:rPr>
        <w:t>information</w:t>
      </w:r>
      <w:r>
        <w:rPr>
          <w:color w:val="050606"/>
          <w:spacing w:val="-6"/>
          <w:sz w:val="18"/>
          <w:szCs w:val="18"/>
        </w:rPr>
        <w:t xml:space="preserve"> </w:t>
      </w:r>
      <w:r>
        <w:rPr>
          <w:color w:val="050606"/>
          <w:sz w:val="18"/>
          <w:szCs w:val="18"/>
        </w:rPr>
        <w:t>in</w:t>
      </w:r>
      <w:r>
        <w:rPr>
          <w:color w:val="050606"/>
          <w:spacing w:val="-5"/>
          <w:sz w:val="18"/>
          <w:szCs w:val="18"/>
        </w:rPr>
        <w:t xml:space="preserve"> </w:t>
      </w:r>
      <w:r>
        <w:rPr>
          <w:color w:val="050606"/>
          <w:sz w:val="18"/>
          <w:szCs w:val="18"/>
        </w:rPr>
        <w:t>accordance</w:t>
      </w:r>
      <w:r>
        <w:rPr>
          <w:color w:val="050606"/>
          <w:spacing w:val="-3"/>
          <w:sz w:val="18"/>
          <w:szCs w:val="18"/>
        </w:rPr>
        <w:t xml:space="preserve"> </w:t>
      </w:r>
      <w:r>
        <w:rPr>
          <w:color w:val="050606"/>
          <w:sz w:val="18"/>
          <w:szCs w:val="18"/>
        </w:rPr>
        <w:t>with</w:t>
      </w:r>
      <w:r>
        <w:rPr>
          <w:color w:val="050606"/>
          <w:spacing w:val="-5"/>
          <w:sz w:val="18"/>
          <w:szCs w:val="18"/>
        </w:rPr>
        <w:t xml:space="preserve"> </w:t>
      </w:r>
      <w:r>
        <w:rPr>
          <w:color w:val="050606"/>
          <w:sz w:val="18"/>
          <w:szCs w:val="18"/>
        </w:rPr>
        <w:t>paragraph</w:t>
      </w:r>
      <w:r>
        <w:rPr>
          <w:color w:val="050606"/>
          <w:spacing w:val="-4"/>
          <w:sz w:val="18"/>
          <w:szCs w:val="18"/>
        </w:rPr>
        <w:t xml:space="preserve"> </w:t>
      </w:r>
      <w:r>
        <w:rPr>
          <w:color w:val="050606"/>
          <w:sz w:val="18"/>
          <w:szCs w:val="18"/>
        </w:rPr>
        <w:t>5</w:t>
      </w:r>
      <w:r>
        <w:rPr>
          <w:color w:val="050606"/>
          <w:spacing w:val="-5"/>
          <w:sz w:val="18"/>
          <w:szCs w:val="18"/>
        </w:rPr>
        <w:t xml:space="preserve"> </w:t>
      </w:r>
      <w:r>
        <w:rPr>
          <w:color w:val="050606"/>
          <w:sz w:val="18"/>
          <w:szCs w:val="18"/>
        </w:rPr>
        <w:t>will</w:t>
      </w:r>
      <w:r>
        <w:rPr>
          <w:color w:val="050606"/>
          <w:spacing w:val="-4"/>
          <w:sz w:val="18"/>
          <w:szCs w:val="18"/>
        </w:rPr>
        <w:t xml:space="preserve"> </w:t>
      </w:r>
      <w:r>
        <w:rPr>
          <w:color w:val="050606"/>
          <w:sz w:val="18"/>
          <w:szCs w:val="18"/>
        </w:rPr>
        <w:t>necessitate</w:t>
      </w:r>
      <w:r>
        <w:rPr>
          <w:color w:val="050606"/>
          <w:spacing w:val="-4"/>
          <w:sz w:val="18"/>
          <w:szCs w:val="18"/>
        </w:rPr>
        <w:t xml:space="preserve"> </w:t>
      </w:r>
      <w:r>
        <w:rPr>
          <w:color w:val="050606"/>
          <w:sz w:val="18"/>
          <w:szCs w:val="18"/>
        </w:rPr>
        <w:t>the</w:t>
      </w:r>
      <w:r>
        <w:rPr>
          <w:color w:val="050606"/>
          <w:spacing w:val="-5"/>
          <w:sz w:val="18"/>
          <w:szCs w:val="18"/>
        </w:rPr>
        <w:t xml:space="preserve"> </w:t>
      </w:r>
      <w:r>
        <w:rPr>
          <w:color w:val="050606"/>
          <w:sz w:val="18"/>
          <w:szCs w:val="18"/>
        </w:rPr>
        <w:t>transfer</w:t>
      </w:r>
      <w:r>
        <w:rPr>
          <w:color w:val="050606"/>
          <w:spacing w:val="-4"/>
          <w:sz w:val="18"/>
          <w:szCs w:val="18"/>
        </w:rPr>
        <w:t xml:space="preserve"> </w:t>
      </w:r>
      <w:r>
        <w:rPr>
          <w:color w:val="050606"/>
          <w:sz w:val="18"/>
          <w:szCs w:val="18"/>
        </w:rPr>
        <w:t>of personal data about the investor outside of the EEA to countries or territories which do not offer the same level</w:t>
      </w:r>
      <w:r>
        <w:rPr>
          <w:color w:val="050606"/>
          <w:spacing w:val="-10"/>
          <w:sz w:val="18"/>
          <w:szCs w:val="18"/>
        </w:rPr>
        <w:t xml:space="preserve"> </w:t>
      </w:r>
      <w:r>
        <w:rPr>
          <w:color w:val="050606"/>
          <w:sz w:val="18"/>
          <w:szCs w:val="18"/>
        </w:rPr>
        <w:t>of</w:t>
      </w:r>
      <w:r>
        <w:rPr>
          <w:color w:val="050606"/>
          <w:spacing w:val="-9"/>
          <w:sz w:val="18"/>
          <w:szCs w:val="18"/>
        </w:rPr>
        <w:t xml:space="preserve"> </w:t>
      </w:r>
      <w:r>
        <w:rPr>
          <w:color w:val="050606"/>
          <w:sz w:val="18"/>
          <w:szCs w:val="18"/>
        </w:rPr>
        <w:t>protection</w:t>
      </w:r>
      <w:r>
        <w:rPr>
          <w:color w:val="050606"/>
          <w:spacing w:val="-9"/>
          <w:sz w:val="18"/>
          <w:szCs w:val="18"/>
        </w:rPr>
        <w:t xml:space="preserve"> </w:t>
      </w:r>
      <w:r>
        <w:rPr>
          <w:color w:val="050606"/>
          <w:sz w:val="18"/>
          <w:szCs w:val="18"/>
        </w:rPr>
        <w:t>for</w:t>
      </w:r>
      <w:r>
        <w:rPr>
          <w:color w:val="050606"/>
          <w:spacing w:val="-9"/>
          <w:sz w:val="18"/>
          <w:szCs w:val="18"/>
        </w:rPr>
        <w:t xml:space="preserve"> </w:t>
      </w:r>
      <w:r>
        <w:rPr>
          <w:color w:val="050606"/>
          <w:sz w:val="18"/>
          <w:szCs w:val="18"/>
        </w:rPr>
        <w:t>the</w:t>
      </w:r>
      <w:r>
        <w:rPr>
          <w:color w:val="050606"/>
          <w:spacing w:val="-9"/>
          <w:sz w:val="18"/>
          <w:szCs w:val="18"/>
        </w:rPr>
        <w:t xml:space="preserve"> </w:t>
      </w:r>
      <w:r>
        <w:rPr>
          <w:color w:val="050606"/>
          <w:sz w:val="18"/>
          <w:szCs w:val="18"/>
        </w:rPr>
        <w:t>rights</w:t>
      </w:r>
      <w:r>
        <w:rPr>
          <w:color w:val="050606"/>
          <w:spacing w:val="-10"/>
          <w:sz w:val="18"/>
          <w:szCs w:val="18"/>
        </w:rPr>
        <w:t xml:space="preserve"> </w:t>
      </w:r>
      <w:r>
        <w:rPr>
          <w:color w:val="050606"/>
          <w:sz w:val="18"/>
          <w:szCs w:val="18"/>
        </w:rPr>
        <w:t>or</w:t>
      </w:r>
      <w:r>
        <w:rPr>
          <w:color w:val="050606"/>
          <w:spacing w:val="-9"/>
          <w:sz w:val="18"/>
          <w:szCs w:val="18"/>
        </w:rPr>
        <w:t xml:space="preserve"> </w:t>
      </w:r>
      <w:r>
        <w:rPr>
          <w:color w:val="050606"/>
          <w:sz w:val="18"/>
          <w:szCs w:val="18"/>
        </w:rPr>
        <w:t>freedoms</w:t>
      </w:r>
      <w:r>
        <w:rPr>
          <w:color w:val="050606"/>
          <w:spacing w:val="-10"/>
          <w:sz w:val="18"/>
          <w:szCs w:val="18"/>
        </w:rPr>
        <w:t xml:space="preserve"> </w:t>
      </w:r>
      <w:r>
        <w:rPr>
          <w:color w:val="050606"/>
          <w:sz w:val="18"/>
          <w:szCs w:val="18"/>
        </w:rPr>
        <w:t>of</w:t>
      </w:r>
      <w:r>
        <w:rPr>
          <w:color w:val="050606"/>
          <w:spacing w:val="-9"/>
          <w:sz w:val="18"/>
          <w:szCs w:val="18"/>
        </w:rPr>
        <w:t xml:space="preserve"> </w:t>
      </w:r>
      <w:r>
        <w:rPr>
          <w:color w:val="050606"/>
          <w:sz w:val="18"/>
          <w:szCs w:val="18"/>
        </w:rPr>
        <w:t>prospective</w:t>
      </w:r>
      <w:r>
        <w:rPr>
          <w:color w:val="050606"/>
          <w:spacing w:val="-9"/>
          <w:sz w:val="18"/>
          <w:szCs w:val="18"/>
        </w:rPr>
        <w:t xml:space="preserve"> </w:t>
      </w:r>
      <w:r>
        <w:rPr>
          <w:color w:val="050606"/>
          <w:sz w:val="18"/>
          <w:szCs w:val="18"/>
        </w:rPr>
        <w:t>investors</w:t>
      </w:r>
      <w:r>
        <w:rPr>
          <w:color w:val="050606"/>
          <w:spacing w:val="-8"/>
          <w:sz w:val="18"/>
          <w:szCs w:val="18"/>
        </w:rPr>
        <w:t xml:space="preserve"> </w:t>
      </w:r>
      <w:r>
        <w:rPr>
          <w:color w:val="050606"/>
          <w:sz w:val="18"/>
          <w:szCs w:val="18"/>
        </w:rPr>
        <w:t>as</w:t>
      </w:r>
      <w:r>
        <w:rPr>
          <w:color w:val="050606"/>
          <w:spacing w:val="-9"/>
          <w:sz w:val="18"/>
          <w:szCs w:val="18"/>
        </w:rPr>
        <w:t xml:space="preserve"> </w:t>
      </w:r>
      <w:r>
        <w:rPr>
          <w:color w:val="050606"/>
          <w:sz w:val="18"/>
          <w:szCs w:val="18"/>
        </w:rPr>
        <w:t>the</w:t>
      </w:r>
      <w:r>
        <w:rPr>
          <w:color w:val="050606"/>
          <w:spacing w:val="-9"/>
          <w:sz w:val="18"/>
          <w:szCs w:val="18"/>
        </w:rPr>
        <w:t xml:space="preserve"> </w:t>
      </w:r>
      <w:r>
        <w:rPr>
          <w:color w:val="050606"/>
          <w:sz w:val="18"/>
          <w:szCs w:val="18"/>
        </w:rPr>
        <w:t>United</w:t>
      </w:r>
      <w:r>
        <w:rPr>
          <w:color w:val="050606"/>
          <w:spacing w:val="-9"/>
          <w:sz w:val="18"/>
          <w:szCs w:val="18"/>
        </w:rPr>
        <w:t xml:space="preserve"> </w:t>
      </w:r>
      <w:r>
        <w:rPr>
          <w:color w:val="050606"/>
          <w:sz w:val="18"/>
          <w:szCs w:val="18"/>
        </w:rPr>
        <w:t>Kingdom.</w:t>
      </w:r>
      <w:r>
        <w:rPr>
          <w:color w:val="050606"/>
          <w:spacing w:val="37"/>
          <w:sz w:val="18"/>
          <w:szCs w:val="18"/>
        </w:rPr>
        <w:t xml:space="preserve"> </w:t>
      </w:r>
      <w:r>
        <w:rPr>
          <w:color w:val="050606"/>
          <w:sz w:val="18"/>
          <w:szCs w:val="18"/>
        </w:rPr>
        <w:t>The</w:t>
      </w:r>
      <w:r>
        <w:rPr>
          <w:color w:val="050606"/>
          <w:spacing w:val="-9"/>
          <w:sz w:val="18"/>
          <w:szCs w:val="18"/>
        </w:rPr>
        <w:t xml:space="preserve"> </w:t>
      </w:r>
      <w:r>
        <w:rPr>
          <w:color w:val="050606"/>
          <w:sz w:val="18"/>
          <w:szCs w:val="18"/>
        </w:rPr>
        <w:t>Company will take steps to ensure that any such transfer complies with Chapter V of the</w:t>
      </w:r>
      <w:r>
        <w:rPr>
          <w:color w:val="050606"/>
          <w:spacing w:val="-9"/>
          <w:sz w:val="18"/>
          <w:szCs w:val="18"/>
        </w:rPr>
        <w:t xml:space="preserve"> </w:t>
      </w:r>
      <w:r>
        <w:rPr>
          <w:color w:val="050606"/>
          <w:sz w:val="18"/>
          <w:szCs w:val="18"/>
        </w:rPr>
        <w:t>GDPR.</w:t>
      </w:r>
    </w:p>
    <w:p w14:paraId="44D7674A" w14:textId="77777777" w:rsidR="002213D7" w:rsidRDefault="002213D7" w:rsidP="002213D7">
      <w:pPr>
        <w:pStyle w:val="ListParagraph"/>
        <w:tabs>
          <w:tab w:val="left" w:pos="867"/>
        </w:tabs>
        <w:kinsoku w:val="0"/>
        <w:overflowPunct w:val="0"/>
        <w:spacing w:before="1"/>
        <w:ind w:left="866" w:right="1188" w:firstLine="0"/>
        <w:jc w:val="both"/>
        <w:rPr>
          <w:color w:val="050606"/>
          <w:sz w:val="18"/>
          <w:szCs w:val="18"/>
        </w:rPr>
      </w:pPr>
    </w:p>
    <w:p w14:paraId="3DC7E044" w14:textId="77777777" w:rsidR="00783288" w:rsidRDefault="00783288">
      <w:pPr>
        <w:pStyle w:val="BodyText"/>
        <w:kinsoku w:val="0"/>
        <w:overflowPunct w:val="0"/>
        <w:spacing w:before="10"/>
        <w:rPr>
          <w:sz w:val="17"/>
          <w:szCs w:val="17"/>
        </w:rPr>
      </w:pPr>
    </w:p>
    <w:p w14:paraId="01996CB1" w14:textId="29EDBA92" w:rsidR="00783288" w:rsidRDefault="00E31420" w:rsidP="00512495">
      <w:pPr>
        <w:pStyle w:val="BodyText"/>
        <w:numPr>
          <w:ilvl w:val="0"/>
          <w:numId w:val="21"/>
        </w:numPr>
        <w:kinsoku w:val="0"/>
        <w:overflowPunct w:val="0"/>
        <w:spacing w:before="79"/>
        <w:ind w:right="1189"/>
        <w:rPr>
          <w:color w:val="050606"/>
        </w:rPr>
      </w:pPr>
      <w:r w:rsidRPr="002D4CD0">
        <w:rPr>
          <w:color w:val="050606"/>
        </w:rPr>
        <w:lastRenderedPageBreak/>
        <w:t>If</w:t>
      </w:r>
      <w:r w:rsidRPr="002D4CD0">
        <w:rPr>
          <w:color w:val="050606"/>
          <w:spacing w:val="-10"/>
        </w:rPr>
        <w:t xml:space="preserve"> </w:t>
      </w:r>
      <w:r w:rsidRPr="002D4CD0">
        <w:rPr>
          <w:color w:val="050606"/>
        </w:rPr>
        <w:t>the</w:t>
      </w:r>
      <w:r w:rsidRPr="002D4CD0">
        <w:rPr>
          <w:color w:val="050606"/>
          <w:spacing w:val="-9"/>
        </w:rPr>
        <w:t xml:space="preserve"> </w:t>
      </w:r>
      <w:r w:rsidRPr="002D4CD0">
        <w:rPr>
          <w:color w:val="050606"/>
        </w:rPr>
        <w:t>Company</w:t>
      </w:r>
      <w:r w:rsidRPr="002D4CD0">
        <w:rPr>
          <w:color w:val="050606"/>
          <w:spacing w:val="-10"/>
        </w:rPr>
        <w:t xml:space="preserve"> </w:t>
      </w:r>
      <w:r w:rsidRPr="002D4CD0">
        <w:rPr>
          <w:color w:val="050606"/>
        </w:rPr>
        <w:t>(or</w:t>
      </w:r>
      <w:r w:rsidRPr="002D4CD0">
        <w:rPr>
          <w:color w:val="050606"/>
          <w:spacing w:val="-9"/>
        </w:rPr>
        <w:t xml:space="preserve"> </w:t>
      </w:r>
      <w:r w:rsidRPr="002D4CD0">
        <w:rPr>
          <w:color w:val="050606"/>
        </w:rPr>
        <w:t>any</w:t>
      </w:r>
      <w:r w:rsidRPr="002D4CD0">
        <w:rPr>
          <w:color w:val="050606"/>
          <w:spacing w:val="-10"/>
        </w:rPr>
        <w:t xml:space="preserve"> </w:t>
      </w:r>
      <w:r w:rsidRPr="002D4CD0">
        <w:rPr>
          <w:color w:val="050606"/>
        </w:rPr>
        <w:t>third</w:t>
      </w:r>
      <w:r w:rsidRPr="002D4CD0">
        <w:rPr>
          <w:color w:val="050606"/>
          <w:spacing w:val="-9"/>
        </w:rPr>
        <w:t xml:space="preserve"> </w:t>
      </w:r>
      <w:r w:rsidRPr="002D4CD0">
        <w:rPr>
          <w:color w:val="050606"/>
        </w:rPr>
        <w:t>party,</w:t>
      </w:r>
      <w:r w:rsidRPr="002D4CD0">
        <w:rPr>
          <w:color w:val="050606"/>
          <w:spacing w:val="-9"/>
        </w:rPr>
        <w:t xml:space="preserve"> </w:t>
      </w:r>
      <w:r w:rsidRPr="002D4CD0">
        <w:rPr>
          <w:color w:val="050606"/>
        </w:rPr>
        <w:t>functionary</w:t>
      </w:r>
      <w:r w:rsidRPr="002D4CD0">
        <w:rPr>
          <w:color w:val="050606"/>
          <w:spacing w:val="-10"/>
        </w:rPr>
        <w:t xml:space="preserve"> </w:t>
      </w:r>
      <w:r w:rsidRPr="002D4CD0">
        <w:rPr>
          <w:color w:val="050606"/>
        </w:rPr>
        <w:t>or</w:t>
      </w:r>
      <w:r w:rsidRPr="002D4CD0">
        <w:rPr>
          <w:color w:val="050606"/>
          <w:spacing w:val="-9"/>
        </w:rPr>
        <w:t xml:space="preserve"> </w:t>
      </w:r>
      <w:r w:rsidRPr="002D4CD0">
        <w:rPr>
          <w:color w:val="050606"/>
        </w:rPr>
        <w:t>agent</w:t>
      </w:r>
      <w:r w:rsidRPr="002D4CD0">
        <w:rPr>
          <w:color w:val="050606"/>
          <w:spacing w:val="-9"/>
        </w:rPr>
        <w:t xml:space="preserve"> </w:t>
      </w:r>
      <w:r w:rsidRPr="002D4CD0">
        <w:rPr>
          <w:color w:val="050606"/>
        </w:rPr>
        <w:t>appointed</w:t>
      </w:r>
      <w:r w:rsidRPr="002D4CD0">
        <w:rPr>
          <w:color w:val="050606"/>
          <w:spacing w:val="-9"/>
        </w:rPr>
        <w:t xml:space="preserve"> </w:t>
      </w:r>
      <w:r w:rsidRPr="002D4CD0">
        <w:rPr>
          <w:color w:val="050606"/>
        </w:rPr>
        <w:t>by</w:t>
      </w:r>
      <w:r w:rsidRPr="002D4CD0">
        <w:rPr>
          <w:color w:val="050606"/>
          <w:spacing w:val="-10"/>
        </w:rPr>
        <w:t xml:space="preserve"> </w:t>
      </w:r>
      <w:r w:rsidRPr="002D4CD0">
        <w:rPr>
          <w:color w:val="050606"/>
        </w:rPr>
        <w:t>the</w:t>
      </w:r>
      <w:r w:rsidRPr="002D4CD0">
        <w:rPr>
          <w:color w:val="050606"/>
          <w:spacing w:val="-9"/>
        </w:rPr>
        <w:t xml:space="preserve"> </w:t>
      </w:r>
      <w:r w:rsidRPr="002D4CD0">
        <w:rPr>
          <w:color w:val="050606"/>
        </w:rPr>
        <w:t>Company)</w:t>
      </w:r>
      <w:r w:rsidRPr="002D4CD0">
        <w:rPr>
          <w:color w:val="050606"/>
          <w:spacing w:val="-9"/>
        </w:rPr>
        <w:t xml:space="preserve"> </w:t>
      </w:r>
      <w:r w:rsidRPr="002D4CD0">
        <w:rPr>
          <w:color w:val="050606"/>
        </w:rPr>
        <w:t>discloses</w:t>
      </w:r>
      <w:r w:rsidRPr="002D4CD0">
        <w:rPr>
          <w:color w:val="050606"/>
          <w:spacing w:val="-10"/>
        </w:rPr>
        <w:t xml:space="preserve"> </w:t>
      </w:r>
      <w:r w:rsidRPr="002D4CD0">
        <w:rPr>
          <w:color w:val="050606"/>
        </w:rPr>
        <w:t>personal</w:t>
      </w:r>
      <w:r w:rsidRPr="002D4CD0">
        <w:rPr>
          <w:color w:val="050606"/>
          <w:spacing w:val="-9"/>
        </w:rPr>
        <w:t xml:space="preserve"> </w:t>
      </w:r>
      <w:r w:rsidRPr="002D4CD0">
        <w:rPr>
          <w:color w:val="050606"/>
        </w:rPr>
        <w:t>data to</w:t>
      </w:r>
      <w:r w:rsidRPr="002D4CD0">
        <w:rPr>
          <w:color w:val="050606"/>
          <w:spacing w:val="7"/>
        </w:rPr>
        <w:t xml:space="preserve"> </w:t>
      </w:r>
      <w:r w:rsidRPr="002D4CD0">
        <w:rPr>
          <w:color w:val="050606"/>
        </w:rPr>
        <w:t>a</w:t>
      </w:r>
      <w:r w:rsidRPr="002D4CD0">
        <w:rPr>
          <w:color w:val="050606"/>
          <w:spacing w:val="6"/>
        </w:rPr>
        <w:t xml:space="preserve"> </w:t>
      </w:r>
      <w:r w:rsidRPr="002D4CD0">
        <w:rPr>
          <w:color w:val="050606"/>
        </w:rPr>
        <w:t>third</w:t>
      </w:r>
      <w:r w:rsidRPr="002D4CD0">
        <w:rPr>
          <w:color w:val="050606"/>
          <w:spacing w:val="6"/>
        </w:rPr>
        <w:t xml:space="preserve"> </w:t>
      </w:r>
      <w:r w:rsidRPr="002D4CD0">
        <w:rPr>
          <w:color w:val="050606"/>
        </w:rPr>
        <w:t>party,</w:t>
      </w:r>
      <w:r w:rsidRPr="002D4CD0">
        <w:rPr>
          <w:color w:val="050606"/>
          <w:spacing w:val="6"/>
        </w:rPr>
        <w:t xml:space="preserve"> </w:t>
      </w:r>
      <w:r w:rsidRPr="002D4CD0">
        <w:rPr>
          <w:color w:val="050606"/>
        </w:rPr>
        <w:t>agent</w:t>
      </w:r>
      <w:r w:rsidRPr="002D4CD0">
        <w:rPr>
          <w:color w:val="050606"/>
          <w:spacing w:val="6"/>
        </w:rPr>
        <w:t xml:space="preserve"> </w:t>
      </w:r>
      <w:r w:rsidRPr="002D4CD0">
        <w:rPr>
          <w:color w:val="050606"/>
        </w:rPr>
        <w:t>or</w:t>
      </w:r>
      <w:r w:rsidRPr="002D4CD0">
        <w:rPr>
          <w:color w:val="050606"/>
          <w:spacing w:val="8"/>
        </w:rPr>
        <w:t xml:space="preserve"> </w:t>
      </w:r>
      <w:r w:rsidRPr="002D4CD0">
        <w:rPr>
          <w:color w:val="050606"/>
        </w:rPr>
        <w:t>functionary</w:t>
      </w:r>
      <w:r w:rsidRPr="002D4CD0">
        <w:rPr>
          <w:color w:val="050606"/>
          <w:spacing w:val="6"/>
        </w:rPr>
        <w:t xml:space="preserve"> </w:t>
      </w:r>
      <w:r w:rsidRPr="002D4CD0">
        <w:rPr>
          <w:color w:val="050606"/>
        </w:rPr>
        <w:t>and/or</w:t>
      </w:r>
      <w:r w:rsidRPr="002D4CD0">
        <w:rPr>
          <w:color w:val="050606"/>
          <w:spacing w:val="5"/>
        </w:rPr>
        <w:t xml:space="preserve"> </w:t>
      </w:r>
      <w:r w:rsidRPr="002D4CD0">
        <w:rPr>
          <w:color w:val="050606"/>
        </w:rPr>
        <w:t>makes</w:t>
      </w:r>
      <w:r w:rsidRPr="002D4CD0">
        <w:rPr>
          <w:color w:val="050606"/>
          <w:spacing w:val="6"/>
        </w:rPr>
        <w:t xml:space="preserve"> </w:t>
      </w:r>
      <w:r w:rsidRPr="002D4CD0">
        <w:rPr>
          <w:color w:val="050606"/>
        </w:rPr>
        <w:t>such</w:t>
      </w:r>
      <w:r w:rsidRPr="002D4CD0">
        <w:rPr>
          <w:color w:val="050606"/>
          <w:spacing w:val="6"/>
        </w:rPr>
        <w:t xml:space="preserve"> </w:t>
      </w:r>
      <w:r w:rsidRPr="002D4CD0">
        <w:rPr>
          <w:color w:val="050606"/>
        </w:rPr>
        <w:t>a</w:t>
      </w:r>
      <w:r w:rsidRPr="002D4CD0">
        <w:rPr>
          <w:color w:val="050606"/>
          <w:spacing w:val="6"/>
        </w:rPr>
        <w:t xml:space="preserve"> </w:t>
      </w:r>
      <w:r w:rsidRPr="002D4CD0">
        <w:rPr>
          <w:color w:val="050606"/>
        </w:rPr>
        <w:t>transfer</w:t>
      </w:r>
      <w:r w:rsidRPr="002D4CD0">
        <w:rPr>
          <w:color w:val="050606"/>
          <w:spacing w:val="7"/>
        </w:rPr>
        <w:t xml:space="preserve"> </w:t>
      </w:r>
      <w:r w:rsidRPr="002D4CD0">
        <w:rPr>
          <w:color w:val="050606"/>
        </w:rPr>
        <w:t>of</w:t>
      </w:r>
      <w:r w:rsidRPr="002D4CD0">
        <w:rPr>
          <w:color w:val="050606"/>
          <w:spacing w:val="8"/>
        </w:rPr>
        <w:t xml:space="preserve"> </w:t>
      </w:r>
      <w:r w:rsidRPr="002D4CD0">
        <w:rPr>
          <w:color w:val="050606"/>
        </w:rPr>
        <w:t>personal</w:t>
      </w:r>
      <w:r w:rsidRPr="002D4CD0">
        <w:rPr>
          <w:color w:val="050606"/>
          <w:spacing w:val="6"/>
        </w:rPr>
        <w:t xml:space="preserve"> </w:t>
      </w:r>
      <w:r w:rsidRPr="002D4CD0">
        <w:rPr>
          <w:color w:val="050606"/>
        </w:rPr>
        <w:t>data</w:t>
      </w:r>
      <w:r w:rsidRPr="002D4CD0">
        <w:rPr>
          <w:color w:val="050606"/>
          <w:spacing w:val="6"/>
        </w:rPr>
        <w:t xml:space="preserve"> </w:t>
      </w:r>
      <w:r w:rsidRPr="002D4CD0">
        <w:rPr>
          <w:color w:val="050606"/>
        </w:rPr>
        <w:t>it</w:t>
      </w:r>
      <w:r w:rsidRPr="002D4CD0">
        <w:rPr>
          <w:color w:val="050606"/>
          <w:spacing w:val="6"/>
        </w:rPr>
        <w:t xml:space="preserve"> </w:t>
      </w:r>
      <w:r w:rsidRPr="002D4CD0">
        <w:rPr>
          <w:color w:val="050606"/>
        </w:rPr>
        <w:t>will,</w:t>
      </w:r>
      <w:r w:rsidRPr="002D4CD0">
        <w:rPr>
          <w:color w:val="050606"/>
          <w:spacing w:val="6"/>
        </w:rPr>
        <w:t xml:space="preserve"> </w:t>
      </w:r>
      <w:r w:rsidRPr="002D4CD0">
        <w:rPr>
          <w:color w:val="050606"/>
        </w:rPr>
        <w:t>where</w:t>
      </w:r>
      <w:r w:rsidRPr="002D4CD0">
        <w:rPr>
          <w:color w:val="050606"/>
          <w:spacing w:val="8"/>
        </w:rPr>
        <w:t xml:space="preserve"> </w:t>
      </w:r>
      <w:r w:rsidRPr="002D4CD0">
        <w:rPr>
          <w:color w:val="050606"/>
        </w:rPr>
        <w:t>required</w:t>
      </w:r>
      <w:r w:rsidR="002D4CD0">
        <w:rPr>
          <w:color w:val="050606"/>
        </w:rPr>
        <w:t xml:space="preserve"> </w:t>
      </w:r>
      <w:r>
        <w:rPr>
          <w:color w:val="050606"/>
        </w:rPr>
        <w:t>by law, ensure that any third party, agent or functionary to whom the relevant personal data is disclosed or transferred is obliged to provide an adequate level of protection in respect of such personal data.</w:t>
      </w:r>
    </w:p>
    <w:p w14:paraId="05F13143" w14:textId="77777777" w:rsidR="002213D7" w:rsidRDefault="002213D7" w:rsidP="002213D7">
      <w:pPr>
        <w:pStyle w:val="BodyText"/>
        <w:kinsoku w:val="0"/>
        <w:overflowPunct w:val="0"/>
        <w:spacing w:before="79"/>
        <w:ind w:left="866" w:right="1189"/>
        <w:rPr>
          <w:color w:val="050606"/>
        </w:rPr>
      </w:pPr>
    </w:p>
    <w:p w14:paraId="63491987" w14:textId="4FE8C1DC" w:rsidR="00783288" w:rsidRDefault="002213D7" w:rsidP="00512495">
      <w:pPr>
        <w:pStyle w:val="ListParagraph"/>
        <w:numPr>
          <w:ilvl w:val="0"/>
          <w:numId w:val="21"/>
        </w:numPr>
        <w:tabs>
          <w:tab w:val="left" w:pos="867"/>
        </w:tabs>
        <w:kinsoku w:val="0"/>
        <w:overflowPunct w:val="0"/>
        <w:ind w:right="1191"/>
        <w:jc w:val="both"/>
        <w:rPr>
          <w:color w:val="050606"/>
          <w:sz w:val="18"/>
          <w:szCs w:val="18"/>
        </w:rPr>
      </w:pPr>
      <w:r>
        <w:rPr>
          <w:color w:val="050606"/>
        </w:rPr>
        <w:tab/>
      </w:r>
      <w:r w:rsidR="00E31420">
        <w:rPr>
          <w:color w:val="050606"/>
          <w:sz w:val="18"/>
          <w:szCs w:val="18"/>
        </w:rPr>
        <w:t>The processing of the investor’s personal data will not be subject to automated decision-making by the Company, including profiling, which has any legal or significant effect on him or</w:t>
      </w:r>
      <w:r w:rsidR="00E31420">
        <w:rPr>
          <w:color w:val="050606"/>
          <w:spacing w:val="-22"/>
          <w:sz w:val="18"/>
          <w:szCs w:val="18"/>
        </w:rPr>
        <w:t xml:space="preserve"> </w:t>
      </w:r>
      <w:r w:rsidR="00E31420">
        <w:rPr>
          <w:color w:val="050606"/>
          <w:sz w:val="18"/>
          <w:szCs w:val="18"/>
        </w:rPr>
        <w:t>her.</w:t>
      </w:r>
    </w:p>
    <w:p w14:paraId="0665381F" w14:textId="77777777" w:rsidR="00783288" w:rsidRDefault="00783288">
      <w:pPr>
        <w:pStyle w:val="BodyText"/>
        <w:kinsoku w:val="0"/>
        <w:overflowPunct w:val="0"/>
        <w:spacing w:before="10"/>
        <w:rPr>
          <w:sz w:val="17"/>
          <w:szCs w:val="17"/>
        </w:rPr>
      </w:pPr>
    </w:p>
    <w:p w14:paraId="7426BC33" w14:textId="77777777" w:rsidR="00783288" w:rsidRDefault="00E31420" w:rsidP="00512495">
      <w:pPr>
        <w:pStyle w:val="ListParagraph"/>
        <w:numPr>
          <w:ilvl w:val="0"/>
          <w:numId w:val="21"/>
        </w:numPr>
        <w:tabs>
          <w:tab w:val="left" w:pos="867"/>
        </w:tabs>
        <w:kinsoku w:val="0"/>
        <w:overflowPunct w:val="0"/>
        <w:rPr>
          <w:color w:val="050606"/>
          <w:sz w:val="18"/>
          <w:szCs w:val="18"/>
        </w:rPr>
      </w:pPr>
      <w:r>
        <w:rPr>
          <w:color w:val="050606"/>
          <w:sz w:val="18"/>
          <w:szCs w:val="18"/>
        </w:rPr>
        <w:t>Personal data provided by investors will be retained as</w:t>
      </w:r>
      <w:r>
        <w:rPr>
          <w:color w:val="050606"/>
          <w:spacing w:val="-2"/>
          <w:sz w:val="18"/>
          <w:szCs w:val="18"/>
        </w:rPr>
        <w:t xml:space="preserve"> </w:t>
      </w:r>
      <w:r>
        <w:rPr>
          <w:color w:val="050606"/>
          <w:sz w:val="18"/>
          <w:szCs w:val="18"/>
        </w:rPr>
        <w:t>follows:</w:t>
      </w:r>
    </w:p>
    <w:p w14:paraId="0D0EE08C" w14:textId="77777777" w:rsidR="00783288" w:rsidRDefault="00783288">
      <w:pPr>
        <w:pStyle w:val="BodyText"/>
        <w:kinsoku w:val="0"/>
        <w:overflowPunct w:val="0"/>
        <w:spacing w:before="1"/>
      </w:pPr>
    </w:p>
    <w:p w14:paraId="0EC9239E" w14:textId="77777777" w:rsidR="00783288" w:rsidRDefault="00E31420" w:rsidP="00512495">
      <w:pPr>
        <w:pStyle w:val="ListParagraph"/>
        <w:numPr>
          <w:ilvl w:val="1"/>
          <w:numId w:val="21"/>
        </w:numPr>
        <w:tabs>
          <w:tab w:val="left" w:pos="1433"/>
        </w:tabs>
        <w:kinsoku w:val="0"/>
        <w:overflowPunct w:val="0"/>
        <w:ind w:right="1191"/>
        <w:jc w:val="both"/>
        <w:rPr>
          <w:color w:val="050606"/>
          <w:sz w:val="18"/>
          <w:szCs w:val="18"/>
        </w:rPr>
      </w:pPr>
      <w:r>
        <w:rPr>
          <w:color w:val="050606"/>
          <w:sz w:val="18"/>
          <w:szCs w:val="18"/>
        </w:rPr>
        <w:t>if the investor’s application is wholly unsuccessful and it is not issued shares, any personal data regarding</w:t>
      </w:r>
      <w:r>
        <w:rPr>
          <w:color w:val="050606"/>
          <w:spacing w:val="-7"/>
          <w:sz w:val="18"/>
          <w:szCs w:val="18"/>
        </w:rPr>
        <w:t xml:space="preserve"> </w:t>
      </w:r>
      <w:r>
        <w:rPr>
          <w:color w:val="050606"/>
          <w:sz w:val="18"/>
          <w:szCs w:val="18"/>
        </w:rPr>
        <w:t>the</w:t>
      </w:r>
      <w:r>
        <w:rPr>
          <w:color w:val="050606"/>
          <w:spacing w:val="-6"/>
          <w:sz w:val="18"/>
          <w:szCs w:val="18"/>
        </w:rPr>
        <w:t xml:space="preserve"> </w:t>
      </w:r>
      <w:r>
        <w:rPr>
          <w:color w:val="050606"/>
          <w:sz w:val="18"/>
          <w:szCs w:val="18"/>
        </w:rPr>
        <w:t>investor</w:t>
      </w:r>
      <w:r>
        <w:rPr>
          <w:color w:val="050606"/>
          <w:spacing w:val="-7"/>
          <w:sz w:val="18"/>
          <w:szCs w:val="18"/>
        </w:rPr>
        <w:t xml:space="preserve"> </w:t>
      </w:r>
      <w:r>
        <w:rPr>
          <w:color w:val="050606"/>
          <w:sz w:val="18"/>
          <w:szCs w:val="18"/>
        </w:rPr>
        <w:t>will</w:t>
      </w:r>
      <w:r>
        <w:rPr>
          <w:color w:val="050606"/>
          <w:spacing w:val="-4"/>
          <w:sz w:val="18"/>
          <w:szCs w:val="18"/>
        </w:rPr>
        <w:t xml:space="preserve"> </w:t>
      </w:r>
      <w:r>
        <w:rPr>
          <w:color w:val="050606"/>
          <w:sz w:val="18"/>
          <w:szCs w:val="18"/>
        </w:rPr>
        <w:t>be</w:t>
      </w:r>
      <w:r>
        <w:rPr>
          <w:color w:val="050606"/>
          <w:spacing w:val="-4"/>
          <w:sz w:val="18"/>
          <w:szCs w:val="18"/>
        </w:rPr>
        <w:t xml:space="preserve"> </w:t>
      </w:r>
      <w:r>
        <w:rPr>
          <w:color w:val="050606"/>
          <w:sz w:val="18"/>
          <w:szCs w:val="18"/>
        </w:rPr>
        <w:t>deleted</w:t>
      </w:r>
      <w:r>
        <w:rPr>
          <w:color w:val="050606"/>
          <w:spacing w:val="-5"/>
          <w:sz w:val="18"/>
          <w:szCs w:val="18"/>
        </w:rPr>
        <w:t xml:space="preserve"> </w:t>
      </w:r>
      <w:r>
        <w:rPr>
          <w:color w:val="050606"/>
          <w:sz w:val="18"/>
          <w:szCs w:val="18"/>
        </w:rPr>
        <w:t>by</w:t>
      </w:r>
      <w:r>
        <w:rPr>
          <w:color w:val="050606"/>
          <w:spacing w:val="-8"/>
          <w:sz w:val="18"/>
          <w:szCs w:val="18"/>
        </w:rPr>
        <w:t xml:space="preserve"> </w:t>
      </w:r>
      <w:r>
        <w:rPr>
          <w:color w:val="050606"/>
          <w:sz w:val="18"/>
          <w:szCs w:val="18"/>
        </w:rPr>
        <w:t>the</w:t>
      </w:r>
      <w:r>
        <w:rPr>
          <w:color w:val="050606"/>
          <w:spacing w:val="-6"/>
          <w:sz w:val="18"/>
          <w:szCs w:val="18"/>
        </w:rPr>
        <w:t xml:space="preserve"> </w:t>
      </w:r>
      <w:r>
        <w:rPr>
          <w:color w:val="050606"/>
          <w:sz w:val="18"/>
          <w:szCs w:val="18"/>
        </w:rPr>
        <w:t>Company</w:t>
      </w:r>
      <w:r>
        <w:rPr>
          <w:color w:val="050606"/>
          <w:spacing w:val="-6"/>
          <w:sz w:val="18"/>
          <w:szCs w:val="18"/>
        </w:rPr>
        <w:t xml:space="preserve"> </w:t>
      </w:r>
      <w:r>
        <w:rPr>
          <w:color w:val="050606"/>
          <w:sz w:val="18"/>
          <w:szCs w:val="18"/>
        </w:rPr>
        <w:t>and</w:t>
      </w:r>
      <w:r>
        <w:rPr>
          <w:color w:val="050606"/>
          <w:spacing w:val="-6"/>
          <w:sz w:val="18"/>
          <w:szCs w:val="18"/>
        </w:rPr>
        <w:t xml:space="preserve"> </w:t>
      </w:r>
      <w:r>
        <w:rPr>
          <w:color w:val="050606"/>
          <w:sz w:val="18"/>
          <w:szCs w:val="18"/>
        </w:rPr>
        <w:t>its</w:t>
      </w:r>
      <w:r>
        <w:rPr>
          <w:color w:val="050606"/>
          <w:spacing w:val="-6"/>
          <w:sz w:val="18"/>
          <w:szCs w:val="18"/>
        </w:rPr>
        <w:t xml:space="preserve"> </w:t>
      </w:r>
      <w:r>
        <w:rPr>
          <w:color w:val="050606"/>
          <w:sz w:val="18"/>
          <w:szCs w:val="18"/>
        </w:rPr>
        <w:t>providers</w:t>
      </w:r>
      <w:r>
        <w:rPr>
          <w:color w:val="050606"/>
          <w:spacing w:val="-7"/>
          <w:sz w:val="18"/>
          <w:szCs w:val="18"/>
        </w:rPr>
        <w:t xml:space="preserve"> </w:t>
      </w:r>
      <w:r>
        <w:rPr>
          <w:color w:val="050606"/>
          <w:sz w:val="18"/>
          <w:szCs w:val="18"/>
        </w:rPr>
        <w:t>in</w:t>
      </w:r>
      <w:r>
        <w:rPr>
          <w:color w:val="050606"/>
          <w:spacing w:val="-6"/>
          <w:sz w:val="18"/>
          <w:szCs w:val="18"/>
        </w:rPr>
        <w:t xml:space="preserve"> </w:t>
      </w:r>
      <w:r>
        <w:rPr>
          <w:color w:val="050606"/>
          <w:sz w:val="18"/>
          <w:szCs w:val="18"/>
        </w:rPr>
        <w:t>accordance</w:t>
      </w:r>
      <w:r>
        <w:rPr>
          <w:color w:val="050606"/>
          <w:spacing w:val="-4"/>
          <w:sz w:val="18"/>
          <w:szCs w:val="18"/>
        </w:rPr>
        <w:t xml:space="preserve"> </w:t>
      </w:r>
      <w:r>
        <w:rPr>
          <w:color w:val="050606"/>
          <w:sz w:val="18"/>
          <w:szCs w:val="18"/>
        </w:rPr>
        <w:t>with</w:t>
      </w:r>
      <w:r>
        <w:rPr>
          <w:color w:val="050606"/>
          <w:spacing w:val="-6"/>
          <w:sz w:val="18"/>
          <w:szCs w:val="18"/>
        </w:rPr>
        <w:t xml:space="preserve"> </w:t>
      </w:r>
      <w:r>
        <w:rPr>
          <w:color w:val="050606"/>
          <w:sz w:val="18"/>
          <w:szCs w:val="18"/>
        </w:rPr>
        <w:t>any</w:t>
      </w:r>
      <w:r>
        <w:rPr>
          <w:color w:val="050606"/>
          <w:spacing w:val="-6"/>
          <w:sz w:val="18"/>
          <w:szCs w:val="18"/>
        </w:rPr>
        <w:t xml:space="preserve"> </w:t>
      </w:r>
      <w:r>
        <w:rPr>
          <w:color w:val="050606"/>
          <w:sz w:val="18"/>
          <w:szCs w:val="18"/>
        </w:rPr>
        <w:t>data retention policies;</w:t>
      </w:r>
      <w:r>
        <w:rPr>
          <w:color w:val="050606"/>
          <w:spacing w:val="-5"/>
          <w:sz w:val="18"/>
          <w:szCs w:val="18"/>
        </w:rPr>
        <w:t xml:space="preserve"> </w:t>
      </w:r>
      <w:r>
        <w:rPr>
          <w:color w:val="050606"/>
          <w:sz w:val="18"/>
          <w:szCs w:val="18"/>
        </w:rPr>
        <w:t>or</w:t>
      </w:r>
    </w:p>
    <w:p w14:paraId="5568262F" w14:textId="77777777" w:rsidR="00783288" w:rsidRDefault="00783288">
      <w:pPr>
        <w:pStyle w:val="BodyText"/>
        <w:kinsoku w:val="0"/>
        <w:overflowPunct w:val="0"/>
      </w:pPr>
    </w:p>
    <w:p w14:paraId="178DC559" w14:textId="77777777" w:rsidR="00783288" w:rsidRDefault="00E31420" w:rsidP="00512495">
      <w:pPr>
        <w:pStyle w:val="ListParagraph"/>
        <w:numPr>
          <w:ilvl w:val="1"/>
          <w:numId w:val="21"/>
        </w:numPr>
        <w:tabs>
          <w:tab w:val="left" w:pos="1433"/>
        </w:tabs>
        <w:kinsoku w:val="0"/>
        <w:overflowPunct w:val="0"/>
        <w:ind w:right="1188"/>
        <w:jc w:val="both"/>
        <w:rPr>
          <w:color w:val="050606"/>
          <w:sz w:val="18"/>
          <w:szCs w:val="18"/>
        </w:rPr>
      </w:pPr>
      <w:r>
        <w:rPr>
          <w:color w:val="050606"/>
          <w:sz w:val="18"/>
          <w:szCs w:val="18"/>
        </w:rPr>
        <w:t>if the investor’s application is successful and shares are issued to them by the Company, the Company</w:t>
      </w:r>
      <w:r>
        <w:rPr>
          <w:color w:val="050606"/>
          <w:spacing w:val="-15"/>
          <w:sz w:val="18"/>
          <w:szCs w:val="18"/>
        </w:rPr>
        <w:t xml:space="preserve"> </w:t>
      </w:r>
      <w:r>
        <w:rPr>
          <w:color w:val="050606"/>
          <w:sz w:val="18"/>
          <w:szCs w:val="18"/>
        </w:rPr>
        <w:t>will</w:t>
      </w:r>
      <w:r>
        <w:rPr>
          <w:color w:val="050606"/>
          <w:spacing w:val="-13"/>
          <w:sz w:val="18"/>
          <w:szCs w:val="18"/>
        </w:rPr>
        <w:t xml:space="preserve"> </w:t>
      </w:r>
      <w:r>
        <w:rPr>
          <w:color w:val="050606"/>
          <w:sz w:val="18"/>
          <w:szCs w:val="18"/>
        </w:rPr>
        <w:t>retain</w:t>
      </w:r>
      <w:r>
        <w:rPr>
          <w:color w:val="050606"/>
          <w:spacing w:val="-13"/>
          <w:sz w:val="18"/>
          <w:szCs w:val="18"/>
        </w:rPr>
        <w:t xml:space="preserve"> </w:t>
      </w:r>
      <w:r>
        <w:rPr>
          <w:color w:val="050606"/>
          <w:sz w:val="18"/>
          <w:szCs w:val="18"/>
        </w:rPr>
        <w:t>the</w:t>
      </w:r>
      <w:r>
        <w:rPr>
          <w:color w:val="050606"/>
          <w:spacing w:val="-12"/>
          <w:sz w:val="18"/>
          <w:szCs w:val="18"/>
        </w:rPr>
        <w:t xml:space="preserve"> </w:t>
      </w:r>
      <w:r>
        <w:rPr>
          <w:color w:val="050606"/>
          <w:sz w:val="18"/>
          <w:szCs w:val="18"/>
        </w:rPr>
        <w:t>name</w:t>
      </w:r>
      <w:r>
        <w:rPr>
          <w:color w:val="050606"/>
          <w:spacing w:val="-16"/>
          <w:sz w:val="18"/>
          <w:szCs w:val="18"/>
        </w:rPr>
        <w:t xml:space="preserve"> </w:t>
      </w:r>
      <w:r>
        <w:rPr>
          <w:color w:val="050606"/>
          <w:sz w:val="18"/>
          <w:szCs w:val="18"/>
        </w:rPr>
        <w:t>and</w:t>
      </w:r>
      <w:r>
        <w:rPr>
          <w:color w:val="050606"/>
          <w:spacing w:val="-13"/>
          <w:sz w:val="18"/>
          <w:szCs w:val="18"/>
        </w:rPr>
        <w:t xml:space="preserve"> </w:t>
      </w:r>
      <w:r>
        <w:rPr>
          <w:color w:val="050606"/>
          <w:sz w:val="18"/>
          <w:szCs w:val="18"/>
        </w:rPr>
        <w:t>contact</w:t>
      </w:r>
      <w:r>
        <w:rPr>
          <w:color w:val="050606"/>
          <w:spacing w:val="-13"/>
          <w:sz w:val="18"/>
          <w:szCs w:val="18"/>
        </w:rPr>
        <w:t xml:space="preserve"> </w:t>
      </w:r>
      <w:r>
        <w:rPr>
          <w:color w:val="050606"/>
          <w:sz w:val="18"/>
          <w:szCs w:val="18"/>
        </w:rPr>
        <w:t>details</w:t>
      </w:r>
      <w:r>
        <w:rPr>
          <w:color w:val="050606"/>
          <w:spacing w:val="-15"/>
          <w:sz w:val="18"/>
          <w:szCs w:val="18"/>
        </w:rPr>
        <w:t xml:space="preserve"> </w:t>
      </w:r>
      <w:r>
        <w:rPr>
          <w:color w:val="050606"/>
          <w:sz w:val="18"/>
          <w:szCs w:val="18"/>
        </w:rPr>
        <w:t>of</w:t>
      </w:r>
      <w:r>
        <w:rPr>
          <w:color w:val="050606"/>
          <w:spacing w:val="-14"/>
          <w:sz w:val="18"/>
          <w:szCs w:val="18"/>
        </w:rPr>
        <w:t xml:space="preserve"> </w:t>
      </w:r>
      <w:r>
        <w:rPr>
          <w:color w:val="050606"/>
          <w:sz w:val="18"/>
          <w:szCs w:val="18"/>
        </w:rPr>
        <w:t>the</w:t>
      </w:r>
      <w:r>
        <w:rPr>
          <w:color w:val="050606"/>
          <w:spacing w:val="-15"/>
          <w:sz w:val="18"/>
          <w:szCs w:val="18"/>
        </w:rPr>
        <w:t xml:space="preserve"> </w:t>
      </w:r>
      <w:r>
        <w:rPr>
          <w:color w:val="050606"/>
          <w:sz w:val="18"/>
          <w:szCs w:val="18"/>
        </w:rPr>
        <w:t>investor</w:t>
      </w:r>
      <w:r>
        <w:rPr>
          <w:color w:val="050606"/>
          <w:spacing w:val="-14"/>
          <w:sz w:val="18"/>
          <w:szCs w:val="18"/>
        </w:rPr>
        <w:t xml:space="preserve"> </w:t>
      </w:r>
      <w:r>
        <w:rPr>
          <w:color w:val="050606"/>
          <w:sz w:val="18"/>
          <w:szCs w:val="18"/>
        </w:rPr>
        <w:t>for</w:t>
      </w:r>
      <w:r>
        <w:rPr>
          <w:color w:val="050606"/>
          <w:spacing w:val="-14"/>
          <w:sz w:val="18"/>
          <w:szCs w:val="18"/>
        </w:rPr>
        <w:t xml:space="preserve"> </w:t>
      </w:r>
      <w:r>
        <w:rPr>
          <w:color w:val="050606"/>
          <w:sz w:val="18"/>
          <w:szCs w:val="18"/>
        </w:rPr>
        <w:t>as</w:t>
      </w:r>
      <w:r>
        <w:rPr>
          <w:color w:val="050606"/>
          <w:spacing w:val="-12"/>
          <w:sz w:val="18"/>
          <w:szCs w:val="18"/>
        </w:rPr>
        <w:t xml:space="preserve"> </w:t>
      </w:r>
      <w:r>
        <w:rPr>
          <w:color w:val="050606"/>
          <w:sz w:val="18"/>
          <w:szCs w:val="18"/>
        </w:rPr>
        <w:t>long</w:t>
      </w:r>
      <w:r>
        <w:rPr>
          <w:color w:val="050606"/>
          <w:spacing w:val="-13"/>
          <w:sz w:val="18"/>
          <w:szCs w:val="18"/>
        </w:rPr>
        <w:t xml:space="preserve"> </w:t>
      </w:r>
      <w:r>
        <w:rPr>
          <w:color w:val="050606"/>
          <w:sz w:val="18"/>
          <w:szCs w:val="18"/>
        </w:rPr>
        <w:t>as</w:t>
      </w:r>
      <w:r>
        <w:rPr>
          <w:color w:val="050606"/>
          <w:spacing w:val="-13"/>
          <w:sz w:val="18"/>
          <w:szCs w:val="18"/>
        </w:rPr>
        <w:t xml:space="preserve"> </w:t>
      </w:r>
      <w:r>
        <w:rPr>
          <w:color w:val="050606"/>
          <w:sz w:val="18"/>
          <w:szCs w:val="18"/>
        </w:rPr>
        <w:t>it</w:t>
      </w:r>
      <w:r>
        <w:rPr>
          <w:color w:val="050606"/>
          <w:spacing w:val="-15"/>
          <w:sz w:val="18"/>
          <w:szCs w:val="18"/>
        </w:rPr>
        <w:t xml:space="preserve"> </w:t>
      </w:r>
      <w:r>
        <w:rPr>
          <w:color w:val="050606"/>
          <w:sz w:val="18"/>
          <w:szCs w:val="18"/>
        </w:rPr>
        <w:t>is</w:t>
      </w:r>
      <w:r>
        <w:rPr>
          <w:color w:val="050606"/>
          <w:spacing w:val="-13"/>
          <w:sz w:val="18"/>
          <w:szCs w:val="18"/>
        </w:rPr>
        <w:t xml:space="preserve"> </w:t>
      </w:r>
      <w:r>
        <w:rPr>
          <w:color w:val="050606"/>
          <w:sz w:val="18"/>
          <w:szCs w:val="18"/>
        </w:rPr>
        <w:t>obliged</w:t>
      </w:r>
      <w:r>
        <w:rPr>
          <w:color w:val="050606"/>
          <w:spacing w:val="-13"/>
          <w:sz w:val="18"/>
          <w:szCs w:val="18"/>
        </w:rPr>
        <w:t xml:space="preserve"> </w:t>
      </w:r>
      <w:r>
        <w:rPr>
          <w:color w:val="050606"/>
          <w:sz w:val="18"/>
          <w:szCs w:val="18"/>
        </w:rPr>
        <w:t>to</w:t>
      </w:r>
      <w:r>
        <w:rPr>
          <w:color w:val="050606"/>
          <w:spacing w:val="-15"/>
          <w:sz w:val="18"/>
          <w:szCs w:val="18"/>
        </w:rPr>
        <w:t xml:space="preserve"> </w:t>
      </w:r>
      <w:r>
        <w:rPr>
          <w:color w:val="050606"/>
          <w:sz w:val="18"/>
          <w:szCs w:val="18"/>
        </w:rPr>
        <w:t>maintain records of its shareholders under law, and any other details will be deleted in accordance with data retention policies, after the investor ceases to be a</w:t>
      </w:r>
      <w:r>
        <w:rPr>
          <w:color w:val="050606"/>
          <w:spacing w:val="-14"/>
          <w:sz w:val="18"/>
          <w:szCs w:val="18"/>
        </w:rPr>
        <w:t xml:space="preserve"> </w:t>
      </w:r>
      <w:r>
        <w:rPr>
          <w:color w:val="050606"/>
          <w:sz w:val="18"/>
          <w:szCs w:val="18"/>
        </w:rPr>
        <w:t>shareholder.</w:t>
      </w:r>
    </w:p>
    <w:p w14:paraId="34D8ACDE" w14:textId="77777777" w:rsidR="00783288" w:rsidRDefault="00783288">
      <w:pPr>
        <w:pStyle w:val="BodyText"/>
        <w:kinsoku w:val="0"/>
        <w:overflowPunct w:val="0"/>
        <w:spacing w:before="11"/>
        <w:rPr>
          <w:sz w:val="17"/>
          <w:szCs w:val="17"/>
        </w:rPr>
      </w:pPr>
    </w:p>
    <w:p w14:paraId="776C89B3" w14:textId="77777777" w:rsidR="00783288" w:rsidRDefault="00E31420" w:rsidP="00512495">
      <w:pPr>
        <w:pStyle w:val="ListParagraph"/>
        <w:numPr>
          <w:ilvl w:val="0"/>
          <w:numId w:val="21"/>
        </w:numPr>
        <w:tabs>
          <w:tab w:val="left" w:pos="867"/>
        </w:tabs>
        <w:kinsoku w:val="0"/>
        <w:overflowPunct w:val="0"/>
        <w:rPr>
          <w:color w:val="050606"/>
          <w:sz w:val="18"/>
          <w:szCs w:val="18"/>
        </w:rPr>
      </w:pPr>
      <w:r>
        <w:rPr>
          <w:color w:val="050606"/>
          <w:sz w:val="18"/>
          <w:szCs w:val="18"/>
        </w:rPr>
        <w:t>An investor has the right, in relation to his or her personal data held by the Company,</w:t>
      </w:r>
      <w:r>
        <w:rPr>
          <w:color w:val="050606"/>
          <w:spacing w:val="-11"/>
          <w:sz w:val="18"/>
          <w:szCs w:val="18"/>
        </w:rPr>
        <w:t xml:space="preserve"> </w:t>
      </w:r>
      <w:r>
        <w:rPr>
          <w:color w:val="050606"/>
          <w:sz w:val="18"/>
          <w:szCs w:val="18"/>
        </w:rPr>
        <w:t>to:</w:t>
      </w:r>
    </w:p>
    <w:p w14:paraId="19EB9C0E" w14:textId="77777777" w:rsidR="00783288" w:rsidRDefault="00783288">
      <w:pPr>
        <w:pStyle w:val="BodyText"/>
        <w:kinsoku w:val="0"/>
        <w:overflowPunct w:val="0"/>
        <w:spacing w:before="1"/>
      </w:pPr>
    </w:p>
    <w:p w14:paraId="7ECE7AA8" w14:textId="77777777" w:rsidR="00783288" w:rsidRDefault="00E31420" w:rsidP="00512495">
      <w:pPr>
        <w:pStyle w:val="ListParagraph"/>
        <w:numPr>
          <w:ilvl w:val="1"/>
          <w:numId w:val="21"/>
        </w:numPr>
        <w:tabs>
          <w:tab w:val="left" w:pos="1433"/>
        </w:tabs>
        <w:kinsoku w:val="0"/>
        <w:overflowPunct w:val="0"/>
        <w:rPr>
          <w:color w:val="050606"/>
          <w:sz w:val="18"/>
          <w:szCs w:val="18"/>
        </w:rPr>
      </w:pPr>
      <w:r>
        <w:rPr>
          <w:color w:val="050606"/>
          <w:sz w:val="18"/>
          <w:szCs w:val="18"/>
        </w:rPr>
        <w:t xml:space="preserve">request access to such personal </w:t>
      </w:r>
      <w:proofErr w:type="gramStart"/>
      <w:r>
        <w:rPr>
          <w:color w:val="050606"/>
          <w:sz w:val="18"/>
          <w:szCs w:val="18"/>
        </w:rPr>
        <w:t>data;</w:t>
      </w:r>
      <w:proofErr w:type="gramEnd"/>
    </w:p>
    <w:p w14:paraId="52447A5D" w14:textId="77777777" w:rsidR="00783288" w:rsidRDefault="00783288">
      <w:pPr>
        <w:pStyle w:val="BodyText"/>
        <w:kinsoku w:val="0"/>
        <w:overflowPunct w:val="0"/>
        <w:spacing w:before="10"/>
        <w:rPr>
          <w:sz w:val="17"/>
          <w:szCs w:val="17"/>
        </w:rPr>
      </w:pPr>
    </w:p>
    <w:p w14:paraId="28171B07" w14:textId="77777777" w:rsidR="00783288" w:rsidRDefault="00E31420" w:rsidP="00512495">
      <w:pPr>
        <w:pStyle w:val="ListParagraph"/>
        <w:numPr>
          <w:ilvl w:val="1"/>
          <w:numId w:val="21"/>
        </w:numPr>
        <w:tabs>
          <w:tab w:val="left" w:pos="1433"/>
        </w:tabs>
        <w:kinsoku w:val="0"/>
        <w:overflowPunct w:val="0"/>
        <w:spacing w:before="1"/>
        <w:rPr>
          <w:color w:val="050606"/>
          <w:sz w:val="18"/>
          <w:szCs w:val="18"/>
        </w:rPr>
      </w:pPr>
      <w:r>
        <w:rPr>
          <w:color w:val="050606"/>
          <w:sz w:val="18"/>
          <w:szCs w:val="18"/>
        </w:rPr>
        <w:t>require the Company to rectify any inaccurate personal</w:t>
      </w:r>
      <w:r>
        <w:rPr>
          <w:color w:val="050606"/>
          <w:spacing w:val="-6"/>
          <w:sz w:val="18"/>
          <w:szCs w:val="18"/>
        </w:rPr>
        <w:t xml:space="preserve"> </w:t>
      </w:r>
      <w:proofErr w:type="gramStart"/>
      <w:r>
        <w:rPr>
          <w:color w:val="050606"/>
          <w:sz w:val="18"/>
          <w:szCs w:val="18"/>
        </w:rPr>
        <w:t>data;</w:t>
      </w:r>
      <w:proofErr w:type="gramEnd"/>
    </w:p>
    <w:p w14:paraId="19749BD6" w14:textId="77777777" w:rsidR="00783288" w:rsidRDefault="00783288">
      <w:pPr>
        <w:pStyle w:val="BodyText"/>
        <w:kinsoku w:val="0"/>
        <w:overflowPunct w:val="0"/>
        <w:spacing w:before="1"/>
      </w:pPr>
    </w:p>
    <w:p w14:paraId="298B0E60" w14:textId="77777777" w:rsidR="00783288" w:rsidRDefault="00E31420" w:rsidP="00512495">
      <w:pPr>
        <w:pStyle w:val="ListParagraph"/>
        <w:numPr>
          <w:ilvl w:val="1"/>
          <w:numId w:val="21"/>
        </w:numPr>
        <w:tabs>
          <w:tab w:val="left" w:pos="1433"/>
        </w:tabs>
        <w:kinsoku w:val="0"/>
        <w:overflowPunct w:val="0"/>
        <w:rPr>
          <w:color w:val="050606"/>
          <w:sz w:val="18"/>
          <w:szCs w:val="18"/>
        </w:rPr>
      </w:pPr>
      <w:r>
        <w:rPr>
          <w:color w:val="050606"/>
          <w:sz w:val="18"/>
          <w:szCs w:val="18"/>
        </w:rPr>
        <w:t>in some cases, to require the Company</w:t>
      </w:r>
      <w:r>
        <w:rPr>
          <w:color w:val="050606"/>
          <w:spacing w:val="-6"/>
          <w:sz w:val="18"/>
          <w:szCs w:val="18"/>
        </w:rPr>
        <w:t xml:space="preserve"> </w:t>
      </w:r>
      <w:r>
        <w:rPr>
          <w:color w:val="050606"/>
          <w:sz w:val="18"/>
          <w:szCs w:val="18"/>
        </w:rPr>
        <w:t>to:</w:t>
      </w:r>
    </w:p>
    <w:p w14:paraId="56B3441A" w14:textId="77777777" w:rsidR="00783288" w:rsidRDefault="00783288">
      <w:pPr>
        <w:pStyle w:val="BodyText"/>
        <w:kinsoku w:val="0"/>
        <w:overflowPunct w:val="0"/>
        <w:spacing w:before="10"/>
        <w:rPr>
          <w:sz w:val="17"/>
          <w:szCs w:val="17"/>
        </w:rPr>
      </w:pPr>
    </w:p>
    <w:p w14:paraId="3648815F" w14:textId="77777777" w:rsidR="00783288" w:rsidRDefault="00E31420" w:rsidP="00512495">
      <w:pPr>
        <w:pStyle w:val="ListParagraph"/>
        <w:numPr>
          <w:ilvl w:val="2"/>
          <w:numId w:val="21"/>
        </w:numPr>
        <w:tabs>
          <w:tab w:val="left" w:pos="2002"/>
        </w:tabs>
        <w:kinsoku w:val="0"/>
        <w:overflowPunct w:val="0"/>
        <w:ind w:hanging="570"/>
        <w:rPr>
          <w:color w:val="050606"/>
          <w:sz w:val="18"/>
          <w:szCs w:val="18"/>
        </w:rPr>
      </w:pPr>
      <w:r>
        <w:rPr>
          <w:color w:val="050606"/>
          <w:sz w:val="18"/>
          <w:szCs w:val="18"/>
        </w:rPr>
        <w:t>restrict processing of the personal</w:t>
      </w:r>
      <w:r>
        <w:rPr>
          <w:color w:val="050606"/>
          <w:spacing w:val="-4"/>
          <w:sz w:val="18"/>
          <w:szCs w:val="18"/>
        </w:rPr>
        <w:t xml:space="preserve"> </w:t>
      </w:r>
      <w:proofErr w:type="gramStart"/>
      <w:r>
        <w:rPr>
          <w:color w:val="050606"/>
          <w:sz w:val="18"/>
          <w:szCs w:val="18"/>
        </w:rPr>
        <w:t>data;</w:t>
      </w:r>
      <w:proofErr w:type="gramEnd"/>
    </w:p>
    <w:p w14:paraId="1697F0E2" w14:textId="77777777" w:rsidR="00783288" w:rsidRDefault="00783288">
      <w:pPr>
        <w:pStyle w:val="BodyText"/>
        <w:kinsoku w:val="0"/>
        <w:overflowPunct w:val="0"/>
        <w:spacing w:before="1"/>
      </w:pPr>
    </w:p>
    <w:p w14:paraId="5E00B9A2" w14:textId="77777777" w:rsidR="00783288" w:rsidRDefault="00E31420" w:rsidP="00512495">
      <w:pPr>
        <w:pStyle w:val="ListParagraph"/>
        <w:numPr>
          <w:ilvl w:val="2"/>
          <w:numId w:val="21"/>
        </w:numPr>
        <w:tabs>
          <w:tab w:val="left" w:pos="2002"/>
        </w:tabs>
        <w:kinsoku w:val="0"/>
        <w:overflowPunct w:val="0"/>
        <w:ind w:hanging="570"/>
        <w:rPr>
          <w:color w:val="050606"/>
          <w:sz w:val="18"/>
          <w:szCs w:val="18"/>
        </w:rPr>
      </w:pPr>
      <w:r>
        <w:rPr>
          <w:color w:val="050606"/>
          <w:sz w:val="18"/>
          <w:szCs w:val="18"/>
        </w:rPr>
        <w:t>erase the personal data;</w:t>
      </w:r>
      <w:r>
        <w:rPr>
          <w:color w:val="050606"/>
          <w:spacing w:val="-4"/>
          <w:sz w:val="18"/>
          <w:szCs w:val="18"/>
        </w:rPr>
        <w:t xml:space="preserve"> </w:t>
      </w:r>
      <w:r>
        <w:rPr>
          <w:color w:val="050606"/>
          <w:sz w:val="18"/>
          <w:szCs w:val="18"/>
        </w:rPr>
        <w:t>and/or</w:t>
      </w:r>
    </w:p>
    <w:p w14:paraId="5CDE6A25" w14:textId="77777777" w:rsidR="00783288" w:rsidRDefault="00783288">
      <w:pPr>
        <w:pStyle w:val="BodyText"/>
        <w:kinsoku w:val="0"/>
        <w:overflowPunct w:val="0"/>
        <w:spacing w:before="10"/>
        <w:rPr>
          <w:sz w:val="17"/>
          <w:szCs w:val="17"/>
        </w:rPr>
      </w:pPr>
    </w:p>
    <w:p w14:paraId="5B9AF5AA" w14:textId="77777777" w:rsidR="00783288" w:rsidRDefault="00E31420" w:rsidP="00512495">
      <w:pPr>
        <w:pStyle w:val="ListParagraph"/>
        <w:numPr>
          <w:ilvl w:val="2"/>
          <w:numId w:val="21"/>
        </w:numPr>
        <w:tabs>
          <w:tab w:val="left" w:pos="2002"/>
        </w:tabs>
        <w:kinsoku w:val="0"/>
        <w:overflowPunct w:val="0"/>
        <w:spacing w:before="1"/>
        <w:ind w:hanging="570"/>
        <w:rPr>
          <w:color w:val="050606"/>
          <w:sz w:val="18"/>
          <w:szCs w:val="18"/>
        </w:rPr>
      </w:pPr>
      <w:r>
        <w:rPr>
          <w:color w:val="050606"/>
          <w:sz w:val="18"/>
          <w:szCs w:val="18"/>
        </w:rPr>
        <w:t>transfer the personal data to another controller;</w:t>
      </w:r>
      <w:r>
        <w:rPr>
          <w:color w:val="050606"/>
          <w:spacing w:val="-8"/>
          <w:sz w:val="18"/>
          <w:szCs w:val="18"/>
        </w:rPr>
        <w:t xml:space="preserve"> </w:t>
      </w:r>
      <w:r>
        <w:rPr>
          <w:color w:val="050606"/>
          <w:sz w:val="18"/>
          <w:szCs w:val="18"/>
        </w:rPr>
        <w:t>and/or</w:t>
      </w:r>
    </w:p>
    <w:p w14:paraId="62CF6DFF" w14:textId="77777777" w:rsidR="00783288" w:rsidRDefault="00783288">
      <w:pPr>
        <w:pStyle w:val="BodyText"/>
        <w:kinsoku w:val="0"/>
        <w:overflowPunct w:val="0"/>
        <w:spacing w:before="1"/>
      </w:pPr>
    </w:p>
    <w:p w14:paraId="4ABBB769" w14:textId="77777777" w:rsidR="00783288" w:rsidRDefault="00E31420" w:rsidP="00512495">
      <w:pPr>
        <w:pStyle w:val="ListParagraph"/>
        <w:numPr>
          <w:ilvl w:val="1"/>
          <w:numId w:val="21"/>
        </w:numPr>
        <w:tabs>
          <w:tab w:val="left" w:pos="1433"/>
        </w:tabs>
        <w:kinsoku w:val="0"/>
        <w:overflowPunct w:val="0"/>
        <w:rPr>
          <w:color w:val="050606"/>
          <w:sz w:val="18"/>
          <w:szCs w:val="18"/>
        </w:rPr>
      </w:pPr>
      <w:r>
        <w:rPr>
          <w:color w:val="050606"/>
          <w:sz w:val="18"/>
          <w:szCs w:val="18"/>
        </w:rPr>
        <w:t>lodge a complaint with the supervisory authority, being the Information Commissioner’s</w:t>
      </w:r>
      <w:r>
        <w:rPr>
          <w:color w:val="050606"/>
          <w:spacing w:val="-14"/>
          <w:sz w:val="18"/>
          <w:szCs w:val="18"/>
        </w:rPr>
        <w:t xml:space="preserve"> </w:t>
      </w:r>
      <w:r>
        <w:rPr>
          <w:color w:val="050606"/>
          <w:sz w:val="18"/>
          <w:szCs w:val="18"/>
        </w:rPr>
        <w:t>Office.</w:t>
      </w:r>
    </w:p>
    <w:p w14:paraId="1E7826F1" w14:textId="77777777" w:rsidR="00783288" w:rsidRDefault="00783288">
      <w:pPr>
        <w:pStyle w:val="BodyText"/>
        <w:kinsoku w:val="0"/>
        <w:overflowPunct w:val="0"/>
        <w:spacing w:before="10"/>
        <w:rPr>
          <w:sz w:val="17"/>
          <w:szCs w:val="17"/>
        </w:rPr>
      </w:pPr>
    </w:p>
    <w:p w14:paraId="027A9F55" w14:textId="77777777" w:rsidR="00783288" w:rsidRDefault="00E31420" w:rsidP="00512495">
      <w:pPr>
        <w:pStyle w:val="ListParagraph"/>
        <w:numPr>
          <w:ilvl w:val="0"/>
          <w:numId w:val="21"/>
        </w:numPr>
        <w:tabs>
          <w:tab w:val="left" w:pos="867"/>
        </w:tabs>
        <w:kinsoku w:val="0"/>
        <w:overflowPunct w:val="0"/>
        <w:ind w:right="1191"/>
        <w:jc w:val="both"/>
        <w:rPr>
          <w:color w:val="050606"/>
          <w:sz w:val="18"/>
          <w:szCs w:val="18"/>
        </w:rPr>
      </w:pPr>
      <w:r>
        <w:rPr>
          <w:color w:val="050606"/>
          <w:sz w:val="18"/>
          <w:szCs w:val="18"/>
        </w:rPr>
        <w:t>Investors</w:t>
      </w:r>
      <w:r>
        <w:rPr>
          <w:color w:val="050606"/>
          <w:spacing w:val="-15"/>
          <w:sz w:val="18"/>
          <w:szCs w:val="18"/>
        </w:rPr>
        <w:t xml:space="preserve"> </w:t>
      </w:r>
      <w:r>
        <w:rPr>
          <w:color w:val="050606"/>
          <w:sz w:val="18"/>
          <w:szCs w:val="18"/>
        </w:rPr>
        <w:t>are</w:t>
      </w:r>
      <w:r>
        <w:rPr>
          <w:color w:val="050606"/>
          <w:spacing w:val="-14"/>
          <w:sz w:val="18"/>
          <w:szCs w:val="18"/>
        </w:rPr>
        <w:t xml:space="preserve"> </w:t>
      </w:r>
      <w:r>
        <w:rPr>
          <w:color w:val="050606"/>
          <w:sz w:val="18"/>
          <w:szCs w:val="18"/>
        </w:rPr>
        <w:t>responsible</w:t>
      </w:r>
      <w:r>
        <w:rPr>
          <w:color w:val="050606"/>
          <w:spacing w:val="-14"/>
          <w:sz w:val="18"/>
          <w:szCs w:val="18"/>
        </w:rPr>
        <w:t xml:space="preserve"> </w:t>
      </w:r>
      <w:r>
        <w:rPr>
          <w:color w:val="050606"/>
          <w:sz w:val="18"/>
          <w:szCs w:val="18"/>
        </w:rPr>
        <w:t>for</w:t>
      </w:r>
      <w:r>
        <w:rPr>
          <w:color w:val="050606"/>
          <w:spacing w:val="-16"/>
          <w:sz w:val="18"/>
          <w:szCs w:val="18"/>
        </w:rPr>
        <w:t xml:space="preserve"> </w:t>
      </w:r>
      <w:r>
        <w:rPr>
          <w:color w:val="050606"/>
          <w:sz w:val="18"/>
          <w:szCs w:val="18"/>
        </w:rPr>
        <w:t>informing</w:t>
      </w:r>
      <w:r>
        <w:rPr>
          <w:color w:val="050606"/>
          <w:spacing w:val="-14"/>
          <w:sz w:val="18"/>
          <w:szCs w:val="18"/>
        </w:rPr>
        <w:t xml:space="preserve"> </w:t>
      </w:r>
      <w:r>
        <w:rPr>
          <w:color w:val="050606"/>
          <w:sz w:val="18"/>
          <w:szCs w:val="18"/>
        </w:rPr>
        <w:t>any</w:t>
      </w:r>
      <w:r>
        <w:rPr>
          <w:color w:val="050606"/>
          <w:spacing w:val="-16"/>
          <w:sz w:val="18"/>
          <w:szCs w:val="18"/>
        </w:rPr>
        <w:t xml:space="preserve"> </w:t>
      </w:r>
      <w:proofErr w:type="gramStart"/>
      <w:r>
        <w:rPr>
          <w:color w:val="050606"/>
          <w:sz w:val="18"/>
          <w:szCs w:val="18"/>
        </w:rPr>
        <w:t>third</w:t>
      </w:r>
      <w:r>
        <w:rPr>
          <w:color w:val="050606"/>
          <w:spacing w:val="-14"/>
          <w:sz w:val="18"/>
          <w:szCs w:val="18"/>
        </w:rPr>
        <w:t xml:space="preserve"> </w:t>
      </w:r>
      <w:r>
        <w:rPr>
          <w:color w:val="050606"/>
          <w:sz w:val="18"/>
          <w:szCs w:val="18"/>
        </w:rPr>
        <w:t>party</w:t>
      </w:r>
      <w:proofErr w:type="gramEnd"/>
      <w:r>
        <w:rPr>
          <w:color w:val="050606"/>
          <w:spacing w:val="-16"/>
          <w:sz w:val="18"/>
          <w:szCs w:val="18"/>
        </w:rPr>
        <w:t xml:space="preserve"> </w:t>
      </w:r>
      <w:r>
        <w:rPr>
          <w:color w:val="050606"/>
          <w:sz w:val="18"/>
          <w:szCs w:val="18"/>
        </w:rPr>
        <w:t>individual</w:t>
      </w:r>
      <w:r>
        <w:rPr>
          <w:color w:val="050606"/>
          <w:spacing w:val="-14"/>
          <w:sz w:val="18"/>
          <w:szCs w:val="18"/>
        </w:rPr>
        <w:t xml:space="preserve"> </w:t>
      </w:r>
      <w:r>
        <w:rPr>
          <w:color w:val="050606"/>
          <w:sz w:val="18"/>
          <w:szCs w:val="18"/>
        </w:rPr>
        <w:t>to</w:t>
      </w:r>
      <w:r>
        <w:rPr>
          <w:color w:val="050606"/>
          <w:spacing w:val="-14"/>
          <w:sz w:val="18"/>
          <w:szCs w:val="18"/>
        </w:rPr>
        <w:t xml:space="preserve"> </w:t>
      </w:r>
      <w:r>
        <w:rPr>
          <w:color w:val="050606"/>
          <w:sz w:val="18"/>
          <w:szCs w:val="18"/>
        </w:rPr>
        <w:t>whom</w:t>
      </w:r>
      <w:r>
        <w:rPr>
          <w:color w:val="050606"/>
          <w:spacing w:val="-14"/>
          <w:sz w:val="18"/>
          <w:szCs w:val="18"/>
        </w:rPr>
        <w:t xml:space="preserve"> </w:t>
      </w:r>
      <w:r>
        <w:rPr>
          <w:color w:val="050606"/>
          <w:sz w:val="18"/>
          <w:szCs w:val="18"/>
        </w:rPr>
        <w:t>the</w:t>
      </w:r>
      <w:r>
        <w:rPr>
          <w:color w:val="050606"/>
          <w:spacing w:val="-14"/>
          <w:sz w:val="18"/>
          <w:szCs w:val="18"/>
        </w:rPr>
        <w:t xml:space="preserve"> </w:t>
      </w:r>
      <w:r>
        <w:rPr>
          <w:color w:val="050606"/>
          <w:sz w:val="18"/>
          <w:szCs w:val="18"/>
        </w:rPr>
        <w:t>personal</w:t>
      </w:r>
      <w:r>
        <w:rPr>
          <w:color w:val="050606"/>
          <w:spacing w:val="-14"/>
          <w:sz w:val="18"/>
          <w:szCs w:val="18"/>
        </w:rPr>
        <w:t xml:space="preserve"> </w:t>
      </w:r>
      <w:r>
        <w:rPr>
          <w:color w:val="050606"/>
          <w:sz w:val="18"/>
          <w:szCs w:val="18"/>
        </w:rPr>
        <w:t>data</w:t>
      </w:r>
      <w:r>
        <w:rPr>
          <w:color w:val="050606"/>
          <w:spacing w:val="-14"/>
          <w:sz w:val="18"/>
          <w:szCs w:val="18"/>
        </w:rPr>
        <w:t xml:space="preserve"> </w:t>
      </w:r>
      <w:r>
        <w:rPr>
          <w:color w:val="050606"/>
          <w:sz w:val="18"/>
          <w:szCs w:val="18"/>
        </w:rPr>
        <w:t>relates</w:t>
      </w:r>
      <w:r>
        <w:rPr>
          <w:color w:val="050606"/>
          <w:spacing w:val="-14"/>
          <w:sz w:val="18"/>
          <w:szCs w:val="18"/>
        </w:rPr>
        <w:t xml:space="preserve"> </w:t>
      </w:r>
      <w:r>
        <w:rPr>
          <w:color w:val="050606"/>
          <w:sz w:val="18"/>
          <w:szCs w:val="18"/>
        </w:rPr>
        <w:t>(including but not limited to any beneficial owner) of the disclosure and use of such data in accordance with these provisions.</w:t>
      </w:r>
    </w:p>
    <w:p w14:paraId="353F20B3" w14:textId="77777777" w:rsidR="00783288" w:rsidRDefault="00783288">
      <w:pPr>
        <w:pStyle w:val="BodyText"/>
        <w:kinsoku w:val="0"/>
        <w:overflowPunct w:val="0"/>
        <w:spacing w:before="7"/>
        <w:rPr>
          <w:sz w:val="17"/>
          <w:szCs w:val="17"/>
        </w:rPr>
      </w:pPr>
    </w:p>
    <w:p w14:paraId="51D63BEF" w14:textId="77777777" w:rsidR="00783288" w:rsidRDefault="00E31420">
      <w:pPr>
        <w:pStyle w:val="Heading1"/>
        <w:kinsoku w:val="0"/>
        <w:overflowPunct w:val="0"/>
        <w:jc w:val="both"/>
        <w:rPr>
          <w:color w:val="030404"/>
        </w:rPr>
      </w:pPr>
      <w:r>
        <w:rPr>
          <w:color w:val="030404"/>
        </w:rPr>
        <w:t>Investment Considerations</w:t>
      </w:r>
    </w:p>
    <w:p w14:paraId="22C6268E" w14:textId="77777777" w:rsidR="00783288" w:rsidRDefault="00783288">
      <w:pPr>
        <w:pStyle w:val="BodyText"/>
        <w:kinsoku w:val="0"/>
        <w:overflowPunct w:val="0"/>
        <w:spacing w:before="3"/>
        <w:rPr>
          <w:b/>
          <w:bCs/>
        </w:rPr>
      </w:pPr>
    </w:p>
    <w:p w14:paraId="26C1CA30" w14:textId="2F620697" w:rsidR="00783288" w:rsidRDefault="00E31420">
      <w:pPr>
        <w:pStyle w:val="BodyText"/>
        <w:kinsoku w:val="0"/>
        <w:overflowPunct w:val="0"/>
        <w:ind w:left="300" w:right="1188"/>
        <w:jc w:val="both"/>
        <w:rPr>
          <w:color w:val="030404"/>
        </w:rPr>
      </w:pPr>
      <w:r>
        <w:rPr>
          <w:color w:val="030404"/>
        </w:rPr>
        <w:t xml:space="preserve">In making an investment decision, prospective investors must rely on their own examination of the Company, this Document and the terms of the </w:t>
      </w:r>
      <w:r w:rsidR="00E700B8">
        <w:rPr>
          <w:color w:val="030404"/>
        </w:rPr>
        <w:t>Placing</w:t>
      </w:r>
      <w:r w:rsidR="002514E7" w:rsidRPr="002514E7">
        <w:rPr>
          <w:color w:val="050606"/>
        </w:rPr>
        <w:t xml:space="preserve"> </w:t>
      </w:r>
      <w:r w:rsidR="002514E7">
        <w:rPr>
          <w:color w:val="050606"/>
        </w:rPr>
        <w:t>and the Labrador Acquisition</w:t>
      </w:r>
      <w:r>
        <w:rPr>
          <w:color w:val="030404"/>
        </w:rPr>
        <w:t>, including the merits and risks involved. The contents of this Document are not to be construed as advice relating to legal, financial, taxation, accounting, regulatory, investment or any other matter</w:t>
      </w:r>
      <w:r>
        <w:rPr>
          <w:color w:val="231F20"/>
        </w:rPr>
        <w:t xml:space="preserve">. </w:t>
      </w:r>
      <w:r>
        <w:rPr>
          <w:color w:val="030404"/>
        </w:rPr>
        <w:t>Prospective investors should inform themselves as to:</w:t>
      </w:r>
    </w:p>
    <w:p w14:paraId="73765A8B" w14:textId="77777777" w:rsidR="00783288" w:rsidRDefault="00783288">
      <w:pPr>
        <w:pStyle w:val="BodyText"/>
        <w:kinsoku w:val="0"/>
        <w:overflowPunct w:val="0"/>
        <w:spacing w:before="4"/>
      </w:pPr>
    </w:p>
    <w:p w14:paraId="1E7C6ECC" w14:textId="77777777" w:rsidR="00783288" w:rsidRDefault="00E31420" w:rsidP="00512495">
      <w:pPr>
        <w:pStyle w:val="ListParagraph"/>
        <w:numPr>
          <w:ilvl w:val="0"/>
          <w:numId w:val="22"/>
        </w:numPr>
        <w:tabs>
          <w:tab w:val="left" w:pos="867"/>
        </w:tabs>
        <w:kinsoku w:val="0"/>
        <w:overflowPunct w:val="0"/>
        <w:spacing w:line="237" w:lineRule="auto"/>
        <w:ind w:right="1191"/>
        <w:jc w:val="both"/>
        <w:rPr>
          <w:rFonts w:ascii="Symbol" w:hAnsi="Symbol" w:cs="Symbol"/>
          <w:color w:val="030404"/>
          <w:sz w:val="18"/>
          <w:szCs w:val="18"/>
        </w:rPr>
      </w:pPr>
      <w:r>
        <w:rPr>
          <w:color w:val="030404"/>
          <w:sz w:val="18"/>
          <w:szCs w:val="18"/>
        </w:rPr>
        <w:t>the legal requirements within their own countries for the subscription, purchase, holding, transfer or other disposal of the Ordinary</w:t>
      </w:r>
      <w:r>
        <w:rPr>
          <w:color w:val="030404"/>
          <w:spacing w:val="-2"/>
          <w:sz w:val="18"/>
          <w:szCs w:val="18"/>
        </w:rPr>
        <w:t xml:space="preserve"> </w:t>
      </w:r>
      <w:proofErr w:type="gramStart"/>
      <w:r>
        <w:rPr>
          <w:color w:val="030404"/>
          <w:sz w:val="18"/>
          <w:szCs w:val="18"/>
        </w:rPr>
        <w:t>Shares;</w:t>
      </w:r>
      <w:proofErr w:type="gramEnd"/>
    </w:p>
    <w:p w14:paraId="26B35BF5" w14:textId="77777777" w:rsidR="00783288" w:rsidRDefault="00783288">
      <w:pPr>
        <w:pStyle w:val="BodyText"/>
        <w:kinsoku w:val="0"/>
        <w:overflowPunct w:val="0"/>
        <w:spacing w:before="10"/>
        <w:rPr>
          <w:sz w:val="17"/>
          <w:szCs w:val="17"/>
        </w:rPr>
      </w:pPr>
    </w:p>
    <w:p w14:paraId="49DB834C" w14:textId="77777777" w:rsidR="00783288" w:rsidRDefault="00E31420" w:rsidP="00512495">
      <w:pPr>
        <w:pStyle w:val="ListParagraph"/>
        <w:numPr>
          <w:ilvl w:val="0"/>
          <w:numId w:val="22"/>
        </w:numPr>
        <w:tabs>
          <w:tab w:val="left" w:pos="867"/>
        </w:tabs>
        <w:kinsoku w:val="0"/>
        <w:overflowPunct w:val="0"/>
        <w:ind w:right="1190"/>
        <w:jc w:val="both"/>
        <w:rPr>
          <w:rFonts w:ascii="Symbol" w:hAnsi="Symbol" w:cs="Symbol"/>
          <w:color w:val="030404"/>
          <w:sz w:val="18"/>
          <w:szCs w:val="18"/>
        </w:rPr>
      </w:pPr>
      <w:r>
        <w:rPr>
          <w:color w:val="030404"/>
          <w:sz w:val="18"/>
          <w:szCs w:val="18"/>
        </w:rPr>
        <w:t xml:space="preserve">any foreign exchange restrictions applicable to the subscription, purchase, holding, </w:t>
      </w:r>
      <w:proofErr w:type="gramStart"/>
      <w:r>
        <w:rPr>
          <w:color w:val="030404"/>
          <w:sz w:val="18"/>
          <w:szCs w:val="18"/>
        </w:rPr>
        <w:t>transfer</w:t>
      </w:r>
      <w:proofErr w:type="gramEnd"/>
      <w:r>
        <w:rPr>
          <w:color w:val="030404"/>
          <w:sz w:val="18"/>
          <w:szCs w:val="18"/>
        </w:rPr>
        <w:t xml:space="preserve"> or other disposal of the Ordinary Shares which they might encounter;</w:t>
      </w:r>
      <w:r>
        <w:rPr>
          <w:color w:val="030404"/>
          <w:spacing w:val="-5"/>
          <w:sz w:val="18"/>
          <w:szCs w:val="18"/>
        </w:rPr>
        <w:t xml:space="preserve"> </w:t>
      </w:r>
      <w:r>
        <w:rPr>
          <w:color w:val="030404"/>
          <w:sz w:val="18"/>
          <w:szCs w:val="18"/>
        </w:rPr>
        <w:t>and</w:t>
      </w:r>
    </w:p>
    <w:p w14:paraId="0548C46B" w14:textId="77777777" w:rsidR="00783288" w:rsidRDefault="00783288">
      <w:pPr>
        <w:pStyle w:val="BodyText"/>
        <w:kinsoku w:val="0"/>
        <w:overflowPunct w:val="0"/>
        <w:spacing w:before="11"/>
        <w:rPr>
          <w:sz w:val="17"/>
          <w:szCs w:val="17"/>
        </w:rPr>
      </w:pPr>
    </w:p>
    <w:p w14:paraId="53A3ED20" w14:textId="77777777" w:rsidR="00783288" w:rsidRDefault="00E31420" w:rsidP="00512495">
      <w:pPr>
        <w:pStyle w:val="ListParagraph"/>
        <w:numPr>
          <w:ilvl w:val="0"/>
          <w:numId w:val="22"/>
        </w:numPr>
        <w:tabs>
          <w:tab w:val="left" w:pos="867"/>
        </w:tabs>
        <w:kinsoku w:val="0"/>
        <w:overflowPunct w:val="0"/>
        <w:ind w:right="1191"/>
        <w:jc w:val="both"/>
        <w:rPr>
          <w:rFonts w:ascii="Symbol" w:hAnsi="Symbol" w:cs="Symbol"/>
          <w:color w:val="030404"/>
          <w:sz w:val="18"/>
          <w:szCs w:val="18"/>
        </w:rPr>
      </w:pPr>
      <w:r>
        <w:rPr>
          <w:color w:val="030404"/>
          <w:sz w:val="18"/>
          <w:szCs w:val="18"/>
        </w:rPr>
        <w:t xml:space="preserve">the income and other tax consequences which may apply in their own countries </w:t>
      </w:r>
      <w:proofErr w:type="gramStart"/>
      <w:r>
        <w:rPr>
          <w:color w:val="030404"/>
          <w:sz w:val="18"/>
          <w:szCs w:val="18"/>
        </w:rPr>
        <w:t>as a result of</w:t>
      </w:r>
      <w:proofErr w:type="gramEnd"/>
      <w:r>
        <w:rPr>
          <w:color w:val="030404"/>
          <w:sz w:val="18"/>
          <w:szCs w:val="18"/>
        </w:rPr>
        <w:t xml:space="preserve"> the subscription, purchase, holding, transfer or other disposal of the Ordinary</w:t>
      </w:r>
      <w:r>
        <w:rPr>
          <w:color w:val="030404"/>
          <w:spacing w:val="-9"/>
          <w:sz w:val="18"/>
          <w:szCs w:val="18"/>
        </w:rPr>
        <w:t xml:space="preserve"> </w:t>
      </w:r>
      <w:r>
        <w:rPr>
          <w:color w:val="030404"/>
          <w:sz w:val="18"/>
          <w:szCs w:val="18"/>
        </w:rPr>
        <w:t>Shares.</w:t>
      </w:r>
    </w:p>
    <w:p w14:paraId="52CCBD90" w14:textId="77777777" w:rsidR="00783288" w:rsidRDefault="00783288">
      <w:pPr>
        <w:pStyle w:val="BodyText"/>
        <w:kinsoku w:val="0"/>
        <w:overflowPunct w:val="0"/>
        <w:spacing w:before="10"/>
        <w:rPr>
          <w:sz w:val="17"/>
          <w:szCs w:val="17"/>
        </w:rPr>
      </w:pPr>
    </w:p>
    <w:p w14:paraId="13912E75" w14:textId="77777777" w:rsidR="00783288" w:rsidRDefault="00E31420">
      <w:pPr>
        <w:pStyle w:val="BodyText"/>
        <w:kinsoku w:val="0"/>
        <w:overflowPunct w:val="0"/>
        <w:spacing w:before="1"/>
        <w:ind w:left="300" w:right="1190"/>
        <w:jc w:val="both"/>
        <w:rPr>
          <w:color w:val="030404"/>
        </w:rPr>
      </w:pPr>
      <w:r>
        <w:rPr>
          <w:color w:val="030404"/>
        </w:rPr>
        <w:t>Prospective investors must rely upon their own representatives, including their own legal and financial advisers and accountants, as to legal, tax, financial, investment or any other related matters concerning the Company and an investment therein.</w:t>
      </w:r>
    </w:p>
    <w:p w14:paraId="43AFFC9F" w14:textId="77777777" w:rsidR="00783288" w:rsidRDefault="00783288">
      <w:pPr>
        <w:pStyle w:val="BodyText"/>
        <w:kinsoku w:val="0"/>
        <w:overflowPunct w:val="0"/>
        <w:spacing w:before="11"/>
        <w:rPr>
          <w:sz w:val="17"/>
          <w:szCs w:val="17"/>
        </w:rPr>
      </w:pPr>
    </w:p>
    <w:p w14:paraId="517B297E" w14:textId="77777777" w:rsidR="00783288" w:rsidRDefault="00E31420">
      <w:pPr>
        <w:pStyle w:val="BodyText"/>
        <w:kinsoku w:val="0"/>
        <w:overflowPunct w:val="0"/>
        <w:ind w:left="300" w:right="1190"/>
        <w:jc w:val="both"/>
        <w:rPr>
          <w:color w:val="030404"/>
        </w:rPr>
      </w:pPr>
      <w:r>
        <w:rPr>
          <w:color w:val="030404"/>
        </w:rPr>
        <w:t>An</w:t>
      </w:r>
      <w:r>
        <w:rPr>
          <w:color w:val="030404"/>
          <w:spacing w:val="-7"/>
        </w:rPr>
        <w:t xml:space="preserve"> </w:t>
      </w:r>
      <w:r>
        <w:rPr>
          <w:color w:val="030404"/>
        </w:rPr>
        <w:t>investment</w:t>
      </w:r>
      <w:r>
        <w:rPr>
          <w:color w:val="030404"/>
          <w:spacing w:val="-6"/>
        </w:rPr>
        <w:t xml:space="preserve"> </w:t>
      </w:r>
      <w:r>
        <w:rPr>
          <w:color w:val="030404"/>
        </w:rPr>
        <w:t>in</w:t>
      </w:r>
      <w:r>
        <w:rPr>
          <w:color w:val="030404"/>
          <w:spacing w:val="-6"/>
        </w:rPr>
        <w:t xml:space="preserve"> </w:t>
      </w:r>
      <w:r>
        <w:rPr>
          <w:color w:val="030404"/>
        </w:rPr>
        <w:t>the</w:t>
      </w:r>
      <w:r>
        <w:rPr>
          <w:color w:val="030404"/>
          <w:spacing w:val="-6"/>
        </w:rPr>
        <w:t xml:space="preserve"> </w:t>
      </w:r>
      <w:r>
        <w:rPr>
          <w:color w:val="030404"/>
        </w:rPr>
        <w:t>Company</w:t>
      </w:r>
      <w:r>
        <w:rPr>
          <w:color w:val="030404"/>
          <w:spacing w:val="-11"/>
        </w:rPr>
        <w:t xml:space="preserve"> </w:t>
      </w:r>
      <w:r>
        <w:rPr>
          <w:color w:val="030404"/>
        </w:rPr>
        <w:t>should</w:t>
      </w:r>
      <w:r>
        <w:rPr>
          <w:color w:val="030404"/>
          <w:spacing w:val="-9"/>
        </w:rPr>
        <w:t xml:space="preserve"> </w:t>
      </w:r>
      <w:r>
        <w:rPr>
          <w:color w:val="030404"/>
        </w:rPr>
        <w:t>be</w:t>
      </w:r>
      <w:r>
        <w:rPr>
          <w:color w:val="030404"/>
          <w:spacing w:val="-6"/>
        </w:rPr>
        <w:t xml:space="preserve"> </w:t>
      </w:r>
      <w:r>
        <w:rPr>
          <w:color w:val="030404"/>
        </w:rPr>
        <w:t>regarded</w:t>
      </w:r>
      <w:r>
        <w:rPr>
          <w:color w:val="030404"/>
          <w:spacing w:val="-6"/>
        </w:rPr>
        <w:t xml:space="preserve"> </w:t>
      </w:r>
      <w:r>
        <w:rPr>
          <w:color w:val="030404"/>
        </w:rPr>
        <w:t>as</w:t>
      </w:r>
      <w:r>
        <w:rPr>
          <w:color w:val="030404"/>
          <w:spacing w:val="-6"/>
        </w:rPr>
        <w:t xml:space="preserve"> </w:t>
      </w:r>
      <w:r>
        <w:rPr>
          <w:color w:val="030404"/>
        </w:rPr>
        <w:t>a</w:t>
      </w:r>
      <w:r>
        <w:rPr>
          <w:color w:val="030404"/>
          <w:spacing w:val="-9"/>
        </w:rPr>
        <w:t xml:space="preserve"> </w:t>
      </w:r>
      <w:r>
        <w:rPr>
          <w:color w:val="030404"/>
        </w:rPr>
        <w:t>long-term</w:t>
      </w:r>
      <w:r>
        <w:rPr>
          <w:color w:val="030404"/>
          <w:spacing w:val="-7"/>
        </w:rPr>
        <w:t xml:space="preserve"> </w:t>
      </w:r>
      <w:r>
        <w:rPr>
          <w:color w:val="030404"/>
        </w:rPr>
        <w:t>investment</w:t>
      </w:r>
      <w:r>
        <w:rPr>
          <w:color w:val="231F20"/>
        </w:rPr>
        <w:t>.</w:t>
      </w:r>
      <w:r>
        <w:rPr>
          <w:color w:val="231F20"/>
          <w:spacing w:val="-6"/>
        </w:rPr>
        <w:t xml:space="preserve"> </w:t>
      </w:r>
      <w:r>
        <w:rPr>
          <w:color w:val="030404"/>
        </w:rPr>
        <w:t>There</w:t>
      </w:r>
      <w:r>
        <w:rPr>
          <w:color w:val="030404"/>
          <w:spacing w:val="-9"/>
        </w:rPr>
        <w:t xml:space="preserve"> </w:t>
      </w:r>
      <w:r>
        <w:rPr>
          <w:color w:val="030404"/>
        </w:rPr>
        <w:t>can</w:t>
      </w:r>
      <w:r>
        <w:rPr>
          <w:color w:val="030404"/>
          <w:spacing w:val="-9"/>
        </w:rPr>
        <w:t xml:space="preserve"> </w:t>
      </w:r>
      <w:r>
        <w:rPr>
          <w:color w:val="030404"/>
        </w:rPr>
        <w:t>be</w:t>
      </w:r>
      <w:r>
        <w:rPr>
          <w:color w:val="030404"/>
          <w:spacing w:val="-9"/>
        </w:rPr>
        <w:t xml:space="preserve"> </w:t>
      </w:r>
      <w:r>
        <w:rPr>
          <w:color w:val="030404"/>
        </w:rPr>
        <w:t>no</w:t>
      </w:r>
      <w:r>
        <w:rPr>
          <w:color w:val="030404"/>
          <w:spacing w:val="-6"/>
        </w:rPr>
        <w:t xml:space="preserve"> </w:t>
      </w:r>
      <w:r>
        <w:rPr>
          <w:color w:val="030404"/>
        </w:rPr>
        <w:t>assurance</w:t>
      </w:r>
      <w:r>
        <w:rPr>
          <w:color w:val="030404"/>
          <w:spacing w:val="-7"/>
        </w:rPr>
        <w:t xml:space="preserve"> </w:t>
      </w:r>
      <w:r>
        <w:rPr>
          <w:color w:val="030404"/>
        </w:rPr>
        <w:t>that</w:t>
      </w:r>
      <w:r>
        <w:rPr>
          <w:color w:val="030404"/>
          <w:spacing w:val="-6"/>
        </w:rPr>
        <w:t xml:space="preserve"> </w:t>
      </w:r>
      <w:r>
        <w:rPr>
          <w:color w:val="030404"/>
        </w:rPr>
        <w:t>the Company’s objective will be</w:t>
      </w:r>
      <w:r>
        <w:rPr>
          <w:color w:val="030404"/>
          <w:spacing w:val="3"/>
        </w:rPr>
        <w:t xml:space="preserve"> </w:t>
      </w:r>
      <w:r>
        <w:rPr>
          <w:color w:val="030404"/>
        </w:rPr>
        <w:t>achieved.</w:t>
      </w:r>
    </w:p>
    <w:p w14:paraId="7CF3966B" w14:textId="77777777" w:rsidR="00783288" w:rsidRDefault="00783288">
      <w:pPr>
        <w:pStyle w:val="BodyText"/>
        <w:kinsoku w:val="0"/>
        <w:overflowPunct w:val="0"/>
        <w:spacing w:before="1"/>
      </w:pPr>
    </w:p>
    <w:p w14:paraId="27DE8A4C" w14:textId="77777777" w:rsidR="00783288" w:rsidRDefault="00E31420">
      <w:pPr>
        <w:pStyle w:val="BodyText"/>
        <w:kinsoku w:val="0"/>
        <w:overflowPunct w:val="0"/>
        <w:ind w:left="300" w:right="1190"/>
        <w:jc w:val="both"/>
        <w:rPr>
          <w:color w:val="030404"/>
        </w:rPr>
      </w:pPr>
      <w:r>
        <w:rPr>
          <w:color w:val="030404"/>
        </w:rPr>
        <w:t>It should be remembered that the price of the Ordinary Shares, and any income from such Ordinary Shares</w:t>
      </w:r>
      <w:r>
        <w:rPr>
          <w:color w:val="3E3D3F"/>
        </w:rPr>
        <w:t xml:space="preserve">, </w:t>
      </w:r>
      <w:r>
        <w:rPr>
          <w:color w:val="030404"/>
        </w:rPr>
        <w:t>can go down as well as up.</w:t>
      </w:r>
    </w:p>
    <w:p w14:paraId="1F6C502A" w14:textId="77777777" w:rsidR="00783288" w:rsidRDefault="00783288">
      <w:pPr>
        <w:pStyle w:val="BodyText"/>
        <w:kinsoku w:val="0"/>
        <w:overflowPunct w:val="0"/>
        <w:spacing w:before="9"/>
        <w:rPr>
          <w:sz w:val="17"/>
          <w:szCs w:val="17"/>
        </w:rPr>
      </w:pPr>
    </w:p>
    <w:p w14:paraId="194C2AD6" w14:textId="77777777" w:rsidR="00783288" w:rsidRDefault="00E31420">
      <w:pPr>
        <w:pStyle w:val="BodyText"/>
        <w:kinsoku w:val="0"/>
        <w:overflowPunct w:val="0"/>
        <w:ind w:left="300" w:right="1190"/>
        <w:jc w:val="both"/>
        <w:rPr>
          <w:color w:val="030404"/>
        </w:rPr>
      </w:pPr>
      <w:r>
        <w:rPr>
          <w:color w:val="030404"/>
        </w:rPr>
        <w:t>This</w:t>
      </w:r>
      <w:r>
        <w:rPr>
          <w:color w:val="030404"/>
          <w:spacing w:val="-14"/>
        </w:rPr>
        <w:t xml:space="preserve"> </w:t>
      </w:r>
      <w:r>
        <w:rPr>
          <w:color w:val="030404"/>
        </w:rPr>
        <w:t>Document</w:t>
      </w:r>
      <w:r>
        <w:rPr>
          <w:color w:val="030404"/>
          <w:spacing w:val="-15"/>
        </w:rPr>
        <w:t xml:space="preserve"> </w:t>
      </w:r>
      <w:r>
        <w:rPr>
          <w:color w:val="030404"/>
        </w:rPr>
        <w:t>should</w:t>
      </w:r>
      <w:r>
        <w:rPr>
          <w:color w:val="030404"/>
          <w:spacing w:val="-14"/>
        </w:rPr>
        <w:t xml:space="preserve"> </w:t>
      </w:r>
      <w:r>
        <w:rPr>
          <w:color w:val="030404"/>
        </w:rPr>
        <w:t>be</w:t>
      </w:r>
      <w:r>
        <w:rPr>
          <w:color w:val="030404"/>
          <w:spacing w:val="-14"/>
        </w:rPr>
        <w:t xml:space="preserve"> </w:t>
      </w:r>
      <w:r>
        <w:rPr>
          <w:color w:val="030404"/>
        </w:rPr>
        <w:t>read</w:t>
      </w:r>
      <w:r>
        <w:rPr>
          <w:color w:val="030404"/>
          <w:spacing w:val="-17"/>
        </w:rPr>
        <w:t xml:space="preserve"> </w:t>
      </w:r>
      <w:r>
        <w:rPr>
          <w:color w:val="030404"/>
        </w:rPr>
        <w:t>in</w:t>
      </w:r>
      <w:r>
        <w:rPr>
          <w:color w:val="030404"/>
          <w:spacing w:val="-14"/>
        </w:rPr>
        <w:t xml:space="preserve"> </w:t>
      </w:r>
      <w:r>
        <w:rPr>
          <w:color w:val="030404"/>
        </w:rPr>
        <w:t>its</w:t>
      </w:r>
      <w:r>
        <w:rPr>
          <w:color w:val="030404"/>
          <w:spacing w:val="-14"/>
        </w:rPr>
        <w:t xml:space="preserve"> </w:t>
      </w:r>
      <w:r>
        <w:rPr>
          <w:color w:val="030404"/>
        </w:rPr>
        <w:t>entirety</w:t>
      </w:r>
      <w:r>
        <w:rPr>
          <w:color w:val="030404"/>
          <w:spacing w:val="-15"/>
        </w:rPr>
        <w:t xml:space="preserve"> </w:t>
      </w:r>
      <w:r>
        <w:rPr>
          <w:color w:val="030404"/>
        </w:rPr>
        <w:t>before</w:t>
      </w:r>
      <w:r>
        <w:rPr>
          <w:color w:val="030404"/>
          <w:spacing w:val="-14"/>
        </w:rPr>
        <w:t xml:space="preserve"> </w:t>
      </w:r>
      <w:r>
        <w:rPr>
          <w:color w:val="030404"/>
        </w:rPr>
        <w:t>making</w:t>
      </w:r>
      <w:r>
        <w:rPr>
          <w:color w:val="030404"/>
          <w:spacing w:val="-17"/>
        </w:rPr>
        <w:t xml:space="preserve"> </w:t>
      </w:r>
      <w:r>
        <w:rPr>
          <w:color w:val="030404"/>
        </w:rPr>
        <w:t>any</w:t>
      </w:r>
      <w:r>
        <w:rPr>
          <w:color w:val="030404"/>
          <w:spacing w:val="-15"/>
        </w:rPr>
        <w:t xml:space="preserve"> </w:t>
      </w:r>
      <w:r>
        <w:rPr>
          <w:color w:val="030404"/>
        </w:rPr>
        <w:t>investment</w:t>
      </w:r>
      <w:r>
        <w:rPr>
          <w:color w:val="030404"/>
          <w:spacing w:val="-16"/>
        </w:rPr>
        <w:t xml:space="preserve"> </w:t>
      </w:r>
      <w:r>
        <w:rPr>
          <w:color w:val="030404"/>
        </w:rPr>
        <w:t>in</w:t>
      </w:r>
      <w:r>
        <w:rPr>
          <w:color w:val="030404"/>
          <w:spacing w:val="-14"/>
        </w:rPr>
        <w:t xml:space="preserve"> </w:t>
      </w:r>
      <w:r>
        <w:rPr>
          <w:color w:val="030404"/>
        </w:rPr>
        <w:t>the</w:t>
      </w:r>
      <w:r>
        <w:rPr>
          <w:color w:val="030404"/>
          <w:spacing w:val="-14"/>
        </w:rPr>
        <w:t xml:space="preserve"> </w:t>
      </w:r>
      <w:r>
        <w:rPr>
          <w:color w:val="030404"/>
        </w:rPr>
        <w:t>Ordinary</w:t>
      </w:r>
      <w:r>
        <w:rPr>
          <w:color w:val="030404"/>
          <w:spacing w:val="-16"/>
        </w:rPr>
        <w:t xml:space="preserve"> </w:t>
      </w:r>
      <w:r>
        <w:rPr>
          <w:color w:val="030404"/>
        </w:rPr>
        <w:t>Shares.</w:t>
      </w:r>
      <w:r>
        <w:rPr>
          <w:color w:val="030404"/>
          <w:spacing w:val="-17"/>
        </w:rPr>
        <w:t xml:space="preserve"> </w:t>
      </w:r>
      <w:r>
        <w:rPr>
          <w:color w:val="030404"/>
        </w:rPr>
        <w:t>All</w:t>
      </w:r>
      <w:r>
        <w:rPr>
          <w:color w:val="030404"/>
          <w:spacing w:val="-13"/>
        </w:rPr>
        <w:t xml:space="preserve"> </w:t>
      </w:r>
      <w:r>
        <w:rPr>
          <w:color w:val="030404"/>
        </w:rPr>
        <w:t>Shareholders are entitled to the benefit of, are bound by, and are deemed to have notice of, the provisions of the Articles, which prospective investors should review.</w:t>
      </w:r>
    </w:p>
    <w:p w14:paraId="1A140379" w14:textId="77777777" w:rsidR="00783288" w:rsidRDefault="00783288">
      <w:pPr>
        <w:pStyle w:val="BodyText"/>
        <w:kinsoku w:val="0"/>
        <w:overflowPunct w:val="0"/>
        <w:ind w:left="300" w:right="1190"/>
        <w:jc w:val="both"/>
        <w:rPr>
          <w:color w:val="030404"/>
        </w:rPr>
        <w:sectPr w:rsidR="00783288">
          <w:pgSz w:w="11900" w:h="16840"/>
          <w:pgMar w:top="1360" w:right="240" w:bottom="1160" w:left="1140" w:header="0" w:footer="891" w:gutter="0"/>
          <w:cols w:space="720"/>
          <w:noEndnote/>
        </w:sectPr>
      </w:pPr>
    </w:p>
    <w:p w14:paraId="0CD6077C" w14:textId="77777777" w:rsidR="00783288" w:rsidRDefault="00E31420">
      <w:pPr>
        <w:pStyle w:val="Heading1"/>
        <w:kinsoku w:val="0"/>
        <w:overflowPunct w:val="0"/>
        <w:spacing w:before="74"/>
        <w:jc w:val="both"/>
        <w:rPr>
          <w:color w:val="030404"/>
        </w:rPr>
      </w:pPr>
      <w:r>
        <w:rPr>
          <w:color w:val="030404"/>
        </w:rPr>
        <w:lastRenderedPageBreak/>
        <w:t>Forward-looking Statements</w:t>
      </w:r>
    </w:p>
    <w:p w14:paraId="09E9E150" w14:textId="77777777" w:rsidR="00783288" w:rsidRDefault="00783288">
      <w:pPr>
        <w:pStyle w:val="BodyText"/>
        <w:kinsoku w:val="0"/>
        <w:overflowPunct w:val="0"/>
        <w:spacing w:before="3"/>
        <w:rPr>
          <w:b/>
          <w:bCs/>
        </w:rPr>
      </w:pPr>
    </w:p>
    <w:p w14:paraId="6C75758E" w14:textId="77777777" w:rsidR="00783288" w:rsidRDefault="00E31420">
      <w:pPr>
        <w:pStyle w:val="BodyText"/>
        <w:kinsoku w:val="0"/>
        <w:overflowPunct w:val="0"/>
        <w:ind w:left="300" w:right="1187"/>
        <w:jc w:val="both"/>
        <w:rPr>
          <w:color w:val="030404"/>
        </w:rPr>
      </w:pPr>
      <w:r>
        <w:rPr>
          <w:color w:val="030404"/>
        </w:rPr>
        <w:t>This Document includes statements that are, or may be deemed to be, “forward-looking statements”. In some cases,</w:t>
      </w:r>
      <w:r>
        <w:rPr>
          <w:color w:val="030404"/>
          <w:spacing w:val="-5"/>
        </w:rPr>
        <w:t xml:space="preserve"> </w:t>
      </w:r>
      <w:r>
        <w:rPr>
          <w:color w:val="030404"/>
        </w:rPr>
        <w:t>these</w:t>
      </w:r>
      <w:r>
        <w:rPr>
          <w:color w:val="030404"/>
          <w:spacing w:val="-4"/>
        </w:rPr>
        <w:t xml:space="preserve"> </w:t>
      </w:r>
      <w:r>
        <w:rPr>
          <w:color w:val="030404"/>
        </w:rPr>
        <w:t>forward-looking</w:t>
      </w:r>
      <w:r>
        <w:rPr>
          <w:color w:val="030404"/>
          <w:spacing w:val="-5"/>
        </w:rPr>
        <w:t xml:space="preserve"> </w:t>
      </w:r>
      <w:r>
        <w:rPr>
          <w:color w:val="030404"/>
        </w:rPr>
        <w:t>statements</w:t>
      </w:r>
      <w:r>
        <w:rPr>
          <w:color w:val="030404"/>
          <w:spacing w:val="-3"/>
        </w:rPr>
        <w:t xml:space="preserve"> </w:t>
      </w:r>
      <w:r>
        <w:rPr>
          <w:color w:val="030404"/>
        </w:rPr>
        <w:t>can</w:t>
      </w:r>
      <w:r>
        <w:rPr>
          <w:color w:val="030404"/>
          <w:spacing w:val="-5"/>
        </w:rPr>
        <w:t xml:space="preserve"> </w:t>
      </w:r>
      <w:r>
        <w:rPr>
          <w:color w:val="030404"/>
        </w:rPr>
        <w:t>be</w:t>
      </w:r>
      <w:r>
        <w:rPr>
          <w:color w:val="030404"/>
          <w:spacing w:val="-4"/>
        </w:rPr>
        <w:t xml:space="preserve"> </w:t>
      </w:r>
      <w:r>
        <w:rPr>
          <w:color w:val="030404"/>
        </w:rPr>
        <w:t>identified</w:t>
      </w:r>
      <w:r>
        <w:rPr>
          <w:color w:val="030404"/>
          <w:spacing w:val="-5"/>
        </w:rPr>
        <w:t xml:space="preserve"> </w:t>
      </w:r>
      <w:r>
        <w:rPr>
          <w:color w:val="030404"/>
        </w:rPr>
        <w:t>by</w:t>
      </w:r>
      <w:r>
        <w:rPr>
          <w:color w:val="030404"/>
          <w:spacing w:val="-6"/>
        </w:rPr>
        <w:t xml:space="preserve"> </w:t>
      </w:r>
      <w:r>
        <w:rPr>
          <w:color w:val="030404"/>
        </w:rPr>
        <w:t>the</w:t>
      </w:r>
      <w:r>
        <w:rPr>
          <w:color w:val="030404"/>
          <w:spacing w:val="-2"/>
        </w:rPr>
        <w:t xml:space="preserve"> </w:t>
      </w:r>
      <w:r>
        <w:rPr>
          <w:color w:val="030404"/>
        </w:rPr>
        <w:t>use</w:t>
      </w:r>
      <w:r>
        <w:rPr>
          <w:color w:val="030404"/>
          <w:spacing w:val="-4"/>
        </w:rPr>
        <w:t xml:space="preserve"> </w:t>
      </w:r>
      <w:r>
        <w:rPr>
          <w:color w:val="030404"/>
        </w:rPr>
        <w:t>of</w:t>
      </w:r>
      <w:r>
        <w:rPr>
          <w:color w:val="030404"/>
          <w:spacing w:val="-5"/>
        </w:rPr>
        <w:t xml:space="preserve"> </w:t>
      </w:r>
      <w:r>
        <w:rPr>
          <w:color w:val="030404"/>
        </w:rPr>
        <w:t>forward-looking</w:t>
      </w:r>
      <w:r>
        <w:rPr>
          <w:color w:val="030404"/>
          <w:spacing w:val="-1"/>
        </w:rPr>
        <w:t xml:space="preserve"> </w:t>
      </w:r>
      <w:r>
        <w:rPr>
          <w:color w:val="030404"/>
        </w:rPr>
        <w:t>terminology,</w:t>
      </w:r>
      <w:r>
        <w:rPr>
          <w:color w:val="030404"/>
          <w:spacing w:val="-5"/>
        </w:rPr>
        <w:t xml:space="preserve"> </w:t>
      </w:r>
      <w:r>
        <w:rPr>
          <w:color w:val="030404"/>
        </w:rPr>
        <w:t>including</w:t>
      </w:r>
      <w:r>
        <w:rPr>
          <w:color w:val="030404"/>
          <w:spacing w:val="-4"/>
        </w:rPr>
        <w:t xml:space="preserve"> </w:t>
      </w:r>
      <w:r>
        <w:rPr>
          <w:color w:val="030404"/>
        </w:rPr>
        <w:t>the terms</w:t>
      </w:r>
      <w:r>
        <w:rPr>
          <w:color w:val="030404"/>
          <w:spacing w:val="-7"/>
        </w:rPr>
        <w:t xml:space="preserve"> </w:t>
      </w:r>
      <w:r>
        <w:rPr>
          <w:color w:val="030404"/>
        </w:rPr>
        <w:t>“targets”,</w:t>
      </w:r>
      <w:r>
        <w:rPr>
          <w:color w:val="030404"/>
          <w:spacing w:val="-5"/>
        </w:rPr>
        <w:t xml:space="preserve"> </w:t>
      </w:r>
      <w:r>
        <w:rPr>
          <w:color w:val="030404"/>
        </w:rPr>
        <w:t>“believes”,</w:t>
      </w:r>
      <w:r>
        <w:rPr>
          <w:color w:val="030404"/>
          <w:spacing w:val="-6"/>
        </w:rPr>
        <w:t xml:space="preserve"> </w:t>
      </w:r>
      <w:r>
        <w:rPr>
          <w:color w:val="030404"/>
        </w:rPr>
        <w:t>“estimates”,</w:t>
      </w:r>
      <w:r>
        <w:rPr>
          <w:color w:val="030404"/>
          <w:spacing w:val="-7"/>
        </w:rPr>
        <w:t xml:space="preserve"> </w:t>
      </w:r>
      <w:r>
        <w:rPr>
          <w:color w:val="030404"/>
        </w:rPr>
        <w:t>“anticipates”,</w:t>
      </w:r>
      <w:r>
        <w:rPr>
          <w:color w:val="030404"/>
          <w:spacing w:val="-6"/>
        </w:rPr>
        <w:t xml:space="preserve"> </w:t>
      </w:r>
      <w:r>
        <w:rPr>
          <w:color w:val="030404"/>
        </w:rPr>
        <w:t>“expects”,</w:t>
      </w:r>
      <w:r>
        <w:rPr>
          <w:color w:val="030404"/>
          <w:spacing w:val="-5"/>
        </w:rPr>
        <w:t xml:space="preserve"> </w:t>
      </w:r>
      <w:r>
        <w:rPr>
          <w:color w:val="030404"/>
        </w:rPr>
        <w:t>“intends”,</w:t>
      </w:r>
      <w:r>
        <w:rPr>
          <w:color w:val="030404"/>
          <w:spacing w:val="-7"/>
        </w:rPr>
        <w:t xml:space="preserve"> </w:t>
      </w:r>
      <w:r>
        <w:rPr>
          <w:color w:val="030404"/>
        </w:rPr>
        <w:t>“may”,</w:t>
      </w:r>
      <w:r>
        <w:rPr>
          <w:color w:val="030404"/>
          <w:spacing w:val="-6"/>
        </w:rPr>
        <w:t xml:space="preserve"> </w:t>
      </w:r>
      <w:r>
        <w:rPr>
          <w:color w:val="030404"/>
        </w:rPr>
        <w:t>“will”</w:t>
      </w:r>
      <w:r>
        <w:rPr>
          <w:color w:val="030404"/>
          <w:spacing w:val="-5"/>
        </w:rPr>
        <w:t xml:space="preserve"> </w:t>
      </w:r>
      <w:r>
        <w:rPr>
          <w:color w:val="030404"/>
        </w:rPr>
        <w:t>or</w:t>
      </w:r>
      <w:r>
        <w:rPr>
          <w:color w:val="030404"/>
          <w:spacing w:val="-7"/>
        </w:rPr>
        <w:t xml:space="preserve"> </w:t>
      </w:r>
      <w:r>
        <w:rPr>
          <w:color w:val="030404"/>
        </w:rPr>
        <w:t>“should”</w:t>
      </w:r>
      <w:r>
        <w:rPr>
          <w:color w:val="030404"/>
          <w:spacing w:val="-8"/>
        </w:rPr>
        <w:t xml:space="preserve"> </w:t>
      </w:r>
      <w:r>
        <w:rPr>
          <w:color w:val="030404"/>
        </w:rPr>
        <w:t>or,</w:t>
      </w:r>
      <w:r>
        <w:rPr>
          <w:color w:val="030404"/>
          <w:spacing w:val="-6"/>
        </w:rPr>
        <w:t xml:space="preserve"> </w:t>
      </w:r>
      <w:r>
        <w:rPr>
          <w:color w:val="030404"/>
        </w:rPr>
        <w:t>in</w:t>
      </w:r>
      <w:r>
        <w:rPr>
          <w:color w:val="030404"/>
          <w:spacing w:val="-7"/>
        </w:rPr>
        <w:t xml:space="preserve"> </w:t>
      </w:r>
      <w:r>
        <w:rPr>
          <w:color w:val="030404"/>
        </w:rPr>
        <w:t>each</w:t>
      </w:r>
      <w:r>
        <w:rPr>
          <w:color w:val="030404"/>
          <w:spacing w:val="-6"/>
        </w:rPr>
        <w:t xml:space="preserve"> </w:t>
      </w:r>
      <w:r>
        <w:rPr>
          <w:color w:val="030404"/>
        </w:rPr>
        <w:t>case, their negative or other variations or comparable terminology. They appear in a number of places throughout this Document</w:t>
      </w:r>
      <w:r>
        <w:rPr>
          <w:color w:val="030404"/>
          <w:spacing w:val="-10"/>
        </w:rPr>
        <w:t xml:space="preserve"> </w:t>
      </w:r>
      <w:r>
        <w:rPr>
          <w:color w:val="030404"/>
        </w:rPr>
        <w:t>and</w:t>
      </w:r>
      <w:r>
        <w:rPr>
          <w:color w:val="030404"/>
          <w:spacing w:val="-10"/>
        </w:rPr>
        <w:t xml:space="preserve"> </w:t>
      </w:r>
      <w:r>
        <w:rPr>
          <w:color w:val="030404"/>
        </w:rPr>
        <w:t>include</w:t>
      </w:r>
      <w:r>
        <w:rPr>
          <w:color w:val="030404"/>
          <w:spacing w:val="-12"/>
        </w:rPr>
        <w:t xml:space="preserve"> </w:t>
      </w:r>
      <w:r>
        <w:rPr>
          <w:color w:val="030404"/>
        </w:rPr>
        <w:t>statements</w:t>
      </w:r>
      <w:r>
        <w:rPr>
          <w:color w:val="030404"/>
          <w:spacing w:val="-9"/>
        </w:rPr>
        <w:t xml:space="preserve"> </w:t>
      </w:r>
      <w:r>
        <w:rPr>
          <w:color w:val="030404"/>
        </w:rPr>
        <w:t>regarding</w:t>
      </w:r>
      <w:r>
        <w:rPr>
          <w:color w:val="030404"/>
          <w:spacing w:val="-9"/>
        </w:rPr>
        <w:t xml:space="preserve"> </w:t>
      </w:r>
      <w:r>
        <w:rPr>
          <w:color w:val="030404"/>
        </w:rPr>
        <w:t>the</w:t>
      </w:r>
      <w:r>
        <w:rPr>
          <w:color w:val="030404"/>
          <w:spacing w:val="-10"/>
        </w:rPr>
        <w:t xml:space="preserve"> </w:t>
      </w:r>
      <w:r>
        <w:rPr>
          <w:color w:val="030404"/>
        </w:rPr>
        <w:t>intentions,</w:t>
      </w:r>
      <w:r>
        <w:rPr>
          <w:color w:val="030404"/>
          <w:spacing w:val="-10"/>
        </w:rPr>
        <w:t xml:space="preserve"> </w:t>
      </w:r>
      <w:r>
        <w:rPr>
          <w:color w:val="030404"/>
        </w:rPr>
        <w:t>beliefs</w:t>
      </w:r>
      <w:r>
        <w:rPr>
          <w:color w:val="030404"/>
          <w:spacing w:val="-9"/>
        </w:rPr>
        <w:t xml:space="preserve"> </w:t>
      </w:r>
      <w:r>
        <w:rPr>
          <w:color w:val="030404"/>
        </w:rPr>
        <w:t>or</w:t>
      </w:r>
      <w:r>
        <w:rPr>
          <w:color w:val="030404"/>
          <w:spacing w:val="-10"/>
        </w:rPr>
        <w:t xml:space="preserve"> </w:t>
      </w:r>
      <w:r>
        <w:rPr>
          <w:color w:val="030404"/>
        </w:rPr>
        <w:t>current</w:t>
      </w:r>
      <w:r>
        <w:rPr>
          <w:color w:val="030404"/>
          <w:spacing w:val="-10"/>
        </w:rPr>
        <w:t xml:space="preserve"> </w:t>
      </w:r>
      <w:r>
        <w:rPr>
          <w:color w:val="030404"/>
        </w:rPr>
        <w:t>expectations</w:t>
      </w:r>
      <w:r>
        <w:rPr>
          <w:color w:val="030404"/>
          <w:spacing w:val="-8"/>
        </w:rPr>
        <w:t xml:space="preserve"> </w:t>
      </w:r>
      <w:r>
        <w:rPr>
          <w:color w:val="030404"/>
        </w:rPr>
        <w:t>of</w:t>
      </w:r>
      <w:r>
        <w:rPr>
          <w:color w:val="030404"/>
          <w:spacing w:val="-10"/>
        </w:rPr>
        <w:t xml:space="preserve"> </w:t>
      </w:r>
      <w:r>
        <w:rPr>
          <w:color w:val="030404"/>
        </w:rPr>
        <w:t>the</w:t>
      </w:r>
      <w:r>
        <w:rPr>
          <w:color w:val="030404"/>
          <w:spacing w:val="-10"/>
        </w:rPr>
        <w:t xml:space="preserve"> </w:t>
      </w:r>
      <w:r>
        <w:rPr>
          <w:color w:val="030404"/>
        </w:rPr>
        <w:t>Company</w:t>
      </w:r>
      <w:r>
        <w:rPr>
          <w:color w:val="030404"/>
          <w:spacing w:val="-11"/>
        </w:rPr>
        <w:t xml:space="preserve"> </w:t>
      </w:r>
      <w:r>
        <w:rPr>
          <w:color w:val="030404"/>
        </w:rPr>
        <w:t>and</w:t>
      </w:r>
      <w:r>
        <w:rPr>
          <w:color w:val="030404"/>
          <w:spacing w:val="-10"/>
        </w:rPr>
        <w:t xml:space="preserve"> </w:t>
      </w:r>
      <w:r>
        <w:rPr>
          <w:color w:val="030404"/>
        </w:rPr>
        <w:t>the Directors concerning, among other things: (</w:t>
      </w:r>
      <w:proofErr w:type="spellStart"/>
      <w:r>
        <w:rPr>
          <w:color w:val="030404"/>
        </w:rPr>
        <w:t>i</w:t>
      </w:r>
      <w:proofErr w:type="spellEnd"/>
      <w:r>
        <w:rPr>
          <w:color w:val="030404"/>
        </w:rPr>
        <w:t>) the Group’s objectives, acquisition and financing strategies, returns of capital, results of operations, financial condition, capital resources, prospects, capital appreciation of the Ordinary Shares and dividends, (ii) future deal flow and implementation of active management strategies, and (iii) trends in the sectors in which the Group may elect to operate. By their nature, forward-looking statements involve risks and uncertainties because they relate to events and depend on circumstances that may or may not occur in the</w:t>
      </w:r>
      <w:r>
        <w:rPr>
          <w:color w:val="030404"/>
          <w:spacing w:val="-12"/>
        </w:rPr>
        <w:t xml:space="preserve"> </w:t>
      </w:r>
      <w:r>
        <w:rPr>
          <w:color w:val="030404"/>
        </w:rPr>
        <w:t>future.</w:t>
      </w:r>
      <w:r>
        <w:rPr>
          <w:color w:val="030404"/>
          <w:spacing w:val="-12"/>
        </w:rPr>
        <w:t xml:space="preserve"> </w:t>
      </w:r>
      <w:r>
        <w:rPr>
          <w:color w:val="030404"/>
        </w:rPr>
        <w:t>Forward-looking</w:t>
      </w:r>
      <w:r>
        <w:rPr>
          <w:color w:val="030404"/>
          <w:spacing w:val="-14"/>
        </w:rPr>
        <w:t xml:space="preserve"> </w:t>
      </w:r>
      <w:r>
        <w:rPr>
          <w:color w:val="030404"/>
        </w:rPr>
        <w:t>statements</w:t>
      </w:r>
      <w:r>
        <w:rPr>
          <w:color w:val="030404"/>
          <w:spacing w:val="-11"/>
        </w:rPr>
        <w:t xml:space="preserve"> </w:t>
      </w:r>
      <w:r>
        <w:rPr>
          <w:color w:val="030404"/>
        </w:rPr>
        <w:t>are</w:t>
      </w:r>
      <w:r>
        <w:rPr>
          <w:color w:val="030404"/>
          <w:spacing w:val="-12"/>
        </w:rPr>
        <w:t xml:space="preserve"> </w:t>
      </w:r>
      <w:r>
        <w:rPr>
          <w:color w:val="030404"/>
        </w:rPr>
        <w:t>not</w:t>
      </w:r>
      <w:r>
        <w:rPr>
          <w:color w:val="030404"/>
          <w:spacing w:val="-15"/>
        </w:rPr>
        <w:t xml:space="preserve"> </w:t>
      </w:r>
      <w:proofErr w:type="gramStart"/>
      <w:r>
        <w:rPr>
          <w:color w:val="030404"/>
        </w:rPr>
        <w:t>guarantees</w:t>
      </w:r>
      <w:proofErr w:type="gramEnd"/>
      <w:r>
        <w:rPr>
          <w:color w:val="030404"/>
          <w:spacing w:val="-11"/>
        </w:rPr>
        <w:t xml:space="preserve"> </w:t>
      </w:r>
      <w:r>
        <w:rPr>
          <w:color w:val="030404"/>
        </w:rPr>
        <w:t>of</w:t>
      </w:r>
      <w:r>
        <w:rPr>
          <w:color w:val="030404"/>
          <w:spacing w:val="-15"/>
        </w:rPr>
        <w:t xml:space="preserve"> </w:t>
      </w:r>
      <w:r>
        <w:rPr>
          <w:color w:val="030404"/>
        </w:rPr>
        <w:t>future</w:t>
      </w:r>
      <w:r>
        <w:rPr>
          <w:color w:val="030404"/>
          <w:spacing w:val="-12"/>
        </w:rPr>
        <w:t xml:space="preserve"> </w:t>
      </w:r>
      <w:r>
        <w:rPr>
          <w:color w:val="030404"/>
        </w:rPr>
        <w:t>performance.</w:t>
      </w:r>
      <w:r>
        <w:rPr>
          <w:color w:val="030404"/>
          <w:spacing w:val="-12"/>
        </w:rPr>
        <w:t xml:space="preserve"> </w:t>
      </w:r>
      <w:r>
        <w:rPr>
          <w:color w:val="030404"/>
        </w:rPr>
        <w:t>The</w:t>
      </w:r>
      <w:r>
        <w:rPr>
          <w:color w:val="030404"/>
          <w:spacing w:val="-12"/>
        </w:rPr>
        <w:t xml:space="preserve"> </w:t>
      </w:r>
      <w:r>
        <w:rPr>
          <w:color w:val="030404"/>
        </w:rPr>
        <w:t>Group’s</w:t>
      </w:r>
      <w:r>
        <w:rPr>
          <w:color w:val="030404"/>
          <w:spacing w:val="-11"/>
        </w:rPr>
        <w:t xml:space="preserve"> </w:t>
      </w:r>
      <w:r>
        <w:rPr>
          <w:color w:val="030404"/>
        </w:rPr>
        <w:t>actual</w:t>
      </w:r>
      <w:r>
        <w:rPr>
          <w:color w:val="030404"/>
          <w:spacing w:val="-12"/>
        </w:rPr>
        <w:t xml:space="preserve"> </w:t>
      </w:r>
      <w:r>
        <w:rPr>
          <w:color w:val="030404"/>
        </w:rPr>
        <w:t>performance, results</w:t>
      </w:r>
      <w:r>
        <w:rPr>
          <w:color w:val="030404"/>
          <w:spacing w:val="-5"/>
        </w:rPr>
        <w:t xml:space="preserve"> </w:t>
      </w:r>
      <w:r>
        <w:rPr>
          <w:color w:val="030404"/>
        </w:rPr>
        <w:t>of</w:t>
      </w:r>
      <w:r>
        <w:rPr>
          <w:color w:val="030404"/>
          <w:spacing w:val="-6"/>
        </w:rPr>
        <w:t xml:space="preserve"> </w:t>
      </w:r>
      <w:r>
        <w:rPr>
          <w:color w:val="030404"/>
        </w:rPr>
        <w:t>operations,</w:t>
      </w:r>
      <w:r>
        <w:rPr>
          <w:color w:val="030404"/>
          <w:spacing w:val="-5"/>
        </w:rPr>
        <w:t xml:space="preserve"> </w:t>
      </w:r>
      <w:r>
        <w:rPr>
          <w:color w:val="030404"/>
        </w:rPr>
        <w:t>internal</w:t>
      </w:r>
      <w:r>
        <w:rPr>
          <w:color w:val="030404"/>
          <w:spacing w:val="-3"/>
        </w:rPr>
        <w:t xml:space="preserve"> </w:t>
      </w:r>
      <w:r>
        <w:rPr>
          <w:color w:val="030404"/>
        </w:rPr>
        <w:t>rate</w:t>
      </w:r>
      <w:r>
        <w:rPr>
          <w:color w:val="030404"/>
          <w:spacing w:val="-3"/>
        </w:rPr>
        <w:t xml:space="preserve"> </w:t>
      </w:r>
      <w:r>
        <w:rPr>
          <w:color w:val="030404"/>
        </w:rPr>
        <w:t>of</w:t>
      </w:r>
      <w:r>
        <w:rPr>
          <w:color w:val="030404"/>
          <w:spacing w:val="-3"/>
        </w:rPr>
        <w:t xml:space="preserve"> </w:t>
      </w:r>
      <w:r>
        <w:rPr>
          <w:color w:val="030404"/>
        </w:rPr>
        <w:t>return,</w:t>
      </w:r>
      <w:r>
        <w:rPr>
          <w:color w:val="030404"/>
          <w:spacing w:val="-6"/>
        </w:rPr>
        <w:t xml:space="preserve"> </w:t>
      </w:r>
      <w:r>
        <w:rPr>
          <w:color w:val="030404"/>
        </w:rPr>
        <w:t>financial</w:t>
      </w:r>
      <w:r>
        <w:rPr>
          <w:color w:val="030404"/>
          <w:spacing w:val="-6"/>
        </w:rPr>
        <w:t xml:space="preserve"> </w:t>
      </w:r>
      <w:r>
        <w:rPr>
          <w:color w:val="030404"/>
        </w:rPr>
        <w:t>condition,</w:t>
      </w:r>
      <w:r>
        <w:rPr>
          <w:color w:val="030404"/>
          <w:spacing w:val="-3"/>
        </w:rPr>
        <w:t xml:space="preserve"> </w:t>
      </w:r>
      <w:r>
        <w:rPr>
          <w:color w:val="030404"/>
        </w:rPr>
        <w:t>distributions</w:t>
      </w:r>
      <w:r>
        <w:rPr>
          <w:color w:val="030404"/>
          <w:spacing w:val="-3"/>
        </w:rPr>
        <w:t xml:space="preserve"> </w:t>
      </w:r>
      <w:r>
        <w:rPr>
          <w:color w:val="030404"/>
        </w:rPr>
        <w:t>to</w:t>
      </w:r>
      <w:r>
        <w:rPr>
          <w:color w:val="030404"/>
          <w:spacing w:val="-6"/>
        </w:rPr>
        <w:t xml:space="preserve"> </w:t>
      </w:r>
      <w:r>
        <w:rPr>
          <w:color w:val="030404"/>
        </w:rPr>
        <w:t>Shareholders</w:t>
      </w:r>
      <w:r>
        <w:rPr>
          <w:color w:val="030404"/>
          <w:spacing w:val="-2"/>
        </w:rPr>
        <w:t xml:space="preserve"> </w:t>
      </w:r>
      <w:r>
        <w:rPr>
          <w:color w:val="030404"/>
        </w:rPr>
        <w:t>and</w:t>
      </w:r>
      <w:r>
        <w:rPr>
          <w:color w:val="030404"/>
          <w:spacing w:val="-3"/>
        </w:rPr>
        <w:t xml:space="preserve"> </w:t>
      </w:r>
      <w:r>
        <w:rPr>
          <w:color w:val="030404"/>
        </w:rPr>
        <w:t>the</w:t>
      </w:r>
      <w:r>
        <w:rPr>
          <w:color w:val="030404"/>
          <w:spacing w:val="-6"/>
        </w:rPr>
        <w:t xml:space="preserve"> </w:t>
      </w:r>
      <w:r>
        <w:rPr>
          <w:color w:val="030404"/>
        </w:rPr>
        <w:t>development of its financing strategies may differ materially from the impression created by the forward-looking statements contained</w:t>
      </w:r>
      <w:r>
        <w:rPr>
          <w:color w:val="030404"/>
          <w:spacing w:val="-6"/>
        </w:rPr>
        <w:t xml:space="preserve"> </w:t>
      </w:r>
      <w:r>
        <w:rPr>
          <w:color w:val="030404"/>
        </w:rPr>
        <w:t>in</w:t>
      </w:r>
      <w:r>
        <w:rPr>
          <w:color w:val="030404"/>
          <w:spacing w:val="-5"/>
        </w:rPr>
        <w:t xml:space="preserve"> </w:t>
      </w:r>
      <w:r>
        <w:rPr>
          <w:color w:val="030404"/>
        </w:rPr>
        <w:t>this</w:t>
      </w:r>
      <w:r>
        <w:rPr>
          <w:color w:val="030404"/>
          <w:spacing w:val="-7"/>
        </w:rPr>
        <w:t xml:space="preserve"> </w:t>
      </w:r>
      <w:r>
        <w:rPr>
          <w:color w:val="030404"/>
        </w:rPr>
        <w:t>Document.</w:t>
      </w:r>
      <w:r>
        <w:rPr>
          <w:color w:val="030404"/>
          <w:spacing w:val="-7"/>
        </w:rPr>
        <w:t xml:space="preserve"> </w:t>
      </w:r>
      <w:r>
        <w:rPr>
          <w:color w:val="030404"/>
        </w:rPr>
        <w:t>In</w:t>
      </w:r>
      <w:r>
        <w:rPr>
          <w:color w:val="030404"/>
          <w:spacing w:val="-8"/>
        </w:rPr>
        <w:t xml:space="preserve"> </w:t>
      </w:r>
      <w:r>
        <w:rPr>
          <w:color w:val="030404"/>
        </w:rPr>
        <w:t>addition,</w:t>
      </w:r>
      <w:r>
        <w:rPr>
          <w:color w:val="030404"/>
          <w:spacing w:val="-7"/>
        </w:rPr>
        <w:t xml:space="preserve"> </w:t>
      </w:r>
      <w:r>
        <w:rPr>
          <w:color w:val="030404"/>
        </w:rPr>
        <w:t>even</w:t>
      </w:r>
      <w:r>
        <w:rPr>
          <w:color w:val="030404"/>
          <w:spacing w:val="-5"/>
        </w:rPr>
        <w:t xml:space="preserve"> </w:t>
      </w:r>
      <w:r>
        <w:rPr>
          <w:color w:val="030404"/>
        </w:rPr>
        <w:t>if</w:t>
      </w:r>
      <w:r>
        <w:rPr>
          <w:color w:val="030404"/>
          <w:spacing w:val="-5"/>
        </w:rPr>
        <w:t xml:space="preserve"> </w:t>
      </w:r>
      <w:r>
        <w:rPr>
          <w:color w:val="030404"/>
        </w:rPr>
        <w:t>the</w:t>
      </w:r>
      <w:r>
        <w:rPr>
          <w:color w:val="030404"/>
          <w:spacing w:val="-6"/>
        </w:rPr>
        <w:t xml:space="preserve"> </w:t>
      </w:r>
      <w:r>
        <w:rPr>
          <w:color w:val="030404"/>
        </w:rPr>
        <w:t>Group’s</w:t>
      </w:r>
      <w:r>
        <w:rPr>
          <w:color w:val="030404"/>
          <w:spacing w:val="-7"/>
        </w:rPr>
        <w:t xml:space="preserve"> </w:t>
      </w:r>
      <w:r>
        <w:rPr>
          <w:color w:val="030404"/>
        </w:rPr>
        <w:t>actual</w:t>
      </w:r>
      <w:r>
        <w:rPr>
          <w:color w:val="030404"/>
          <w:spacing w:val="-5"/>
        </w:rPr>
        <w:t xml:space="preserve"> </w:t>
      </w:r>
      <w:r>
        <w:rPr>
          <w:color w:val="030404"/>
        </w:rPr>
        <w:t>performance,</w:t>
      </w:r>
      <w:r>
        <w:rPr>
          <w:color w:val="030404"/>
          <w:spacing w:val="-7"/>
        </w:rPr>
        <w:t xml:space="preserve"> </w:t>
      </w:r>
      <w:r>
        <w:rPr>
          <w:color w:val="030404"/>
        </w:rPr>
        <w:t>results</w:t>
      </w:r>
      <w:r>
        <w:rPr>
          <w:color w:val="030404"/>
          <w:spacing w:val="-5"/>
        </w:rPr>
        <w:t xml:space="preserve"> </w:t>
      </w:r>
      <w:r>
        <w:rPr>
          <w:color w:val="030404"/>
        </w:rPr>
        <w:t>of</w:t>
      </w:r>
      <w:r>
        <w:rPr>
          <w:color w:val="030404"/>
          <w:spacing w:val="-7"/>
        </w:rPr>
        <w:t xml:space="preserve"> </w:t>
      </w:r>
      <w:r>
        <w:rPr>
          <w:color w:val="030404"/>
        </w:rPr>
        <w:t>operations,</w:t>
      </w:r>
      <w:r>
        <w:rPr>
          <w:color w:val="030404"/>
          <w:spacing w:val="-5"/>
        </w:rPr>
        <w:t xml:space="preserve"> </w:t>
      </w:r>
      <w:r>
        <w:rPr>
          <w:color w:val="030404"/>
        </w:rPr>
        <w:t>internal</w:t>
      </w:r>
      <w:r>
        <w:rPr>
          <w:color w:val="030404"/>
          <w:spacing w:val="-5"/>
        </w:rPr>
        <w:t xml:space="preserve"> </w:t>
      </w:r>
      <w:r>
        <w:rPr>
          <w:color w:val="030404"/>
        </w:rPr>
        <w:t>rate of return, financial condition, distributions to Shareholders and the development of its financing strategies are consistent</w:t>
      </w:r>
      <w:r>
        <w:rPr>
          <w:color w:val="030404"/>
          <w:spacing w:val="-10"/>
        </w:rPr>
        <w:t xml:space="preserve"> </w:t>
      </w:r>
      <w:r>
        <w:rPr>
          <w:color w:val="030404"/>
        </w:rPr>
        <w:t>with</w:t>
      </w:r>
      <w:r>
        <w:rPr>
          <w:color w:val="030404"/>
          <w:spacing w:val="-7"/>
        </w:rPr>
        <w:t xml:space="preserve"> </w:t>
      </w:r>
      <w:r>
        <w:rPr>
          <w:color w:val="030404"/>
        </w:rPr>
        <w:t>the</w:t>
      </w:r>
      <w:r>
        <w:rPr>
          <w:color w:val="030404"/>
          <w:spacing w:val="-6"/>
        </w:rPr>
        <w:t xml:space="preserve"> </w:t>
      </w:r>
      <w:r>
        <w:rPr>
          <w:color w:val="030404"/>
        </w:rPr>
        <w:t>forward-looking</w:t>
      </w:r>
      <w:r>
        <w:rPr>
          <w:color w:val="030404"/>
          <w:spacing w:val="-10"/>
        </w:rPr>
        <w:t xml:space="preserve"> </w:t>
      </w:r>
      <w:r>
        <w:rPr>
          <w:color w:val="030404"/>
        </w:rPr>
        <w:t>statements</w:t>
      </w:r>
      <w:r>
        <w:rPr>
          <w:color w:val="030404"/>
          <w:spacing w:val="-8"/>
        </w:rPr>
        <w:t xml:space="preserve"> </w:t>
      </w:r>
      <w:r>
        <w:rPr>
          <w:color w:val="030404"/>
        </w:rPr>
        <w:t>contained</w:t>
      </w:r>
      <w:r>
        <w:rPr>
          <w:color w:val="030404"/>
          <w:spacing w:val="-10"/>
        </w:rPr>
        <w:t xml:space="preserve"> </w:t>
      </w:r>
      <w:r>
        <w:rPr>
          <w:color w:val="030404"/>
        </w:rPr>
        <w:t>in</w:t>
      </w:r>
      <w:r>
        <w:rPr>
          <w:color w:val="030404"/>
          <w:spacing w:val="-9"/>
        </w:rPr>
        <w:t xml:space="preserve"> </w:t>
      </w:r>
      <w:r>
        <w:rPr>
          <w:color w:val="030404"/>
        </w:rPr>
        <w:t>this</w:t>
      </w:r>
      <w:r>
        <w:rPr>
          <w:color w:val="030404"/>
          <w:spacing w:val="-8"/>
        </w:rPr>
        <w:t xml:space="preserve"> </w:t>
      </w:r>
      <w:r>
        <w:rPr>
          <w:color w:val="030404"/>
        </w:rPr>
        <w:t>Document,</w:t>
      </w:r>
      <w:r>
        <w:rPr>
          <w:color w:val="030404"/>
          <w:spacing w:val="-10"/>
        </w:rPr>
        <w:t xml:space="preserve"> </w:t>
      </w:r>
      <w:r>
        <w:rPr>
          <w:color w:val="030404"/>
        </w:rPr>
        <w:t>those</w:t>
      </w:r>
      <w:r>
        <w:rPr>
          <w:color w:val="030404"/>
          <w:spacing w:val="-7"/>
        </w:rPr>
        <w:t xml:space="preserve"> </w:t>
      </w:r>
      <w:r>
        <w:rPr>
          <w:color w:val="030404"/>
        </w:rPr>
        <w:t>results</w:t>
      </w:r>
      <w:r>
        <w:rPr>
          <w:color w:val="030404"/>
          <w:spacing w:val="-8"/>
        </w:rPr>
        <w:t xml:space="preserve"> </w:t>
      </w:r>
      <w:r>
        <w:rPr>
          <w:color w:val="030404"/>
        </w:rPr>
        <w:t>or</w:t>
      </w:r>
      <w:r>
        <w:rPr>
          <w:color w:val="030404"/>
          <w:spacing w:val="-12"/>
        </w:rPr>
        <w:t xml:space="preserve"> </w:t>
      </w:r>
      <w:r>
        <w:rPr>
          <w:color w:val="030404"/>
        </w:rPr>
        <w:t>developments</w:t>
      </w:r>
      <w:r>
        <w:rPr>
          <w:color w:val="030404"/>
          <w:spacing w:val="-9"/>
        </w:rPr>
        <w:t xml:space="preserve"> </w:t>
      </w:r>
      <w:r>
        <w:rPr>
          <w:color w:val="030404"/>
        </w:rPr>
        <w:t>may</w:t>
      </w:r>
      <w:r>
        <w:rPr>
          <w:color w:val="030404"/>
          <w:spacing w:val="-10"/>
        </w:rPr>
        <w:t xml:space="preserve"> </w:t>
      </w:r>
      <w:r>
        <w:rPr>
          <w:color w:val="030404"/>
        </w:rPr>
        <w:t>not be</w:t>
      </w:r>
      <w:r>
        <w:rPr>
          <w:color w:val="030404"/>
          <w:spacing w:val="-10"/>
        </w:rPr>
        <w:t xml:space="preserve"> </w:t>
      </w:r>
      <w:r>
        <w:rPr>
          <w:color w:val="030404"/>
        </w:rPr>
        <w:t>indicative</w:t>
      </w:r>
      <w:r>
        <w:rPr>
          <w:color w:val="030404"/>
          <w:spacing w:val="-7"/>
        </w:rPr>
        <w:t xml:space="preserve"> </w:t>
      </w:r>
      <w:r>
        <w:rPr>
          <w:color w:val="030404"/>
        </w:rPr>
        <w:t>of</w:t>
      </w:r>
      <w:r>
        <w:rPr>
          <w:color w:val="030404"/>
          <w:spacing w:val="-7"/>
        </w:rPr>
        <w:t xml:space="preserve"> </w:t>
      </w:r>
      <w:r>
        <w:rPr>
          <w:color w:val="030404"/>
        </w:rPr>
        <w:t>results</w:t>
      </w:r>
      <w:r>
        <w:rPr>
          <w:color w:val="030404"/>
          <w:spacing w:val="-9"/>
        </w:rPr>
        <w:t xml:space="preserve"> </w:t>
      </w:r>
      <w:r>
        <w:rPr>
          <w:color w:val="030404"/>
        </w:rPr>
        <w:t>or</w:t>
      </w:r>
      <w:r>
        <w:rPr>
          <w:color w:val="030404"/>
          <w:spacing w:val="-10"/>
        </w:rPr>
        <w:t xml:space="preserve"> </w:t>
      </w:r>
      <w:r>
        <w:rPr>
          <w:color w:val="030404"/>
        </w:rPr>
        <w:t>developments</w:t>
      </w:r>
      <w:r>
        <w:rPr>
          <w:color w:val="030404"/>
          <w:spacing w:val="-9"/>
        </w:rPr>
        <w:t xml:space="preserve"> </w:t>
      </w:r>
      <w:r>
        <w:rPr>
          <w:color w:val="030404"/>
        </w:rPr>
        <w:t>in</w:t>
      </w:r>
      <w:r>
        <w:rPr>
          <w:color w:val="030404"/>
          <w:spacing w:val="-10"/>
        </w:rPr>
        <w:t xml:space="preserve"> </w:t>
      </w:r>
      <w:r>
        <w:rPr>
          <w:color w:val="030404"/>
        </w:rPr>
        <w:t>subsequent</w:t>
      </w:r>
      <w:r>
        <w:rPr>
          <w:color w:val="030404"/>
          <w:spacing w:val="-10"/>
        </w:rPr>
        <w:t xml:space="preserve"> </w:t>
      </w:r>
      <w:r>
        <w:rPr>
          <w:color w:val="030404"/>
        </w:rPr>
        <w:t>periods.</w:t>
      </w:r>
      <w:r>
        <w:rPr>
          <w:color w:val="030404"/>
          <w:spacing w:val="-6"/>
        </w:rPr>
        <w:t xml:space="preserve"> </w:t>
      </w:r>
      <w:r>
        <w:rPr>
          <w:color w:val="030404"/>
        </w:rPr>
        <w:t>Important</w:t>
      </w:r>
      <w:r>
        <w:rPr>
          <w:color w:val="030404"/>
          <w:spacing w:val="-9"/>
        </w:rPr>
        <w:t xml:space="preserve"> </w:t>
      </w:r>
      <w:r>
        <w:rPr>
          <w:color w:val="030404"/>
        </w:rPr>
        <w:t>factors</w:t>
      </w:r>
      <w:r>
        <w:rPr>
          <w:color w:val="030404"/>
          <w:spacing w:val="-9"/>
        </w:rPr>
        <w:t xml:space="preserve"> </w:t>
      </w:r>
      <w:r>
        <w:rPr>
          <w:color w:val="030404"/>
        </w:rPr>
        <w:t>that</w:t>
      </w:r>
      <w:r>
        <w:rPr>
          <w:color w:val="030404"/>
          <w:spacing w:val="-12"/>
        </w:rPr>
        <w:t xml:space="preserve"> </w:t>
      </w:r>
      <w:r>
        <w:rPr>
          <w:color w:val="030404"/>
        </w:rPr>
        <w:t>may</w:t>
      </w:r>
      <w:r>
        <w:rPr>
          <w:color w:val="030404"/>
          <w:spacing w:val="-9"/>
        </w:rPr>
        <w:t xml:space="preserve"> </w:t>
      </w:r>
      <w:r>
        <w:rPr>
          <w:color w:val="030404"/>
        </w:rPr>
        <w:t>cause</w:t>
      </w:r>
      <w:r>
        <w:rPr>
          <w:color w:val="030404"/>
          <w:spacing w:val="-10"/>
        </w:rPr>
        <w:t xml:space="preserve"> </w:t>
      </w:r>
      <w:r>
        <w:rPr>
          <w:color w:val="030404"/>
        </w:rPr>
        <w:t>these</w:t>
      </w:r>
      <w:r>
        <w:rPr>
          <w:color w:val="030404"/>
          <w:spacing w:val="-10"/>
        </w:rPr>
        <w:t xml:space="preserve"> </w:t>
      </w:r>
      <w:r>
        <w:rPr>
          <w:color w:val="030404"/>
        </w:rPr>
        <w:t>differences include, but are not limited</w:t>
      </w:r>
      <w:r>
        <w:rPr>
          <w:color w:val="030404"/>
          <w:spacing w:val="-11"/>
        </w:rPr>
        <w:t xml:space="preserve"> </w:t>
      </w:r>
      <w:r>
        <w:rPr>
          <w:color w:val="030404"/>
        </w:rPr>
        <w:t>to:</w:t>
      </w:r>
    </w:p>
    <w:p w14:paraId="712BAAF7" w14:textId="77777777" w:rsidR="00783288" w:rsidRDefault="00783288">
      <w:pPr>
        <w:pStyle w:val="BodyText"/>
        <w:kinsoku w:val="0"/>
        <w:overflowPunct w:val="0"/>
        <w:spacing w:before="1"/>
      </w:pPr>
    </w:p>
    <w:p w14:paraId="334AB29A" w14:textId="77777777" w:rsidR="00783288" w:rsidRDefault="00E31420" w:rsidP="00512495">
      <w:pPr>
        <w:pStyle w:val="ListParagraph"/>
        <w:numPr>
          <w:ilvl w:val="0"/>
          <w:numId w:val="22"/>
        </w:numPr>
        <w:tabs>
          <w:tab w:val="left" w:pos="867"/>
        </w:tabs>
        <w:kinsoku w:val="0"/>
        <w:overflowPunct w:val="0"/>
        <w:rPr>
          <w:rFonts w:ascii="Symbol" w:hAnsi="Symbol" w:cs="Symbol"/>
          <w:color w:val="030404"/>
          <w:sz w:val="18"/>
          <w:szCs w:val="18"/>
        </w:rPr>
      </w:pPr>
      <w:r>
        <w:rPr>
          <w:color w:val="030404"/>
          <w:sz w:val="18"/>
          <w:szCs w:val="18"/>
        </w:rPr>
        <w:t>the Group’s success in exploring and developing the Portfolio for copper and</w:t>
      </w:r>
      <w:r>
        <w:rPr>
          <w:color w:val="030404"/>
          <w:spacing w:val="-4"/>
          <w:sz w:val="18"/>
          <w:szCs w:val="18"/>
        </w:rPr>
        <w:t xml:space="preserve"> </w:t>
      </w:r>
      <w:proofErr w:type="gramStart"/>
      <w:r>
        <w:rPr>
          <w:color w:val="030404"/>
          <w:sz w:val="18"/>
          <w:szCs w:val="18"/>
        </w:rPr>
        <w:t>gold;</w:t>
      </w:r>
      <w:proofErr w:type="gramEnd"/>
    </w:p>
    <w:p w14:paraId="53B294F0" w14:textId="77777777" w:rsidR="00783288" w:rsidRDefault="00783288">
      <w:pPr>
        <w:pStyle w:val="BodyText"/>
        <w:kinsoku w:val="0"/>
        <w:overflowPunct w:val="0"/>
        <w:spacing w:before="1"/>
      </w:pPr>
    </w:p>
    <w:p w14:paraId="0508909C" w14:textId="240B8BB0" w:rsidR="00783288" w:rsidRDefault="00E31420" w:rsidP="00512495">
      <w:pPr>
        <w:pStyle w:val="ListParagraph"/>
        <w:numPr>
          <w:ilvl w:val="0"/>
          <w:numId w:val="22"/>
        </w:numPr>
        <w:tabs>
          <w:tab w:val="left" w:pos="867"/>
        </w:tabs>
        <w:kinsoku w:val="0"/>
        <w:overflowPunct w:val="0"/>
        <w:spacing w:line="237" w:lineRule="auto"/>
        <w:ind w:right="1190"/>
        <w:rPr>
          <w:rFonts w:ascii="Symbol" w:hAnsi="Symbol" w:cs="Symbol"/>
          <w:color w:val="030404"/>
          <w:sz w:val="18"/>
          <w:szCs w:val="18"/>
        </w:rPr>
      </w:pPr>
      <w:r>
        <w:rPr>
          <w:color w:val="030404"/>
          <w:sz w:val="18"/>
          <w:szCs w:val="18"/>
        </w:rPr>
        <w:t>the</w:t>
      </w:r>
      <w:r>
        <w:rPr>
          <w:color w:val="030404"/>
          <w:spacing w:val="-8"/>
          <w:sz w:val="18"/>
          <w:szCs w:val="18"/>
        </w:rPr>
        <w:t xml:space="preserve"> </w:t>
      </w:r>
      <w:r>
        <w:rPr>
          <w:color w:val="030404"/>
          <w:sz w:val="18"/>
          <w:szCs w:val="18"/>
        </w:rPr>
        <w:t>Group’s</w:t>
      </w:r>
      <w:r>
        <w:rPr>
          <w:color w:val="030404"/>
          <w:spacing w:val="-9"/>
          <w:sz w:val="18"/>
          <w:szCs w:val="18"/>
        </w:rPr>
        <w:t xml:space="preserve"> </w:t>
      </w:r>
      <w:r>
        <w:rPr>
          <w:color w:val="030404"/>
          <w:sz w:val="18"/>
          <w:szCs w:val="18"/>
        </w:rPr>
        <w:t>success</w:t>
      </w:r>
      <w:r>
        <w:rPr>
          <w:color w:val="030404"/>
          <w:spacing w:val="-7"/>
          <w:sz w:val="18"/>
          <w:szCs w:val="18"/>
        </w:rPr>
        <w:t xml:space="preserve"> </w:t>
      </w:r>
      <w:r>
        <w:rPr>
          <w:color w:val="030404"/>
          <w:sz w:val="18"/>
          <w:szCs w:val="18"/>
        </w:rPr>
        <w:t>in</w:t>
      </w:r>
      <w:r>
        <w:rPr>
          <w:color w:val="030404"/>
          <w:spacing w:val="-10"/>
          <w:sz w:val="18"/>
          <w:szCs w:val="18"/>
        </w:rPr>
        <w:t xml:space="preserve"> </w:t>
      </w:r>
      <w:r>
        <w:rPr>
          <w:color w:val="030404"/>
          <w:sz w:val="18"/>
          <w:szCs w:val="18"/>
        </w:rPr>
        <w:t>maintaining</w:t>
      </w:r>
      <w:r>
        <w:rPr>
          <w:color w:val="030404"/>
          <w:spacing w:val="-7"/>
          <w:sz w:val="18"/>
          <w:szCs w:val="18"/>
        </w:rPr>
        <w:t xml:space="preserve"> </w:t>
      </w:r>
      <w:r>
        <w:rPr>
          <w:color w:val="030404"/>
          <w:sz w:val="18"/>
          <w:szCs w:val="18"/>
        </w:rPr>
        <w:t>Granted</w:t>
      </w:r>
      <w:r>
        <w:rPr>
          <w:color w:val="030404"/>
          <w:spacing w:val="-10"/>
          <w:sz w:val="18"/>
          <w:szCs w:val="18"/>
        </w:rPr>
        <w:t xml:space="preserve"> </w:t>
      </w:r>
      <w:r>
        <w:rPr>
          <w:color w:val="030404"/>
          <w:sz w:val="18"/>
          <w:szCs w:val="18"/>
        </w:rPr>
        <w:t>Prospecting</w:t>
      </w:r>
      <w:r>
        <w:rPr>
          <w:color w:val="030404"/>
          <w:spacing w:val="-8"/>
          <w:sz w:val="18"/>
          <w:szCs w:val="18"/>
        </w:rPr>
        <w:t xml:space="preserve"> </w:t>
      </w:r>
      <w:r>
        <w:rPr>
          <w:color w:val="030404"/>
          <w:sz w:val="18"/>
          <w:szCs w:val="18"/>
        </w:rPr>
        <w:t>Permits</w:t>
      </w:r>
      <w:r w:rsidR="006A64C9">
        <w:rPr>
          <w:color w:val="030404"/>
          <w:sz w:val="18"/>
          <w:szCs w:val="18"/>
        </w:rPr>
        <w:t xml:space="preserve"> and</w:t>
      </w:r>
      <w:r w:rsidR="002514E7">
        <w:rPr>
          <w:color w:val="030404"/>
          <w:sz w:val="18"/>
          <w:szCs w:val="18"/>
        </w:rPr>
        <w:t xml:space="preserve"> </w:t>
      </w:r>
      <w:r w:rsidR="005C470D">
        <w:rPr>
          <w:color w:val="030404"/>
          <w:sz w:val="18"/>
          <w:szCs w:val="18"/>
        </w:rPr>
        <w:t xml:space="preserve">Granted </w:t>
      </w:r>
      <w:r w:rsidR="002514E7" w:rsidRPr="002514E7">
        <w:rPr>
          <w:color w:val="030404"/>
          <w:sz w:val="18"/>
          <w:szCs w:val="18"/>
        </w:rPr>
        <w:t xml:space="preserve">Map-Staked Mineral </w:t>
      </w:r>
      <w:proofErr w:type="gramStart"/>
      <w:r w:rsidR="002514E7" w:rsidRPr="002514E7">
        <w:rPr>
          <w:color w:val="030404"/>
          <w:sz w:val="18"/>
          <w:szCs w:val="18"/>
        </w:rPr>
        <w:t>Licences</w:t>
      </w:r>
      <w:r>
        <w:rPr>
          <w:color w:val="030404"/>
          <w:sz w:val="18"/>
          <w:szCs w:val="18"/>
        </w:rPr>
        <w:t>;</w:t>
      </w:r>
      <w:proofErr w:type="gramEnd"/>
    </w:p>
    <w:p w14:paraId="34A066D9" w14:textId="77777777" w:rsidR="00783288" w:rsidRDefault="00783288">
      <w:pPr>
        <w:pStyle w:val="BodyText"/>
        <w:kinsoku w:val="0"/>
        <w:overflowPunct w:val="0"/>
        <w:spacing w:before="11"/>
        <w:rPr>
          <w:sz w:val="17"/>
          <w:szCs w:val="17"/>
        </w:rPr>
      </w:pPr>
    </w:p>
    <w:p w14:paraId="089652D3" w14:textId="77777777" w:rsidR="00783288" w:rsidRDefault="00E31420" w:rsidP="00512495">
      <w:pPr>
        <w:pStyle w:val="ListParagraph"/>
        <w:numPr>
          <w:ilvl w:val="0"/>
          <w:numId w:val="22"/>
        </w:numPr>
        <w:tabs>
          <w:tab w:val="left" w:pos="867"/>
        </w:tabs>
        <w:kinsoku w:val="0"/>
        <w:overflowPunct w:val="0"/>
        <w:ind w:right="1191"/>
        <w:rPr>
          <w:rFonts w:ascii="Symbol" w:hAnsi="Symbol" w:cs="Symbol"/>
          <w:color w:val="030404"/>
          <w:sz w:val="18"/>
          <w:szCs w:val="18"/>
        </w:rPr>
      </w:pPr>
      <w:r>
        <w:rPr>
          <w:color w:val="030404"/>
          <w:sz w:val="18"/>
          <w:szCs w:val="18"/>
        </w:rPr>
        <w:t>changes</w:t>
      </w:r>
      <w:r>
        <w:rPr>
          <w:color w:val="030404"/>
          <w:spacing w:val="-6"/>
          <w:sz w:val="18"/>
          <w:szCs w:val="18"/>
        </w:rPr>
        <w:t xml:space="preserve"> </w:t>
      </w:r>
      <w:r>
        <w:rPr>
          <w:color w:val="030404"/>
          <w:sz w:val="18"/>
          <w:szCs w:val="18"/>
        </w:rPr>
        <w:t>in</w:t>
      </w:r>
      <w:r>
        <w:rPr>
          <w:color w:val="030404"/>
          <w:spacing w:val="-4"/>
          <w:sz w:val="18"/>
          <w:szCs w:val="18"/>
        </w:rPr>
        <w:t xml:space="preserve"> </w:t>
      </w:r>
      <w:r>
        <w:rPr>
          <w:color w:val="030404"/>
          <w:sz w:val="18"/>
          <w:szCs w:val="18"/>
        </w:rPr>
        <w:t>commodity</w:t>
      </w:r>
      <w:r>
        <w:rPr>
          <w:color w:val="030404"/>
          <w:spacing w:val="-6"/>
          <w:sz w:val="18"/>
          <w:szCs w:val="18"/>
        </w:rPr>
        <w:t xml:space="preserve"> </w:t>
      </w:r>
      <w:r>
        <w:rPr>
          <w:color w:val="030404"/>
          <w:sz w:val="18"/>
          <w:szCs w:val="18"/>
        </w:rPr>
        <w:t>prices</w:t>
      </w:r>
      <w:r>
        <w:rPr>
          <w:color w:val="030404"/>
          <w:spacing w:val="-6"/>
          <w:sz w:val="18"/>
          <w:szCs w:val="18"/>
        </w:rPr>
        <w:t xml:space="preserve"> </w:t>
      </w:r>
      <w:r>
        <w:rPr>
          <w:color w:val="030404"/>
          <w:sz w:val="18"/>
          <w:szCs w:val="18"/>
        </w:rPr>
        <w:t>and</w:t>
      </w:r>
      <w:r>
        <w:rPr>
          <w:color w:val="030404"/>
          <w:spacing w:val="-4"/>
          <w:sz w:val="18"/>
          <w:szCs w:val="18"/>
        </w:rPr>
        <w:t xml:space="preserve"> </w:t>
      </w:r>
      <w:r>
        <w:rPr>
          <w:color w:val="030404"/>
          <w:sz w:val="18"/>
          <w:szCs w:val="18"/>
        </w:rPr>
        <w:t>in</w:t>
      </w:r>
      <w:r>
        <w:rPr>
          <w:color w:val="030404"/>
          <w:spacing w:val="-4"/>
          <w:sz w:val="18"/>
          <w:szCs w:val="18"/>
        </w:rPr>
        <w:t xml:space="preserve"> </w:t>
      </w:r>
      <w:r>
        <w:rPr>
          <w:color w:val="030404"/>
          <w:sz w:val="18"/>
          <w:szCs w:val="18"/>
        </w:rPr>
        <w:t>economic</w:t>
      </w:r>
      <w:r>
        <w:rPr>
          <w:color w:val="030404"/>
          <w:spacing w:val="-6"/>
          <w:sz w:val="18"/>
          <w:szCs w:val="18"/>
        </w:rPr>
        <w:t xml:space="preserve"> </w:t>
      </w:r>
      <w:r>
        <w:rPr>
          <w:color w:val="030404"/>
          <w:sz w:val="18"/>
          <w:szCs w:val="18"/>
        </w:rPr>
        <w:t>conditions</w:t>
      </w:r>
      <w:r>
        <w:rPr>
          <w:color w:val="030404"/>
          <w:spacing w:val="-3"/>
          <w:sz w:val="18"/>
          <w:szCs w:val="18"/>
        </w:rPr>
        <w:t xml:space="preserve"> </w:t>
      </w:r>
      <w:r>
        <w:rPr>
          <w:color w:val="030404"/>
          <w:sz w:val="18"/>
          <w:szCs w:val="18"/>
        </w:rPr>
        <w:t>generally</w:t>
      </w:r>
      <w:r>
        <w:rPr>
          <w:color w:val="030404"/>
          <w:spacing w:val="-5"/>
          <w:sz w:val="18"/>
          <w:szCs w:val="18"/>
        </w:rPr>
        <w:t xml:space="preserve"> </w:t>
      </w:r>
      <w:r>
        <w:rPr>
          <w:color w:val="030404"/>
          <w:sz w:val="18"/>
          <w:szCs w:val="18"/>
        </w:rPr>
        <w:t>(and</w:t>
      </w:r>
      <w:r>
        <w:rPr>
          <w:color w:val="030404"/>
          <w:spacing w:val="-4"/>
          <w:sz w:val="18"/>
          <w:szCs w:val="18"/>
        </w:rPr>
        <w:t xml:space="preserve"> </w:t>
      </w:r>
      <w:r>
        <w:rPr>
          <w:color w:val="030404"/>
          <w:sz w:val="18"/>
          <w:szCs w:val="18"/>
        </w:rPr>
        <w:t>specifically</w:t>
      </w:r>
      <w:r>
        <w:rPr>
          <w:color w:val="030404"/>
          <w:spacing w:val="-6"/>
          <w:sz w:val="18"/>
          <w:szCs w:val="18"/>
        </w:rPr>
        <w:t xml:space="preserve"> </w:t>
      </w:r>
      <w:r>
        <w:rPr>
          <w:color w:val="030404"/>
          <w:sz w:val="18"/>
          <w:szCs w:val="18"/>
        </w:rPr>
        <w:t>in</w:t>
      </w:r>
      <w:r>
        <w:rPr>
          <w:color w:val="030404"/>
          <w:spacing w:val="-4"/>
          <w:sz w:val="18"/>
          <w:szCs w:val="18"/>
        </w:rPr>
        <w:t xml:space="preserve"> </w:t>
      </w:r>
      <w:r>
        <w:rPr>
          <w:color w:val="030404"/>
          <w:sz w:val="18"/>
          <w:szCs w:val="18"/>
        </w:rPr>
        <w:t>the</w:t>
      </w:r>
      <w:r>
        <w:rPr>
          <w:color w:val="030404"/>
          <w:spacing w:val="-6"/>
          <w:sz w:val="18"/>
          <w:szCs w:val="18"/>
        </w:rPr>
        <w:t xml:space="preserve"> </w:t>
      </w:r>
      <w:r>
        <w:rPr>
          <w:color w:val="030404"/>
          <w:sz w:val="18"/>
          <w:szCs w:val="18"/>
        </w:rPr>
        <w:t>copper</w:t>
      </w:r>
      <w:r>
        <w:rPr>
          <w:color w:val="030404"/>
          <w:spacing w:val="-4"/>
          <w:sz w:val="18"/>
          <w:szCs w:val="18"/>
        </w:rPr>
        <w:t xml:space="preserve"> </w:t>
      </w:r>
      <w:r>
        <w:rPr>
          <w:color w:val="030404"/>
          <w:sz w:val="18"/>
          <w:szCs w:val="18"/>
        </w:rPr>
        <w:t>and</w:t>
      </w:r>
      <w:r>
        <w:rPr>
          <w:color w:val="030404"/>
          <w:spacing w:val="-6"/>
          <w:sz w:val="18"/>
          <w:szCs w:val="18"/>
        </w:rPr>
        <w:t xml:space="preserve"> </w:t>
      </w:r>
      <w:r>
        <w:rPr>
          <w:color w:val="030404"/>
          <w:sz w:val="18"/>
          <w:szCs w:val="18"/>
        </w:rPr>
        <w:t>gold markets and those relevant to any further acquisition made by the</w:t>
      </w:r>
      <w:r>
        <w:rPr>
          <w:color w:val="030404"/>
          <w:spacing w:val="-13"/>
          <w:sz w:val="18"/>
          <w:szCs w:val="18"/>
        </w:rPr>
        <w:t xml:space="preserve"> </w:t>
      </w:r>
      <w:r>
        <w:rPr>
          <w:color w:val="030404"/>
          <w:sz w:val="18"/>
          <w:szCs w:val="18"/>
        </w:rPr>
        <w:t>Group</w:t>
      </w:r>
      <w:proofErr w:type="gramStart"/>
      <w:r>
        <w:rPr>
          <w:color w:val="030404"/>
          <w:sz w:val="18"/>
          <w:szCs w:val="18"/>
        </w:rPr>
        <w:t>);</w:t>
      </w:r>
      <w:proofErr w:type="gramEnd"/>
    </w:p>
    <w:p w14:paraId="09F420C7" w14:textId="77777777" w:rsidR="00783288" w:rsidRDefault="00783288">
      <w:pPr>
        <w:pStyle w:val="BodyText"/>
        <w:kinsoku w:val="0"/>
        <w:overflowPunct w:val="0"/>
        <w:spacing w:before="1"/>
      </w:pPr>
    </w:p>
    <w:p w14:paraId="759A27A4" w14:textId="77777777" w:rsidR="00783288" w:rsidRDefault="00E31420" w:rsidP="00512495">
      <w:pPr>
        <w:pStyle w:val="ListParagraph"/>
        <w:numPr>
          <w:ilvl w:val="0"/>
          <w:numId w:val="22"/>
        </w:numPr>
        <w:tabs>
          <w:tab w:val="left" w:pos="867"/>
        </w:tabs>
        <w:kinsoku w:val="0"/>
        <w:overflowPunct w:val="0"/>
        <w:spacing w:line="237" w:lineRule="auto"/>
        <w:ind w:right="1192"/>
        <w:rPr>
          <w:rFonts w:ascii="Symbol" w:hAnsi="Symbol" w:cs="Symbol"/>
          <w:color w:val="030404"/>
          <w:sz w:val="18"/>
          <w:szCs w:val="18"/>
        </w:rPr>
      </w:pPr>
      <w:r>
        <w:rPr>
          <w:color w:val="030404"/>
          <w:sz w:val="18"/>
          <w:szCs w:val="18"/>
        </w:rPr>
        <w:t>changes</w:t>
      </w:r>
      <w:r>
        <w:rPr>
          <w:color w:val="030404"/>
          <w:spacing w:val="-14"/>
          <w:sz w:val="18"/>
          <w:szCs w:val="18"/>
        </w:rPr>
        <w:t xml:space="preserve"> </w:t>
      </w:r>
      <w:r>
        <w:rPr>
          <w:color w:val="030404"/>
          <w:sz w:val="18"/>
          <w:szCs w:val="18"/>
        </w:rPr>
        <w:t>in</w:t>
      </w:r>
      <w:r>
        <w:rPr>
          <w:color w:val="030404"/>
          <w:spacing w:val="-11"/>
          <w:sz w:val="18"/>
          <w:szCs w:val="18"/>
        </w:rPr>
        <w:t xml:space="preserve"> </w:t>
      </w:r>
      <w:r>
        <w:rPr>
          <w:color w:val="030404"/>
          <w:sz w:val="18"/>
          <w:szCs w:val="18"/>
        </w:rPr>
        <w:t>interest</w:t>
      </w:r>
      <w:r>
        <w:rPr>
          <w:color w:val="030404"/>
          <w:spacing w:val="-12"/>
          <w:sz w:val="18"/>
          <w:szCs w:val="18"/>
        </w:rPr>
        <w:t xml:space="preserve"> </w:t>
      </w:r>
      <w:r>
        <w:rPr>
          <w:color w:val="030404"/>
          <w:sz w:val="18"/>
          <w:szCs w:val="18"/>
        </w:rPr>
        <w:t>rates</w:t>
      </w:r>
      <w:r>
        <w:rPr>
          <w:color w:val="030404"/>
          <w:spacing w:val="-10"/>
          <w:sz w:val="18"/>
          <w:szCs w:val="18"/>
        </w:rPr>
        <w:t xml:space="preserve"> </w:t>
      </w:r>
      <w:r>
        <w:rPr>
          <w:color w:val="030404"/>
          <w:sz w:val="18"/>
          <w:szCs w:val="18"/>
        </w:rPr>
        <w:t>and</w:t>
      </w:r>
      <w:r>
        <w:rPr>
          <w:color w:val="030404"/>
          <w:spacing w:val="-11"/>
          <w:sz w:val="18"/>
          <w:szCs w:val="18"/>
        </w:rPr>
        <w:t xml:space="preserve"> </w:t>
      </w:r>
      <w:r>
        <w:rPr>
          <w:color w:val="030404"/>
          <w:sz w:val="18"/>
          <w:szCs w:val="18"/>
        </w:rPr>
        <w:t>currency</w:t>
      </w:r>
      <w:r>
        <w:rPr>
          <w:color w:val="030404"/>
          <w:spacing w:val="-14"/>
          <w:sz w:val="18"/>
          <w:szCs w:val="18"/>
        </w:rPr>
        <w:t xml:space="preserve"> </w:t>
      </w:r>
      <w:r>
        <w:rPr>
          <w:color w:val="030404"/>
          <w:sz w:val="18"/>
          <w:szCs w:val="18"/>
        </w:rPr>
        <w:t>fluctuations,</w:t>
      </w:r>
      <w:r>
        <w:rPr>
          <w:color w:val="030404"/>
          <w:spacing w:val="-11"/>
          <w:sz w:val="18"/>
          <w:szCs w:val="18"/>
        </w:rPr>
        <w:t xml:space="preserve"> </w:t>
      </w:r>
      <w:r>
        <w:rPr>
          <w:color w:val="030404"/>
          <w:sz w:val="18"/>
          <w:szCs w:val="18"/>
        </w:rPr>
        <w:t>as</w:t>
      </w:r>
      <w:r>
        <w:rPr>
          <w:color w:val="030404"/>
          <w:spacing w:val="-10"/>
          <w:sz w:val="18"/>
          <w:szCs w:val="18"/>
        </w:rPr>
        <w:t xml:space="preserve"> </w:t>
      </w:r>
      <w:r>
        <w:rPr>
          <w:color w:val="030404"/>
          <w:sz w:val="18"/>
          <w:szCs w:val="18"/>
        </w:rPr>
        <w:t>well</w:t>
      </w:r>
      <w:r>
        <w:rPr>
          <w:color w:val="030404"/>
          <w:spacing w:val="-12"/>
          <w:sz w:val="18"/>
          <w:szCs w:val="18"/>
        </w:rPr>
        <w:t xml:space="preserve"> </w:t>
      </w:r>
      <w:r>
        <w:rPr>
          <w:color w:val="030404"/>
          <w:sz w:val="18"/>
          <w:szCs w:val="18"/>
        </w:rPr>
        <w:t>as</w:t>
      </w:r>
      <w:r>
        <w:rPr>
          <w:color w:val="030404"/>
          <w:spacing w:val="-13"/>
          <w:sz w:val="18"/>
          <w:szCs w:val="18"/>
        </w:rPr>
        <w:t xml:space="preserve"> </w:t>
      </w:r>
      <w:r>
        <w:rPr>
          <w:color w:val="030404"/>
          <w:sz w:val="18"/>
          <w:szCs w:val="18"/>
        </w:rPr>
        <w:t>the</w:t>
      </w:r>
      <w:r>
        <w:rPr>
          <w:color w:val="030404"/>
          <w:spacing w:val="-11"/>
          <w:sz w:val="18"/>
          <w:szCs w:val="18"/>
        </w:rPr>
        <w:t xml:space="preserve"> </w:t>
      </w:r>
      <w:r>
        <w:rPr>
          <w:color w:val="030404"/>
          <w:sz w:val="18"/>
          <w:szCs w:val="18"/>
        </w:rPr>
        <w:t>success</w:t>
      </w:r>
      <w:r>
        <w:rPr>
          <w:color w:val="030404"/>
          <w:spacing w:val="-11"/>
          <w:sz w:val="18"/>
          <w:szCs w:val="18"/>
        </w:rPr>
        <w:t xml:space="preserve"> </w:t>
      </w:r>
      <w:r>
        <w:rPr>
          <w:color w:val="030404"/>
          <w:sz w:val="18"/>
          <w:szCs w:val="18"/>
        </w:rPr>
        <w:t>of</w:t>
      </w:r>
      <w:r>
        <w:rPr>
          <w:color w:val="030404"/>
          <w:spacing w:val="-11"/>
          <w:sz w:val="18"/>
          <w:szCs w:val="18"/>
        </w:rPr>
        <w:t xml:space="preserve"> </w:t>
      </w:r>
      <w:r>
        <w:rPr>
          <w:color w:val="030404"/>
          <w:sz w:val="18"/>
          <w:szCs w:val="18"/>
        </w:rPr>
        <w:t>the</w:t>
      </w:r>
      <w:r>
        <w:rPr>
          <w:color w:val="030404"/>
          <w:spacing w:val="-12"/>
          <w:sz w:val="18"/>
          <w:szCs w:val="18"/>
        </w:rPr>
        <w:t xml:space="preserve"> </w:t>
      </w:r>
      <w:r>
        <w:rPr>
          <w:color w:val="030404"/>
          <w:sz w:val="18"/>
          <w:szCs w:val="18"/>
        </w:rPr>
        <w:t>Group’s</w:t>
      </w:r>
      <w:r>
        <w:rPr>
          <w:color w:val="030404"/>
          <w:spacing w:val="-10"/>
          <w:sz w:val="18"/>
          <w:szCs w:val="18"/>
        </w:rPr>
        <w:t xml:space="preserve"> </w:t>
      </w:r>
      <w:r>
        <w:rPr>
          <w:color w:val="030404"/>
          <w:sz w:val="18"/>
          <w:szCs w:val="18"/>
        </w:rPr>
        <w:t>hedging</w:t>
      </w:r>
      <w:r>
        <w:rPr>
          <w:color w:val="030404"/>
          <w:spacing w:val="-13"/>
          <w:sz w:val="18"/>
          <w:szCs w:val="18"/>
        </w:rPr>
        <w:t xml:space="preserve"> </w:t>
      </w:r>
      <w:r>
        <w:rPr>
          <w:color w:val="030404"/>
          <w:sz w:val="18"/>
          <w:szCs w:val="18"/>
        </w:rPr>
        <w:t>strategies in relation to such changes and fluctuations (if such strategies are in fact</w:t>
      </w:r>
      <w:r>
        <w:rPr>
          <w:color w:val="030404"/>
          <w:spacing w:val="-10"/>
          <w:sz w:val="18"/>
          <w:szCs w:val="18"/>
        </w:rPr>
        <w:t xml:space="preserve"> </w:t>
      </w:r>
      <w:r>
        <w:rPr>
          <w:color w:val="030404"/>
          <w:sz w:val="18"/>
          <w:szCs w:val="18"/>
        </w:rPr>
        <w:t>used</w:t>
      </w:r>
      <w:proofErr w:type="gramStart"/>
      <w:r>
        <w:rPr>
          <w:color w:val="030404"/>
          <w:sz w:val="18"/>
          <w:szCs w:val="18"/>
        </w:rPr>
        <w:t>);</w:t>
      </w:r>
      <w:proofErr w:type="gramEnd"/>
    </w:p>
    <w:p w14:paraId="35EFA502" w14:textId="77777777" w:rsidR="00783288" w:rsidRDefault="00783288">
      <w:pPr>
        <w:pStyle w:val="BodyText"/>
        <w:kinsoku w:val="0"/>
        <w:overflowPunct w:val="0"/>
        <w:spacing w:before="1"/>
      </w:pPr>
    </w:p>
    <w:p w14:paraId="4599FCE4" w14:textId="77777777" w:rsidR="00783288" w:rsidRDefault="00E31420" w:rsidP="00512495">
      <w:pPr>
        <w:pStyle w:val="ListParagraph"/>
        <w:numPr>
          <w:ilvl w:val="0"/>
          <w:numId w:val="22"/>
        </w:numPr>
        <w:tabs>
          <w:tab w:val="left" w:pos="867"/>
        </w:tabs>
        <w:kinsoku w:val="0"/>
        <w:overflowPunct w:val="0"/>
        <w:rPr>
          <w:rFonts w:ascii="Symbol" w:hAnsi="Symbol" w:cs="Symbol"/>
          <w:color w:val="030404"/>
          <w:sz w:val="18"/>
          <w:szCs w:val="18"/>
        </w:rPr>
      </w:pPr>
      <w:r>
        <w:rPr>
          <w:color w:val="030404"/>
          <w:sz w:val="18"/>
          <w:szCs w:val="18"/>
        </w:rPr>
        <w:t>legislative and/or regulatory changes, including changes in taxation</w:t>
      </w:r>
      <w:r>
        <w:rPr>
          <w:color w:val="030404"/>
          <w:spacing w:val="-8"/>
          <w:sz w:val="18"/>
          <w:szCs w:val="18"/>
        </w:rPr>
        <w:t xml:space="preserve"> </w:t>
      </w:r>
      <w:proofErr w:type="gramStart"/>
      <w:r>
        <w:rPr>
          <w:color w:val="030404"/>
          <w:sz w:val="18"/>
          <w:szCs w:val="18"/>
        </w:rPr>
        <w:t>regimes;</w:t>
      </w:r>
      <w:proofErr w:type="gramEnd"/>
    </w:p>
    <w:p w14:paraId="3F879563" w14:textId="77777777" w:rsidR="00783288" w:rsidRDefault="00783288">
      <w:pPr>
        <w:pStyle w:val="BodyText"/>
        <w:kinsoku w:val="0"/>
        <w:overflowPunct w:val="0"/>
        <w:spacing w:before="2"/>
      </w:pPr>
    </w:p>
    <w:p w14:paraId="4F7AD9A5" w14:textId="77777777" w:rsidR="00783288" w:rsidRDefault="00E31420" w:rsidP="00512495">
      <w:pPr>
        <w:pStyle w:val="ListParagraph"/>
        <w:numPr>
          <w:ilvl w:val="0"/>
          <w:numId w:val="22"/>
        </w:numPr>
        <w:tabs>
          <w:tab w:val="left" w:pos="867"/>
        </w:tabs>
        <w:kinsoku w:val="0"/>
        <w:overflowPunct w:val="0"/>
        <w:spacing w:line="237" w:lineRule="auto"/>
        <w:ind w:right="1191"/>
        <w:rPr>
          <w:rFonts w:ascii="Symbol" w:hAnsi="Symbol" w:cs="Symbol"/>
          <w:color w:val="030404"/>
          <w:sz w:val="18"/>
          <w:szCs w:val="18"/>
        </w:rPr>
      </w:pPr>
      <w:r>
        <w:rPr>
          <w:color w:val="030404"/>
          <w:sz w:val="18"/>
          <w:szCs w:val="18"/>
        </w:rPr>
        <w:t xml:space="preserve">the Group’s ability to source and close any further acquisitions and to propose effective growth strategies for any company, </w:t>
      </w:r>
      <w:proofErr w:type="gramStart"/>
      <w:r>
        <w:rPr>
          <w:color w:val="030404"/>
          <w:sz w:val="18"/>
          <w:szCs w:val="18"/>
        </w:rPr>
        <w:t>business</w:t>
      </w:r>
      <w:proofErr w:type="gramEnd"/>
      <w:r>
        <w:rPr>
          <w:color w:val="030404"/>
          <w:sz w:val="18"/>
          <w:szCs w:val="18"/>
        </w:rPr>
        <w:t xml:space="preserve"> or assets the Group acquires;</w:t>
      </w:r>
      <w:r>
        <w:rPr>
          <w:color w:val="030404"/>
          <w:spacing w:val="-4"/>
          <w:sz w:val="18"/>
          <w:szCs w:val="18"/>
        </w:rPr>
        <w:t xml:space="preserve"> </w:t>
      </w:r>
      <w:r>
        <w:rPr>
          <w:color w:val="030404"/>
          <w:sz w:val="18"/>
          <w:szCs w:val="18"/>
        </w:rPr>
        <w:t>and</w:t>
      </w:r>
    </w:p>
    <w:p w14:paraId="36FC7140" w14:textId="77777777" w:rsidR="00783288" w:rsidRDefault="00783288">
      <w:pPr>
        <w:pStyle w:val="BodyText"/>
        <w:kinsoku w:val="0"/>
        <w:overflowPunct w:val="0"/>
        <w:spacing w:before="10"/>
        <w:rPr>
          <w:sz w:val="17"/>
          <w:szCs w:val="17"/>
        </w:rPr>
      </w:pPr>
    </w:p>
    <w:p w14:paraId="0D9163B8" w14:textId="77777777" w:rsidR="00783288" w:rsidRDefault="00E31420" w:rsidP="00512495">
      <w:pPr>
        <w:pStyle w:val="ListParagraph"/>
        <w:numPr>
          <w:ilvl w:val="0"/>
          <w:numId w:val="22"/>
        </w:numPr>
        <w:tabs>
          <w:tab w:val="left" w:pos="867"/>
        </w:tabs>
        <w:kinsoku w:val="0"/>
        <w:overflowPunct w:val="0"/>
        <w:ind w:right="1188"/>
        <w:rPr>
          <w:rFonts w:ascii="Symbol" w:hAnsi="Symbol" w:cs="Symbol"/>
          <w:color w:val="030404"/>
          <w:sz w:val="18"/>
          <w:szCs w:val="18"/>
        </w:rPr>
      </w:pPr>
      <w:r>
        <w:rPr>
          <w:color w:val="030404"/>
          <w:sz w:val="18"/>
          <w:szCs w:val="18"/>
        </w:rPr>
        <w:t>the availability and cost of equity or debt capital to finance or part finance the development of the Portfolio and any further</w:t>
      </w:r>
      <w:r>
        <w:rPr>
          <w:color w:val="030404"/>
          <w:spacing w:val="-3"/>
          <w:sz w:val="18"/>
          <w:szCs w:val="18"/>
        </w:rPr>
        <w:t xml:space="preserve"> </w:t>
      </w:r>
      <w:r>
        <w:rPr>
          <w:color w:val="030404"/>
          <w:sz w:val="18"/>
          <w:szCs w:val="18"/>
        </w:rPr>
        <w:t>acquisition.</w:t>
      </w:r>
    </w:p>
    <w:p w14:paraId="1DAB378D" w14:textId="77777777" w:rsidR="00783288" w:rsidRDefault="00783288">
      <w:pPr>
        <w:pStyle w:val="BodyText"/>
        <w:kinsoku w:val="0"/>
        <w:overflowPunct w:val="0"/>
        <w:spacing w:before="11"/>
        <w:rPr>
          <w:sz w:val="17"/>
          <w:szCs w:val="17"/>
        </w:rPr>
      </w:pPr>
    </w:p>
    <w:p w14:paraId="4C7EEE6B" w14:textId="77777777" w:rsidR="00783288" w:rsidRDefault="00E31420">
      <w:pPr>
        <w:pStyle w:val="BodyText"/>
        <w:kinsoku w:val="0"/>
        <w:overflowPunct w:val="0"/>
        <w:ind w:left="300" w:right="1191"/>
        <w:jc w:val="both"/>
        <w:rPr>
          <w:color w:val="030404"/>
        </w:rPr>
      </w:pPr>
      <w:r>
        <w:rPr>
          <w:color w:val="030404"/>
        </w:rPr>
        <w:t>Prospective investors should carefully review the “Risk Factors” section of this Document for a discussion of additional factors that could cause the Group’s actual results to differ materially, before making an investment decision.</w:t>
      </w:r>
    </w:p>
    <w:p w14:paraId="3C8D62AD" w14:textId="77777777" w:rsidR="00783288" w:rsidRDefault="00783288">
      <w:pPr>
        <w:pStyle w:val="BodyText"/>
        <w:kinsoku w:val="0"/>
        <w:overflowPunct w:val="0"/>
      </w:pPr>
    </w:p>
    <w:p w14:paraId="170F5E97" w14:textId="77777777" w:rsidR="00783288" w:rsidRDefault="00E31420">
      <w:pPr>
        <w:pStyle w:val="BodyText"/>
        <w:kinsoku w:val="0"/>
        <w:overflowPunct w:val="0"/>
        <w:ind w:left="300" w:right="1189"/>
        <w:jc w:val="both"/>
        <w:rPr>
          <w:color w:val="030404"/>
        </w:rPr>
      </w:pPr>
      <w:r>
        <w:rPr>
          <w:color w:val="030404"/>
        </w:rPr>
        <w:t>Forward-looking</w:t>
      </w:r>
      <w:r>
        <w:rPr>
          <w:color w:val="030404"/>
          <w:spacing w:val="-6"/>
        </w:rPr>
        <w:t xml:space="preserve"> </w:t>
      </w:r>
      <w:r>
        <w:rPr>
          <w:color w:val="030404"/>
        </w:rPr>
        <w:t>statements</w:t>
      </w:r>
      <w:r>
        <w:rPr>
          <w:color w:val="030404"/>
          <w:spacing w:val="-6"/>
        </w:rPr>
        <w:t xml:space="preserve"> </w:t>
      </w:r>
      <w:r>
        <w:rPr>
          <w:color w:val="030404"/>
        </w:rPr>
        <w:t>contained</w:t>
      </w:r>
      <w:r>
        <w:rPr>
          <w:color w:val="030404"/>
          <w:spacing w:val="-6"/>
        </w:rPr>
        <w:t xml:space="preserve"> </w:t>
      </w:r>
      <w:r>
        <w:rPr>
          <w:color w:val="030404"/>
        </w:rPr>
        <w:t>in</w:t>
      </w:r>
      <w:r>
        <w:rPr>
          <w:color w:val="030404"/>
          <w:spacing w:val="-6"/>
        </w:rPr>
        <w:t xml:space="preserve"> </w:t>
      </w:r>
      <w:r>
        <w:rPr>
          <w:color w:val="030404"/>
        </w:rPr>
        <w:t>this</w:t>
      </w:r>
      <w:r>
        <w:rPr>
          <w:color w:val="030404"/>
          <w:spacing w:val="-6"/>
        </w:rPr>
        <w:t xml:space="preserve"> </w:t>
      </w:r>
      <w:r>
        <w:rPr>
          <w:color w:val="030404"/>
        </w:rPr>
        <w:t>Document</w:t>
      </w:r>
      <w:r>
        <w:rPr>
          <w:color w:val="030404"/>
          <w:spacing w:val="-6"/>
        </w:rPr>
        <w:t xml:space="preserve"> </w:t>
      </w:r>
      <w:r>
        <w:rPr>
          <w:color w:val="030404"/>
        </w:rPr>
        <w:t>apply</w:t>
      </w:r>
      <w:r>
        <w:rPr>
          <w:color w:val="030404"/>
          <w:spacing w:val="-8"/>
        </w:rPr>
        <w:t xml:space="preserve"> </w:t>
      </w:r>
      <w:r>
        <w:rPr>
          <w:color w:val="030404"/>
        </w:rPr>
        <w:t>only</w:t>
      </w:r>
      <w:r>
        <w:rPr>
          <w:color w:val="030404"/>
          <w:spacing w:val="-7"/>
        </w:rPr>
        <w:t xml:space="preserve"> </w:t>
      </w:r>
      <w:r>
        <w:rPr>
          <w:color w:val="030404"/>
        </w:rPr>
        <w:t>as</w:t>
      </w:r>
      <w:r>
        <w:rPr>
          <w:color w:val="030404"/>
          <w:spacing w:val="-6"/>
        </w:rPr>
        <w:t xml:space="preserve"> </w:t>
      </w:r>
      <w:r>
        <w:rPr>
          <w:color w:val="030404"/>
        </w:rPr>
        <w:t>at</w:t>
      </w:r>
      <w:r>
        <w:rPr>
          <w:color w:val="030404"/>
          <w:spacing w:val="-6"/>
        </w:rPr>
        <w:t xml:space="preserve"> </w:t>
      </w:r>
      <w:r>
        <w:rPr>
          <w:color w:val="030404"/>
        </w:rPr>
        <w:t>the</w:t>
      </w:r>
      <w:r>
        <w:rPr>
          <w:color w:val="030404"/>
          <w:spacing w:val="-6"/>
        </w:rPr>
        <w:t xml:space="preserve"> </w:t>
      </w:r>
      <w:r>
        <w:rPr>
          <w:color w:val="030404"/>
        </w:rPr>
        <w:t>date</w:t>
      </w:r>
      <w:r>
        <w:rPr>
          <w:color w:val="030404"/>
          <w:spacing w:val="-6"/>
        </w:rPr>
        <w:t xml:space="preserve"> </w:t>
      </w:r>
      <w:r>
        <w:rPr>
          <w:color w:val="030404"/>
        </w:rPr>
        <w:t>of</w:t>
      </w:r>
      <w:r>
        <w:rPr>
          <w:color w:val="030404"/>
          <w:spacing w:val="-6"/>
        </w:rPr>
        <w:t xml:space="preserve"> </w:t>
      </w:r>
      <w:r>
        <w:rPr>
          <w:color w:val="030404"/>
        </w:rPr>
        <w:t>this</w:t>
      </w:r>
      <w:r>
        <w:rPr>
          <w:color w:val="030404"/>
          <w:spacing w:val="-6"/>
        </w:rPr>
        <w:t xml:space="preserve"> </w:t>
      </w:r>
      <w:r>
        <w:rPr>
          <w:color w:val="030404"/>
        </w:rPr>
        <w:t>Document.</w:t>
      </w:r>
      <w:r>
        <w:rPr>
          <w:color w:val="030404"/>
          <w:spacing w:val="-3"/>
        </w:rPr>
        <w:t xml:space="preserve"> </w:t>
      </w:r>
      <w:r>
        <w:rPr>
          <w:color w:val="030404"/>
        </w:rPr>
        <w:t>Subject</w:t>
      </w:r>
      <w:r>
        <w:rPr>
          <w:color w:val="030404"/>
          <w:spacing w:val="-6"/>
        </w:rPr>
        <w:t xml:space="preserve"> </w:t>
      </w:r>
      <w:r>
        <w:rPr>
          <w:color w:val="030404"/>
        </w:rPr>
        <w:t>to</w:t>
      </w:r>
      <w:r>
        <w:rPr>
          <w:color w:val="030404"/>
          <w:spacing w:val="-6"/>
        </w:rPr>
        <w:t xml:space="preserve"> </w:t>
      </w:r>
      <w:r>
        <w:rPr>
          <w:color w:val="030404"/>
        </w:rPr>
        <w:t>any obligations under FSMA, the Listing Rules, the Disclosure Guidance and Transparency Rules, the Prospectus Regulation Rules and the Market Abuse Regulation, the Company undertakes no obligation publicly to update or review</w:t>
      </w:r>
      <w:r>
        <w:rPr>
          <w:color w:val="030404"/>
          <w:spacing w:val="-5"/>
        </w:rPr>
        <w:t xml:space="preserve"> </w:t>
      </w:r>
      <w:r>
        <w:rPr>
          <w:color w:val="030404"/>
        </w:rPr>
        <w:t>any</w:t>
      </w:r>
      <w:r>
        <w:rPr>
          <w:color w:val="030404"/>
          <w:spacing w:val="-3"/>
        </w:rPr>
        <w:t xml:space="preserve"> </w:t>
      </w:r>
      <w:r>
        <w:rPr>
          <w:color w:val="030404"/>
        </w:rPr>
        <w:t>forward-looking</w:t>
      </w:r>
      <w:r>
        <w:rPr>
          <w:color w:val="030404"/>
          <w:spacing w:val="-4"/>
        </w:rPr>
        <w:t xml:space="preserve"> </w:t>
      </w:r>
      <w:r>
        <w:rPr>
          <w:color w:val="030404"/>
        </w:rPr>
        <w:t>statement,</w:t>
      </w:r>
      <w:r>
        <w:rPr>
          <w:color w:val="030404"/>
          <w:spacing w:val="-2"/>
        </w:rPr>
        <w:t xml:space="preserve"> </w:t>
      </w:r>
      <w:r>
        <w:rPr>
          <w:color w:val="030404"/>
        </w:rPr>
        <w:t>whether</w:t>
      </w:r>
      <w:r>
        <w:rPr>
          <w:color w:val="030404"/>
          <w:spacing w:val="-4"/>
        </w:rPr>
        <w:t xml:space="preserve"> </w:t>
      </w:r>
      <w:r>
        <w:rPr>
          <w:color w:val="030404"/>
        </w:rPr>
        <w:t>as</w:t>
      </w:r>
      <w:r>
        <w:rPr>
          <w:color w:val="030404"/>
          <w:spacing w:val="-3"/>
        </w:rPr>
        <w:t xml:space="preserve"> </w:t>
      </w:r>
      <w:r>
        <w:rPr>
          <w:color w:val="030404"/>
        </w:rPr>
        <w:t>a</w:t>
      </w:r>
      <w:r>
        <w:rPr>
          <w:color w:val="030404"/>
          <w:spacing w:val="-1"/>
        </w:rPr>
        <w:t xml:space="preserve"> </w:t>
      </w:r>
      <w:r>
        <w:rPr>
          <w:color w:val="030404"/>
        </w:rPr>
        <w:t>result</w:t>
      </w:r>
      <w:r>
        <w:rPr>
          <w:color w:val="030404"/>
          <w:spacing w:val="-4"/>
        </w:rPr>
        <w:t xml:space="preserve"> </w:t>
      </w:r>
      <w:r>
        <w:rPr>
          <w:color w:val="030404"/>
        </w:rPr>
        <w:t>of</w:t>
      </w:r>
      <w:r>
        <w:rPr>
          <w:color w:val="030404"/>
          <w:spacing w:val="-4"/>
        </w:rPr>
        <w:t xml:space="preserve"> </w:t>
      </w:r>
      <w:r>
        <w:rPr>
          <w:color w:val="030404"/>
        </w:rPr>
        <w:t>new</w:t>
      </w:r>
      <w:r>
        <w:rPr>
          <w:color w:val="030404"/>
          <w:spacing w:val="-5"/>
        </w:rPr>
        <w:t xml:space="preserve"> </w:t>
      </w:r>
      <w:r>
        <w:rPr>
          <w:color w:val="030404"/>
        </w:rPr>
        <w:t>information,</w:t>
      </w:r>
      <w:r>
        <w:rPr>
          <w:color w:val="030404"/>
          <w:spacing w:val="-2"/>
        </w:rPr>
        <w:t xml:space="preserve"> </w:t>
      </w:r>
      <w:r>
        <w:rPr>
          <w:color w:val="030404"/>
        </w:rPr>
        <w:t>future</w:t>
      </w:r>
      <w:r>
        <w:rPr>
          <w:color w:val="030404"/>
          <w:spacing w:val="-1"/>
        </w:rPr>
        <w:t xml:space="preserve"> </w:t>
      </w:r>
      <w:r>
        <w:rPr>
          <w:color w:val="030404"/>
        </w:rPr>
        <w:t>developments</w:t>
      </w:r>
      <w:r>
        <w:rPr>
          <w:color w:val="030404"/>
          <w:spacing w:val="-1"/>
        </w:rPr>
        <w:t xml:space="preserve"> </w:t>
      </w:r>
      <w:r>
        <w:rPr>
          <w:color w:val="030404"/>
        </w:rPr>
        <w:t>or</w:t>
      </w:r>
      <w:r>
        <w:rPr>
          <w:color w:val="030404"/>
          <w:spacing w:val="-2"/>
        </w:rPr>
        <w:t xml:space="preserve"> </w:t>
      </w:r>
      <w:r>
        <w:rPr>
          <w:color w:val="030404"/>
        </w:rPr>
        <w:t>otherwise.</w:t>
      </w:r>
    </w:p>
    <w:p w14:paraId="43AC953B" w14:textId="77777777" w:rsidR="00783288" w:rsidRDefault="00783288">
      <w:pPr>
        <w:pStyle w:val="BodyText"/>
        <w:kinsoku w:val="0"/>
        <w:overflowPunct w:val="0"/>
        <w:spacing w:before="11"/>
        <w:rPr>
          <w:sz w:val="17"/>
          <w:szCs w:val="17"/>
        </w:rPr>
      </w:pPr>
    </w:p>
    <w:p w14:paraId="4EE5D21F" w14:textId="77777777" w:rsidR="00783288" w:rsidRDefault="00E31420">
      <w:pPr>
        <w:pStyle w:val="BodyText"/>
        <w:kinsoku w:val="0"/>
        <w:overflowPunct w:val="0"/>
        <w:ind w:left="300" w:right="1191"/>
        <w:jc w:val="both"/>
        <w:rPr>
          <w:color w:val="030404"/>
        </w:rPr>
      </w:pPr>
      <w:r>
        <w:rPr>
          <w:color w:val="030404"/>
        </w:rPr>
        <w:t>The</w:t>
      </w:r>
      <w:r>
        <w:rPr>
          <w:color w:val="030404"/>
          <w:spacing w:val="-5"/>
        </w:rPr>
        <w:t xml:space="preserve"> </w:t>
      </w:r>
      <w:r>
        <w:rPr>
          <w:color w:val="030404"/>
        </w:rPr>
        <w:t>contents</w:t>
      </w:r>
      <w:r>
        <w:rPr>
          <w:color w:val="030404"/>
          <w:spacing w:val="-3"/>
        </w:rPr>
        <w:t xml:space="preserve"> </w:t>
      </w:r>
      <w:r>
        <w:rPr>
          <w:color w:val="030404"/>
        </w:rPr>
        <w:t>of</w:t>
      </w:r>
      <w:r>
        <w:rPr>
          <w:color w:val="030404"/>
          <w:spacing w:val="-4"/>
        </w:rPr>
        <w:t xml:space="preserve"> </w:t>
      </w:r>
      <w:r>
        <w:rPr>
          <w:color w:val="030404"/>
        </w:rPr>
        <w:t>these</w:t>
      </w:r>
      <w:r>
        <w:rPr>
          <w:color w:val="030404"/>
          <w:spacing w:val="-4"/>
        </w:rPr>
        <w:t xml:space="preserve"> </w:t>
      </w:r>
      <w:r>
        <w:rPr>
          <w:color w:val="030404"/>
        </w:rPr>
        <w:t>paragraphs</w:t>
      </w:r>
      <w:r>
        <w:rPr>
          <w:color w:val="030404"/>
          <w:spacing w:val="-4"/>
        </w:rPr>
        <w:t xml:space="preserve"> </w:t>
      </w:r>
      <w:r>
        <w:rPr>
          <w:color w:val="030404"/>
        </w:rPr>
        <w:t>relating</w:t>
      </w:r>
      <w:r>
        <w:rPr>
          <w:color w:val="030404"/>
          <w:spacing w:val="-4"/>
        </w:rPr>
        <w:t xml:space="preserve"> </w:t>
      </w:r>
      <w:r>
        <w:rPr>
          <w:color w:val="030404"/>
        </w:rPr>
        <w:t>to</w:t>
      </w:r>
      <w:r>
        <w:rPr>
          <w:color w:val="030404"/>
          <w:spacing w:val="-4"/>
        </w:rPr>
        <w:t xml:space="preserve"> </w:t>
      </w:r>
      <w:r>
        <w:rPr>
          <w:color w:val="030404"/>
        </w:rPr>
        <w:t>forward-looking</w:t>
      </w:r>
      <w:r>
        <w:rPr>
          <w:color w:val="030404"/>
          <w:spacing w:val="-6"/>
        </w:rPr>
        <w:t xml:space="preserve"> </w:t>
      </w:r>
      <w:r>
        <w:rPr>
          <w:color w:val="030404"/>
        </w:rPr>
        <w:t>statements</w:t>
      </w:r>
      <w:r>
        <w:rPr>
          <w:color w:val="030404"/>
          <w:spacing w:val="-4"/>
        </w:rPr>
        <w:t xml:space="preserve"> </w:t>
      </w:r>
      <w:r>
        <w:rPr>
          <w:color w:val="030404"/>
        </w:rPr>
        <w:t>are</w:t>
      </w:r>
      <w:r>
        <w:rPr>
          <w:color w:val="030404"/>
          <w:spacing w:val="-4"/>
        </w:rPr>
        <w:t xml:space="preserve"> </w:t>
      </w:r>
      <w:r>
        <w:rPr>
          <w:color w:val="030404"/>
        </w:rPr>
        <w:t>not</w:t>
      </w:r>
      <w:r>
        <w:rPr>
          <w:color w:val="030404"/>
          <w:spacing w:val="-4"/>
        </w:rPr>
        <w:t xml:space="preserve"> </w:t>
      </w:r>
      <w:r>
        <w:rPr>
          <w:color w:val="030404"/>
        </w:rPr>
        <w:t>intended</w:t>
      </w:r>
      <w:r>
        <w:rPr>
          <w:color w:val="030404"/>
          <w:spacing w:val="-4"/>
        </w:rPr>
        <w:t xml:space="preserve"> </w:t>
      </w:r>
      <w:r>
        <w:rPr>
          <w:color w:val="030404"/>
        </w:rPr>
        <w:t>to</w:t>
      </w:r>
      <w:r>
        <w:rPr>
          <w:color w:val="030404"/>
          <w:spacing w:val="-5"/>
        </w:rPr>
        <w:t xml:space="preserve"> </w:t>
      </w:r>
      <w:r>
        <w:rPr>
          <w:color w:val="030404"/>
        </w:rPr>
        <w:t>qualify</w:t>
      </w:r>
      <w:r>
        <w:rPr>
          <w:color w:val="030404"/>
          <w:spacing w:val="-6"/>
        </w:rPr>
        <w:t xml:space="preserve"> </w:t>
      </w:r>
      <w:r>
        <w:rPr>
          <w:color w:val="030404"/>
        </w:rPr>
        <w:t>any</w:t>
      </w:r>
      <w:r>
        <w:rPr>
          <w:color w:val="030404"/>
          <w:spacing w:val="-6"/>
        </w:rPr>
        <w:t xml:space="preserve"> </w:t>
      </w:r>
      <w:r>
        <w:rPr>
          <w:color w:val="030404"/>
        </w:rPr>
        <w:t>statement made</w:t>
      </w:r>
      <w:r>
        <w:rPr>
          <w:color w:val="030404"/>
          <w:spacing w:val="-10"/>
        </w:rPr>
        <w:t xml:space="preserve"> </w:t>
      </w:r>
      <w:r>
        <w:rPr>
          <w:color w:val="030404"/>
        </w:rPr>
        <w:t>in</w:t>
      </w:r>
      <w:r>
        <w:rPr>
          <w:color w:val="030404"/>
          <w:spacing w:val="-6"/>
        </w:rPr>
        <w:t xml:space="preserve"> </w:t>
      </w:r>
      <w:r>
        <w:rPr>
          <w:color w:val="030404"/>
        </w:rPr>
        <w:t>this</w:t>
      </w:r>
      <w:r>
        <w:rPr>
          <w:color w:val="030404"/>
          <w:spacing w:val="-8"/>
        </w:rPr>
        <w:t xml:space="preserve"> </w:t>
      </w:r>
      <w:r>
        <w:rPr>
          <w:color w:val="030404"/>
        </w:rPr>
        <w:t>Document</w:t>
      </w:r>
      <w:r>
        <w:rPr>
          <w:color w:val="030404"/>
          <w:spacing w:val="-9"/>
        </w:rPr>
        <w:t xml:space="preserve"> </w:t>
      </w:r>
      <w:r>
        <w:rPr>
          <w:color w:val="030404"/>
        </w:rPr>
        <w:t>as</w:t>
      </w:r>
      <w:r>
        <w:rPr>
          <w:color w:val="030404"/>
          <w:spacing w:val="-8"/>
        </w:rPr>
        <w:t xml:space="preserve"> </w:t>
      </w:r>
      <w:r>
        <w:rPr>
          <w:color w:val="030404"/>
        </w:rPr>
        <w:t>to</w:t>
      </w:r>
      <w:r>
        <w:rPr>
          <w:color w:val="030404"/>
          <w:spacing w:val="-9"/>
        </w:rPr>
        <w:t xml:space="preserve"> </w:t>
      </w:r>
      <w:r>
        <w:rPr>
          <w:color w:val="030404"/>
        </w:rPr>
        <w:t>the</w:t>
      </w:r>
      <w:r>
        <w:rPr>
          <w:color w:val="030404"/>
          <w:spacing w:val="-6"/>
        </w:rPr>
        <w:t xml:space="preserve"> </w:t>
      </w:r>
      <w:r>
        <w:rPr>
          <w:color w:val="030404"/>
        </w:rPr>
        <w:t>sufficiency</w:t>
      </w:r>
      <w:r>
        <w:rPr>
          <w:color w:val="030404"/>
          <w:spacing w:val="-9"/>
        </w:rPr>
        <w:t xml:space="preserve"> </w:t>
      </w:r>
      <w:r>
        <w:rPr>
          <w:color w:val="030404"/>
        </w:rPr>
        <w:t>of</w:t>
      </w:r>
      <w:r>
        <w:rPr>
          <w:color w:val="030404"/>
          <w:spacing w:val="-6"/>
        </w:rPr>
        <w:t xml:space="preserve"> </w:t>
      </w:r>
      <w:r>
        <w:rPr>
          <w:color w:val="030404"/>
        </w:rPr>
        <w:t>working</w:t>
      </w:r>
      <w:r>
        <w:rPr>
          <w:color w:val="030404"/>
          <w:spacing w:val="-9"/>
        </w:rPr>
        <w:t xml:space="preserve"> </w:t>
      </w:r>
      <w:r>
        <w:rPr>
          <w:color w:val="030404"/>
        </w:rPr>
        <w:t>capital</w:t>
      </w:r>
      <w:r>
        <w:rPr>
          <w:color w:val="030404"/>
          <w:spacing w:val="-10"/>
        </w:rPr>
        <w:t xml:space="preserve"> </w:t>
      </w:r>
      <w:r>
        <w:rPr>
          <w:color w:val="030404"/>
        </w:rPr>
        <w:t>and</w:t>
      </w:r>
      <w:proofErr w:type="gramStart"/>
      <w:r>
        <w:rPr>
          <w:color w:val="030404"/>
        </w:rPr>
        <w:t>,</w:t>
      </w:r>
      <w:r>
        <w:rPr>
          <w:color w:val="030404"/>
          <w:spacing w:val="-9"/>
        </w:rPr>
        <w:t xml:space="preserve"> </w:t>
      </w:r>
      <w:r>
        <w:rPr>
          <w:color w:val="030404"/>
        </w:rPr>
        <w:t>in</w:t>
      </w:r>
      <w:r>
        <w:rPr>
          <w:color w:val="030404"/>
          <w:spacing w:val="-9"/>
        </w:rPr>
        <w:t xml:space="preserve"> </w:t>
      </w:r>
      <w:r>
        <w:rPr>
          <w:color w:val="030404"/>
        </w:rPr>
        <w:t>particular,</w:t>
      </w:r>
      <w:r>
        <w:rPr>
          <w:color w:val="030404"/>
          <w:spacing w:val="-9"/>
        </w:rPr>
        <w:t xml:space="preserve"> </w:t>
      </w:r>
      <w:r>
        <w:rPr>
          <w:color w:val="030404"/>
        </w:rPr>
        <w:t>the</w:t>
      </w:r>
      <w:proofErr w:type="gramEnd"/>
      <w:r>
        <w:rPr>
          <w:color w:val="030404"/>
          <w:spacing w:val="-9"/>
        </w:rPr>
        <w:t xml:space="preserve"> </w:t>
      </w:r>
      <w:r>
        <w:rPr>
          <w:color w:val="030404"/>
        </w:rPr>
        <w:t>statement</w:t>
      </w:r>
      <w:r>
        <w:rPr>
          <w:color w:val="030404"/>
          <w:spacing w:val="-6"/>
        </w:rPr>
        <w:t xml:space="preserve"> </w:t>
      </w:r>
      <w:r>
        <w:rPr>
          <w:color w:val="030404"/>
        </w:rPr>
        <w:t>set</w:t>
      </w:r>
      <w:r>
        <w:rPr>
          <w:color w:val="030404"/>
          <w:spacing w:val="-7"/>
        </w:rPr>
        <w:t xml:space="preserve"> </w:t>
      </w:r>
      <w:r>
        <w:rPr>
          <w:color w:val="030404"/>
        </w:rPr>
        <w:t>out</w:t>
      </w:r>
      <w:r>
        <w:rPr>
          <w:color w:val="030404"/>
          <w:spacing w:val="-9"/>
        </w:rPr>
        <w:t xml:space="preserve"> </w:t>
      </w:r>
      <w:r>
        <w:rPr>
          <w:color w:val="030404"/>
        </w:rPr>
        <w:t>in</w:t>
      </w:r>
      <w:r>
        <w:rPr>
          <w:color w:val="030404"/>
          <w:spacing w:val="-9"/>
        </w:rPr>
        <w:t xml:space="preserve"> </w:t>
      </w:r>
      <w:r>
        <w:rPr>
          <w:color w:val="030404"/>
        </w:rPr>
        <w:t>paragraph 17 of Part VII of this</w:t>
      </w:r>
      <w:r>
        <w:rPr>
          <w:color w:val="030404"/>
          <w:spacing w:val="-1"/>
        </w:rPr>
        <w:t xml:space="preserve"> </w:t>
      </w:r>
      <w:r>
        <w:rPr>
          <w:color w:val="030404"/>
        </w:rPr>
        <w:t>Document.</w:t>
      </w:r>
    </w:p>
    <w:p w14:paraId="61BAD95C" w14:textId="77777777" w:rsidR="00783288" w:rsidRDefault="00783288">
      <w:pPr>
        <w:pStyle w:val="BodyText"/>
        <w:kinsoku w:val="0"/>
        <w:overflowPunct w:val="0"/>
        <w:spacing w:before="7"/>
        <w:rPr>
          <w:sz w:val="17"/>
          <w:szCs w:val="17"/>
        </w:rPr>
      </w:pPr>
    </w:p>
    <w:p w14:paraId="5831800D" w14:textId="77777777" w:rsidR="00783288" w:rsidRDefault="00E31420">
      <w:pPr>
        <w:pStyle w:val="Heading1"/>
        <w:kinsoku w:val="0"/>
        <w:overflowPunct w:val="0"/>
        <w:jc w:val="both"/>
        <w:rPr>
          <w:color w:val="030404"/>
        </w:rPr>
      </w:pPr>
      <w:r>
        <w:rPr>
          <w:color w:val="030404"/>
        </w:rPr>
        <w:t>Currency Presentation</w:t>
      </w:r>
    </w:p>
    <w:p w14:paraId="7E0A668F" w14:textId="77777777" w:rsidR="00783288" w:rsidRDefault="00783288">
      <w:pPr>
        <w:pStyle w:val="BodyText"/>
        <w:kinsoku w:val="0"/>
        <w:overflowPunct w:val="0"/>
        <w:spacing w:before="6"/>
        <w:rPr>
          <w:b/>
          <w:bCs/>
        </w:rPr>
      </w:pPr>
    </w:p>
    <w:p w14:paraId="700D751B" w14:textId="77777777" w:rsidR="00783288" w:rsidRDefault="00E31420">
      <w:pPr>
        <w:pStyle w:val="BodyText"/>
        <w:kinsoku w:val="0"/>
        <w:overflowPunct w:val="0"/>
        <w:ind w:left="300" w:right="1189"/>
        <w:jc w:val="both"/>
        <w:rPr>
          <w:color w:val="030404"/>
        </w:rPr>
      </w:pPr>
      <w:r>
        <w:rPr>
          <w:color w:val="030404"/>
        </w:rPr>
        <w:t>Unless</w:t>
      </w:r>
      <w:r>
        <w:rPr>
          <w:color w:val="030404"/>
          <w:spacing w:val="-14"/>
        </w:rPr>
        <w:t xml:space="preserve"> </w:t>
      </w:r>
      <w:r>
        <w:rPr>
          <w:color w:val="030404"/>
        </w:rPr>
        <w:t>otherwise</w:t>
      </w:r>
      <w:r>
        <w:rPr>
          <w:color w:val="030404"/>
          <w:spacing w:val="-13"/>
        </w:rPr>
        <w:t xml:space="preserve"> </w:t>
      </w:r>
      <w:r>
        <w:rPr>
          <w:color w:val="030404"/>
        </w:rPr>
        <w:t>indicated,</w:t>
      </w:r>
      <w:r>
        <w:rPr>
          <w:color w:val="030404"/>
          <w:spacing w:val="-15"/>
        </w:rPr>
        <w:t xml:space="preserve"> </w:t>
      </w:r>
      <w:r>
        <w:rPr>
          <w:color w:val="030404"/>
        </w:rPr>
        <w:t>all</w:t>
      </w:r>
      <w:r>
        <w:rPr>
          <w:color w:val="030404"/>
          <w:spacing w:val="-16"/>
        </w:rPr>
        <w:t xml:space="preserve"> </w:t>
      </w:r>
      <w:r>
        <w:rPr>
          <w:color w:val="030404"/>
        </w:rPr>
        <w:t>references</w:t>
      </w:r>
      <w:r>
        <w:rPr>
          <w:color w:val="030404"/>
          <w:spacing w:val="-13"/>
        </w:rPr>
        <w:t xml:space="preserve"> </w:t>
      </w:r>
      <w:r>
        <w:rPr>
          <w:color w:val="030404"/>
        </w:rPr>
        <w:t>in</w:t>
      </w:r>
      <w:r>
        <w:rPr>
          <w:color w:val="030404"/>
          <w:spacing w:val="-14"/>
        </w:rPr>
        <w:t xml:space="preserve"> </w:t>
      </w:r>
      <w:r>
        <w:rPr>
          <w:color w:val="030404"/>
        </w:rPr>
        <w:t>this</w:t>
      </w:r>
      <w:r>
        <w:rPr>
          <w:color w:val="030404"/>
          <w:spacing w:val="-13"/>
        </w:rPr>
        <w:t xml:space="preserve"> </w:t>
      </w:r>
      <w:r>
        <w:rPr>
          <w:color w:val="030404"/>
        </w:rPr>
        <w:t>Document</w:t>
      </w:r>
      <w:r>
        <w:rPr>
          <w:color w:val="030404"/>
          <w:spacing w:val="-14"/>
        </w:rPr>
        <w:t xml:space="preserve"> </w:t>
      </w:r>
      <w:r>
        <w:rPr>
          <w:color w:val="030404"/>
        </w:rPr>
        <w:t>to</w:t>
      </w:r>
      <w:r>
        <w:rPr>
          <w:color w:val="030404"/>
          <w:spacing w:val="-16"/>
        </w:rPr>
        <w:t xml:space="preserve"> </w:t>
      </w:r>
      <w:r>
        <w:rPr>
          <w:color w:val="030404"/>
        </w:rPr>
        <w:t>“sterling”,</w:t>
      </w:r>
      <w:r>
        <w:rPr>
          <w:color w:val="030404"/>
          <w:spacing w:val="-14"/>
        </w:rPr>
        <w:t xml:space="preserve"> </w:t>
      </w:r>
      <w:r>
        <w:rPr>
          <w:color w:val="030404"/>
        </w:rPr>
        <w:t>“£”,</w:t>
      </w:r>
      <w:r>
        <w:rPr>
          <w:color w:val="030404"/>
          <w:spacing w:val="-14"/>
        </w:rPr>
        <w:t xml:space="preserve"> </w:t>
      </w:r>
      <w:r>
        <w:rPr>
          <w:color w:val="030404"/>
        </w:rPr>
        <w:t>“p”</w:t>
      </w:r>
      <w:r>
        <w:rPr>
          <w:color w:val="030404"/>
          <w:spacing w:val="-15"/>
        </w:rPr>
        <w:t xml:space="preserve"> </w:t>
      </w:r>
      <w:r>
        <w:rPr>
          <w:color w:val="030404"/>
        </w:rPr>
        <w:t>or</w:t>
      </w:r>
      <w:r>
        <w:rPr>
          <w:color w:val="030404"/>
          <w:spacing w:val="-14"/>
        </w:rPr>
        <w:t xml:space="preserve"> </w:t>
      </w:r>
      <w:r>
        <w:rPr>
          <w:color w:val="030404"/>
        </w:rPr>
        <w:t>“pence”</w:t>
      </w:r>
      <w:r>
        <w:rPr>
          <w:color w:val="030404"/>
          <w:spacing w:val="-14"/>
        </w:rPr>
        <w:t xml:space="preserve"> </w:t>
      </w:r>
      <w:r>
        <w:rPr>
          <w:color w:val="030404"/>
        </w:rPr>
        <w:t>are</w:t>
      </w:r>
      <w:r>
        <w:rPr>
          <w:color w:val="030404"/>
          <w:spacing w:val="-14"/>
        </w:rPr>
        <w:t xml:space="preserve"> </w:t>
      </w:r>
      <w:r>
        <w:rPr>
          <w:color w:val="030404"/>
        </w:rPr>
        <w:t>to</w:t>
      </w:r>
      <w:r>
        <w:rPr>
          <w:color w:val="030404"/>
          <w:spacing w:val="-13"/>
        </w:rPr>
        <w:t xml:space="preserve"> </w:t>
      </w:r>
      <w:r>
        <w:rPr>
          <w:color w:val="030404"/>
        </w:rPr>
        <w:t>the</w:t>
      </w:r>
      <w:r>
        <w:rPr>
          <w:color w:val="030404"/>
          <w:spacing w:val="-16"/>
        </w:rPr>
        <w:t xml:space="preserve"> </w:t>
      </w:r>
      <w:r>
        <w:rPr>
          <w:color w:val="030404"/>
        </w:rPr>
        <w:t>lawful</w:t>
      </w:r>
      <w:r>
        <w:rPr>
          <w:color w:val="030404"/>
          <w:spacing w:val="-14"/>
        </w:rPr>
        <w:t xml:space="preserve"> </w:t>
      </w:r>
      <w:r>
        <w:rPr>
          <w:color w:val="030404"/>
        </w:rPr>
        <w:t>currency of the UK; all references to “$”, “US$” or “US dollars” are to the lawful currency of the United States; and all references to “€” or “euro” are to the lawful currency of the Euro zone</w:t>
      </w:r>
      <w:r>
        <w:rPr>
          <w:color w:val="030404"/>
          <w:spacing w:val="-5"/>
        </w:rPr>
        <w:t xml:space="preserve"> </w:t>
      </w:r>
      <w:r>
        <w:rPr>
          <w:color w:val="030404"/>
        </w:rPr>
        <w:t>countries.</w:t>
      </w:r>
    </w:p>
    <w:p w14:paraId="4F528212" w14:textId="77777777" w:rsidR="00783288" w:rsidRDefault="00783288">
      <w:pPr>
        <w:pStyle w:val="BodyText"/>
        <w:kinsoku w:val="0"/>
        <w:overflowPunct w:val="0"/>
        <w:spacing w:before="6"/>
        <w:rPr>
          <w:sz w:val="17"/>
          <w:szCs w:val="17"/>
        </w:rPr>
      </w:pPr>
    </w:p>
    <w:p w14:paraId="2B54D0B8" w14:textId="77777777" w:rsidR="00783288" w:rsidRDefault="00E31420">
      <w:pPr>
        <w:pStyle w:val="Heading1"/>
        <w:kinsoku w:val="0"/>
        <w:overflowPunct w:val="0"/>
        <w:jc w:val="both"/>
        <w:rPr>
          <w:color w:val="030404"/>
        </w:rPr>
      </w:pPr>
      <w:r>
        <w:rPr>
          <w:color w:val="030404"/>
        </w:rPr>
        <w:t>No Incorporation of Website</w:t>
      </w:r>
    </w:p>
    <w:p w14:paraId="6FD7F710" w14:textId="77777777" w:rsidR="00783288" w:rsidRDefault="00783288">
      <w:pPr>
        <w:pStyle w:val="BodyText"/>
        <w:kinsoku w:val="0"/>
        <w:overflowPunct w:val="0"/>
        <w:spacing w:before="4"/>
        <w:rPr>
          <w:b/>
          <w:bCs/>
        </w:rPr>
      </w:pPr>
    </w:p>
    <w:p w14:paraId="4B2E00F2" w14:textId="0A3AC815" w:rsidR="00783288" w:rsidRDefault="00E31420">
      <w:pPr>
        <w:pStyle w:val="BodyText"/>
        <w:kinsoku w:val="0"/>
        <w:overflowPunct w:val="0"/>
        <w:ind w:left="300"/>
        <w:jc w:val="both"/>
        <w:rPr>
          <w:color w:val="030404"/>
        </w:rPr>
      </w:pPr>
      <w:r>
        <w:rPr>
          <w:color w:val="030404"/>
        </w:rPr>
        <w:t>The contents of the Company’s website (or any other website) do not form part of this Document</w:t>
      </w:r>
      <w:r w:rsidR="006A4BE6">
        <w:rPr>
          <w:color w:val="030404"/>
        </w:rPr>
        <w:t>, save for any documents incorporated by reference from the website</w:t>
      </w:r>
      <w:r>
        <w:rPr>
          <w:color w:val="030404"/>
        </w:rPr>
        <w:t>.</w:t>
      </w:r>
    </w:p>
    <w:p w14:paraId="3EE71F8D" w14:textId="77777777" w:rsidR="00783288" w:rsidRDefault="00783288">
      <w:pPr>
        <w:pStyle w:val="BodyText"/>
        <w:kinsoku w:val="0"/>
        <w:overflowPunct w:val="0"/>
        <w:spacing w:before="8"/>
        <w:rPr>
          <w:sz w:val="17"/>
          <w:szCs w:val="17"/>
        </w:rPr>
      </w:pPr>
    </w:p>
    <w:p w14:paraId="43B243AE" w14:textId="77777777" w:rsidR="00783288" w:rsidRDefault="00E31420">
      <w:pPr>
        <w:pStyle w:val="Heading1"/>
        <w:kinsoku w:val="0"/>
        <w:overflowPunct w:val="0"/>
        <w:rPr>
          <w:color w:val="030404"/>
        </w:rPr>
      </w:pPr>
      <w:r>
        <w:rPr>
          <w:color w:val="030404"/>
        </w:rPr>
        <w:t>Definitions</w:t>
      </w:r>
    </w:p>
    <w:p w14:paraId="28DB53C9" w14:textId="77777777" w:rsidR="00783288" w:rsidRDefault="00783288">
      <w:pPr>
        <w:pStyle w:val="BodyText"/>
        <w:kinsoku w:val="0"/>
        <w:overflowPunct w:val="0"/>
        <w:spacing w:before="3"/>
        <w:rPr>
          <w:b/>
          <w:bCs/>
        </w:rPr>
      </w:pPr>
    </w:p>
    <w:p w14:paraId="012A1D3D" w14:textId="77777777" w:rsidR="00783288" w:rsidRDefault="00E31420">
      <w:pPr>
        <w:pStyle w:val="BodyText"/>
        <w:kinsoku w:val="0"/>
        <w:overflowPunct w:val="0"/>
        <w:spacing w:before="1"/>
        <w:ind w:left="300"/>
        <w:rPr>
          <w:color w:val="030404"/>
        </w:rPr>
      </w:pPr>
      <w:r>
        <w:rPr>
          <w:color w:val="030404"/>
        </w:rPr>
        <w:t>A list of defined terms used in this Document is set out in Part VIII of this Document.</w:t>
      </w:r>
    </w:p>
    <w:p w14:paraId="47B0711F" w14:textId="77777777" w:rsidR="00783288" w:rsidRDefault="00783288">
      <w:pPr>
        <w:pStyle w:val="BodyText"/>
        <w:kinsoku w:val="0"/>
        <w:overflowPunct w:val="0"/>
        <w:spacing w:before="1"/>
        <w:ind w:left="300"/>
        <w:rPr>
          <w:color w:val="030404"/>
        </w:rPr>
        <w:sectPr w:rsidR="00783288">
          <w:pgSz w:w="11900" w:h="16840"/>
          <w:pgMar w:top="1360" w:right="240" w:bottom="1160" w:left="1140" w:header="0" w:footer="891" w:gutter="0"/>
          <w:cols w:space="720"/>
          <w:noEndnote/>
        </w:sectPr>
      </w:pPr>
    </w:p>
    <w:p w14:paraId="56F0826F" w14:textId="77777777" w:rsidR="00783288" w:rsidRDefault="00E31420">
      <w:pPr>
        <w:pStyle w:val="Heading1"/>
        <w:kinsoku w:val="0"/>
        <w:overflowPunct w:val="0"/>
        <w:spacing w:before="74"/>
        <w:rPr>
          <w:color w:val="030404"/>
        </w:rPr>
      </w:pPr>
      <w:r>
        <w:rPr>
          <w:color w:val="030404"/>
        </w:rPr>
        <w:lastRenderedPageBreak/>
        <w:t>Governing Law</w:t>
      </w:r>
    </w:p>
    <w:p w14:paraId="63C8CF43" w14:textId="77777777" w:rsidR="00783288" w:rsidRDefault="00783288">
      <w:pPr>
        <w:pStyle w:val="BodyText"/>
        <w:kinsoku w:val="0"/>
        <w:overflowPunct w:val="0"/>
        <w:spacing w:before="3"/>
        <w:rPr>
          <w:b/>
          <w:bCs/>
        </w:rPr>
      </w:pPr>
    </w:p>
    <w:p w14:paraId="29C42F9B" w14:textId="77777777" w:rsidR="00783288" w:rsidRDefault="00E31420">
      <w:pPr>
        <w:pStyle w:val="BodyText"/>
        <w:kinsoku w:val="0"/>
        <w:overflowPunct w:val="0"/>
        <w:ind w:left="300" w:right="1189"/>
        <w:rPr>
          <w:color w:val="030404"/>
        </w:rPr>
      </w:pPr>
      <w:r>
        <w:rPr>
          <w:color w:val="030404"/>
        </w:rPr>
        <w:t>Unless otherwise stated, statements made in this Document are based on the law and practice currently in force in England and Wales and are subject to changes therein.</w:t>
      </w:r>
    </w:p>
    <w:p w14:paraId="66632738" w14:textId="77777777" w:rsidR="00783288" w:rsidRDefault="00783288">
      <w:pPr>
        <w:pStyle w:val="BodyText"/>
        <w:kinsoku w:val="0"/>
        <w:overflowPunct w:val="0"/>
        <w:ind w:left="300" w:right="1189"/>
        <w:rPr>
          <w:color w:val="030404"/>
        </w:rPr>
        <w:sectPr w:rsidR="00783288">
          <w:pgSz w:w="11900" w:h="16840"/>
          <w:pgMar w:top="1360" w:right="240" w:bottom="1160" w:left="1140" w:header="0" w:footer="891" w:gutter="0"/>
          <w:cols w:space="720"/>
          <w:noEndnote/>
        </w:sectPr>
      </w:pPr>
    </w:p>
    <w:p w14:paraId="105C6FD2" w14:textId="77777777" w:rsidR="00965426" w:rsidRDefault="00965426" w:rsidP="00965426">
      <w:pPr>
        <w:pStyle w:val="Heading1"/>
        <w:kinsoku w:val="0"/>
        <w:overflowPunct w:val="0"/>
        <w:spacing w:before="74"/>
        <w:ind w:left="379" w:right="1273"/>
        <w:jc w:val="center"/>
        <w:rPr>
          <w:color w:val="050606"/>
        </w:rPr>
      </w:pPr>
      <w:r>
        <w:rPr>
          <w:color w:val="050606"/>
        </w:rPr>
        <w:lastRenderedPageBreak/>
        <w:t>EXPECTED TIMETABLE OF PRINCIPAL EVENTS</w:t>
      </w:r>
    </w:p>
    <w:p w14:paraId="453A7A45" w14:textId="77777777" w:rsidR="00965426" w:rsidRDefault="00965426" w:rsidP="00965426">
      <w:pPr>
        <w:pStyle w:val="BodyText"/>
        <w:kinsoku w:val="0"/>
        <w:overflowPunct w:val="0"/>
        <w:spacing w:before="10"/>
        <w:rPr>
          <w:b/>
          <w:bCs/>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5089"/>
      </w:tblGrid>
      <w:tr w:rsidR="00965426" w14:paraId="49040956" w14:textId="77777777" w:rsidTr="00A976DD">
        <w:trPr>
          <w:trHeight w:val="426"/>
        </w:trPr>
        <w:tc>
          <w:tcPr>
            <w:tcW w:w="5089" w:type="dxa"/>
          </w:tcPr>
          <w:p w14:paraId="6F717EA2" w14:textId="77777777" w:rsidR="00965426" w:rsidRDefault="00965426" w:rsidP="00A976DD">
            <w:pPr>
              <w:pStyle w:val="BodyText"/>
              <w:tabs>
                <w:tab w:val="left" w:pos="4140"/>
              </w:tabs>
              <w:kinsoku w:val="0"/>
              <w:overflowPunct w:val="0"/>
              <w:ind w:right="900"/>
              <w:jc w:val="both"/>
              <w:rPr>
                <w:b/>
                <w:bCs/>
                <w:color w:val="050606"/>
              </w:rPr>
            </w:pPr>
            <w:r>
              <w:rPr>
                <w:b/>
                <w:bCs/>
                <w:color w:val="050606"/>
              </w:rPr>
              <w:t>Event</w:t>
            </w:r>
          </w:p>
        </w:tc>
        <w:tc>
          <w:tcPr>
            <w:tcW w:w="5089" w:type="dxa"/>
          </w:tcPr>
          <w:p w14:paraId="7013F752" w14:textId="77777777" w:rsidR="00965426" w:rsidRDefault="00965426" w:rsidP="00A976DD">
            <w:pPr>
              <w:pStyle w:val="BodyText"/>
              <w:tabs>
                <w:tab w:val="left" w:pos="4140"/>
              </w:tabs>
              <w:kinsoku w:val="0"/>
              <w:overflowPunct w:val="0"/>
              <w:ind w:right="900"/>
              <w:jc w:val="right"/>
              <w:rPr>
                <w:b/>
                <w:bCs/>
                <w:color w:val="050606"/>
              </w:rPr>
            </w:pPr>
            <w:r>
              <w:rPr>
                <w:b/>
                <w:bCs/>
                <w:color w:val="050606"/>
              </w:rPr>
              <w:t>Time and/or Date</w:t>
            </w:r>
          </w:p>
        </w:tc>
      </w:tr>
      <w:tr w:rsidR="003710E9" w14:paraId="534A9545" w14:textId="77777777" w:rsidTr="00A976DD">
        <w:trPr>
          <w:trHeight w:val="426"/>
        </w:trPr>
        <w:tc>
          <w:tcPr>
            <w:tcW w:w="5089" w:type="dxa"/>
          </w:tcPr>
          <w:p w14:paraId="3148D626" w14:textId="36216109" w:rsidR="003710E9" w:rsidRPr="008040F9" w:rsidRDefault="003710E9" w:rsidP="00A976DD">
            <w:pPr>
              <w:pStyle w:val="BodyText"/>
              <w:tabs>
                <w:tab w:val="left" w:pos="4140"/>
              </w:tabs>
              <w:kinsoku w:val="0"/>
              <w:overflowPunct w:val="0"/>
              <w:ind w:right="900"/>
              <w:jc w:val="both"/>
              <w:rPr>
                <w:color w:val="050606"/>
              </w:rPr>
            </w:pPr>
          </w:p>
        </w:tc>
        <w:tc>
          <w:tcPr>
            <w:tcW w:w="5089" w:type="dxa"/>
          </w:tcPr>
          <w:p w14:paraId="524C46F2" w14:textId="0E0DFA50" w:rsidR="003710E9" w:rsidRPr="008040F9" w:rsidRDefault="003710E9" w:rsidP="00A976DD">
            <w:pPr>
              <w:pStyle w:val="BodyText"/>
              <w:tabs>
                <w:tab w:val="left" w:pos="4140"/>
              </w:tabs>
              <w:kinsoku w:val="0"/>
              <w:overflowPunct w:val="0"/>
              <w:ind w:right="900"/>
              <w:jc w:val="right"/>
            </w:pPr>
          </w:p>
        </w:tc>
      </w:tr>
      <w:tr w:rsidR="00965426" w14:paraId="1A125A37" w14:textId="77777777" w:rsidTr="00A976DD">
        <w:trPr>
          <w:trHeight w:val="426"/>
        </w:trPr>
        <w:tc>
          <w:tcPr>
            <w:tcW w:w="5089" w:type="dxa"/>
          </w:tcPr>
          <w:p w14:paraId="3AE70E85" w14:textId="77777777" w:rsidR="00965426" w:rsidRPr="008040F9" w:rsidRDefault="00965426" w:rsidP="00A976DD">
            <w:pPr>
              <w:pStyle w:val="BodyText"/>
              <w:tabs>
                <w:tab w:val="left" w:pos="4140"/>
              </w:tabs>
              <w:kinsoku w:val="0"/>
              <w:overflowPunct w:val="0"/>
              <w:ind w:right="900"/>
              <w:jc w:val="both"/>
              <w:rPr>
                <w:color w:val="050606"/>
              </w:rPr>
            </w:pPr>
            <w:r w:rsidRPr="008040F9">
              <w:rPr>
                <w:color w:val="050606"/>
              </w:rPr>
              <w:t>Publication of this Document</w:t>
            </w:r>
          </w:p>
        </w:tc>
        <w:tc>
          <w:tcPr>
            <w:tcW w:w="5089" w:type="dxa"/>
          </w:tcPr>
          <w:p w14:paraId="4D24DBD5" w14:textId="409FC315" w:rsidR="00965426" w:rsidRPr="008040F9" w:rsidRDefault="00B46ABA" w:rsidP="00A976DD">
            <w:pPr>
              <w:pStyle w:val="BodyText"/>
              <w:tabs>
                <w:tab w:val="left" w:pos="4140"/>
              </w:tabs>
              <w:kinsoku w:val="0"/>
              <w:overflowPunct w:val="0"/>
              <w:ind w:right="900"/>
              <w:jc w:val="right"/>
              <w:rPr>
                <w:color w:val="050606"/>
              </w:rPr>
            </w:pPr>
            <w:r>
              <w:t xml:space="preserve">7July </w:t>
            </w:r>
            <w:r w:rsidR="00965426" w:rsidRPr="008040F9">
              <w:rPr>
                <w:color w:val="050606"/>
              </w:rPr>
              <w:t>2021</w:t>
            </w:r>
          </w:p>
        </w:tc>
      </w:tr>
      <w:tr w:rsidR="00965426" w14:paraId="3E70E5F0" w14:textId="77777777" w:rsidTr="00A976DD">
        <w:trPr>
          <w:trHeight w:val="426"/>
        </w:trPr>
        <w:tc>
          <w:tcPr>
            <w:tcW w:w="5089" w:type="dxa"/>
          </w:tcPr>
          <w:p w14:paraId="462A19DB" w14:textId="0D8914B2" w:rsidR="00BC4D83" w:rsidRDefault="00BC4D83" w:rsidP="00A976DD">
            <w:pPr>
              <w:pStyle w:val="BodyText"/>
              <w:tabs>
                <w:tab w:val="left" w:pos="4140"/>
              </w:tabs>
              <w:kinsoku w:val="0"/>
              <w:overflowPunct w:val="0"/>
              <w:ind w:right="900"/>
              <w:jc w:val="both"/>
              <w:rPr>
                <w:color w:val="050606"/>
              </w:rPr>
            </w:pPr>
            <w:r w:rsidRPr="00BC4D83">
              <w:rPr>
                <w:color w:val="050606"/>
              </w:rPr>
              <w:t xml:space="preserve">Completion of Labrador Acquisition                                                                                          </w:t>
            </w:r>
            <w:r w:rsidRPr="00BC4D83">
              <w:rPr>
                <w:color w:val="050606"/>
              </w:rPr>
              <w:tab/>
            </w:r>
          </w:p>
          <w:p w14:paraId="17C1B986" w14:textId="77777777" w:rsidR="00BC4D83" w:rsidRDefault="00BC4D83" w:rsidP="00A976DD">
            <w:pPr>
              <w:pStyle w:val="BodyText"/>
              <w:tabs>
                <w:tab w:val="left" w:pos="4140"/>
              </w:tabs>
              <w:kinsoku w:val="0"/>
              <w:overflowPunct w:val="0"/>
              <w:ind w:right="900"/>
              <w:jc w:val="both"/>
              <w:rPr>
                <w:color w:val="050606"/>
              </w:rPr>
            </w:pPr>
          </w:p>
          <w:p w14:paraId="4D1BAFAB" w14:textId="3465F30D" w:rsidR="00965426" w:rsidRDefault="00965426" w:rsidP="00A976DD">
            <w:pPr>
              <w:pStyle w:val="BodyText"/>
              <w:tabs>
                <w:tab w:val="left" w:pos="4140"/>
              </w:tabs>
              <w:kinsoku w:val="0"/>
              <w:overflowPunct w:val="0"/>
              <w:ind w:right="900"/>
              <w:jc w:val="both"/>
              <w:rPr>
                <w:color w:val="050606"/>
              </w:rPr>
            </w:pPr>
            <w:r w:rsidRPr="008040F9">
              <w:rPr>
                <w:color w:val="050606"/>
              </w:rPr>
              <w:t>Admission and commencement of unconditional dealings in Placing Shares</w:t>
            </w:r>
            <w:r w:rsidR="003710E9">
              <w:rPr>
                <w:color w:val="050606"/>
              </w:rPr>
              <w:t xml:space="preserve"> and Labrador Consideration Shares</w:t>
            </w:r>
          </w:p>
          <w:p w14:paraId="3A2F1C19" w14:textId="77777777" w:rsidR="00965426" w:rsidRPr="008040F9" w:rsidRDefault="00965426" w:rsidP="00A976DD">
            <w:pPr>
              <w:pStyle w:val="BodyText"/>
              <w:tabs>
                <w:tab w:val="left" w:pos="4140"/>
              </w:tabs>
              <w:kinsoku w:val="0"/>
              <w:overflowPunct w:val="0"/>
              <w:ind w:right="900"/>
              <w:jc w:val="both"/>
              <w:rPr>
                <w:color w:val="050606"/>
              </w:rPr>
            </w:pPr>
          </w:p>
        </w:tc>
        <w:tc>
          <w:tcPr>
            <w:tcW w:w="5089" w:type="dxa"/>
          </w:tcPr>
          <w:p w14:paraId="0AD01160" w14:textId="6CEF91DE" w:rsidR="00BC4D83" w:rsidRDefault="00E8285F" w:rsidP="00A976DD">
            <w:pPr>
              <w:pStyle w:val="BodyText"/>
              <w:tabs>
                <w:tab w:val="left" w:pos="4140"/>
              </w:tabs>
              <w:kinsoku w:val="0"/>
              <w:overflowPunct w:val="0"/>
              <w:ind w:right="900"/>
              <w:jc w:val="right"/>
              <w:rPr>
                <w:color w:val="050606"/>
              </w:rPr>
            </w:pPr>
            <w:r>
              <w:rPr>
                <w:color w:val="050606"/>
              </w:rPr>
              <w:t>12 July</w:t>
            </w:r>
            <w:r w:rsidR="00BC4D83" w:rsidRPr="00BC4D83">
              <w:rPr>
                <w:color w:val="050606"/>
              </w:rPr>
              <w:t xml:space="preserve"> 2021</w:t>
            </w:r>
          </w:p>
          <w:p w14:paraId="4195AB93" w14:textId="77777777" w:rsidR="00BC4D83" w:rsidRDefault="00BC4D83" w:rsidP="00A976DD">
            <w:pPr>
              <w:pStyle w:val="BodyText"/>
              <w:tabs>
                <w:tab w:val="left" w:pos="4140"/>
              </w:tabs>
              <w:kinsoku w:val="0"/>
              <w:overflowPunct w:val="0"/>
              <w:ind w:right="900"/>
              <w:jc w:val="right"/>
              <w:rPr>
                <w:color w:val="050606"/>
              </w:rPr>
            </w:pPr>
          </w:p>
          <w:p w14:paraId="3C55B0EA" w14:textId="4E3207E6" w:rsidR="00965426" w:rsidRPr="008040F9" w:rsidRDefault="00965426" w:rsidP="00A976DD">
            <w:pPr>
              <w:pStyle w:val="BodyText"/>
              <w:tabs>
                <w:tab w:val="left" w:pos="4140"/>
              </w:tabs>
              <w:kinsoku w:val="0"/>
              <w:overflowPunct w:val="0"/>
              <w:ind w:right="900"/>
              <w:jc w:val="right"/>
              <w:rPr>
                <w:color w:val="050606"/>
              </w:rPr>
            </w:pPr>
            <w:r w:rsidRPr="008040F9">
              <w:rPr>
                <w:color w:val="050606"/>
              </w:rPr>
              <w:t xml:space="preserve">8.00 a.m. on </w:t>
            </w:r>
            <w:r w:rsidR="00046867">
              <w:t>12 July</w:t>
            </w:r>
            <w:r w:rsidRPr="008040F9">
              <w:rPr>
                <w:color w:val="050606"/>
              </w:rPr>
              <w:t xml:space="preserve"> 2021</w:t>
            </w:r>
          </w:p>
        </w:tc>
      </w:tr>
      <w:tr w:rsidR="00965426" w14:paraId="7720CB77" w14:textId="77777777" w:rsidTr="00A976DD">
        <w:trPr>
          <w:trHeight w:val="426"/>
        </w:trPr>
        <w:tc>
          <w:tcPr>
            <w:tcW w:w="5089" w:type="dxa"/>
          </w:tcPr>
          <w:p w14:paraId="0C31F55E" w14:textId="08E7A06A" w:rsidR="00965426" w:rsidRDefault="00965426" w:rsidP="00A976DD">
            <w:pPr>
              <w:pStyle w:val="BodyText"/>
              <w:tabs>
                <w:tab w:val="left" w:pos="4140"/>
              </w:tabs>
              <w:kinsoku w:val="0"/>
              <w:overflowPunct w:val="0"/>
              <w:ind w:right="900"/>
              <w:jc w:val="both"/>
              <w:rPr>
                <w:color w:val="050606"/>
              </w:rPr>
            </w:pPr>
            <w:r w:rsidRPr="008040F9">
              <w:rPr>
                <w:color w:val="050606"/>
              </w:rPr>
              <w:t>CREST members' accounts credited in respect of the Placing Shares</w:t>
            </w:r>
            <w:r w:rsidR="003710E9">
              <w:rPr>
                <w:color w:val="050606"/>
              </w:rPr>
              <w:t xml:space="preserve"> and Labrador Consideration Shares</w:t>
            </w:r>
            <w:r w:rsidRPr="008040F9">
              <w:rPr>
                <w:color w:val="050606"/>
              </w:rPr>
              <w:t xml:space="preserve"> in uncertified form</w:t>
            </w:r>
          </w:p>
          <w:p w14:paraId="739ECE11" w14:textId="77777777" w:rsidR="00965426" w:rsidRPr="008040F9" w:rsidRDefault="00965426" w:rsidP="00A976DD">
            <w:pPr>
              <w:pStyle w:val="BodyText"/>
              <w:tabs>
                <w:tab w:val="left" w:pos="4140"/>
              </w:tabs>
              <w:kinsoku w:val="0"/>
              <w:overflowPunct w:val="0"/>
              <w:ind w:right="900"/>
              <w:jc w:val="both"/>
              <w:rPr>
                <w:color w:val="050606"/>
              </w:rPr>
            </w:pPr>
          </w:p>
        </w:tc>
        <w:tc>
          <w:tcPr>
            <w:tcW w:w="5089" w:type="dxa"/>
          </w:tcPr>
          <w:p w14:paraId="2E5467D9" w14:textId="10FE06C3" w:rsidR="00965426" w:rsidRPr="008040F9" w:rsidRDefault="000C5E9B" w:rsidP="00A976DD">
            <w:pPr>
              <w:pStyle w:val="BodyText"/>
              <w:tabs>
                <w:tab w:val="left" w:pos="4140"/>
              </w:tabs>
              <w:kinsoku w:val="0"/>
              <w:overflowPunct w:val="0"/>
              <w:ind w:right="900"/>
              <w:jc w:val="right"/>
              <w:rPr>
                <w:color w:val="050606"/>
              </w:rPr>
            </w:pPr>
            <w:r>
              <w:t>12 July</w:t>
            </w:r>
            <w:r w:rsidR="00965426" w:rsidRPr="008040F9">
              <w:rPr>
                <w:color w:val="050606"/>
              </w:rPr>
              <w:t xml:space="preserve"> 2021</w:t>
            </w:r>
          </w:p>
        </w:tc>
      </w:tr>
      <w:tr w:rsidR="00965426" w14:paraId="5F50D091" w14:textId="77777777" w:rsidTr="00A976DD">
        <w:trPr>
          <w:trHeight w:val="426"/>
        </w:trPr>
        <w:tc>
          <w:tcPr>
            <w:tcW w:w="5089" w:type="dxa"/>
          </w:tcPr>
          <w:p w14:paraId="402A9A0D" w14:textId="2D52A2F7" w:rsidR="00965426" w:rsidRPr="008040F9" w:rsidRDefault="00965426" w:rsidP="00A976DD">
            <w:pPr>
              <w:pStyle w:val="BodyText"/>
              <w:tabs>
                <w:tab w:val="left" w:pos="4140"/>
              </w:tabs>
              <w:kinsoku w:val="0"/>
              <w:overflowPunct w:val="0"/>
              <w:ind w:right="900"/>
              <w:jc w:val="both"/>
              <w:rPr>
                <w:color w:val="050606"/>
              </w:rPr>
            </w:pPr>
            <w:r w:rsidRPr="008040F9">
              <w:rPr>
                <w:color w:val="050606"/>
              </w:rPr>
              <w:t xml:space="preserve">Despatch of definitive share certificates in respect of the Placing Shares </w:t>
            </w:r>
            <w:r w:rsidR="003710E9">
              <w:rPr>
                <w:color w:val="050606"/>
              </w:rPr>
              <w:t xml:space="preserve">and Labrador Consideration Shares </w:t>
            </w:r>
            <w:r w:rsidRPr="008040F9">
              <w:rPr>
                <w:color w:val="050606"/>
              </w:rPr>
              <w:t>in certified form</w:t>
            </w:r>
          </w:p>
        </w:tc>
        <w:tc>
          <w:tcPr>
            <w:tcW w:w="5089" w:type="dxa"/>
          </w:tcPr>
          <w:p w14:paraId="3D64CE72" w14:textId="0C9E79B9" w:rsidR="00965426" w:rsidRPr="008040F9" w:rsidRDefault="00965426" w:rsidP="00A976DD">
            <w:pPr>
              <w:pStyle w:val="BodyText"/>
              <w:tabs>
                <w:tab w:val="left" w:pos="4140"/>
              </w:tabs>
              <w:kinsoku w:val="0"/>
              <w:overflowPunct w:val="0"/>
              <w:ind w:right="900"/>
              <w:jc w:val="right"/>
              <w:rPr>
                <w:color w:val="050606"/>
              </w:rPr>
            </w:pPr>
            <w:r w:rsidRPr="008040F9">
              <w:rPr>
                <w:color w:val="050606"/>
              </w:rPr>
              <w:t xml:space="preserve">Week commencing </w:t>
            </w:r>
            <w:r w:rsidR="000C5E9B">
              <w:t>12 July</w:t>
            </w:r>
            <w:r w:rsidRPr="008040F9">
              <w:rPr>
                <w:color w:val="050606"/>
              </w:rPr>
              <w:t xml:space="preserve"> 2021</w:t>
            </w:r>
          </w:p>
        </w:tc>
      </w:tr>
    </w:tbl>
    <w:p w14:paraId="3A5E2CC2" w14:textId="77777777" w:rsidR="00965426" w:rsidRDefault="00965426" w:rsidP="00965426">
      <w:pPr>
        <w:pStyle w:val="BodyText"/>
        <w:tabs>
          <w:tab w:val="left" w:pos="7338"/>
        </w:tabs>
        <w:kinsoku w:val="0"/>
        <w:overflowPunct w:val="0"/>
        <w:ind w:right="900"/>
        <w:rPr>
          <w:sz w:val="9"/>
          <w:szCs w:val="9"/>
        </w:rPr>
        <w:sectPr w:rsidR="00965426">
          <w:pgSz w:w="11900" w:h="16840"/>
          <w:pgMar w:top="1360" w:right="240" w:bottom="1160" w:left="1140" w:header="0" w:footer="891" w:gutter="0"/>
          <w:cols w:space="720"/>
          <w:noEndnote/>
        </w:sectPr>
      </w:pPr>
    </w:p>
    <w:p w14:paraId="49E7DF66" w14:textId="77777777" w:rsidR="00965426" w:rsidRDefault="00965426" w:rsidP="00965426">
      <w:pPr>
        <w:pStyle w:val="BodyText"/>
        <w:kinsoku w:val="0"/>
        <w:overflowPunct w:val="0"/>
        <w:spacing w:before="95"/>
        <w:rPr>
          <w:color w:val="050606"/>
        </w:rPr>
        <w:sectPr w:rsidR="00965426">
          <w:type w:val="continuous"/>
          <w:pgSz w:w="11900" w:h="16840"/>
          <w:pgMar w:top="1360" w:right="240" w:bottom="280" w:left="1140" w:header="720" w:footer="720" w:gutter="0"/>
          <w:cols w:num="2" w:space="720" w:equalWidth="0">
            <w:col w:w="4743" w:space="947"/>
            <w:col w:w="4830"/>
          </w:cols>
          <w:noEndnote/>
        </w:sectPr>
      </w:pPr>
    </w:p>
    <w:p w14:paraId="5F722C7C" w14:textId="77777777" w:rsidR="00965426" w:rsidRDefault="00965426" w:rsidP="00965426">
      <w:pPr>
        <w:pStyle w:val="BodyText"/>
        <w:kinsoku w:val="0"/>
        <w:overflowPunct w:val="0"/>
        <w:spacing w:before="94"/>
        <w:rPr>
          <w:i/>
          <w:iCs/>
          <w:color w:val="050606"/>
        </w:rPr>
      </w:pPr>
      <w:r>
        <w:rPr>
          <w:i/>
          <w:iCs/>
          <w:color w:val="050606"/>
        </w:rPr>
        <w:t>* All references to times and dates in this Document are to London time unless otherwise stated.</w:t>
      </w:r>
    </w:p>
    <w:p w14:paraId="3A21887C" w14:textId="77777777" w:rsidR="00965426" w:rsidRDefault="00965426" w:rsidP="00965426">
      <w:pPr>
        <w:pStyle w:val="BodyText"/>
        <w:kinsoku w:val="0"/>
        <w:overflowPunct w:val="0"/>
        <w:rPr>
          <w:i/>
          <w:iCs/>
          <w:sz w:val="20"/>
          <w:szCs w:val="20"/>
        </w:rPr>
      </w:pPr>
    </w:p>
    <w:p w14:paraId="337DC50E" w14:textId="77777777" w:rsidR="00965426" w:rsidRDefault="00965426" w:rsidP="00965426">
      <w:pPr>
        <w:pStyle w:val="BodyText"/>
        <w:kinsoku w:val="0"/>
        <w:overflowPunct w:val="0"/>
        <w:rPr>
          <w:i/>
          <w:iCs/>
          <w:sz w:val="20"/>
          <w:szCs w:val="20"/>
        </w:rPr>
      </w:pPr>
    </w:p>
    <w:p w14:paraId="7AFD72EA" w14:textId="77777777" w:rsidR="00965426" w:rsidRDefault="00965426" w:rsidP="00965426">
      <w:pPr>
        <w:pStyle w:val="Heading1"/>
        <w:kinsoku w:val="0"/>
        <w:overflowPunct w:val="0"/>
        <w:spacing w:before="159"/>
        <w:ind w:left="376" w:right="1273"/>
        <w:jc w:val="center"/>
        <w:rPr>
          <w:color w:val="050606"/>
        </w:rPr>
      </w:pPr>
      <w:r>
        <w:rPr>
          <w:color w:val="050606"/>
        </w:rPr>
        <w:t>PLACING STATISTICS</w:t>
      </w:r>
    </w:p>
    <w:p w14:paraId="682E6A20" w14:textId="77777777" w:rsidR="00965426" w:rsidRDefault="00965426" w:rsidP="00965426">
      <w:pPr>
        <w:pStyle w:val="BodyText"/>
        <w:kinsoku w:val="0"/>
        <w:overflowPunct w:val="0"/>
        <w:rPr>
          <w:b/>
          <w:bCs/>
          <w:sz w:val="20"/>
          <w:szCs w:val="20"/>
        </w:rPr>
      </w:pPr>
    </w:p>
    <w:p w14:paraId="57AA35D9" w14:textId="77777777" w:rsidR="00965426" w:rsidRDefault="00965426" w:rsidP="00965426">
      <w:pPr>
        <w:pStyle w:val="BodyText"/>
        <w:kinsoku w:val="0"/>
        <w:overflowPunct w:val="0"/>
        <w:spacing w:before="9"/>
        <w:rPr>
          <w:b/>
          <w:bCs/>
          <w:sz w:val="16"/>
          <w:szCs w:val="16"/>
        </w:rPr>
      </w:pPr>
    </w:p>
    <w:tbl>
      <w:tblPr>
        <w:tblW w:w="0" w:type="auto"/>
        <w:tblInd w:w="358" w:type="dxa"/>
        <w:tblLayout w:type="fixed"/>
        <w:tblCellMar>
          <w:left w:w="0" w:type="dxa"/>
          <w:right w:w="0" w:type="dxa"/>
        </w:tblCellMar>
        <w:tblLook w:val="0000" w:firstRow="0" w:lastRow="0" w:firstColumn="0" w:lastColumn="0" w:noHBand="0" w:noVBand="0"/>
      </w:tblPr>
      <w:tblGrid>
        <w:gridCol w:w="6097"/>
        <w:gridCol w:w="2805"/>
      </w:tblGrid>
      <w:tr w:rsidR="00965426" w:rsidRPr="00190D2E" w14:paraId="0FA61FDC" w14:textId="77777777" w:rsidTr="00A976DD">
        <w:trPr>
          <w:trHeight w:val="308"/>
        </w:trPr>
        <w:tc>
          <w:tcPr>
            <w:tcW w:w="6097" w:type="dxa"/>
            <w:tcBorders>
              <w:top w:val="none" w:sz="6" w:space="0" w:color="auto"/>
              <w:left w:val="none" w:sz="6" w:space="0" w:color="auto"/>
              <w:bottom w:val="none" w:sz="6" w:space="0" w:color="auto"/>
              <w:right w:val="none" w:sz="6" w:space="0" w:color="auto"/>
            </w:tcBorders>
          </w:tcPr>
          <w:p w14:paraId="37E0B913" w14:textId="77777777" w:rsidR="00965426" w:rsidRPr="00190D2E" w:rsidRDefault="00965426" w:rsidP="00A976DD">
            <w:pPr>
              <w:pStyle w:val="TableParagraph"/>
              <w:kinsoku w:val="0"/>
              <w:overflowPunct w:val="0"/>
              <w:spacing w:line="201" w:lineRule="exact"/>
              <w:ind w:left="50"/>
              <w:rPr>
                <w:color w:val="050606"/>
                <w:sz w:val="18"/>
                <w:szCs w:val="18"/>
              </w:rPr>
            </w:pPr>
            <w:r w:rsidRPr="00190D2E">
              <w:rPr>
                <w:color w:val="050606"/>
                <w:sz w:val="18"/>
                <w:szCs w:val="18"/>
              </w:rPr>
              <w:t>Number of Existing Ordinary Shares</w:t>
            </w:r>
          </w:p>
        </w:tc>
        <w:tc>
          <w:tcPr>
            <w:tcW w:w="2805" w:type="dxa"/>
            <w:tcBorders>
              <w:top w:val="none" w:sz="6" w:space="0" w:color="auto"/>
              <w:left w:val="none" w:sz="6" w:space="0" w:color="auto"/>
              <w:bottom w:val="none" w:sz="6" w:space="0" w:color="auto"/>
              <w:right w:val="none" w:sz="6" w:space="0" w:color="auto"/>
            </w:tcBorders>
          </w:tcPr>
          <w:p w14:paraId="4328CF51" w14:textId="50BA5B28" w:rsidR="00965426" w:rsidRPr="00190D2E" w:rsidRDefault="00965426" w:rsidP="00A976DD">
            <w:pPr>
              <w:pStyle w:val="TableParagraph"/>
              <w:kinsoku w:val="0"/>
              <w:overflowPunct w:val="0"/>
              <w:spacing w:line="201" w:lineRule="exact"/>
              <w:ind w:right="48"/>
              <w:jc w:val="right"/>
              <w:rPr>
                <w:color w:val="050606"/>
                <w:sz w:val="18"/>
                <w:szCs w:val="18"/>
              </w:rPr>
            </w:pPr>
            <w:r>
              <w:rPr>
                <w:color w:val="050606"/>
                <w:sz w:val="18"/>
                <w:szCs w:val="18"/>
              </w:rPr>
              <w:t>101,911,112</w:t>
            </w:r>
          </w:p>
        </w:tc>
      </w:tr>
      <w:tr w:rsidR="00965426" w:rsidRPr="00190D2E" w14:paraId="1FE4B0AD"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7320EEB2" w14:textId="77777777" w:rsidR="00965426" w:rsidRPr="00190D2E" w:rsidRDefault="00965426" w:rsidP="00A976DD">
            <w:pPr>
              <w:pStyle w:val="TableParagraph"/>
              <w:kinsoku w:val="0"/>
              <w:overflowPunct w:val="0"/>
              <w:spacing w:before="101"/>
              <w:ind w:left="50"/>
              <w:rPr>
                <w:color w:val="050606"/>
                <w:sz w:val="18"/>
                <w:szCs w:val="18"/>
              </w:rPr>
            </w:pPr>
            <w:r w:rsidRPr="00190D2E">
              <w:rPr>
                <w:color w:val="050606"/>
                <w:sz w:val="18"/>
                <w:szCs w:val="18"/>
              </w:rPr>
              <w:t>Number of Deferred Shares</w:t>
            </w:r>
          </w:p>
        </w:tc>
        <w:tc>
          <w:tcPr>
            <w:tcW w:w="2805" w:type="dxa"/>
            <w:tcBorders>
              <w:top w:val="none" w:sz="6" w:space="0" w:color="auto"/>
              <w:left w:val="none" w:sz="6" w:space="0" w:color="auto"/>
              <w:bottom w:val="none" w:sz="6" w:space="0" w:color="auto"/>
              <w:right w:val="none" w:sz="6" w:space="0" w:color="auto"/>
            </w:tcBorders>
          </w:tcPr>
          <w:p w14:paraId="51721035" w14:textId="77777777" w:rsidR="00965426" w:rsidRPr="00190D2E" w:rsidRDefault="00965426" w:rsidP="00A976DD">
            <w:pPr>
              <w:pStyle w:val="TableParagraph"/>
              <w:kinsoku w:val="0"/>
              <w:overflowPunct w:val="0"/>
              <w:spacing w:before="101"/>
              <w:ind w:right="48"/>
              <w:jc w:val="right"/>
              <w:rPr>
                <w:color w:val="050606"/>
                <w:sz w:val="18"/>
                <w:szCs w:val="18"/>
              </w:rPr>
            </w:pPr>
            <w:r w:rsidRPr="00190D2E">
              <w:rPr>
                <w:color w:val="050606"/>
                <w:sz w:val="18"/>
                <w:szCs w:val="18"/>
              </w:rPr>
              <w:t>2,000,000</w:t>
            </w:r>
          </w:p>
        </w:tc>
      </w:tr>
      <w:tr w:rsidR="00965426" w:rsidRPr="00190D2E" w14:paraId="39713D77"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235A9426" w14:textId="77777777" w:rsidR="00965426" w:rsidRPr="00190D2E" w:rsidRDefault="00965426" w:rsidP="00A976DD">
            <w:pPr>
              <w:pStyle w:val="TableParagraph"/>
              <w:kinsoku w:val="0"/>
              <w:overflowPunct w:val="0"/>
              <w:spacing w:before="100"/>
              <w:ind w:left="50"/>
              <w:rPr>
                <w:color w:val="050606"/>
                <w:sz w:val="18"/>
                <w:szCs w:val="18"/>
              </w:rPr>
            </w:pPr>
            <w:r w:rsidRPr="00190D2E">
              <w:rPr>
                <w:color w:val="050606"/>
                <w:sz w:val="18"/>
                <w:szCs w:val="18"/>
              </w:rPr>
              <w:t>Number of Placing Shares</w:t>
            </w:r>
          </w:p>
        </w:tc>
        <w:tc>
          <w:tcPr>
            <w:tcW w:w="2805" w:type="dxa"/>
            <w:tcBorders>
              <w:top w:val="none" w:sz="6" w:space="0" w:color="auto"/>
              <w:left w:val="none" w:sz="6" w:space="0" w:color="auto"/>
              <w:bottom w:val="none" w:sz="6" w:space="0" w:color="auto"/>
              <w:right w:val="none" w:sz="6" w:space="0" w:color="auto"/>
            </w:tcBorders>
          </w:tcPr>
          <w:p w14:paraId="64F22B3A" w14:textId="6010F911" w:rsidR="00965426" w:rsidRPr="00190D2E" w:rsidRDefault="00340CAA" w:rsidP="00A976DD">
            <w:pPr>
              <w:pStyle w:val="TableParagraph"/>
              <w:kinsoku w:val="0"/>
              <w:overflowPunct w:val="0"/>
              <w:spacing w:before="100"/>
              <w:ind w:right="48"/>
              <w:jc w:val="right"/>
              <w:rPr>
                <w:color w:val="050606"/>
                <w:sz w:val="18"/>
                <w:szCs w:val="18"/>
              </w:rPr>
            </w:pPr>
            <w:r>
              <w:rPr>
                <w:sz w:val="18"/>
                <w:szCs w:val="18"/>
              </w:rPr>
              <w:t>8,000,000</w:t>
            </w:r>
          </w:p>
        </w:tc>
      </w:tr>
      <w:tr w:rsidR="00CE7F94" w:rsidRPr="00190D2E" w14:paraId="761740BF"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3EA36914" w14:textId="55556D81" w:rsidR="00CE7F94" w:rsidRPr="00190D2E" w:rsidRDefault="00CE7F94" w:rsidP="00A976DD">
            <w:pPr>
              <w:pStyle w:val="TableParagraph"/>
              <w:kinsoku w:val="0"/>
              <w:overflowPunct w:val="0"/>
              <w:spacing w:before="100"/>
              <w:ind w:left="50"/>
              <w:rPr>
                <w:color w:val="050606"/>
                <w:sz w:val="18"/>
                <w:szCs w:val="18"/>
              </w:rPr>
            </w:pPr>
            <w:r>
              <w:rPr>
                <w:color w:val="050606"/>
                <w:sz w:val="18"/>
                <w:szCs w:val="18"/>
              </w:rPr>
              <w:t>Number of Labrador Consideration Shares</w:t>
            </w:r>
          </w:p>
        </w:tc>
        <w:tc>
          <w:tcPr>
            <w:tcW w:w="2805" w:type="dxa"/>
            <w:tcBorders>
              <w:top w:val="none" w:sz="6" w:space="0" w:color="auto"/>
              <w:left w:val="none" w:sz="6" w:space="0" w:color="auto"/>
              <w:bottom w:val="none" w:sz="6" w:space="0" w:color="auto"/>
              <w:right w:val="none" w:sz="6" w:space="0" w:color="auto"/>
            </w:tcBorders>
          </w:tcPr>
          <w:p w14:paraId="1E030D05" w14:textId="315A0D4A" w:rsidR="00CE7F94" w:rsidRPr="00190D2E" w:rsidRDefault="00CE7F94" w:rsidP="008E00A8">
            <w:pPr>
              <w:pStyle w:val="TableParagraph"/>
              <w:kinsoku w:val="0"/>
              <w:overflowPunct w:val="0"/>
              <w:spacing w:before="100"/>
              <w:ind w:left="1620" w:right="48" w:hanging="428"/>
              <w:jc w:val="center"/>
              <w:rPr>
                <w:sz w:val="18"/>
                <w:szCs w:val="18"/>
              </w:rPr>
            </w:pPr>
            <w:r>
              <w:rPr>
                <w:sz w:val="18"/>
                <w:szCs w:val="18"/>
              </w:rPr>
              <w:t xml:space="preserve">           </w:t>
            </w:r>
            <w:r w:rsidR="0019125A">
              <w:rPr>
                <w:sz w:val="18"/>
                <w:szCs w:val="18"/>
              </w:rPr>
              <w:t>10,089,199</w:t>
            </w:r>
          </w:p>
        </w:tc>
      </w:tr>
      <w:tr w:rsidR="00E517B7" w:rsidRPr="00190D2E" w14:paraId="41F9BE4A"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0B6515E7" w14:textId="1B2465AA" w:rsidR="00E517B7" w:rsidRDefault="00E517B7" w:rsidP="00A976DD">
            <w:pPr>
              <w:pStyle w:val="TableParagraph"/>
              <w:kinsoku w:val="0"/>
              <w:overflowPunct w:val="0"/>
              <w:spacing w:before="100"/>
              <w:ind w:left="50"/>
              <w:rPr>
                <w:color w:val="050606"/>
                <w:sz w:val="18"/>
                <w:szCs w:val="18"/>
              </w:rPr>
            </w:pPr>
            <w:r>
              <w:rPr>
                <w:color w:val="050606"/>
                <w:sz w:val="18"/>
                <w:szCs w:val="18"/>
              </w:rPr>
              <w:t>Number of Labrador Consideration Warrants</w:t>
            </w:r>
          </w:p>
        </w:tc>
        <w:tc>
          <w:tcPr>
            <w:tcW w:w="2805" w:type="dxa"/>
            <w:tcBorders>
              <w:top w:val="none" w:sz="6" w:space="0" w:color="auto"/>
              <w:left w:val="none" w:sz="6" w:space="0" w:color="auto"/>
              <w:bottom w:val="none" w:sz="6" w:space="0" w:color="auto"/>
              <w:right w:val="none" w:sz="6" w:space="0" w:color="auto"/>
            </w:tcBorders>
          </w:tcPr>
          <w:p w14:paraId="400604FA" w14:textId="20E8A98B" w:rsidR="00E517B7" w:rsidRDefault="00E517B7" w:rsidP="008E00A8">
            <w:pPr>
              <w:pStyle w:val="TableParagraph"/>
              <w:kinsoku w:val="0"/>
              <w:overflowPunct w:val="0"/>
              <w:spacing w:before="100"/>
              <w:ind w:left="1620" w:right="48" w:hanging="428"/>
              <w:jc w:val="center"/>
              <w:rPr>
                <w:sz w:val="18"/>
                <w:szCs w:val="18"/>
              </w:rPr>
            </w:pPr>
            <w:r>
              <w:rPr>
                <w:sz w:val="18"/>
                <w:szCs w:val="18"/>
              </w:rPr>
              <w:t xml:space="preserve">            11,100,000</w:t>
            </w:r>
          </w:p>
        </w:tc>
      </w:tr>
      <w:tr w:rsidR="00965426" w:rsidRPr="00190D2E" w14:paraId="31F9DA13"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484FDF90" w14:textId="77777777" w:rsidR="00965426" w:rsidRPr="00190D2E" w:rsidRDefault="00965426" w:rsidP="00A976DD">
            <w:pPr>
              <w:pStyle w:val="TableParagraph"/>
              <w:kinsoku w:val="0"/>
              <w:overflowPunct w:val="0"/>
              <w:spacing w:before="100"/>
              <w:ind w:left="50"/>
              <w:rPr>
                <w:color w:val="050606"/>
                <w:sz w:val="18"/>
                <w:szCs w:val="18"/>
              </w:rPr>
            </w:pPr>
          </w:p>
        </w:tc>
        <w:tc>
          <w:tcPr>
            <w:tcW w:w="2805" w:type="dxa"/>
            <w:tcBorders>
              <w:top w:val="none" w:sz="6" w:space="0" w:color="auto"/>
              <w:left w:val="none" w:sz="6" w:space="0" w:color="auto"/>
              <w:bottom w:val="none" w:sz="6" w:space="0" w:color="auto"/>
              <w:right w:val="none" w:sz="6" w:space="0" w:color="auto"/>
            </w:tcBorders>
          </w:tcPr>
          <w:p w14:paraId="3B406F47" w14:textId="77777777" w:rsidR="00965426" w:rsidRPr="00190D2E" w:rsidRDefault="00965426" w:rsidP="00A976DD">
            <w:pPr>
              <w:pStyle w:val="TableParagraph"/>
              <w:kinsoku w:val="0"/>
              <w:overflowPunct w:val="0"/>
              <w:spacing w:before="100"/>
              <w:ind w:right="48"/>
              <w:jc w:val="right"/>
              <w:rPr>
                <w:color w:val="050606"/>
                <w:sz w:val="18"/>
                <w:szCs w:val="18"/>
              </w:rPr>
            </w:pPr>
          </w:p>
        </w:tc>
      </w:tr>
      <w:tr w:rsidR="00965426" w:rsidRPr="00190D2E" w14:paraId="171C9B88"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48A2D173" w14:textId="77777777" w:rsidR="00965426" w:rsidRPr="00190D2E" w:rsidRDefault="00965426" w:rsidP="00A976DD">
            <w:pPr>
              <w:pStyle w:val="TableParagraph"/>
              <w:kinsoku w:val="0"/>
              <w:overflowPunct w:val="0"/>
              <w:spacing w:before="101"/>
              <w:ind w:left="50"/>
              <w:rPr>
                <w:color w:val="050606"/>
                <w:sz w:val="18"/>
                <w:szCs w:val="18"/>
              </w:rPr>
            </w:pPr>
            <w:r w:rsidRPr="00190D2E">
              <w:rPr>
                <w:color w:val="050606"/>
                <w:sz w:val="18"/>
                <w:szCs w:val="18"/>
              </w:rPr>
              <w:t>Number of Ordinary Shares in issue on Admission</w:t>
            </w:r>
          </w:p>
        </w:tc>
        <w:tc>
          <w:tcPr>
            <w:tcW w:w="2805" w:type="dxa"/>
            <w:tcBorders>
              <w:top w:val="none" w:sz="6" w:space="0" w:color="auto"/>
              <w:left w:val="none" w:sz="6" w:space="0" w:color="auto"/>
              <w:bottom w:val="none" w:sz="6" w:space="0" w:color="auto"/>
              <w:right w:val="none" w:sz="6" w:space="0" w:color="auto"/>
            </w:tcBorders>
          </w:tcPr>
          <w:p w14:paraId="294A0132" w14:textId="7C89A688" w:rsidR="00965426" w:rsidRPr="00190D2E" w:rsidRDefault="00014F00" w:rsidP="00A976DD">
            <w:pPr>
              <w:pStyle w:val="TableParagraph"/>
              <w:kinsoku w:val="0"/>
              <w:overflowPunct w:val="0"/>
              <w:spacing w:before="101"/>
              <w:ind w:right="48"/>
              <w:jc w:val="right"/>
              <w:rPr>
                <w:color w:val="050606"/>
                <w:sz w:val="18"/>
                <w:szCs w:val="18"/>
              </w:rPr>
            </w:pPr>
            <w:r>
              <w:rPr>
                <w:sz w:val="18"/>
                <w:szCs w:val="18"/>
              </w:rPr>
              <w:t>120,000,311</w:t>
            </w:r>
          </w:p>
        </w:tc>
      </w:tr>
      <w:tr w:rsidR="00965426" w:rsidRPr="00190D2E" w14:paraId="119E07AF"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3F876502" w14:textId="77777777" w:rsidR="00965426" w:rsidRPr="00190D2E" w:rsidRDefault="00965426" w:rsidP="00A976DD">
            <w:pPr>
              <w:pStyle w:val="TableParagraph"/>
              <w:kinsoku w:val="0"/>
              <w:overflowPunct w:val="0"/>
              <w:spacing w:before="100"/>
              <w:ind w:left="50"/>
              <w:rPr>
                <w:color w:val="050606"/>
                <w:sz w:val="18"/>
                <w:szCs w:val="18"/>
              </w:rPr>
            </w:pPr>
            <w:r w:rsidRPr="00190D2E">
              <w:rPr>
                <w:color w:val="050606"/>
                <w:sz w:val="18"/>
                <w:szCs w:val="18"/>
              </w:rPr>
              <w:t>Number of Deferred Shares in issue on Admission</w:t>
            </w:r>
          </w:p>
        </w:tc>
        <w:tc>
          <w:tcPr>
            <w:tcW w:w="2805" w:type="dxa"/>
            <w:tcBorders>
              <w:top w:val="none" w:sz="6" w:space="0" w:color="auto"/>
              <w:left w:val="none" w:sz="6" w:space="0" w:color="auto"/>
              <w:bottom w:val="none" w:sz="6" w:space="0" w:color="auto"/>
              <w:right w:val="none" w:sz="6" w:space="0" w:color="auto"/>
            </w:tcBorders>
          </w:tcPr>
          <w:p w14:paraId="483AC4D5" w14:textId="77777777" w:rsidR="00965426" w:rsidRPr="00190D2E" w:rsidRDefault="00965426" w:rsidP="00A976DD">
            <w:pPr>
              <w:pStyle w:val="TableParagraph"/>
              <w:kinsoku w:val="0"/>
              <w:overflowPunct w:val="0"/>
              <w:spacing w:before="100"/>
              <w:ind w:right="48"/>
              <w:jc w:val="right"/>
              <w:rPr>
                <w:color w:val="050606"/>
                <w:sz w:val="18"/>
                <w:szCs w:val="18"/>
              </w:rPr>
            </w:pPr>
            <w:r w:rsidRPr="00190D2E">
              <w:rPr>
                <w:color w:val="050606"/>
                <w:sz w:val="18"/>
                <w:szCs w:val="18"/>
              </w:rPr>
              <w:t>2,000,000</w:t>
            </w:r>
          </w:p>
        </w:tc>
      </w:tr>
      <w:tr w:rsidR="00965426" w:rsidRPr="00190D2E" w14:paraId="1EA750FB" w14:textId="77777777" w:rsidTr="00A976DD">
        <w:trPr>
          <w:trHeight w:val="620"/>
        </w:trPr>
        <w:tc>
          <w:tcPr>
            <w:tcW w:w="6097" w:type="dxa"/>
            <w:tcBorders>
              <w:top w:val="none" w:sz="6" w:space="0" w:color="auto"/>
              <w:left w:val="none" w:sz="6" w:space="0" w:color="auto"/>
              <w:bottom w:val="none" w:sz="6" w:space="0" w:color="auto"/>
              <w:right w:val="none" w:sz="6" w:space="0" w:color="auto"/>
            </w:tcBorders>
          </w:tcPr>
          <w:p w14:paraId="7699720D" w14:textId="77777777" w:rsidR="00965426" w:rsidRPr="00190D2E" w:rsidRDefault="00965426" w:rsidP="00A976DD">
            <w:pPr>
              <w:pStyle w:val="TableParagraph"/>
              <w:kinsoku w:val="0"/>
              <w:overflowPunct w:val="0"/>
              <w:spacing w:before="101"/>
              <w:ind w:left="50" w:right="1344"/>
              <w:rPr>
                <w:color w:val="050606"/>
                <w:sz w:val="18"/>
                <w:szCs w:val="18"/>
              </w:rPr>
            </w:pPr>
            <w:r w:rsidRPr="00190D2E">
              <w:rPr>
                <w:color w:val="050606"/>
                <w:sz w:val="18"/>
                <w:szCs w:val="18"/>
              </w:rPr>
              <w:t xml:space="preserve">Percentage of Enlarged Ordinary Share Capital represented by the </w:t>
            </w:r>
            <w:r>
              <w:rPr>
                <w:color w:val="050606"/>
                <w:sz w:val="18"/>
                <w:szCs w:val="18"/>
              </w:rPr>
              <w:t>Placing</w:t>
            </w:r>
            <w:r w:rsidRPr="00190D2E">
              <w:rPr>
                <w:color w:val="050606"/>
                <w:sz w:val="18"/>
                <w:szCs w:val="18"/>
              </w:rPr>
              <w:t xml:space="preserve"> Shares</w:t>
            </w:r>
            <w:r>
              <w:rPr>
                <w:color w:val="050606"/>
                <w:sz w:val="18"/>
                <w:szCs w:val="18"/>
              </w:rPr>
              <w:t xml:space="preserve"> and Labrador Consideration Shares</w:t>
            </w:r>
          </w:p>
        </w:tc>
        <w:tc>
          <w:tcPr>
            <w:tcW w:w="2805" w:type="dxa"/>
            <w:tcBorders>
              <w:top w:val="none" w:sz="6" w:space="0" w:color="auto"/>
              <w:left w:val="none" w:sz="6" w:space="0" w:color="auto"/>
              <w:bottom w:val="none" w:sz="6" w:space="0" w:color="auto"/>
              <w:right w:val="none" w:sz="6" w:space="0" w:color="auto"/>
            </w:tcBorders>
          </w:tcPr>
          <w:p w14:paraId="77B966BD" w14:textId="66B088C5" w:rsidR="00965426" w:rsidRPr="00190D2E" w:rsidRDefault="00E517B7" w:rsidP="00A976DD">
            <w:pPr>
              <w:pStyle w:val="TableParagraph"/>
              <w:kinsoku w:val="0"/>
              <w:overflowPunct w:val="0"/>
              <w:spacing w:before="101"/>
              <w:ind w:right="48"/>
              <w:jc w:val="right"/>
              <w:rPr>
                <w:color w:val="050606"/>
                <w:w w:val="95"/>
                <w:sz w:val="18"/>
                <w:szCs w:val="18"/>
              </w:rPr>
            </w:pPr>
            <w:r>
              <w:rPr>
                <w:w w:val="95"/>
                <w:sz w:val="18"/>
                <w:szCs w:val="18"/>
              </w:rPr>
              <w:t>15.07%</w:t>
            </w:r>
          </w:p>
        </w:tc>
      </w:tr>
      <w:tr w:rsidR="00965426" w:rsidRPr="00190D2E" w14:paraId="1859C6D3"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0CD01688" w14:textId="6B9D5D0B" w:rsidR="002A6B39" w:rsidRDefault="002A6B39" w:rsidP="00A976DD">
            <w:pPr>
              <w:pStyle w:val="TableParagraph"/>
              <w:kinsoku w:val="0"/>
              <w:overflowPunct w:val="0"/>
              <w:spacing w:before="100"/>
              <w:ind w:left="50"/>
              <w:rPr>
                <w:color w:val="050606"/>
                <w:sz w:val="18"/>
                <w:szCs w:val="18"/>
              </w:rPr>
            </w:pPr>
            <w:r w:rsidRPr="002A6B39">
              <w:rPr>
                <w:color w:val="050606"/>
                <w:sz w:val="18"/>
                <w:szCs w:val="18"/>
              </w:rPr>
              <w:t xml:space="preserve">Percentage of </w:t>
            </w:r>
            <w:r>
              <w:rPr>
                <w:color w:val="050606"/>
                <w:sz w:val="18"/>
                <w:szCs w:val="18"/>
              </w:rPr>
              <w:t xml:space="preserve">issued ordinary share capital of the Company </w:t>
            </w:r>
            <w:r w:rsidRPr="002A6B39">
              <w:rPr>
                <w:color w:val="050606"/>
                <w:sz w:val="18"/>
                <w:szCs w:val="18"/>
              </w:rPr>
              <w:t>represented by the Placing Shares</w:t>
            </w:r>
            <w:r>
              <w:rPr>
                <w:color w:val="050606"/>
                <w:sz w:val="18"/>
                <w:szCs w:val="18"/>
              </w:rPr>
              <w:t>,</w:t>
            </w:r>
            <w:r w:rsidRPr="002A6B39">
              <w:rPr>
                <w:color w:val="050606"/>
                <w:sz w:val="18"/>
                <w:szCs w:val="18"/>
              </w:rPr>
              <w:t xml:space="preserve"> Labrador Consideration Shares</w:t>
            </w:r>
            <w:r>
              <w:rPr>
                <w:color w:val="050606"/>
                <w:sz w:val="18"/>
                <w:szCs w:val="18"/>
              </w:rPr>
              <w:t xml:space="preserve"> and Labrador Consideration Warrants (assuming full exercise of Labrador Consideration Warrants and no exercise of any other Warrants or Options)</w:t>
            </w:r>
          </w:p>
          <w:p w14:paraId="13DA6B74" w14:textId="0E7DD7E5" w:rsidR="00965426" w:rsidRPr="00190D2E" w:rsidRDefault="00965426" w:rsidP="00A976DD">
            <w:pPr>
              <w:pStyle w:val="TableParagraph"/>
              <w:kinsoku w:val="0"/>
              <w:overflowPunct w:val="0"/>
              <w:spacing w:before="100"/>
              <w:ind w:left="50"/>
              <w:rPr>
                <w:color w:val="050606"/>
                <w:sz w:val="18"/>
                <w:szCs w:val="18"/>
              </w:rPr>
            </w:pPr>
            <w:r>
              <w:rPr>
                <w:color w:val="050606"/>
                <w:sz w:val="18"/>
                <w:szCs w:val="18"/>
              </w:rPr>
              <w:t>Placing</w:t>
            </w:r>
            <w:r w:rsidRPr="00190D2E">
              <w:rPr>
                <w:color w:val="050606"/>
                <w:sz w:val="18"/>
                <w:szCs w:val="18"/>
              </w:rPr>
              <w:t xml:space="preserve"> Price</w:t>
            </w:r>
          </w:p>
        </w:tc>
        <w:tc>
          <w:tcPr>
            <w:tcW w:w="2805" w:type="dxa"/>
            <w:tcBorders>
              <w:top w:val="none" w:sz="6" w:space="0" w:color="auto"/>
              <w:left w:val="none" w:sz="6" w:space="0" w:color="auto"/>
              <w:bottom w:val="none" w:sz="6" w:space="0" w:color="auto"/>
              <w:right w:val="none" w:sz="6" w:space="0" w:color="auto"/>
            </w:tcBorders>
          </w:tcPr>
          <w:p w14:paraId="76A53279" w14:textId="77777777" w:rsidR="002A6B39" w:rsidRDefault="002A6B39" w:rsidP="00A976DD">
            <w:pPr>
              <w:pStyle w:val="TableParagraph"/>
              <w:kinsoku w:val="0"/>
              <w:overflowPunct w:val="0"/>
              <w:spacing w:before="100"/>
              <w:ind w:right="48"/>
              <w:jc w:val="right"/>
              <w:rPr>
                <w:color w:val="050606"/>
                <w:w w:val="95"/>
                <w:sz w:val="18"/>
                <w:szCs w:val="18"/>
              </w:rPr>
            </w:pPr>
          </w:p>
          <w:p w14:paraId="7D35536F" w14:textId="77777777" w:rsidR="002A6B39" w:rsidRDefault="002A6B39" w:rsidP="00A976DD">
            <w:pPr>
              <w:pStyle w:val="TableParagraph"/>
              <w:kinsoku w:val="0"/>
              <w:overflowPunct w:val="0"/>
              <w:spacing w:before="100"/>
              <w:ind w:right="48"/>
              <w:jc w:val="right"/>
              <w:rPr>
                <w:color w:val="050606"/>
                <w:w w:val="95"/>
                <w:sz w:val="18"/>
                <w:szCs w:val="18"/>
              </w:rPr>
            </w:pPr>
          </w:p>
          <w:p w14:paraId="56A76668" w14:textId="1C3E2B7D" w:rsidR="002A6B39" w:rsidRDefault="00E517B7" w:rsidP="00A976DD">
            <w:pPr>
              <w:pStyle w:val="TableParagraph"/>
              <w:kinsoku w:val="0"/>
              <w:overflowPunct w:val="0"/>
              <w:spacing w:before="100"/>
              <w:ind w:right="48"/>
              <w:jc w:val="right"/>
              <w:rPr>
                <w:color w:val="050606"/>
                <w:w w:val="95"/>
                <w:sz w:val="18"/>
                <w:szCs w:val="18"/>
              </w:rPr>
            </w:pPr>
            <w:r>
              <w:rPr>
                <w:w w:val="95"/>
                <w:sz w:val="18"/>
                <w:szCs w:val="18"/>
              </w:rPr>
              <w:t>22.26%</w:t>
            </w:r>
          </w:p>
          <w:p w14:paraId="3D58F272" w14:textId="042B18C5" w:rsidR="00965426" w:rsidRPr="00190D2E" w:rsidRDefault="00965426" w:rsidP="00A976DD">
            <w:pPr>
              <w:pStyle w:val="TableParagraph"/>
              <w:kinsoku w:val="0"/>
              <w:overflowPunct w:val="0"/>
              <w:spacing w:before="100"/>
              <w:ind w:right="48"/>
              <w:jc w:val="right"/>
              <w:rPr>
                <w:color w:val="050606"/>
                <w:w w:val="95"/>
                <w:sz w:val="18"/>
                <w:szCs w:val="18"/>
              </w:rPr>
            </w:pPr>
            <w:r w:rsidRPr="00190D2E">
              <w:rPr>
                <w:color w:val="050606"/>
                <w:w w:val="95"/>
                <w:sz w:val="18"/>
                <w:szCs w:val="18"/>
              </w:rPr>
              <w:t>£</w:t>
            </w:r>
            <w:r w:rsidR="000F2D78">
              <w:rPr>
                <w:w w:val="95"/>
                <w:sz w:val="18"/>
                <w:szCs w:val="18"/>
              </w:rPr>
              <w:t>0.10p</w:t>
            </w:r>
          </w:p>
        </w:tc>
      </w:tr>
      <w:tr w:rsidR="00965426" w:rsidRPr="00190D2E" w14:paraId="72E72FFD"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472D4419" w14:textId="77777777" w:rsidR="00965426" w:rsidRPr="00190D2E" w:rsidRDefault="00965426" w:rsidP="00A976DD">
            <w:pPr>
              <w:pStyle w:val="TableParagraph"/>
              <w:kinsoku w:val="0"/>
              <w:overflowPunct w:val="0"/>
              <w:spacing w:before="101"/>
              <w:ind w:left="50"/>
              <w:rPr>
                <w:color w:val="050606"/>
                <w:sz w:val="18"/>
                <w:szCs w:val="18"/>
              </w:rPr>
            </w:pPr>
            <w:r w:rsidRPr="00190D2E">
              <w:rPr>
                <w:color w:val="050606"/>
                <w:sz w:val="18"/>
                <w:szCs w:val="18"/>
              </w:rPr>
              <w:t>Gross proceeds of the Placing</w:t>
            </w:r>
          </w:p>
        </w:tc>
        <w:tc>
          <w:tcPr>
            <w:tcW w:w="2805" w:type="dxa"/>
            <w:tcBorders>
              <w:top w:val="none" w:sz="6" w:space="0" w:color="auto"/>
              <w:left w:val="none" w:sz="6" w:space="0" w:color="auto"/>
              <w:bottom w:val="none" w:sz="6" w:space="0" w:color="auto"/>
              <w:right w:val="none" w:sz="6" w:space="0" w:color="auto"/>
            </w:tcBorders>
          </w:tcPr>
          <w:p w14:paraId="2E9A5CCF" w14:textId="5CA89A1C" w:rsidR="00965426" w:rsidRPr="00190D2E" w:rsidRDefault="00965426" w:rsidP="00A976DD">
            <w:pPr>
              <w:pStyle w:val="TableParagraph"/>
              <w:kinsoku w:val="0"/>
              <w:overflowPunct w:val="0"/>
              <w:spacing w:before="101"/>
              <w:ind w:right="48"/>
              <w:jc w:val="right"/>
              <w:rPr>
                <w:color w:val="050606"/>
                <w:sz w:val="18"/>
                <w:szCs w:val="18"/>
              </w:rPr>
            </w:pPr>
            <w:r w:rsidRPr="00190D2E">
              <w:rPr>
                <w:color w:val="050606"/>
                <w:sz w:val="18"/>
                <w:szCs w:val="18"/>
              </w:rPr>
              <w:t>£</w:t>
            </w:r>
            <w:r w:rsidR="00340CAA">
              <w:rPr>
                <w:sz w:val="18"/>
                <w:szCs w:val="18"/>
              </w:rPr>
              <w:t>800,000</w:t>
            </w:r>
          </w:p>
        </w:tc>
      </w:tr>
      <w:tr w:rsidR="00965426" w:rsidRPr="00190D2E" w14:paraId="71F54977"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2A28DEFE" w14:textId="77777777" w:rsidR="00965426" w:rsidRPr="00190D2E" w:rsidRDefault="00965426" w:rsidP="00A976DD">
            <w:pPr>
              <w:pStyle w:val="TableParagraph"/>
              <w:kinsoku w:val="0"/>
              <w:overflowPunct w:val="0"/>
              <w:spacing w:before="100"/>
              <w:ind w:left="50"/>
              <w:rPr>
                <w:color w:val="050606"/>
                <w:sz w:val="18"/>
                <w:szCs w:val="18"/>
              </w:rPr>
            </w:pPr>
            <w:r w:rsidRPr="00190D2E">
              <w:rPr>
                <w:color w:val="050606"/>
                <w:sz w:val="18"/>
                <w:szCs w:val="18"/>
              </w:rPr>
              <w:t>Estimated Net Proceeds receivable by the Company</w:t>
            </w:r>
          </w:p>
        </w:tc>
        <w:tc>
          <w:tcPr>
            <w:tcW w:w="2805" w:type="dxa"/>
            <w:tcBorders>
              <w:top w:val="none" w:sz="6" w:space="0" w:color="auto"/>
              <w:left w:val="none" w:sz="6" w:space="0" w:color="auto"/>
              <w:bottom w:val="none" w:sz="6" w:space="0" w:color="auto"/>
              <w:right w:val="none" w:sz="6" w:space="0" w:color="auto"/>
            </w:tcBorders>
          </w:tcPr>
          <w:p w14:paraId="7CFF8744" w14:textId="1D6D05B1" w:rsidR="00965426" w:rsidRPr="00190D2E" w:rsidRDefault="00965426" w:rsidP="00A976DD">
            <w:pPr>
              <w:pStyle w:val="TableParagraph"/>
              <w:kinsoku w:val="0"/>
              <w:overflowPunct w:val="0"/>
              <w:spacing w:before="100"/>
              <w:ind w:right="48"/>
              <w:jc w:val="right"/>
              <w:rPr>
                <w:color w:val="050606"/>
                <w:sz w:val="18"/>
                <w:szCs w:val="18"/>
              </w:rPr>
            </w:pPr>
            <w:r w:rsidRPr="00190D2E">
              <w:rPr>
                <w:color w:val="050606"/>
                <w:sz w:val="18"/>
                <w:szCs w:val="18"/>
              </w:rPr>
              <w:t>£</w:t>
            </w:r>
            <w:r w:rsidR="007375BD">
              <w:rPr>
                <w:sz w:val="18"/>
                <w:szCs w:val="18"/>
              </w:rPr>
              <w:t>700,000</w:t>
            </w:r>
          </w:p>
        </w:tc>
      </w:tr>
      <w:tr w:rsidR="00965426" w:rsidRPr="00190D2E" w14:paraId="3BF43BB4" w14:textId="77777777" w:rsidTr="00A976DD">
        <w:trPr>
          <w:trHeight w:val="621"/>
        </w:trPr>
        <w:tc>
          <w:tcPr>
            <w:tcW w:w="6097" w:type="dxa"/>
            <w:tcBorders>
              <w:top w:val="none" w:sz="6" w:space="0" w:color="auto"/>
              <w:left w:val="none" w:sz="6" w:space="0" w:color="auto"/>
              <w:bottom w:val="none" w:sz="6" w:space="0" w:color="auto"/>
              <w:right w:val="none" w:sz="6" w:space="0" w:color="auto"/>
            </w:tcBorders>
          </w:tcPr>
          <w:p w14:paraId="6A104D8B" w14:textId="6DB56F80" w:rsidR="00965426" w:rsidRPr="00190D2E" w:rsidRDefault="00965426" w:rsidP="00A976DD">
            <w:pPr>
              <w:pStyle w:val="TableParagraph"/>
              <w:kinsoku w:val="0"/>
              <w:overflowPunct w:val="0"/>
              <w:spacing w:before="101"/>
              <w:ind w:left="50" w:right="1344"/>
              <w:rPr>
                <w:color w:val="050606"/>
                <w:sz w:val="18"/>
                <w:szCs w:val="18"/>
              </w:rPr>
            </w:pPr>
            <w:r w:rsidRPr="00190D2E">
              <w:rPr>
                <w:color w:val="050606"/>
                <w:sz w:val="18"/>
                <w:szCs w:val="18"/>
              </w:rPr>
              <w:t xml:space="preserve">Estimated expenses of </w:t>
            </w:r>
            <w:r>
              <w:rPr>
                <w:color w:val="050606"/>
                <w:sz w:val="18"/>
                <w:szCs w:val="18"/>
              </w:rPr>
              <w:t>Placing</w:t>
            </w:r>
            <w:r w:rsidR="00D7402D">
              <w:rPr>
                <w:color w:val="050606"/>
                <w:sz w:val="18"/>
                <w:szCs w:val="18"/>
              </w:rPr>
              <w:t xml:space="preserve">, Labrador Acquisition and </w:t>
            </w:r>
            <w:r w:rsidRPr="00190D2E">
              <w:rPr>
                <w:color w:val="050606"/>
                <w:sz w:val="18"/>
                <w:szCs w:val="18"/>
              </w:rPr>
              <w:t>Admission (excluding VAT)</w:t>
            </w:r>
          </w:p>
        </w:tc>
        <w:tc>
          <w:tcPr>
            <w:tcW w:w="2805" w:type="dxa"/>
            <w:tcBorders>
              <w:top w:val="none" w:sz="6" w:space="0" w:color="auto"/>
              <w:left w:val="none" w:sz="6" w:space="0" w:color="auto"/>
              <w:bottom w:val="none" w:sz="6" w:space="0" w:color="auto"/>
              <w:right w:val="none" w:sz="6" w:space="0" w:color="auto"/>
            </w:tcBorders>
          </w:tcPr>
          <w:p w14:paraId="0E7BBC52" w14:textId="35777410" w:rsidR="00965426" w:rsidRPr="00190D2E" w:rsidRDefault="00965426" w:rsidP="00A976DD">
            <w:pPr>
              <w:pStyle w:val="TableParagraph"/>
              <w:kinsoku w:val="0"/>
              <w:overflowPunct w:val="0"/>
              <w:spacing w:before="101"/>
              <w:ind w:right="48"/>
              <w:jc w:val="right"/>
              <w:rPr>
                <w:color w:val="050606"/>
                <w:sz w:val="18"/>
                <w:szCs w:val="18"/>
              </w:rPr>
            </w:pPr>
            <w:r w:rsidRPr="00190D2E">
              <w:rPr>
                <w:color w:val="050606"/>
                <w:sz w:val="18"/>
                <w:szCs w:val="18"/>
              </w:rPr>
              <w:t>£</w:t>
            </w:r>
            <w:r w:rsidR="007375BD">
              <w:rPr>
                <w:sz w:val="18"/>
                <w:szCs w:val="18"/>
              </w:rPr>
              <w:t>150,000</w:t>
            </w:r>
          </w:p>
        </w:tc>
      </w:tr>
      <w:tr w:rsidR="00965426" w:rsidRPr="00190D2E" w14:paraId="1947153B" w14:textId="77777777" w:rsidTr="00A976DD">
        <w:trPr>
          <w:trHeight w:val="413"/>
        </w:trPr>
        <w:tc>
          <w:tcPr>
            <w:tcW w:w="6097" w:type="dxa"/>
            <w:tcBorders>
              <w:top w:val="none" w:sz="6" w:space="0" w:color="auto"/>
              <w:left w:val="none" w:sz="6" w:space="0" w:color="auto"/>
              <w:bottom w:val="none" w:sz="6" w:space="0" w:color="auto"/>
              <w:right w:val="none" w:sz="6" w:space="0" w:color="auto"/>
            </w:tcBorders>
          </w:tcPr>
          <w:p w14:paraId="23A33EC9" w14:textId="77777777" w:rsidR="00965426" w:rsidRPr="00190D2E" w:rsidRDefault="00965426" w:rsidP="00A976DD">
            <w:pPr>
              <w:pStyle w:val="TableParagraph"/>
              <w:kinsoku w:val="0"/>
              <w:overflowPunct w:val="0"/>
              <w:spacing w:before="101"/>
              <w:ind w:left="50"/>
              <w:rPr>
                <w:color w:val="050606"/>
                <w:sz w:val="18"/>
                <w:szCs w:val="18"/>
              </w:rPr>
            </w:pPr>
            <w:r w:rsidRPr="00190D2E">
              <w:rPr>
                <w:color w:val="050606"/>
                <w:sz w:val="18"/>
                <w:szCs w:val="18"/>
              </w:rPr>
              <w:t>Total Warrants in issue on Admission</w:t>
            </w:r>
            <w:r>
              <w:rPr>
                <w:color w:val="050606"/>
                <w:sz w:val="18"/>
                <w:szCs w:val="18"/>
              </w:rPr>
              <w:t>, including the Labrador Consideration Warrants</w:t>
            </w:r>
          </w:p>
        </w:tc>
        <w:tc>
          <w:tcPr>
            <w:tcW w:w="2805" w:type="dxa"/>
            <w:tcBorders>
              <w:top w:val="none" w:sz="6" w:space="0" w:color="auto"/>
              <w:left w:val="none" w:sz="6" w:space="0" w:color="auto"/>
              <w:bottom w:val="none" w:sz="6" w:space="0" w:color="auto"/>
              <w:right w:val="none" w:sz="6" w:space="0" w:color="auto"/>
            </w:tcBorders>
          </w:tcPr>
          <w:p w14:paraId="48AC690E" w14:textId="28828B20" w:rsidR="00965426" w:rsidRPr="00190D2E" w:rsidRDefault="00965426" w:rsidP="00A976DD">
            <w:pPr>
              <w:pStyle w:val="TableParagraph"/>
              <w:kinsoku w:val="0"/>
              <w:overflowPunct w:val="0"/>
              <w:spacing w:before="101"/>
              <w:ind w:right="48"/>
              <w:jc w:val="right"/>
              <w:rPr>
                <w:color w:val="050606"/>
                <w:sz w:val="18"/>
                <w:szCs w:val="18"/>
              </w:rPr>
            </w:pPr>
            <w:r>
              <w:rPr>
                <w:color w:val="050606"/>
                <w:sz w:val="18"/>
                <w:szCs w:val="18"/>
              </w:rPr>
              <w:t>17</w:t>
            </w:r>
            <w:r w:rsidRPr="00190D2E">
              <w:rPr>
                <w:color w:val="050606"/>
                <w:sz w:val="18"/>
                <w:szCs w:val="18"/>
              </w:rPr>
              <w:t>,</w:t>
            </w:r>
            <w:r w:rsidR="00176F97">
              <w:rPr>
                <w:color w:val="050606"/>
                <w:sz w:val="18"/>
                <w:szCs w:val="18"/>
              </w:rPr>
              <w:t>1</w:t>
            </w:r>
            <w:r w:rsidRPr="00190D2E">
              <w:rPr>
                <w:color w:val="050606"/>
                <w:sz w:val="18"/>
                <w:szCs w:val="18"/>
              </w:rPr>
              <w:t>64,889</w:t>
            </w:r>
          </w:p>
        </w:tc>
      </w:tr>
      <w:tr w:rsidR="00965426" w:rsidRPr="00190D2E" w14:paraId="3CDD93EE" w14:textId="77777777" w:rsidTr="00A976DD">
        <w:trPr>
          <w:trHeight w:val="306"/>
        </w:trPr>
        <w:tc>
          <w:tcPr>
            <w:tcW w:w="6097" w:type="dxa"/>
            <w:tcBorders>
              <w:top w:val="none" w:sz="6" w:space="0" w:color="auto"/>
              <w:left w:val="none" w:sz="6" w:space="0" w:color="auto"/>
              <w:bottom w:val="none" w:sz="6" w:space="0" w:color="auto"/>
              <w:right w:val="none" w:sz="6" w:space="0" w:color="auto"/>
            </w:tcBorders>
          </w:tcPr>
          <w:p w14:paraId="5706356D" w14:textId="77777777" w:rsidR="00965426" w:rsidRPr="00190D2E" w:rsidRDefault="00965426" w:rsidP="00A976DD">
            <w:pPr>
              <w:pStyle w:val="TableParagraph"/>
              <w:kinsoku w:val="0"/>
              <w:overflowPunct w:val="0"/>
              <w:spacing w:before="100" w:line="187" w:lineRule="exact"/>
              <w:ind w:left="50"/>
              <w:rPr>
                <w:color w:val="050606"/>
                <w:sz w:val="18"/>
                <w:szCs w:val="18"/>
              </w:rPr>
            </w:pPr>
            <w:r w:rsidRPr="00190D2E">
              <w:rPr>
                <w:color w:val="050606"/>
                <w:sz w:val="18"/>
                <w:szCs w:val="18"/>
              </w:rPr>
              <w:t>Total Options in issue on Admission</w:t>
            </w:r>
          </w:p>
        </w:tc>
        <w:tc>
          <w:tcPr>
            <w:tcW w:w="2805" w:type="dxa"/>
            <w:tcBorders>
              <w:top w:val="none" w:sz="6" w:space="0" w:color="auto"/>
              <w:left w:val="none" w:sz="6" w:space="0" w:color="auto"/>
              <w:bottom w:val="none" w:sz="6" w:space="0" w:color="auto"/>
              <w:right w:val="none" w:sz="6" w:space="0" w:color="auto"/>
            </w:tcBorders>
          </w:tcPr>
          <w:p w14:paraId="243C6AE5" w14:textId="59F9F8E5" w:rsidR="00965426" w:rsidRPr="00190D2E" w:rsidRDefault="00035FF0" w:rsidP="00A976DD">
            <w:pPr>
              <w:pStyle w:val="TableParagraph"/>
              <w:kinsoku w:val="0"/>
              <w:overflowPunct w:val="0"/>
              <w:spacing w:before="100" w:line="187" w:lineRule="exact"/>
              <w:ind w:right="48"/>
              <w:jc w:val="right"/>
              <w:rPr>
                <w:color w:val="050606"/>
                <w:sz w:val="18"/>
                <w:szCs w:val="18"/>
              </w:rPr>
            </w:pPr>
            <w:r>
              <w:rPr>
                <w:color w:val="050606"/>
                <w:sz w:val="18"/>
                <w:szCs w:val="18"/>
              </w:rPr>
              <w:t>13,755,000</w:t>
            </w:r>
          </w:p>
        </w:tc>
      </w:tr>
    </w:tbl>
    <w:p w14:paraId="5AB7D3FC" w14:textId="77777777" w:rsidR="00783288" w:rsidRDefault="00783288">
      <w:pPr>
        <w:rPr>
          <w:b/>
          <w:bCs/>
          <w:sz w:val="16"/>
          <w:szCs w:val="16"/>
        </w:rPr>
        <w:sectPr w:rsidR="00783288">
          <w:type w:val="continuous"/>
          <w:pgSz w:w="11900" w:h="16840"/>
          <w:pgMar w:top="1360" w:right="240" w:bottom="280" w:left="1140" w:header="720" w:footer="720" w:gutter="0"/>
          <w:cols w:space="720" w:equalWidth="0">
            <w:col w:w="10520"/>
          </w:cols>
          <w:noEndnote/>
        </w:sectPr>
      </w:pPr>
    </w:p>
    <w:p w14:paraId="594C4835" w14:textId="77777777" w:rsidR="00783288" w:rsidRDefault="00E31420">
      <w:pPr>
        <w:pStyle w:val="BodyText"/>
        <w:kinsoku w:val="0"/>
        <w:overflowPunct w:val="0"/>
        <w:spacing w:before="74"/>
        <w:ind w:left="379" w:right="1271"/>
        <w:jc w:val="center"/>
        <w:rPr>
          <w:b/>
          <w:bCs/>
          <w:color w:val="050606"/>
        </w:rPr>
      </w:pPr>
      <w:r>
        <w:rPr>
          <w:b/>
          <w:bCs/>
          <w:color w:val="050606"/>
        </w:rPr>
        <w:lastRenderedPageBreak/>
        <w:t>DIRECTORS AND ADVISERS</w:t>
      </w:r>
    </w:p>
    <w:p w14:paraId="5E7AF50A" w14:textId="77777777" w:rsidR="00783288" w:rsidRDefault="00783288">
      <w:pPr>
        <w:pStyle w:val="BodyText"/>
        <w:kinsoku w:val="0"/>
        <w:overflowPunct w:val="0"/>
        <w:spacing w:before="3"/>
        <w:rPr>
          <w:b/>
          <w:bCs/>
        </w:rPr>
      </w:pPr>
    </w:p>
    <w:p w14:paraId="2E176E08" w14:textId="77777777" w:rsidR="008D50CF" w:rsidRDefault="00E31420">
      <w:pPr>
        <w:pStyle w:val="BodyText"/>
        <w:tabs>
          <w:tab w:val="left" w:pos="4914"/>
        </w:tabs>
        <w:kinsoku w:val="0"/>
        <w:overflowPunct w:val="0"/>
        <w:ind w:left="4914" w:right="1989" w:hanging="4507"/>
        <w:rPr>
          <w:color w:val="050606"/>
        </w:rPr>
      </w:pPr>
      <w:r>
        <w:rPr>
          <w:color w:val="050606"/>
        </w:rPr>
        <w:t>Directors</w:t>
      </w:r>
      <w:r>
        <w:rPr>
          <w:color w:val="050606"/>
        </w:rPr>
        <w:tab/>
        <w:t>Martin Stephen French (Executive Chairman)</w:t>
      </w:r>
    </w:p>
    <w:p w14:paraId="53E4E3E0" w14:textId="77777777" w:rsidR="008D50CF" w:rsidRDefault="008D50CF">
      <w:pPr>
        <w:pStyle w:val="BodyText"/>
        <w:tabs>
          <w:tab w:val="left" w:pos="4914"/>
        </w:tabs>
        <w:kinsoku w:val="0"/>
        <w:overflowPunct w:val="0"/>
        <w:ind w:left="4914" w:right="1989" w:hanging="4507"/>
        <w:rPr>
          <w:color w:val="050606"/>
        </w:rPr>
      </w:pPr>
      <w:r>
        <w:rPr>
          <w:color w:val="050606"/>
        </w:rPr>
        <w:tab/>
        <w:t>Ajay Kejriwal (Executive Director and Chief Financial Officer)</w:t>
      </w:r>
      <w:r w:rsidR="00E31420">
        <w:rPr>
          <w:color w:val="050606"/>
        </w:rPr>
        <w:t xml:space="preserve"> </w:t>
      </w:r>
    </w:p>
    <w:p w14:paraId="0F06E058" w14:textId="77777777" w:rsidR="00783288" w:rsidRDefault="008D50CF">
      <w:pPr>
        <w:pStyle w:val="BodyText"/>
        <w:tabs>
          <w:tab w:val="left" w:pos="4914"/>
        </w:tabs>
        <w:kinsoku w:val="0"/>
        <w:overflowPunct w:val="0"/>
        <w:ind w:left="4914" w:right="1989" w:hanging="4507"/>
        <w:rPr>
          <w:color w:val="050606"/>
        </w:rPr>
      </w:pPr>
      <w:r>
        <w:rPr>
          <w:color w:val="050606"/>
        </w:rPr>
        <w:tab/>
      </w:r>
      <w:r w:rsidR="00E31420">
        <w:rPr>
          <w:color w:val="050606"/>
        </w:rPr>
        <w:t>David Charles Cliff (Non-Executive Director) Peter Damouni (Non-Executive</w:t>
      </w:r>
      <w:r w:rsidR="00E31420">
        <w:rPr>
          <w:color w:val="050606"/>
          <w:spacing w:val="-3"/>
        </w:rPr>
        <w:t xml:space="preserve"> </w:t>
      </w:r>
      <w:r w:rsidR="00E31420">
        <w:rPr>
          <w:color w:val="050606"/>
        </w:rPr>
        <w:t>Director)</w:t>
      </w:r>
    </w:p>
    <w:p w14:paraId="15D94CE3" w14:textId="77777777" w:rsidR="00227F49" w:rsidRDefault="00227F49">
      <w:pPr>
        <w:pStyle w:val="BodyText"/>
        <w:tabs>
          <w:tab w:val="left" w:pos="4914"/>
        </w:tabs>
        <w:kinsoku w:val="0"/>
        <w:overflowPunct w:val="0"/>
        <w:ind w:left="4914" w:right="1989" w:hanging="4507"/>
        <w:rPr>
          <w:color w:val="050606"/>
        </w:rPr>
      </w:pPr>
      <w:r>
        <w:rPr>
          <w:color w:val="050606"/>
        </w:rPr>
        <w:tab/>
      </w:r>
      <w:proofErr w:type="spellStart"/>
      <w:r>
        <w:rPr>
          <w:color w:val="050606"/>
        </w:rPr>
        <w:t>Evgeny</w:t>
      </w:r>
      <w:proofErr w:type="spellEnd"/>
      <w:r>
        <w:rPr>
          <w:color w:val="050606"/>
        </w:rPr>
        <w:t xml:space="preserve"> </w:t>
      </w:r>
      <w:proofErr w:type="spellStart"/>
      <w:r>
        <w:rPr>
          <w:color w:val="050606"/>
        </w:rPr>
        <w:t>Vrublevskiy</w:t>
      </w:r>
      <w:proofErr w:type="spellEnd"/>
      <w:r>
        <w:rPr>
          <w:color w:val="050606"/>
        </w:rPr>
        <w:t xml:space="preserve"> (Non-Executive Director)</w:t>
      </w:r>
    </w:p>
    <w:p w14:paraId="4C676DCA" w14:textId="77777777" w:rsidR="008D50CF" w:rsidRDefault="008D50CF">
      <w:pPr>
        <w:pStyle w:val="BodyText"/>
        <w:tabs>
          <w:tab w:val="left" w:pos="4914"/>
        </w:tabs>
        <w:kinsoku w:val="0"/>
        <w:overflowPunct w:val="0"/>
        <w:ind w:left="4914" w:right="1989" w:hanging="4507"/>
        <w:rPr>
          <w:color w:val="050606"/>
        </w:rPr>
      </w:pPr>
      <w:r>
        <w:rPr>
          <w:color w:val="050606"/>
        </w:rPr>
        <w:tab/>
        <w:t>Paul Ensor (Non-Executive Director)</w:t>
      </w:r>
    </w:p>
    <w:p w14:paraId="36EBC99B" w14:textId="77777777" w:rsidR="00783288" w:rsidRDefault="00783288">
      <w:pPr>
        <w:pStyle w:val="BodyText"/>
        <w:kinsoku w:val="0"/>
        <w:overflowPunct w:val="0"/>
      </w:pPr>
    </w:p>
    <w:p w14:paraId="0EA21661" w14:textId="77777777" w:rsidR="00783288" w:rsidRDefault="00E31420">
      <w:pPr>
        <w:pStyle w:val="BodyText"/>
        <w:kinsoku w:val="0"/>
        <w:overflowPunct w:val="0"/>
        <w:ind w:left="4914"/>
        <w:rPr>
          <w:color w:val="050606"/>
        </w:rPr>
      </w:pPr>
      <w:r>
        <w:rPr>
          <w:color w:val="050606"/>
        </w:rPr>
        <w:t>all c/o the Registered Office</w:t>
      </w:r>
    </w:p>
    <w:p w14:paraId="7B413D42" w14:textId="77777777" w:rsidR="00783288" w:rsidRDefault="00783288">
      <w:pPr>
        <w:pStyle w:val="BodyText"/>
        <w:kinsoku w:val="0"/>
        <w:overflowPunct w:val="0"/>
        <w:spacing w:before="1"/>
      </w:pPr>
    </w:p>
    <w:p w14:paraId="10D80BC2" w14:textId="77777777" w:rsidR="00783288" w:rsidRDefault="00E31420">
      <w:pPr>
        <w:pStyle w:val="BodyText"/>
        <w:tabs>
          <w:tab w:val="left" w:pos="4914"/>
        </w:tabs>
        <w:kinsoku w:val="0"/>
        <w:overflowPunct w:val="0"/>
        <w:spacing w:before="1" w:line="207" w:lineRule="exact"/>
        <w:ind w:left="408"/>
        <w:rPr>
          <w:color w:val="050606"/>
        </w:rPr>
      </w:pPr>
      <w:r>
        <w:rPr>
          <w:color w:val="050606"/>
        </w:rPr>
        <w:t>Registered</w:t>
      </w:r>
      <w:r>
        <w:rPr>
          <w:color w:val="050606"/>
          <w:spacing w:val="-2"/>
        </w:rPr>
        <w:t xml:space="preserve"> </w:t>
      </w:r>
      <w:r>
        <w:rPr>
          <w:color w:val="050606"/>
        </w:rPr>
        <w:t>Office</w:t>
      </w:r>
      <w:r>
        <w:rPr>
          <w:color w:val="050606"/>
        </w:rPr>
        <w:tab/>
        <w:t>7-9 Swallow</w:t>
      </w:r>
      <w:r>
        <w:rPr>
          <w:color w:val="050606"/>
          <w:spacing w:val="-2"/>
        </w:rPr>
        <w:t xml:space="preserve"> </w:t>
      </w:r>
      <w:r>
        <w:rPr>
          <w:color w:val="050606"/>
        </w:rPr>
        <w:t>Street</w:t>
      </w:r>
    </w:p>
    <w:p w14:paraId="4B47D1D7" w14:textId="77777777" w:rsidR="00783288" w:rsidRDefault="00E31420">
      <w:pPr>
        <w:pStyle w:val="BodyText"/>
        <w:kinsoku w:val="0"/>
        <w:overflowPunct w:val="0"/>
        <w:ind w:left="4914" w:right="4795"/>
        <w:rPr>
          <w:color w:val="050606"/>
        </w:rPr>
      </w:pPr>
      <w:r>
        <w:rPr>
          <w:color w:val="050606"/>
        </w:rPr>
        <w:t>London England W1B 4DE</w:t>
      </w:r>
    </w:p>
    <w:p w14:paraId="1D4A0012" w14:textId="77777777" w:rsidR="00783288" w:rsidRDefault="00783288">
      <w:pPr>
        <w:pStyle w:val="BodyText"/>
        <w:kinsoku w:val="0"/>
        <w:overflowPunct w:val="0"/>
        <w:spacing w:before="11"/>
        <w:rPr>
          <w:sz w:val="17"/>
          <w:szCs w:val="17"/>
        </w:rPr>
      </w:pPr>
    </w:p>
    <w:p w14:paraId="3AF179A6" w14:textId="77777777" w:rsidR="00783288" w:rsidRDefault="00E31420">
      <w:pPr>
        <w:pStyle w:val="BodyText"/>
        <w:tabs>
          <w:tab w:val="left" w:pos="4914"/>
        </w:tabs>
        <w:kinsoku w:val="0"/>
        <w:overflowPunct w:val="0"/>
        <w:ind w:left="4914" w:right="3469" w:hanging="4507"/>
        <w:rPr>
          <w:color w:val="050606"/>
        </w:rPr>
      </w:pPr>
      <w:r>
        <w:rPr>
          <w:color w:val="050606"/>
        </w:rPr>
        <w:t>Company</w:t>
      </w:r>
      <w:r>
        <w:rPr>
          <w:color w:val="050606"/>
          <w:spacing w:val="-3"/>
        </w:rPr>
        <w:t xml:space="preserve"> </w:t>
      </w:r>
      <w:r>
        <w:rPr>
          <w:color w:val="050606"/>
        </w:rPr>
        <w:t>Secretary</w:t>
      </w:r>
      <w:r>
        <w:rPr>
          <w:color w:val="050606"/>
        </w:rPr>
        <w:tab/>
      </w:r>
      <w:proofErr w:type="spellStart"/>
      <w:r>
        <w:rPr>
          <w:color w:val="050606"/>
        </w:rPr>
        <w:t>Heytesbury</w:t>
      </w:r>
      <w:proofErr w:type="spellEnd"/>
      <w:r>
        <w:rPr>
          <w:color w:val="050606"/>
        </w:rPr>
        <w:t xml:space="preserve"> Corporate LLP 7-9 Swallow Street London</w:t>
      </w:r>
    </w:p>
    <w:p w14:paraId="5CD4973D" w14:textId="77777777" w:rsidR="00783288" w:rsidRDefault="00E31420">
      <w:pPr>
        <w:pStyle w:val="BodyText"/>
        <w:kinsoku w:val="0"/>
        <w:overflowPunct w:val="0"/>
        <w:ind w:left="4914" w:right="4795"/>
        <w:rPr>
          <w:color w:val="050606"/>
        </w:rPr>
      </w:pPr>
      <w:r>
        <w:rPr>
          <w:color w:val="050606"/>
        </w:rPr>
        <w:t>England W1B 4DE</w:t>
      </w:r>
    </w:p>
    <w:p w14:paraId="62BAF95E" w14:textId="77777777" w:rsidR="00783288" w:rsidRDefault="00783288">
      <w:pPr>
        <w:pStyle w:val="BodyText"/>
        <w:kinsoku w:val="0"/>
        <w:overflowPunct w:val="0"/>
        <w:spacing w:before="1"/>
      </w:pPr>
    </w:p>
    <w:p w14:paraId="39FD6ECE" w14:textId="77777777" w:rsidR="00783288" w:rsidRDefault="00E31420">
      <w:pPr>
        <w:pStyle w:val="BodyText"/>
        <w:tabs>
          <w:tab w:val="left" w:pos="4914"/>
        </w:tabs>
        <w:kinsoku w:val="0"/>
        <w:overflowPunct w:val="0"/>
        <w:ind w:left="408"/>
        <w:rPr>
          <w:color w:val="231F20"/>
        </w:rPr>
      </w:pPr>
      <w:r>
        <w:rPr>
          <w:color w:val="050606"/>
        </w:rPr>
        <w:t>Company</w:t>
      </w:r>
      <w:r>
        <w:rPr>
          <w:color w:val="050606"/>
          <w:spacing w:val="-6"/>
        </w:rPr>
        <w:t xml:space="preserve"> </w:t>
      </w:r>
      <w:r>
        <w:rPr>
          <w:color w:val="050606"/>
        </w:rPr>
        <w:t>Website</w:t>
      </w:r>
      <w:r>
        <w:rPr>
          <w:color w:val="050606"/>
        </w:rPr>
        <w:tab/>
      </w:r>
      <w:hyperlink r:id="rId15" w:history="1">
        <w:r>
          <w:rPr>
            <w:color w:val="231F20"/>
          </w:rPr>
          <w:t>www.chesterfieldresourcesplc.com</w:t>
        </w:r>
      </w:hyperlink>
    </w:p>
    <w:p w14:paraId="4A909EA4" w14:textId="77777777" w:rsidR="00783288" w:rsidRDefault="00783288">
      <w:pPr>
        <w:pStyle w:val="BodyText"/>
        <w:kinsoku w:val="0"/>
        <w:overflowPunct w:val="0"/>
        <w:spacing w:before="10"/>
        <w:rPr>
          <w:sz w:val="17"/>
          <w:szCs w:val="17"/>
        </w:rPr>
      </w:pPr>
    </w:p>
    <w:p w14:paraId="46AEC930" w14:textId="77777777" w:rsidR="0061593A" w:rsidRDefault="0061593A" w:rsidP="0061593A">
      <w:pPr>
        <w:pStyle w:val="BodyText"/>
        <w:kinsoku w:val="0"/>
        <w:overflowPunct w:val="0"/>
        <w:spacing w:line="206" w:lineRule="exact"/>
        <w:rPr>
          <w:color w:val="050606"/>
        </w:rPr>
      </w:pPr>
    </w:p>
    <w:p w14:paraId="3A690616" w14:textId="30D7E434" w:rsidR="0061593A" w:rsidRDefault="0061593A" w:rsidP="0061593A">
      <w:pPr>
        <w:pStyle w:val="BodyText"/>
        <w:tabs>
          <w:tab w:val="left" w:pos="4914"/>
        </w:tabs>
        <w:kinsoku w:val="0"/>
        <w:overflowPunct w:val="0"/>
        <w:spacing w:line="207" w:lineRule="exact"/>
        <w:ind w:left="408"/>
        <w:rPr>
          <w:color w:val="050606"/>
        </w:rPr>
      </w:pPr>
      <w:r>
        <w:rPr>
          <w:color w:val="050606"/>
        </w:rPr>
        <w:t>Broker</w:t>
      </w:r>
      <w:r w:rsidR="0019125A">
        <w:rPr>
          <w:color w:val="050606"/>
        </w:rPr>
        <w:t xml:space="preserve"> to the Placing</w:t>
      </w:r>
      <w:r>
        <w:rPr>
          <w:color w:val="050606"/>
        </w:rPr>
        <w:tab/>
        <w:t>Panmure Gordon (UK) Limited</w:t>
      </w:r>
    </w:p>
    <w:p w14:paraId="6A1B570D" w14:textId="77777777" w:rsidR="0061593A" w:rsidRDefault="0061593A" w:rsidP="0061593A">
      <w:pPr>
        <w:pStyle w:val="BodyText"/>
        <w:kinsoku w:val="0"/>
        <w:overflowPunct w:val="0"/>
        <w:spacing w:line="207" w:lineRule="exact"/>
        <w:ind w:left="4914"/>
        <w:rPr>
          <w:color w:val="050606"/>
        </w:rPr>
      </w:pPr>
      <w:r>
        <w:rPr>
          <w:color w:val="050606"/>
        </w:rPr>
        <w:t>One New Change</w:t>
      </w:r>
    </w:p>
    <w:p w14:paraId="35E77E7E" w14:textId="77777777" w:rsidR="0061593A" w:rsidRDefault="0061593A" w:rsidP="0061593A">
      <w:pPr>
        <w:pStyle w:val="BodyText"/>
        <w:kinsoku w:val="0"/>
        <w:overflowPunct w:val="0"/>
        <w:spacing w:before="2"/>
        <w:ind w:left="4914" w:right="3955"/>
        <w:rPr>
          <w:color w:val="050606"/>
        </w:rPr>
      </w:pPr>
      <w:r>
        <w:rPr>
          <w:color w:val="050606"/>
        </w:rPr>
        <w:t>London</w:t>
      </w:r>
    </w:p>
    <w:p w14:paraId="46ECA2DE" w14:textId="168DCCEC" w:rsidR="00F13FDD" w:rsidRDefault="0061593A" w:rsidP="00F13FDD">
      <w:pPr>
        <w:pStyle w:val="BodyText"/>
        <w:kinsoku w:val="0"/>
        <w:overflowPunct w:val="0"/>
        <w:spacing w:line="206" w:lineRule="exact"/>
        <w:ind w:left="4320" w:firstLine="594"/>
        <w:rPr>
          <w:color w:val="050606"/>
        </w:rPr>
      </w:pPr>
      <w:r>
        <w:rPr>
          <w:color w:val="050606"/>
        </w:rPr>
        <w:t>EC4M 9AF</w:t>
      </w:r>
    </w:p>
    <w:p w14:paraId="6494BF7A" w14:textId="77777777" w:rsidR="00783288" w:rsidRDefault="00783288" w:rsidP="00F13FDD">
      <w:pPr>
        <w:pStyle w:val="BodyText"/>
        <w:kinsoku w:val="0"/>
        <w:overflowPunct w:val="0"/>
        <w:spacing w:before="1"/>
        <w:ind w:left="4320" w:firstLine="594"/>
      </w:pPr>
    </w:p>
    <w:p w14:paraId="39829F76" w14:textId="77777777" w:rsidR="00783288" w:rsidRDefault="00E31420">
      <w:pPr>
        <w:pStyle w:val="BodyText"/>
        <w:tabs>
          <w:tab w:val="left" w:pos="4914"/>
        </w:tabs>
        <w:kinsoku w:val="0"/>
        <w:overflowPunct w:val="0"/>
        <w:spacing w:line="207" w:lineRule="exact"/>
        <w:ind w:left="408"/>
        <w:rPr>
          <w:color w:val="050606"/>
        </w:rPr>
      </w:pPr>
      <w:r>
        <w:rPr>
          <w:color w:val="050606"/>
        </w:rPr>
        <w:t>Reporting Accountants and Auditor to</w:t>
      </w:r>
      <w:r>
        <w:rPr>
          <w:color w:val="050606"/>
          <w:spacing w:val="-12"/>
        </w:rPr>
        <w:t xml:space="preserve"> </w:t>
      </w:r>
      <w:r>
        <w:rPr>
          <w:color w:val="050606"/>
        </w:rPr>
        <w:t>the</w:t>
      </w:r>
      <w:r>
        <w:rPr>
          <w:color w:val="050606"/>
          <w:spacing w:val="-2"/>
        </w:rPr>
        <w:t xml:space="preserve"> </w:t>
      </w:r>
      <w:r>
        <w:rPr>
          <w:color w:val="050606"/>
        </w:rPr>
        <w:t>Company</w:t>
      </w:r>
      <w:r>
        <w:rPr>
          <w:color w:val="050606"/>
        </w:rPr>
        <w:tab/>
        <w:t>PKF Littlejohn</w:t>
      </w:r>
      <w:r>
        <w:rPr>
          <w:color w:val="050606"/>
          <w:spacing w:val="2"/>
        </w:rPr>
        <w:t xml:space="preserve"> </w:t>
      </w:r>
      <w:r>
        <w:rPr>
          <w:color w:val="050606"/>
        </w:rPr>
        <w:t>LLP</w:t>
      </w:r>
    </w:p>
    <w:p w14:paraId="632C3A2C" w14:textId="77777777" w:rsidR="00783288" w:rsidRDefault="00E31420">
      <w:pPr>
        <w:pStyle w:val="BodyText"/>
        <w:kinsoku w:val="0"/>
        <w:overflowPunct w:val="0"/>
        <w:ind w:left="4914" w:right="4005"/>
        <w:rPr>
          <w:color w:val="050606"/>
        </w:rPr>
      </w:pPr>
      <w:r>
        <w:rPr>
          <w:color w:val="050606"/>
        </w:rPr>
        <w:t xml:space="preserve">15 </w:t>
      </w:r>
      <w:proofErr w:type="spellStart"/>
      <w:r>
        <w:rPr>
          <w:color w:val="050606"/>
        </w:rPr>
        <w:t>Westferry</w:t>
      </w:r>
      <w:proofErr w:type="spellEnd"/>
      <w:r>
        <w:rPr>
          <w:color w:val="050606"/>
        </w:rPr>
        <w:t xml:space="preserve"> Circus Canary Wharf London</w:t>
      </w:r>
    </w:p>
    <w:p w14:paraId="32C08EB0" w14:textId="77777777" w:rsidR="00783288" w:rsidRDefault="00E31420">
      <w:pPr>
        <w:pStyle w:val="BodyText"/>
        <w:kinsoku w:val="0"/>
        <w:overflowPunct w:val="0"/>
        <w:spacing w:before="1"/>
        <w:ind w:left="4914" w:right="4305"/>
        <w:rPr>
          <w:color w:val="050606"/>
        </w:rPr>
      </w:pPr>
      <w:r>
        <w:rPr>
          <w:color w:val="050606"/>
        </w:rPr>
        <w:t>United Kingdom E14 4HD</w:t>
      </w:r>
    </w:p>
    <w:p w14:paraId="68BAD8C7" w14:textId="77777777" w:rsidR="00783288" w:rsidRDefault="00783288">
      <w:pPr>
        <w:pStyle w:val="BodyText"/>
        <w:kinsoku w:val="0"/>
        <w:overflowPunct w:val="0"/>
        <w:spacing w:before="10"/>
        <w:rPr>
          <w:sz w:val="9"/>
          <w:szCs w:val="9"/>
        </w:rPr>
      </w:pPr>
    </w:p>
    <w:p w14:paraId="631B2E52" w14:textId="77777777" w:rsidR="00783288" w:rsidRDefault="00783288">
      <w:pPr>
        <w:pStyle w:val="BodyText"/>
        <w:kinsoku w:val="0"/>
        <w:overflowPunct w:val="0"/>
        <w:spacing w:before="10"/>
        <w:rPr>
          <w:sz w:val="9"/>
          <w:szCs w:val="9"/>
        </w:rPr>
        <w:sectPr w:rsidR="00783288">
          <w:pgSz w:w="11900" w:h="16840"/>
          <w:pgMar w:top="1360" w:right="240" w:bottom="1160" w:left="1140" w:header="0" w:footer="891" w:gutter="0"/>
          <w:cols w:space="720"/>
          <w:noEndnote/>
        </w:sectPr>
      </w:pPr>
    </w:p>
    <w:p w14:paraId="24CCEC70" w14:textId="08844983" w:rsidR="00783288" w:rsidRDefault="00E31420">
      <w:pPr>
        <w:pStyle w:val="BodyText"/>
        <w:kinsoku w:val="0"/>
        <w:overflowPunct w:val="0"/>
        <w:spacing w:before="94"/>
        <w:ind w:left="408"/>
        <w:rPr>
          <w:color w:val="050606"/>
        </w:rPr>
      </w:pPr>
      <w:r>
        <w:rPr>
          <w:color w:val="050606"/>
        </w:rPr>
        <w:t>Solicitors to the Company</w:t>
      </w:r>
    </w:p>
    <w:p w14:paraId="649746B3" w14:textId="77777777" w:rsidR="00040508" w:rsidRDefault="00E31420">
      <w:pPr>
        <w:pStyle w:val="BodyText"/>
        <w:kinsoku w:val="0"/>
        <w:overflowPunct w:val="0"/>
        <w:spacing w:before="94"/>
        <w:ind w:left="174" w:right="3334"/>
        <w:rPr>
          <w:color w:val="050606"/>
        </w:rPr>
      </w:pPr>
      <w:r>
        <w:rPr>
          <w:rFonts w:ascii="Times New Roman" w:hAnsi="Times New Roman" w:cs="Times New Roman"/>
          <w:sz w:val="24"/>
          <w:szCs w:val="24"/>
        </w:rPr>
        <w:br w:type="column"/>
      </w:r>
      <w:r>
        <w:rPr>
          <w:color w:val="050606"/>
        </w:rPr>
        <w:t xml:space="preserve">Watson Farley </w:t>
      </w:r>
      <w:r w:rsidR="00040508">
        <w:rPr>
          <w:color w:val="050606"/>
        </w:rPr>
        <w:t xml:space="preserve">&amp; </w:t>
      </w:r>
      <w:r>
        <w:rPr>
          <w:color w:val="050606"/>
        </w:rPr>
        <w:t>Williams LLP</w:t>
      </w:r>
    </w:p>
    <w:p w14:paraId="1A801BD8" w14:textId="13FAA6AB" w:rsidR="00783288" w:rsidRDefault="00E31420">
      <w:pPr>
        <w:pStyle w:val="BodyText"/>
        <w:kinsoku w:val="0"/>
        <w:overflowPunct w:val="0"/>
        <w:spacing w:before="94"/>
        <w:ind w:left="174" w:right="3334"/>
        <w:rPr>
          <w:color w:val="050606"/>
        </w:rPr>
      </w:pPr>
      <w:r>
        <w:rPr>
          <w:color w:val="050606"/>
        </w:rPr>
        <w:t xml:space="preserve">15 </w:t>
      </w:r>
      <w:proofErr w:type="spellStart"/>
      <w:r>
        <w:rPr>
          <w:color w:val="050606"/>
        </w:rPr>
        <w:t>Appold</w:t>
      </w:r>
      <w:proofErr w:type="spellEnd"/>
      <w:r>
        <w:rPr>
          <w:color w:val="050606"/>
        </w:rPr>
        <w:t xml:space="preserve"> St</w:t>
      </w:r>
    </w:p>
    <w:p w14:paraId="3FB8E6A4" w14:textId="40D00454" w:rsidR="00783288" w:rsidRDefault="00E31420">
      <w:pPr>
        <w:pStyle w:val="BodyText"/>
        <w:kinsoku w:val="0"/>
        <w:overflowPunct w:val="0"/>
        <w:ind w:left="174" w:right="4714"/>
        <w:rPr>
          <w:color w:val="050606"/>
        </w:rPr>
      </w:pPr>
      <w:r>
        <w:rPr>
          <w:color w:val="050606"/>
        </w:rPr>
        <w:t>London EC2A 2HB</w:t>
      </w:r>
    </w:p>
    <w:p w14:paraId="3374EBC2" w14:textId="77777777" w:rsidR="00783288" w:rsidRDefault="00783288">
      <w:pPr>
        <w:pStyle w:val="BodyText"/>
        <w:kinsoku w:val="0"/>
        <w:overflowPunct w:val="0"/>
        <w:ind w:left="174" w:right="4714"/>
        <w:rPr>
          <w:color w:val="050606"/>
        </w:rPr>
        <w:sectPr w:rsidR="00783288">
          <w:type w:val="continuous"/>
          <w:pgSz w:w="11900" w:h="16840"/>
          <w:pgMar w:top="1360" w:right="240" w:bottom="280" w:left="1140" w:header="720" w:footer="720" w:gutter="0"/>
          <w:cols w:num="2" w:space="720" w:equalWidth="0">
            <w:col w:w="4701" w:space="40"/>
            <w:col w:w="5779"/>
          </w:cols>
          <w:noEndnote/>
        </w:sectPr>
      </w:pPr>
    </w:p>
    <w:p w14:paraId="27854493" w14:textId="77777777" w:rsidR="00783288" w:rsidRDefault="00783288">
      <w:pPr>
        <w:pStyle w:val="BodyText"/>
        <w:kinsoku w:val="0"/>
        <w:overflowPunct w:val="0"/>
        <w:spacing w:before="8"/>
        <w:rPr>
          <w:sz w:val="9"/>
          <w:szCs w:val="9"/>
        </w:rPr>
      </w:pPr>
    </w:p>
    <w:p w14:paraId="3EA47FBD" w14:textId="77777777" w:rsidR="00783288" w:rsidRDefault="00E31420">
      <w:pPr>
        <w:pStyle w:val="BodyText"/>
        <w:tabs>
          <w:tab w:val="left" w:pos="4914"/>
        </w:tabs>
        <w:kinsoku w:val="0"/>
        <w:overflowPunct w:val="0"/>
        <w:spacing w:before="95" w:line="207" w:lineRule="exact"/>
        <w:ind w:left="408"/>
        <w:rPr>
          <w:color w:val="050606"/>
        </w:rPr>
      </w:pPr>
      <w:r>
        <w:rPr>
          <w:color w:val="050606"/>
        </w:rPr>
        <w:t>Registrars</w:t>
      </w:r>
      <w:r>
        <w:rPr>
          <w:color w:val="050606"/>
        </w:rPr>
        <w:tab/>
        <w:t>Neville Registrars</w:t>
      </w:r>
      <w:r>
        <w:rPr>
          <w:color w:val="050606"/>
          <w:spacing w:val="-1"/>
        </w:rPr>
        <w:t xml:space="preserve"> </w:t>
      </w:r>
      <w:r>
        <w:rPr>
          <w:color w:val="050606"/>
        </w:rPr>
        <w:t>Limited</w:t>
      </w:r>
    </w:p>
    <w:p w14:paraId="47C54250" w14:textId="77777777" w:rsidR="00783288" w:rsidRDefault="00E31420">
      <w:pPr>
        <w:pStyle w:val="BodyText"/>
        <w:kinsoku w:val="0"/>
        <w:overflowPunct w:val="0"/>
        <w:ind w:left="4914" w:right="4395"/>
        <w:rPr>
          <w:color w:val="050606"/>
        </w:rPr>
      </w:pPr>
      <w:r>
        <w:rPr>
          <w:color w:val="050606"/>
        </w:rPr>
        <w:t>Neville House 18 Laurel Lane Halesowen B63 3DA</w:t>
      </w:r>
    </w:p>
    <w:p w14:paraId="758DC9EE" w14:textId="77777777" w:rsidR="00783288" w:rsidRDefault="00783288">
      <w:pPr>
        <w:pStyle w:val="BodyText"/>
        <w:kinsoku w:val="0"/>
        <w:overflowPunct w:val="0"/>
        <w:ind w:left="4914" w:right="4395"/>
        <w:rPr>
          <w:color w:val="050606"/>
        </w:rPr>
        <w:sectPr w:rsidR="00783288">
          <w:type w:val="continuous"/>
          <w:pgSz w:w="11900" w:h="16840"/>
          <w:pgMar w:top="1360" w:right="240" w:bottom="280" w:left="1140" w:header="720" w:footer="720" w:gutter="0"/>
          <w:cols w:space="720" w:equalWidth="0">
            <w:col w:w="10520"/>
          </w:cols>
          <w:noEndnote/>
        </w:sectPr>
      </w:pPr>
    </w:p>
    <w:p w14:paraId="5B88AB9E" w14:textId="77777777" w:rsidR="00783288" w:rsidRDefault="00E31420">
      <w:pPr>
        <w:pStyle w:val="Heading1"/>
        <w:kinsoku w:val="0"/>
        <w:overflowPunct w:val="0"/>
        <w:spacing w:before="74" w:line="477" w:lineRule="auto"/>
        <w:ind w:left="3842" w:right="4717" w:firstLine="674"/>
        <w:rPr>
          <w:color w:val="231F20"/>
        </w:rPr>
      </w:pPr>
      <w:r>
        <w:rPr>
          <w:color w:val="231F20"/>
        </w:rPr>
        <w:lastRenderedPageBreak/>
        <w:t>PART I BUSINESS OVERVIEW</w:t>
      </w:r>
    </w:p>
    <w:p w14:paraId="43B5CCBB" w14:textId="30A0B384" w:rsidR="001C4A30" w:rsidRDefault="00E31420" w:rsidP="00FF7D27">
      <w:pPr>
        <w:pStyle w:val="BodyText"/>
        <w:kinsoku w:val="0"/>
        <w:overflowPunct w:val="0"/>
        <w:spacing w:before="4"/>
        <w:ind w:left="1985" w:hanging="284"/>
        <w:rPr>
          <w:b/>
          <w:bCs/>
          <w:color w:val="231F20"/>
        </w:rPr>
      </w:pPr>
      <w:r>
        <w:rPr>
          <w:b/>
          <w:bCs/>
          <w:color w:val="231F20"/>
        </w:rPr>
        <w:t>INFORMATION ON THE GROUP</w:t>
      </w:r>
      <w:r w:rsidR="00FF7D27">
        <w:rPr>
          <w:b/>
          <w:bCs/>
          <w:color w:val="231F20"/>
        </w:rPr>
        <w:t xml:space="preserve">, </w:t>
      </w:r>
      <w:r w:rsidR="00E700B8">
        <w:rPr>
          <w:b/>
          <w:bCs/>
          <w:color w:val="231F20"/>
        </w:rPr>
        <w:t>PLACING</w:t>
      </w:r>
      <w:r w:rsidR="00FF7D27">
        <w:rPr>
          <w:b/>
          <w:bCs/>
          <w:color w:val="231F20"/>
        </w:rPr>
        <w:t xml:space="preserve"> AND LABRADOR ACQUISITION</w:t>
      </w:r>
    </w:p>
    <w:p w14:paraId="00EBA867" w14:textId="77777777" w:rsidR="005A007D" w:rsidRDefault="005A007D" w:rsidP="001C4A30">
      <w:pPr>
        <w:pStyle w:val="BodyText"/>
        <w:kinsoku w:val="0"/>
        <w:overflowPunct w:val="0"/>
        <w:spacing w:before="4"/>
        <w:rPr>
          <w:b/>
          <w:bCs/>
          <w:color w:val="231F20"/>
        </w:rPr>
      </w:pPr>
    </w:p>
    <w:p w14:paraId="3CD58520" w14:textId="77777777" w:rsidR="00783288" w:rsidRDefault="00783288">
      <w:pPr>
        <w:pStyle w:val="BodyText"/>
        <w:kinsoku w:val="0"/>
        <w:overflowPunct w:val="0"/>
        <w:spacing w:before="10"/>
        <w:rPr>
          <w:b/>
          <w:bCs/>
          <w:sz w:val="17"/>
          <w:szCs w:val="17"/>
        </w:rPr>
      </w:pPr>
    </w:p>
    <w:p w14:paraId="6660F8DC" w14:textId="77777777" w:rsidR="00783288" w:rsidRDefault="00E31420" w:rsidP="00512495">
      <w:pPr>
        <w:pStyle w:val="ListParagraph"/>
        <w:numPr>
          <w:ilvl w:val="0"/>
          <w:numId w:val="20"/>
        </w:numPr>
        <w:tabs>
          <w:tab w:val="left" w:pos="660"/>
        </w:tabs>
        <w:kinsoku w:val="0"/>
        <w:overflowPunct w:val="0"/>
        <w:rPr>
          <w:b/>
          <w:bCs/>
          <w:color w:val="231F20"/>
          <w:sz w:val="18"/>
          <w:szCs w:val="18"/>
        </w:rPr>
      </w:pPr>
      <w:r>
        <w:rPr>
          <w:b/>
          <w:bCs/>
          <w:color w:val="231F20"/>
          <w:sz w:val="18"/>
          <w:szCs w:val="18"/>
        </w:rPr>
        <w:t>Introduction and</w:t>
      </w:r>
      <w:r>
        <w:rPr>
          <w:b/>
          <w:bCs/>
          <w:color w:val="231F20"/>
          <w:spacing w:val="-3"/>
          <w:sz w:val="18"/>
          <w:szCs w:val="18"/>
        </w:rPr>
        <w:t xml:space="preserve"> </w:t>
      </w:r>
      <w:r>
        <w:rPr>
          <w:b/>
          <w:bCs/>
          <w:color w:val="231F20"/>
          <w:sz w:val="18"/>
          <w:szCs w:val="18"/>
        </w:rPr>
        <w:t>Background</w:t>
      </w:r>
    </w:p>
    <w:p w14:paraId="313800C4" w14:textId="77777777" w:rsidR="00783288" w:rsidRDefault="00783288">
      <w:pPr>
        <w:pStyle w:val="BodyText"/>
        <w:kinsoku w:val="0"/>
        <w:overflowPunct w:val="0"/>
        <w:spacing w:before="6"/>
        <w:rPr>
          <w:b/>
          <w:bCs/>
        </w:rPr>
      </w:pPr>
    </w:p>
    <w:p w14:paraId="3878846D" w14:textId="2CE8E11A" w:rsidR="00332983" w:rsidRDefault="00E31420">
      <w:pPr>
        <w:pStyle w:val="BodyText"/>
        <w:kinsoku w:val="0"/>
        <w:overflowPunct w:val="0"/>
        <w:ind w:left="300" w:right="1191"/>
        <w:jc w:val="both"/>
        <w:rPr>
          <w:color w:val="231F20"/>
          <w:spacing w:val="-6"/>
        </w:rPr>
      </w:pPr>
      <w:r>
        <w:rPr>
          <w:color w:val="231F20"/>
        </w:rPr>
        <w:t>The Company, together with its wholly owned subsidiary Chesterfield Resources (Cyprus) Limited, comprise</w:t>
      </w:r>
      <w:r w:rsidR="00803B78">
        <w:rPr>
          <w:color w:val="231F20"/>
        </w:rPr>
        <w:t>s</w:t>
      </w:r>
      <w:r>
        <w:rPr>
          <w:color w:val="231F20"/>
        </w:rPr>
        <w:t xml:space="preserve"> a group</w:t>
      </w:r>
      <w:r>
        <w:rPr>
          <w:color w:val="231F20"/>
          <w:spacing w:val="-7"/>
        </w:rPr>
        <w:t xml:space="preserve"> </w:t>
      </w:r>
      <w:r>
        <w:rPr>
          <w:color w:val="231F20"/>
        </w:rPr>
        <w:t>engaged</w:t>
      </w:r>
      <w:r>
        <w:rPr>
          <w:color w:val="231F20"/>
          <w:spacing w:val="-6"/>
        </w:rPr>
        <w:t xml:space="preserve"> </w:t>
      </w:r>
      <w:r>
        <w:rPr>
          <w:color w:val="231F20"/>
        </w:rPr>
        <w:t>in</w:t>
      </w:r>
      <w:r>
        <w:rPr>
          <w:color w:val="231F20"/>
          <w:spacing w:val="-7"/>
        </w:rPr>
        <w:t xml:space="preserve"> </w:t>
      </w:r>
      <w:r>
        <w:rPr>
          <w:color w:val="231F20"/>
        </w:rPr>
        <w:t>early</w:t>
      </w:r>
      <w:r>
        <w:rPr>
          <w:color w:val="231F20"/>
          <w:spacing w:val="-8"/>
        </w:rPr>
        <w:t xml:space="preserve"> </w:t>
      </w:r>
      <w:r>
        <w:rPr>
          <w:color w:val="231F20"/>
        </w:rPr>
        <w:t>stage</w:t>
      </w:r>
      <w:r>
        <w:rPr>
          <w:color w:val="231F20"/>
          <w:spacing w:val="-9"/>
        </w:rPr>
        <w:t xml:space="preserve"> </w:t>
      </w:r>
      <w:r>
        <w:rPr>
          <w:color w:val="231F20"/>
        </w:rPr>
        <w:t>mineral</w:t>
      </w:r>
      <w:r>
        <w:rPr>
          <w:color w:val="231F20"/>
          <w:spacing w:val="-7"/>
        </w:rPr>
        <w:t xml:space="preserve"> </w:t>
      </w:r>
      <w:r>
        <w:rPr>
          <w:color w:val="231F20"/>
        </w:rPr>
        <w:t>resource</w:t>
      </w:r>
      <w:r>
        <w:rPr>
          <w:color w:val="231F20"/>
          <w:spacing w:val="-6"/>
        </w:rPr>
        <w:t xml:space="preserve"> </w:t>
      </w:r>
      <w:r>
        <w:rPr>
          <w:color w:val="231F20"/>
        </w:rPr>
        <w:t>exploration</w:t>
      </w:r>
      <w:r w:rsidR="00494322" w:rsidRPr="00494322">
        <w:rPr>
          <w:color w:val="231F20"/>
        </w:rPr>
        <w:t xml:space="preserve"> </w:t>
      </w:r>
      <w:r w:rsidR="00494322">
        <w:rPr>
          <w:color w:val="231F20"/>
        </w:rPr>
        <w:t>with a strategy to expand through further acquisitions and by acquiring further mineral exploration opportunities</w:t>
      </w:r>
      <w:r w:rsidR="00332983">
        <w:rPr>
          <w:color w:val="231F20"/>
        </w:rPr>
        <w:t>, including, initially, the Labrador Acquisition</w:t>
      </w:r>
      <w:r>
        <w:rPr>
          <w:color w:val="231F20"/>
        </w:rPr>
        <w:t>.</w:t>
      </w:r>
    </w:p>
    <w:p w14:paraId="13CB6820" w14:textId="77777777" w:rsidR="00332983" w:rsidRDefault="00332983">
      <w:pPr>
        <w:pStyle w:val="BodyText"/>
        <w:kinsoku w:val="0"/>
        <w:overflowPunct w:val="0"/>
        <w:ind w:left="300" w:right="1191"/>
        <w:jc w:val="both"/>
        <w:rPr>
          <w:color w:val="231F20"/>
        </w:rPr>
      </w:pPr>
    </w:p>
    <w:p w14:paraId="5727601A" w14:textId="77777777" w:rsidR="00332983" w:rsidRDefault="00E31420">
      <w:pPr>
        <w:pStyle w:val="BodyText"/>
        <w:kinsoku w:val="0"/>
        <w:overflowPunct w:val="0"/>
        <w:ind w:left="300" w:right="1191"/>
        <w:jc w:val="both"/>
        <w:rPr>
          <w:color w:val="231F20"/>
        </w:rPr>
      </w:pPr>
      <w:r>
        <w:rPr>
          <w:color w:val="231F20"/>
        </w:rPr>
        <w:t>The</w:t>
      </w:r>
      <w:r>
        <w:rPr>
          <w:color w:val="231F20"/>
          <w:spacing w:val="-5"/>
        </w:rPr>
        <w:t xml:space="preserve"> </w:t>
      </w:r>
      <w:r>
        <w:rPr>
          <w:color w:val="231F20"/>
        </w:rPr>
        <w:t>Group’s</w:t>
      </w:r>
      <w:r>
        <w:rPr>
          <w:color w:val="231F20"/>
          <w:spacing w:val="-6"/>
        </w:rPr>
        <w:t xml:space="preserve"> </w:t>
      </w:r>
      <w:r>
        <w:rPr>
          <w:color w:val="231F20"/>
        </w:rPr>
        <w:t>principal</w:t>
      </w:r>
      <w:r>
        <w:rPr>
          <w:color w:val="231F20"/>
          <w:spacing w:val="-7"/>
        </w:rPr>
        <w:t xml:space="preserve"> </w:t>
      </w:r>
      <w:r>
        <w:rPr>
          <w:color w:val="231F20"/>
        </w:rPr>
        <w:t>activity</w:t>
      </w:r>
      <w:r>
        <w:rPr>
          <w:color w:val="231F20"/>
          <w:spacing w:val="-8"/>
        </w:rPr>
        <w:t xml:space="preserve"> </w:t>
      </w:r>
      <w:r>
        <w:rPr>
          <w:color w:val="231F20"/>
        </w:rPr>
        <w:t>is</w:t>
      </w:r>
      <w:r>
        <w:rPr>
          <w:color w:val="231F20"/>
          <w:spacing w:val="-6"/>
        </w:rPr>
        <w:t xml:space="preserve"> </w:t>
      </w:r>
      <w:r>
        <w:rPr>
          <w:color w:val="231F20"/>
        </w:rPr>
        <w:t>the</w:t>
      </w:r>
      <w:r>
        <w:rPr>
          <w:color w:val="231F20"/>
          <w:spacing w:val="-7"/>
        </w:rPr>
        <w:t xml:space="preserve"> </w:t>
      </w:r>
      <w:r>
        <w:rPr>
          <w:color w:val="231F20"/>
        </w:rPr>
        <w:t>exploration</w:t>
      </w:r>
      <w:r>
        <w:rPr>
          <w:color w:val="231F20"/>
          <w:spacing w:val="-6"/>
        </w:rPr>
        <w:t xml:space="preserve"> </w:t>
      </w:r>
      <w:r>
        <w:rPr>
          <w:color w:val="231F20"/>
        </w:rPr>
        <w:t>for</w:t>
      </w:r>
      <w:r>
        <w:rPr>
          <w:color w:val="231F20"/>
          <w:spacing w:val="-7"/>
        </w:rPr>
        <w:t xml:space="preserve"> </w:t>
      </w:r>
      <w:r>
        <w:rPr>
          <w:color w:val="231F20"/>
        </w:rPr>
        <w:t>and development of copper and gold mineral resource assets in Cyprus</w:t>
      </w:r>
      <w:r w:rsidR="006F0DBF">
        <w:rPr>
          <w:color w:val="231F20"/>
        </w:rPr>
        <w:t>, with exploration for and development of copper mineral resource assets in Canada due to commence shortly following completion of the Labrador Acquisition</w:t>
      </w:r>
      <w:r>
        <w:rPr>
          <w:color w:val="231F20"/>
        </w:rPr>
        <w:t>. The Group intends to continue developing its existing</w:t>
      </w:r>
      <w:r>
        <w:rPr>
          <w:color w:val="231F20"/>
          <w:spacing w:val="-6"/>
        </w:rPr>
        <w:t xml:space="preserve"> </w:t>
      </w:r>
      <w:r>
        <w:rPr>
          <w:color w:val="231F20"/>
        </w:rPr>
        <w:t>operations</w:t>
      </w:r>
      <w:r>
        <w:rPr>
          <w:color w:val="231F20"/>
          <w:spacing w:val="-4"/>
        </w:rPr>
        <w:t xml:space="preserve"> </w:t>
      </w:r>
      <w:r>
        <w:rPr>
          <w:color w:val="231F20"/>
        </w:rPr>
        <w:t>to</w:t>
      </w:r>
      <w:r>
        <w:rPr>
          <w:color w:val="231F20"/>
          <w:spacing w:val="-6"/>
        </w:rPr>
        <w:t xml:space="preserve"> </w:t>
      </w:r>
      <w:r>
        <w:rPr>
          <w:color w:val="231F20"/>
        </w:rPr>
        <w:t>identify</w:t>
      </w:r>
      <w:r>
        <w:rPr>
          <w:color w:val="231F20"/>
          <w:spacing w:val="-9"/>
        </w:rPr>
        <w:t xml:space="preserve"> </w:t>
      </w:r>
      <w:r>
        <w:rPr>
          <w:color w:val="231F20"/>
        </w:rPr>
        <w:t>commercially</w:t>
      </w:r>
      <w:r>
        <w:rPr>
          <w:color w:val="231F20"/>
          <w:spacing w:val="-9"/>
        </w:rPr>
        <w:t xml:space="preserve"> </w:t>
      </w:r>
      <w:r>
        <w:rPr>
          <w:color w:val="231F20"/>
        </w:rPr>
        <w:t>mineable</w:t>
      </w:r>
      <w:r>
        <w:rPr>
          <w:color w:val="231F20"/>
          <w:spacing w:val="-5"/>
        </w:rPr>
        <w:t xml:space="preserve"> </w:t>
      </w:r>
      <w:r>
        <w:rPr>
          <w:color w:val="231F20"/>
        </w:rPr>
        <w:t>copper</w:t>
      </w:r>
      <w:r>
        <w:rPr>
          <w:color w:val="231F20"/>
          <w:spacing w:val="-8"/>
        </w:rPr>
        <w:t xml:space="preserve"> </w:t>
      </w:r>
      <w:r>
        <w:rPr>
          <w:color w:val="231F20"/>
        </w:rPr>
        <w:t>and</w:t>
      </w:r>
      <w:r>
        <w:rPr>
          <w:color w:val="231F20"/>
          <w:spacing w:val="-5"/>
        </w:rPr>
        <w:t xml:space="preserve"> </w:t>
      </w:r>
      <w:r>
        <w:rPr>
          <w:color w:val="231F20"/>
        </w:rPr>
        <w:t>gold</w:t>
      </w:r>
      <w:r>
        <w:rPr>
          <w:color w:val="231F20"/>
          <w:spacing w:val="-5"/>
        </w:rPr>
        <w:t xml:space="preserve"> </w:t>
      </w:r>
      <w:r>
        <w:rPr>
          <w:color w:val="231F20"/>
        </w:rPr>
        <w:t>resources</w:t>
      </w:r>
      <w:r>
        <w:rPr>
          <w:color w:val="231F20"/>
          <w:spacing w:val="-7"/>
        </w:rPr>
        <w:t xml:space="preserve"> </w:t>
      </w:r>
      <w:r>
        <w:rPr>
          <w:color w:val="231F20"/>
        </w:rPr>
        <w:t>in</w:t>
      </w:r>
      <w:r>
        <w:rPr>
          <w:color w:val="231F20"/>
          <w:spacing w:val="-5"/>
        </w:rPr>
        <w:t xml:space="preserve"> </w:t>
      </w:r>
      <w:r>
        <w:rPr>
          <w:color w:val="231F20"/>
        </w:rPr>
        <w:t>Cyprus</w:t>
      </w:r>
      <w:r w:rsidR="006F0DBF">
        <w:rPr>
          <w:color w:val="231F20"/>
        </w:rPr>
        <w:t>, as well as copper resources in Canada</w:t>
      </w:r>
      <w:r>
        <w:rPr>
          <w:color w:val="231F20"/>
        </w:rPr>
        <w:t>.</w:t>
      </w:r>
      <w:r>
        <w:rPr>
          <w:color w:val="231F20"/>
          <w:spacing w:val="-7"/>
        </w:rPr>
        <w:t xml:space="preserve"> </w:t>
      </w:r>
      <w:r>
        <w:rPr>
          <w:color w:val="231F20"/>
        </w:rPr>
        <w:t>The</w:t>
      </w:r>
      <w:r>
        <w:rPr>
          <w:color w:val="231F20"/>
          <w:spacing w:val="-5"/>
        </w:rPr>
        <w:t xml:space="preserve"> </w:t>
      </w:r>
      <w:r>
        <w:rPr>
          <w:color w:val="231F20"/>
        </w:rPr>
        <w:t>Group</w:t>
      </w:r>
      <w:r>
        <w:rPr>
          <w:color w:val="231F20"/>
          <w:spacing w:val="-5"/>
        </w:rPr>
        <w:t xml:space="preserve"> </w:t>
      </w:r>
      <w:r>
        <w:rPr>
          <w:color w:val="231F20"/>
        </w:rPr>
        <w:t>is</w:t>
      </w:r>
      <w:r>
        <w:rPr>
          <w:color w:val="231F20"/>
          <w:spacing w:val="-4"/>
        </w:rPr>
        <w:t xml:space="preserve"> </w:t>
      </w:r>
      <w:r>
        <w:rPr>
          <w:color w:val="231F20"/>
        </w:rPr>
        <w:t>however unlikely</w:t>
      </w:r>
      <w:r>
        <w:rPr>
          <w:color w:val="231F20"/>
          <w:spacing w:val="-11"/>
        </w:rPr>
        <w:t xml:space="preserve"> </w:t>
      </w:r>
      <w:r>
        <w:rPr>
          <w:color w:val="231F20"/>
        </w:rPr>
        <w:t>to</w:t>
      </w:r>
      <w:r>
        <w:rPr>
          <w:color w:val="231F20"/>
          <w:spacing w:val="-9"/>
        </w:rPr>
        <w:t xml:space="preserve"> </w:t>
      </w:r>
      <w:r>
        <w:rPr>
          <w:color w:val="231F20"/>
        </w:rPr>
        <w:t>carry</w:t>
      </w:r>
      <w:r>
        <w:rPr>
          <w:color w:val="231F20"/>
          <w:spacing w:val="-10"/>
        </w:rPr>
        <w:t xml:space="preserve"> </w:t>
      </w:r>
      <w:r>
        <w:rPr>
          <w:color w:val="231F20"/>
        </w:rPr>
        <w:t>out</w:t>
      </w:r>
      <w:r>
        <w:rPr>
          <w:color w:val="231F20"/>
          <w:spacing w:val="-9"/>
        </w:rPr>
        <w:t xml:space="preserve"> </w:t>
      </w:r>
      <w:r>
        <w:rPr>
          <w:color w:val="231F20"/>
        </w:rPr>
        <w:t>mining</w:t>
      </w:r>
      <w:r>
        <w:rPr>
          <w:color w:val="231F20"/>
          <w:spacing w:val="-9"/>
        </w:rPr>
        <w:t xml:space="preserve"> </w:t>
      </w:r>
      <w:r>
        <w:rPr>
          <w:color w:val="231F20"/>
        </w:rPr>
        <w:t>activities</w:t>
      </w:r>
      <w:r>
        <w:rPr>
          <w:color w:val="231F20"/>
          <w:spacing w:val="-9"/>
        </w:rPr>
        <w:t xml:space="preserve"> </w:t>
      </w:r>
      <w:r>
        <w:rPr>
          <w:color w:val="231F20"/>
        </w:rPr>
        <w:t>on</w:t>
      </w:r>
      <w:r>
        <w:rPr>
          <w:color w:val="231F20"/>
          <w:spacing w:val="-11"/>
        </w:rPr>
        <w:t xml:space="preserve"> </w:t>
      </w:r>
      <w:r>
        <w:rPr>
          <w:color w:val="231F20"/>
        </w:rPr>
        <w:t>its</w:t>
      </w:r>
      <w:r>
        <w:rPr>
          <w:color w:val="231F20"/>
          <w:spacing w:val="-8"/>
        </w:rPr>
        <w:t xml:space="preserve"> </w:t>
      </w:r>
      <w:r>
        <w:rPr>
          <w:color w:val="231F20"/>
        </w:rPr>
        <w:t>own</w:t>
      </w:r>
      <w:r>
        <w:rPr>
          <w:color w:val="231F20"/>
          <w:spacing w:val="-9"/>
        </w:rPr>
        <w:t xml:space="preserve"> </w:t>
      </w:r>
      <w:r>
        <w:rPr>
          <w:color w:val="231F20"/>
        </w:rPr>
        <w:t>account,</w:t>
      </w:r>
      <w:r>
        <w:rPr>
          <w:color w:val="231F20"/>
          <w:spacing w:val="-9"/>
        </w:rPr>
        <w:t xml:space="preserve"> </w:t>
      </w:r>
      <w:r>
        <w:rPr>
          <w:color w:val="231F20"/>
        </w:rPr>
        <w:t>as</w:t>
      </w:r>
      <w:r>
        <w:rPr>
          <w:color w:val="231F20"/>
          <w:spacing w:val="-8"/>
        </w:rPr>
        <w:t xml:space="preserve"> </w:t>
      </w:r>
      <w:r>
        <w:rPr>
          <w:color w:val="231F20"/>
        </w:rPr>
        <w:t>it</w:t>
      </w:r>
      <w:r>
        <w:rPr>
          <w:color w:val="231F20"/>
          <w:spacing w:val="-9"/>
        </w:rPr>
        <w:t xml:space="preserve"> </w:t>
      </w:r>
      <w:r>
        <w:rPr>
          <w:color w:val="231F20"/>
        </w:rPr>
        <w:t>intends</w:t>
      </w:r>
      <w:r>
        <w:rPr>
          <w:color w:val="231F20"/>
          <w:spacing w:val="-8"/>
        </w:rPr>
        <w:t xml:space="preserve"> </w:t>
      </w:r>
      <w:r>
        <w:rPr>
          <w:color w:val="231F20"/>
        </w:rPr>
        <w:t>to</w:t>
      </w:r>
      <w:r>
        <w:rPr>
          <w:color w:val="231F20"/>
          <w:spacing w:val="-9"/>
        </w:rPr>
        <w:t xml:space="preserve"> </w:t>
      </w:r>
      <w:r>
        <w:rPr>
          <w:color w:val="231F20"/>
        </w:rPr>
        <w:t>generate</w:t>
      </w:r>
      <w:r>
        <w:rPr>
          <w:color w:val="231F20"/>
          <w:spacing w:val="-9"/>
        </w:rPr>
        <w:t xml:space="preserve"> </w:t>
      </w:r>
      <w:r>
        <w:rPr>
          <w:color w:val="231F20"/>
        </w:rPr>
        <w:t>its</w:t>
      </w:r>
      <w:r>
        <w:rPr>
          <w:color w:val="231F20"/>
          <w:spacing w:val="-9"/>
        </w:rPr>
        <w:t xml:space="preserve"> </w:t>
      </w:r>
      <w:r>
        <w:rPr>
          <w:color w:val="231F20"/>
        </w:rPr>
        <w:t>revenues</w:t>
      </w:r>
      <w:r>
        <w:rPr>
          <w:color w:val="231F20"/>
          <w:spacing w:val="-8"/>
        </w:rPr>
        <w:t xml:space="preserve"> </w:t>
      </w:r>
      <w:r>
        <w:rPr>
          <w:color w:val="231F20"/>
        </w:rPr>
        <w:t>through</w:t>
      </w:r>
      <w:r>
        <w:rPr>
          <w:color w:val="231F20"/>
          <w:spacing w:val="-9"/>
        </w:rPr>
        <w:t xml:space="preserve"> </w:t>
      </w:r>
      <w:r>
        <w:rPr>
          <w:color w:val="231F20"/>
        </w:rPr>
        <w:t>the</w:t>
      </w:r>
      <w:r>
        <w:rPr>
          <w:color w:val="231F20"/>
          <w:spacing w:val="-9"/>
        </w:rPr>
        <w:t xml:space="preserve"> </w:t>
      </w:r>
      <w:r>
        <w:rPr>
          <w:color w:val="231F20"/>
        </w:rPr>
        <w:t>eventual trade</w:t>
      </w:r>
      <w:r>
        <w:rPr>
          <w:color w:val="231F20"/>
          <w:spacing w:val="-5"/>
        </w:rPr>
        <w:t xml:space="preserve"> </w:t>
      </w:r>
      <w:r>
        <w:rPr>
          <w:color w:val="231F20"/>
        </w:rPr>
        <w:t>sale</w:t>
      </w:r>
      <w:r>
        <w:rPr>
          <w:color w:val="231F20"/>
          <w:spacing w:val="-4"/>
        </w:rPr>
        <w:t xml:space="preserve"> </w:t>
      </w:r>
      <w:r>
        <w:rPr>
          <w:color w:val="231F20"/>
        </w:rPr>
        <w:t>(or</w:t>
      </w:r>
      <w:r>
        <w:rPr>
          <w:color w:val="231F20"/>
          <w:spacing w:val="-4"/>
        </w:rPr>
        <w:t xml:space="preserve"> </w:t>
      </w:r>
      <w:r>
        <w:rPr>
          <w:color w:val="231F20"/>
        </w:rPr>
        <w:t>partial</w:t>
      </w:r>
      <w:r>
        <w:rPr>
          <w:color w:val="231F20"/>
          <w:spacing w:val="-4"/>
        </w:rPr>
        <w:t xml:space="preserve"> </w:t>
      </w:r>
      <w:r>
        <w:rPr>
          <w:color w:val="231F20"/>
        </w:rPr>
        <w:t>trade</w:t>
      </w:r>
      <w:r>
        <w:rPr>
          <w:color w:val="231F20"/>
          <w:spacing w:val="-4"/>
        </w:rPr>
        <w:t xml:space="preserve"> </w:t>
      </w:r>
      <w:r>
        <w:rPr>
          <w:color w:val="231F20"/>
        </w:rPr>
        <w:t>sale)</w:t>
      </w:r>
      <w:r>
        <w:rPr>
          <w:color w:val="231F20"/>
          <w:spacing w:val="-2"/>
        </w:rPr>
        <w:t xml:space="preserve"> </w:t>
      </w:r>
      <w:r>
        <w:rPr>
          <w:color w:val="231F20"/>
        </w:rPr>
        <w:t>or</w:t>
      </w:r>
      <w:r>
        <w:rPr>
          <w:color w:val="231F20"/>
          <w:spacing w:val="-4"/>
        </w:rPr>
        <w:t xml:space="preserve"> </w:t>
      </w:r>
      <w:r>
        <w:rPr>
          <w:color w:val="231F20"/>
        </w:rPr>
        <w:t>entry</w:t>
      </w:r>
      <w:r>
        <w:rPr>
          <w:color w:val="231F20"/>
          <w:spacing w:val="-3"/>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rPr>
        <w:t>joint</w:t>
      </w:r>
      <w:r>
        <w:rPr>
          <w:color w:val="231F20"/>
          <w:spacing w:val="-2"/>
        </w:rPr>
        <w:t xml:space="preserve"> </w:t>
      </w:r>
      <w:r>
        <w:rPr>
          <w:color w:val="231F20"/>
        </w:rPr>
        <w:t>venture</w:t>
      </w:r>
      <w:r>
        <w:rPr>
          <w:color w:val="231F20"/>
          <w:spacing w:val="-4"/>
        </w:rPr>
        <w:t xml:space="preserve"> </w:t>
      </w:r>
      <w:r>
        <w:rPr>
          <w:color w:val="231F20"/>
        </w:rPr>
        <w:t>/</w:t>
      </w:r>
      <w:r>
        <w:rPr>
          <w:color w:val="231F20"/>
          <w:spacing w:val="-4"/>
        </w:rPr>
        <w:t xml:space="preserve"> </w:t>
      </w:r>
      <w:r>
        <w:rPr>
          <w:color w:val="231F20"/>
        </w:rPr>
        <w:t>strategic</w:t>
      </w:r>
      <w:r>
        <w:rPr>
          <w:color w:val="231F20"/>
          <w:spacing w:val="-1"/>
        </w:rPr>
        <w:t xml:space="preserve"> </w:t>
      </w:r>
      <w:r>
        <w:rPr>
          <w:color w:val="231F20"/>
        </w:rPr>
        <w:t>partnership</w:t>
      </w:r>
      <w:r>
        <w:rPr>
          <w:color w:val="231F20"/>
          <w:spacing w:val="-4"/>
        </w:rPr>
        <w:t xml:space="preserve"> </w:t>
      </w:r>
      <w:r>
        <w:rPr>
          <w:color w:val="231F20"/>
        </w:rPr>
        <w:t>in</w:t>
      </w:r>
      <w:r>
        <w:rPr>
          <w:color w:val="231F20"/>
          <w:spacing w:val="-2"/>
        </w:rPr>
        <w:t xml:space="preserve"> </w:t>
      </w:r>
      <w:r>
        <w:rPr>
          <w:color w:val="231F20"/>
        </w:rPr>
        <w:t>respect</w:t>
      </w:r>
      <w:r>
        <w:rPr>
          <w:color w:val="231F20"/>
          <w:spacing w:val="-2"/>
        </w:rPr>
        <w:t xml:space="preserve"> </w:t>
      </w:r>
      <w:r>
        <w:rPr>
          <w:color w:val="231F20"/>
        </w:rPr>
        <w:t>of</w:t>
      </w:r>
      <w:r>
        <w:rPr>
          <w:color w:val="231F20"/>
          <w:spacing w:val="-4"/>
        </w:rPr>
        <w:t xml:space="preserve"> </w:t>
      </w:r>
      <w:r>
        <w:rPr>
          <w:color w:val="231F20"/>
        </w:rPr>
        <w:t>its</w:t>
      </w:r>
      <w:r>
        <w:rPr>
          <w:color w:val="231F20"/>
          <w:spacing w:val="-1"/>
        </w:rPr>
        <w:t xml:space="preserve"> </w:t>
      </w:r>
      <w:r>
        <w:rPr>
          <w:color w:val="231F20"/>
        </w:rPr>
        <w:t>resource</w:t>
      </w:r>
      <w:r>
        <w:rPr>
          <w:color w:val="231F20"/>
          <w:spacing w:val="-4"/>
        </w:rPr>
        <w:t xml:space="preserve"> </w:t>
      </w:r>
      <w:r>
        <w:rPr>
          <w:color w:val="231F20"/>
        </w:rPr>
        <w:t>assets prior to commercial extraction.</w:t>
      </w:r>
    </w:p>
    <w:p w14:paraId="0F81E077" w14:textId="77777777" w:rsidR="00332983" w:rsidRDefault="00332983">
      <w:pPr>
        <w:pStyle w:val="BodyText"/>
        <w:kinsoku w:val="0"/>
        <w:overflowPunct w:val="0"/>
        <w:ind w:left="300" w:right="1191"/>
        <w:jc w:val="both"/>
        <w:rPr>
          <w:color w:val="231F20"/>
        </w:rPr>
      </w:pPr>
    </w:p>
    <w:p w14:paraId="53766568" w14:textId="3650F0C9" w:rsidR="00122E36" w:rsidRPr="00122E36" w:rsidRDefault="00E31420" w:rsidP="00122E36">
      <w:pPr>
        <w:pStyle w:val="BodyText"/>
        <w:kinsoku w:val="0"/>
        <w:overflowPunct w:val="0"/>
        <w:spacing w:before="79"/>
        <w:ind w:left="300" w:right="1188"/>
        <w:jc w:val="both"/>
        <w:rPr>
          <w:b/>
          <w:i/>
          <w:color w:val="070808"/>
        </w:rPr>
      </w:pPr>
      <w:r>
        <w:rPr>
          <w:color w:val="231F20"/>
        </w:rPr>
        <w:t xml:space="preserve">The Group is continuing to expand its Portfolio of mineral </w:t>
      </w:r>
      <w:r w:rsidR="006F0DBF">
        <w:rPr>
          <w:color w:val="231F20"/>
        </w:rPr>
        <w:t xml:space="preserve">Granted </w:t>
      </w:r>
      <w:r>
        <w:rPr>
          <w:color w:val="231F20"/>
        </w:rPr>
        <w:t>Prospecting Permits in Cyprus and</w:t>
      </w:r>
      <w:r w:rsidR="00332983">
        <w:rPr>
          <w:color w:val="231F20"/>
        </w:rPr>
        <w:t>,</w:t>
      </w:r>
      <w:r w:rsidR="00332983" w:rsidRPr="00332983">
        <w:t xml:space="preserve"> </w:t>
      </w:r>
      <w:r w:rsidR="00332983">
        <w:t>f</w:t>
      </w:r>
      <w:r w:rsidR="00332983" w:rsidRPr="00332983">
        <w:rPr>
          <w:color w:val="231F20"/>
        </w:rPr>
        <w:t xml:space="preserve">ollowing completion of the Labrador Acquisition, the Group shall have a 100% interest in </w:t>
      </w:r>
      <w:r w:rsidR="006A64C9">
        <w:rPr>
          <w:color w:val="231F20"/>
        </w:rPr>
        <w:t>10</w:t>
      </w:r>
      <w:r w:rsidR="00332983" w:rsidRPr="00332983">
        <w:rPr>
          <w:color w:val="231F20"/>
        </w:rPr>
        <w:t xml:space="preserve"> Granted Map-Staked Mineral Licences (covering </w:t>
      </w:r>
      <w:r w:rsidR="006A64C9">
        <w:rPr>
          <w:color w:val="231F20"/>
        </w:rPr>
        <w:t>297</w:t>
      </w:r>
      <w:r w:rsidR="00332983" w:rsidRPr="00332983">
        <w:rPr>
          <w:color w:val="231F20"/>
        </w:rPr>
        <w:t>.25 square kilometres)</w:t>
      </w:r>
      <w:r w:rsidR="006A64C9">
        <w:rPr>
          <w:color w:val="231F20"/>
        </w:rPr>
        <w:t xml:space="preserve">. </w:t>
      </w:r>
    </w:p>
    <w:p w14:paraId="001AA8F3" w14:textId="77777777" w:rsidR="00332983" w:rsidRDefault="00332983">
      <w:pPr>
        <w:pStyle w:val="BodyText"/>
        <w:kinsoku w:val="0"/>
        <w:overflowPunct w:val="0"/>
        <w:ind w:left="300" w:right="1191"/>
        <w:jc w:val="both"/>
        <w:rPr>
          <w:color w:val="231F20"/>
        </w:rPr>
      </w:pPr>
    </w:p>
    <w:p w14:paraId="4C8227CF" w14:textId="3FC2FCD6" w:rsidR="00783288" w:rsidRDefault="00332983">
      <w:pPr>
        <w:pStyle w:val="BodyText"/>
        <w:kinsoku w:val="0"/>
        <w:overflowPunct w:val="0"/>
        <w:ind w:left="300" w:right="1191"/>
        <w:jc w:val="both"/>
        <w:rPr>
          <w:color w:val="231F20"/>
        </w:rPr>
      </w:pPr>
      <w:r>
        <w:rPr>
          <w:color w:val="231F20"/>
        </w:rPr>
        <w:t>I</w:t>
      </w:r>
      <w:r w:rsidR="00E31420">
        <w:rPr>
          <w:color w:val="231F20"/>
        </w:rPr>
        <w:t>n parallel the Group will continue to seek acquisition and joint venture opportunities in the natural resources</w:t>
      </w:r>
      <w:r w:rsidR="00E31420">
        <w:rPr>
          <w:color w:val="231F20"/>
          <w:spacing w:val="-11"/>
        </w:rPr>
        <w:t xml:space="preserve"> </w:t>
      </w:r>
      <w:r w:rsidR="00E31420">
        <w:rPr>
          <w:color w:val="231F20"/>
        </w:rPr>
        <w:t>sector,</w:t>
      </w:r>
      <w:r w:rsidR="00E31420">
        <w:rPr>
          <w:color w:val="231F20"/>
          <w:spacing w:val="-14"/>
        </w:rPr>
        <w:t xml:space="preserve"> </w:t>
      </w:r>
      <w:r w:rsidR="00E31420">
        <w:rPr>
          <w:color w:val="231F20"/>
        </w:rPr>
        <w:t>maintaining</w:t>
      </w:r>
      <w:r w:rsidR="00E31420">
        <w:rPr>
          <w:color w:val="231F20"/>
          <w:spacing w:val="-13"/>
        </w:rPr>
        <w:t xml:space="preserve"> </w:t>
      </w:r>
      <w:r w:rsidR="00E31420">
        <w:rPr>
          <w:color w:val="231F20"/>
        </w:rPr>
        <w:t>a</w:t>
      </w:r>
      <w:r w:rsidR="00E31420">
        <w:rPr>
          <w:color w:val="231F20"/>
          <w:spacing w:val="-12"/>
        </w:rPr>
        <w:t xml:space="preserve"> </w:t>
      </w:r>
      <w:r w:rsidR="00E31420">
        <w:rPr>
          <w:color w:val="231F20"/>
        </w:rPr>
        <w:t>focus</w:t>
      </w:r>
      <w:r w:rsidR="00E31420">
        <w:rPr>
          <w:color w:val="231F20"/>
          <w:spacing w:val="-10"/>
        </w:rPr>
        <w:t xml:space="preserve"> </w:t>
      </w:r>
      <w:r w:rsidR="00E31420">
        <w:rPr>
          <w:color w:val="231F20"/>
        </w:rPr>
        <w:t>on</w:t>
      </w:r>
      <w:r w:rsidR="00E31420">
        <w:rPr>
          <w:color w:val="231F20"/>
          <w:spacing w:val="-12"/>
        </w:rPr>
        <w:t xml:space="preserve"> </w:t>
      </w:r>
      <w:r w:rsidR="00E31420">
        <w:rPr>
          <w:color w:val="231F20"/>
        </w:rPr>
        <w:t>companies,</w:t>
      </w:r>
      <w:r w:rsidR="00E31420">
        <w:rPr>
          <w:color w:val="231F20"/>
          <w:spacing w:val="-11"/>
        </w:rPr>
        <w:t xml:space="preserve"> </w:t>
      </w:r>
      <w:r w:rsidR="00E31420">
        <w:rPr>
          <w:color w:val="231F20"/>
        </w:rPr>
        <w:t>businesses</w:t>
      </w:r>
      <w:r w:rsidR="00E31420">
        <w:rPr>
          <w:color w:val="231F20"/>
          <w:spacing w:val="-10"/>
        </w:rPr>
        <w:t xml:space="preserve"> </w:t>
      </w:r>
      <w:r w:rsidR="00E31420">
        <w:rPr>
          <w:color w:val="231F20"/>
        </w:rPr>
        <w:t>or</w:t>
      </w:r>
      <w:r w:rsidR="00E31420">
        <w:rPr>
          <w:color w:val="231F20"/>
          <w:spacing w:val="-12"/>
        </w:rPr>
        <w:t xml:space="preserve"> </w:t>
      </w:r>
      <w:r w:rsidR="00E31420">
        <w:rPr>
          <w:color w:val="231F20"/>
        </w:rPr>
        <w:t>assets</w:t>
      </w:r>
      <w:r w:rsidR="00E31420">
        <w:rPr>
          <w:color w:val="231F20"/>
          <w:spacing w:val="-10"/>
        </w:rPr>
        <w:t xml:space="preserve"> </w:t>
      </w:r>
      <w:r w:rsidR="00E31420">
        <w:rPr>
          <w:color w:val="231F20"/>
        </w:rPr>
        <w:t>with</w:t>
      </w:r>
      <w:r w:rsidR="00E31420">
        <w:rPr>
          <w:color w:val="231F20"/>
          <w:spacing w:val="-12"/>
        </w:rPr>
        <w:t xml:space="preserve"> </w:t>
      </w:r>
      <w:r w:rsidR="00E31420">
        <w:rPr>
          <w:color w:val="231F20"/>
        </w:rPr>
        <w:t>operations</w:t>
      </w:r>
      <w:r w:rsidR="00E31420">
        <w:rPr>
          <w:color w:val="231F20"/>
          <w:spacing w:val="-10"/>
        </w:rPr>
        <w:t xml:space="preserve"> </w:t>
      </w:r>
      <w:r w:rsidR="00E31420">
        <w:rPr>
          <w:color w:val="231F20"/>
        </w:rPr>
        <w:t>in</w:t>
      </w:r>
      <w:r w:rsidR="00E31420">
        <w:rPr>
          <w:color w:val="231F20"/>
          <w:spacing w:val="-12"/>
        </w:rPr>
        <w:t xml:space="preserve"> </w:t>
      </w:r>
      <w:r w:rsidR="00E31420">
        <w:rPr>
          <w:color w:val="231F20"/>
        </w:rPr>
        <w:t>the</w:t>
      </w:r>
      <w:r w:rsidR="00E31420">
        <w:rPr>
          <w:color w:val="231F20"/>
          <w:spacing w:val="-11"/>
        </w:rPr>
        <w:t xml:space="preserve"> </w:t>
      </w:r>
      <w:r w:rsidR="00E31420">
        <w:rPr>
          <w:color w:val="231F20"/>
        </w:rPr>
        <w:t>Exchange</w:t>
      </w:r>
      <w:r w:rsidR="00E31420">
        <w:rPr>
          <w:color w:val="231F20"/>
          <w:spacing w:val="-12"/>
        </w:rPr>
        <w:t xml:space="preserve"> </w:t>
      </w:r>
      <w:r w:rsidR="00E31420">
        <w:rPr>
          <w:color w:val="231F20"/>
        </w:rPr>
        <w:t>Traded Non-Ferrous Metals mining segment with the European geographic region, although the Group will also consider opportunities focused on other commodities and/or in other</w:t>
      </w:r>
      <w:r w:rsidR="00E31420">
        <w:rPr>
          <w:color w:val="231F20"/>
          <w:spacing w:val="-5"/>
        </w:rPr>
        <w:t xml:space="preserve"> </w:t>
      </w:r>
      <w:r w:rsidR="00E31420">
        <w:rPr>
          <w:color w:val="231F20"/>
        </w:rPr>
        <w:t>locations</w:t>
      </w:r>
      <w:r w:rsidR="006F0DBF">
        <w:rPr>
          <w:color w:val="231F20"/>
        </w:rPr>
        <w:t>, as evidenced by the Labrador Acquisition to acquire the Adeline Copper Project in central Labrador, Newfoundland and Labrador, Canada</w:t>
      </w:r>
      <w:r w:rsidR="00E31420">
        <w:rPr>
          <w:color w:val="231F20"/>
        </w:rPr>
        <w:t>.</w:t>
      </w:r>
    </w:p>
    <w:p w14:paraId="525E12D0" w14:textId="77777777" w:rsidR="001C4A30" w:rsidRDefault="001C4A30" w:rsidP="00494322">
      <w:pPr>
        <w:pStyle w:val="BodyText"/>
        <w:kinsoku w:val="0"/>
        <w:overflowPunct w:val="0"/>
        <w:ind w:right="1191"/>
        <w:jc w:val="both"/>
        <w:rPr>
          <w:color w:val="231F20"/>
        </w:rPr>
      </w:pPr>
    </w:p>
    <w:p w14:paraId="383E0A6A" w14:textId="77777777" w:rsidR="00783288" w:rsidRDefault="00783288">
      <w:pPr>
        <w:pStyle w:val="BodyText"/>
        <w:kinsoku w:val="0"/>
        <w:overflowPunct w:val="0"/>
        <w:spacing w:before="7"/>
        <w:rPr>
          <w:sz w:val="17"/>
          <w:szCs w:val="17"/>
        </w:rPr>
      </w:pPr>
    </w:p>
    <w:p w14:paraId="3F2252A9" w14:textId="366A7CAD" w:rsidR="00783288" w:rsidRDefault="00E31420" w:rsidP="00512495">
      <w:pPr>
        <w:pStyle w:val="Heading1"/>
        <w:numPr>
          <w:ilvl w:val="0"/>
          <w:numId w:val="20"/>
        </w:numPr>
        <w:tabs>
          <w:tab w:val="left" w:pos="660"/>
        </w:tabs>
        <w:kinsoku w:val="0"/>
        <w:overflowPunct w:val="0"/>
        <w:rPr>
          <w:color w:val="231F20"/>
        </w:rPr>
      </w:pPr>
      <w:r>
        <w:rPr>
          <w:color w:val="231F20"/>
        </w:rPr>
        <w:t xml:space="preserve">History and Development </w:t>
      </w:r>
      <w:r w:rsidR="001C4A30">
        <w:rPr>
          <w:color w:val="231F20"/>
        </w:rPr>
        <w:t>o</w:t>
      </w:r>
      <w:r>
        <w:rPr>
          <w:color w:val="231F20"/>
        </w:rPr>
        <w:t>f The</w:t>
      </w:r>
      <w:r>
        <w:rPr>
          <w:color w:val="231F20"/>
          <w:spacing w:val="-6"/>
        </w:rPr>
        <w:t xml:space="preserve"> </w:t>
      </w:r>
      <w:r>
        <w:rPr>
          <w:color w:val="231F20"/>
        </w:rPr>
        <w:t>Group</w:t>
      </w:r>
    </w:p>
    <w:p w14:paraId="22C9E22E" w14:textId="77777777" w:rsidR="00783288" w:rsidRDefault="00783288">
      <w:pPr>
        <w:pStyle w:val="BodyText"/>
        <w:kinsoku w:val="0"/>
        <w:overflowPunct w:val="0"/>
        <w:spacing w:before="3"/>
        <w:rPr>
          <w:b/>
          <w:bCs/>
        </w:rPr>
      </w:pPr>
    </w:p>
    <w:p w14:paraId="35F6CECF" w14:textId="77777777" w:rsidR="00783288" w:rsidRDefault="00E31420">
      <w:pPr>
        <w:pStyle w:val="BodyText"/>
        <w:kinsoku w:val="0"/>
        <w:overflowPunct w:val="0"/>
        <w:spacing w:before="1"/>
        <w:ind w:left="300" w:right="1190"/>
        <w:jc w:val="both"/>
        <w:rPr>
          <w:color w:val="231F20"/>
        </w:rPr>
      </w:pPr>
      <w:r>
        <w:rPr>
          <w:color w:val="231F20"/>
        </w:rPr>
        <w:t>Chesterfield Resources Plc was incorporated on 4 January 2017 under the laws of England and Wales. On 29 August 2017, the Company’s Ordinary Shares were admitted to the Standard Listed segment of the Official List and to trading on the London Stock Exchange’s Main Market for listed securities.</w:t>
      </w:r>
    </w:p>
    <w:p w14:paraId="5868BBB5" w14:textId="77777777" w:rsidR="00783288" w:rsidRDefault="00783288">
      <w:pPr>
        <w:pStyle w:val="BodyText"/>
        <w:kinsoku w:val="0"/>
        <w:overflowPunct w:val="0"/>
        <w:spacing w:before="11"/>
        <w:rPr>
          <w:sz w:val="17"/>
          <w:szCs w:val="17"/>
        </w:rPr>
      </w:pPr>
    </w:p>
    <w:p w14:paraId="44F5E6CB" w14:textId="2E3DD802" w:rsidR="00783288" w:rsidRDefault="00E31420">
      <w:pPr>
        <w:pStyle w:val="BodyText"/>
        <w:kinsoku w:val="0"/>
        <w:overflowPunct w:val="0"/>
        <w:ind w:left="300" w:right="1187"/>
        <w:jc w:val="both"/>
        <w:rPr>
          <w:color w:val="231F20"/>
        </w:rPr>
      </w:pPr>
      <w:r>
        <w:rPr>
          <w:color w:val="231F20"/>
        </w:rPr>
        <w:t>On</w:t>
      </w:r>
      <w:r>
        <w:rPr>
          <w:color w:val="231F20"/>
          <w:spacing w:val="-7"/>
        </w:rPr>
        <w:t xml:space="preserve"> </w:t>
      </w:r>
      <w:r>
        <w:rPr>
          <w:color w:val="231F20"/>
        </w:rPr>
        <w:t>3</w:t>
      </w:r>
      <w:r>
        <w:rPr>
          <w:color w:val="231F20"/>
          <w:spacing w:val="-9"/>
        </w:rPr>
        <w:t xml:space="preserve"> </w:t>
      </w:r>
      <w:r>
        <w:rPr>
          <w:color w:val="231F20"/>
        </w:rPr>
        <w:t>July</w:t>
      </w:r>
      <w:r>
        <w:rPr>
          <w:color w:val="231F20"/>
          <w:spacing w:val="-10"/>
        </w:rPr>
        <w:t xml:space="preserve"> </w:t>
      </w:r>
      <w:r>
        <w:rPr>
          <w:color w:val="231F20"/>
        </w:rPr>
        <w:t>2018,</w:t>
      </w:r>
      <w:r>
        <w:rPr>
          <w:color w:val="231F20"/>
          <w:spacing w:val="-6"/>
        </w:rPr>
        <w:t xml:space="preserve"> </w:t>
      </w:r>
      <w:r>
        <w:rPr>
          <w:color w:val="231F20"/>
        </w:rPr>
        <w:t>the</w:t>
      </w:r>
      <w:r>
        <w:rPr>
          <w:color w:val="231F20"/>
          <w:spacing w:val="-10"/>
        </w:rPr>
        <w:t xml:space="preserve"> </w:t>
      </w:r>
      <w:r>
        <w:rPr>
          <w:color w:val="231F20"/>
        </w:rPr>
        <w:t>Company</w:t>
      </w:r>
      <w:r>
        <w:rPr>
          <w:color w:val="231F20"/>
          <w:spacing w:val="-10"/>
        </w:rPr>
        <w:t xml:space="preserve"> </w:t>
      </w:r>
      <w:r>
        <w:rPr>
          <w:color w:val="231F20"/>
        </w:rPr>
        <w:t>completed</w:t>
      </w:r>
      <w:r>
        <w:rPr>
          <w:color w:val="231F20"/>
          <w:spacing w:val="-9"/>
        </w:rPr>
        <w:t xml:space="preserve"> </w:t>
      </w:r>
      <w:r>
        <w:rPr>
          <w:color w:val="231F20"/>
        </w:rPr>
        <w:t>a</w:t>
      </w:r>
      <w:r>
        <w:rPr>
          <w:color w:val="231F20"/>
          <w:spacing w:val="-6"/>
        </w:rPr>
        <w:t xml:space="preserve"> </w:t>
      </w:r>
      <w:r>
        <w:rPr>
          <w:color w:val="231F20"/>
        </w:rPr>
        <w:t>Reverse</w:t>
      </w:r>
      <w:r>
        <w:rPr>
          <w:color w:val="231F20"/>
          <w:spacing w:val="-9"/>
        </w:rPr>
        <w:t xml:space="preserve"> </w:t>
      </w:r>
      <w:r>
        <w:rPr>
          <w:color w:val="231F20"/>
        </w:rPr>
        <w:t>Takeover</w:t>
      </w:r>
      <w:r>
        <w:rPr>
          <w:color w:val="231F20"/>
          <w:spacing w:val="-7"/>
        </w:rPr>
        <w:t xml:space="preserve"> </w:t>
      </w:r>
      <w:r>
        <w:rPr>
          <w:color w:val="231F20"/>
        </w:rPr>
        <w:t>(as</w:t>
      </w:r>
      <w:r>
        <w:rPr>
          <w:color w:val="231F20"/>
          <w:spacing w:val="-9"/>
        </w:rPr>
        <w:t xml:space="preserve"> </w:t>
      </w:r>
      <w:r>
        <w:rPr>
          <w:color w:val="231F20"/>
        </w:rPr>
        <w:t>defined</w:t>
      </w:r>
      <w:r>
        <w:rPr>
          <w:color w:val="231F20"/>
          <w:spacing w:val="-9"/>
        </w:rPr>
        <w:t xml:space="preserve"> </w:t>
      </w:r>
      <w:r>
        <w:rPr>
          <w:color w:val="231F20"/>
        </w:rPr>
        <w:t>in</w:t>
      </w:r>
      <w:r>
        <w:rPr>
          <w:color w:val="231F20"/>
          <w:spacing w:val="-9"/>
        </w:rPr>
        <w:t xml:space="preserve"> </w:t>
      </w:r>
      <w:r>
        <w:rPr>
          <w:color w:val="231F20"/>
        </w:rPr>
        <w:t>Listing</w:t>
      </w:r>
      <w:r>
        <w:rPr>
          <w:color w:val="231F20"/>
          <w:spacing w:val="-6"/>
        </w:rPr>
        <w:t xml:space="preserve"> </w:t>
      </w:r>
      <w:r>
        <w:rPr>
          <w:color w:val="231F20"/>
        </w:rPr>
        <w:t>Rule</w:t>
      </w:r>
      <w:r>
        <w:rPr>
          <w:color w:val="231F20"/>
          <w:spacing w:val="-9"/>
        </w:rPr>
        <w:t xml:space="preserve"> </w:t>
      </w:r>
      <w:r>
        <w:rPr>
          <w:color w:val="231F20"/>
        </w:rPr>
        <w:t>5.6.4)</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entire</w:t>
      </w:r>
      <w:r>
        <w:rPr>
          <w:color w:val="231F20"/>
          <w:spacing w:val="-6"/>
        </w:rPr>
        <w:t xml:space="preserve"> </w:t>
      </w:r>
      <w:r>
        <w:rPr>
          <w:color w:val="231F20"/>
        </w:rPr>
        <w:t xml:space="preserve">issued share capital of HKP Exploration Ltd, a mineral exploration company operating in Cyprus holding prospecting permits and prospecting permit applications in proximity to the Troodos </w:t>
      </w:r>
      <w:r w:rsidR="00747962">
        <w:rPr>
          <w:color w:val="231F20"/>
        </w:rPr>
        <w:t>M</w:t>
      </w:r>
      <w:r>
        <w:rPr>
          <w:color w:val="231F20"/>
        </w:rPr>
        <w:t>ountains in Cyprus. HKP was incorporated in the Republic of Cyprus under the Cyprus Companies Law Cap.113, as amended, on 1 July 2014 with</w:t>
      </w:r>
      <w:r>
        <w:rPr>
          <w:color w:val="231F20"/>
          <w:spacing w:val="-5"/>
        </w:rPr>
        <w:t xml:space="preserve"> </w:t>
      </w:r>
      <w:r>
        <w:rPr>
          <w:color w:val="231F20"/>
        </w:rPr>
        <w:t>company</w:t>
      </w:r>
      <w:r>
        <w:rPr>
          <w:color w:val="231F20"/>
          <w:spacing w:val="-6"/>
        </w:rPr>
        <w:t xml:space="preserve"> </w:t>
      </w:r>
      <w:r>
        <w:rPr>
          <w:color w:val="231F20"/>
        </w:rPr>
        <w:t>number</w:t>
      </w:r>
      <w:r>
        <w:rPr>
          <w:color w:val="231F20"/>
          <w:spacing w:val="-4"/>
        </w:rPr>
        <w:t xml:space="preserve"> </w:t>
      </w:r>
      <w:r>
        <w:rPr>
          <w:color w:val="231F20"/>
        </w:rPr>
        <w:t>HE</w:t>
      </w:r>
      <w:r>
        <w:rPr>
          <w:color w:val="231F20"/>
          <w:spacing w:val="-7"/>
        </w:rPr>
        <w:t xml:space="preserve"> </w:t>
      </w:r>
      <w:r>
        <w:rPr>
          <w:color w:val="231F20"/>
        </w:rPr>
        <w:t>333726.</w:t>
      </w:r>
      <w:r>
        <w:rPr>
          <w:color w:val="231F20"/>
          <w:spacing w:val="-4"/>
        </w:rPr>
        <w:t xml:space="preserve"> </w:t>
      </w:r>
      <w:r>
        <w:rPr>
          <w:color w:val="231F20"/>
        </w:rPr>
        <w:t>The</w:t>
      </w:r>
      <w:r>
        <w:rPr>
          <w:color w:val="231F20"/>
          <w:spacing w:val="-6"/>
        </w:rPr>
        <w:t xml:space="preserve"> </w:t>
      </w:r>
      <w:r>
        <w:rPr>
          <w:color w:val="231F20"/>
        </w:rPr>
        <w:t>founder</w:t>
      </w:r>
      <w:r>
        <w:rPr>
          <w:color w:val="231F20"/>
          <w:spacing w:val="-7"/>
        </w:rPr>
        <w:t xml:space="preserve"> </w:t>
      </w:r>
      <w:r>
        <w:rPr>
          <w:color w:val="231F20"/>
        </w:rPr>
        <w:t>of</w:t>
      </w:r>
      <w:r>
        <w:rPr>
          <w:color w:val="231F20"/>
          <w:spacing w:val="-6"/>
        </w:rPr>
        <w:t xml:space="preserve"> </w:t>
      </w:r>
      <w:r>
        <w:rPr>
          <w:color w:val="231F20"/>
        </w:rPr>
        <w:t>HKP</w:t>
      </w:r>
      <w:r>
        <w:rPr>
          <w:color w:val="231F20"/>
          <w:spacing w:val="-4"/>
        </w:rPr>
        <w:t xml:space="preserve"> </w:t>
      </w:r>
      <w:r>
        <w:rPr>
          <w:color w:val="231F20"/>
        </w:rPr>
        <w:t>is</w:t>
      </w:r>
      <w:r>
        <w:rPr>
          <w:color w:val="231F20"/>
          <w:spacing w:val="-3"/>
        </w:rPr>
        <w:t xml:space="preserve"> </w:t>
      </w:r>
      <w:r>
        <w:rPr>
          <w:color w:val="231F20"/>
        </w:rPr>
        <w:t>Michael</w:t>
      </w:r>
      <w:r>
        <w:rPr>
          <w:color w:val="231F20"/>
          <w:spacing w:val="-4"/>
        </w:rPr>
        <w:t xml:space="preserve"> </w:t>
      </w:r>
      <w:r>
        <w:rPr>
          <w:color w:val="231F20"/>
        </w:rPr>
        <w:t>Green</w:t>
      </w:r>
      <w:r>
        <w:rPr>
          <w:color w:val="231F20"/>
          <w:spacing w:val="-5"/>
        </w:rPr>
        <w:t xml:space="preserve"> </w:t>
      </w:r>
      <w:r>
        <w:rPr>
          <w:color w:val="231F20"/>
        </w:rPr>
        <w:t>and</w:t>
      </w:r>
      <w:r>
        <w:rPr>
          <w:color w:val="231F20"/>
          <w:spacing w:val="-6"/>
        </w:rPr>
        <w:t xml:space="preserve"> </w:t>
      </w:r>
      <w:r>
        <w:rPr>
          <w:color w:val="231F20"/>
        </w:rPr>
        <w:t>its</w:t>
      </w:r>
      <w:r>
        <w:rPr>
          <w:color w:val="231F20"/>
          <w:spacing w:val="-6"/>
        </w:rPr>
        <w:t xml:space="preserve"> </w:t>
      </w:r>
      <w:r>
        <w:rPr>
          <w:color w:val="231F20"/>
        </w:rPr>
        <w:t>entire</w:t>
      </w:r>
      <w:r>
        <w:rPr>
          <w:color w:val="231F20"/>
          <w:spacing w:val="-6"/>
        </w:rPr>
        <w:t xml:space="preserve"> </w:t>
      </w:r>
      <w:r>
        <w:rPr>
          <w:color w:val="231F20"/>
        </w:rPr>
        <w:t>issued</w:t>
      </w:r>
      <w:r>
        <w:rPr>
          <w:color w:val="231F20"/>
          <w:spacing w:val="-4"/>
        </w:rPr>
        <w:t xml:space="preserve"> </w:t>
      </w:r>
      <w:r>
        <w:rPr>
          <w:color w:val="231F20"/>
        </w:rPr>
        <w:t>share</w:t>
      </w:r>
      <w:r>
        <w:rPr>
          <w:color w:val="231F20"/>
          <w:spacing w:val="-6"/>
        </w:rPr>
        <w:t xml:space="preserve"> </w:t>
      </w:r>
      <w:r>
        <w:rPr>
          <w:color w:val="231F20"/>
        </w:rPr>
        <w:t>capital</w:t>
      </w:r>
      <w:r>
        <w:rPr>
          <w:color w:val="231F20"/>
          <w:spacing w:val="-6"/>
        </w:rPr>
        <w:t xml:space="preserve"> </w:t>
      </w:r>
      <w:r>
        <w:rPr>
          <w:color w:val="231F20"/>
        </w:rPr>
        <w:t>is</w:t>
      </w:r>
      <w:r>
        <w:rPr>
          <w:color w:val="231F20"/>
          <w:spacing w:val="-6"/>
        </w:rPr>
        <w:t xml:space="preserve"> </w:t>
      </w:r>
      <w:r>
        <w:rPr>
          <w:color w:val="231F20"/>
        </w:rPr>
        <w:t>now owned by the Company. Following completion of the RTO, the name of HKP was changed to Chesterfield Resources (Cyprus) Limited</w:t>
      </w:r>
      <w:r>
        <w:rPr>
          <w:color w:val="231F20"/>
          <w:spacing w:val="-6"/>
        </w:rPr>
        <w:t xml:space="preserve"> </w:t>
      </w:r>
      <w:r>
        <w:rPr>
          <w:color w:val="231F20"/>
        </w:rPr>
        <w:t>(“</w:t>
      </w:r>
      <w:r>
        <w:rPr>
          <w:b/>
          <w:bCs/>
          <w:color w:val="231F20"/>
        </w:rPr>
        <w:t>CRCL</w:t>
      </w:r>
      <w:r>
        <w:rPr>
          <w:color w:val="231F20"/>
        </w:rPr>
        <w:t>”).</w:t>
      </w:r>
    </w:p>
    <w:p w14:paraId="76AFD0E7" w14:textId="3142F1CC" w:rsidR="00803B78" w:rsidRDefault="00803B78" w:rsidP="009A2801">
      <w:pPr>
        <w:pStyle w:val="BodyText"/>
        <w:kinsoku w:val="0"/>
        <w:overflowPunct w:val="0"/>
        <w:ind w:right="1188"/>
        <w:jc w:val="both"/>
        <w:rPr>
          <w:color w:val="231F20"/>
        </w:rPr>
      </w:pPr>
    </w:p>
    <w:p w14:paraId="385279AF" w14:textId="52301EA5" w:rsidR="00803B78" w:rsidRDefault="00803B78">
      <w:pPr>
        <w:pStyle w:val="BodyText"/>
        <w:kinsoku w:val="0"/>
        <w:overflowPunct w:val="0"/>
        <w:ind w:left="300" w:right="1188"/>
        <w:jc w:val="both"/>
        <w:rPr>
          <w:color w:val="231F20"/>
        </w:rPr>
      </w:pPr>
      <w:r>
        <w:rPr>
          <w:color w:val="231F20"/>
        </w:rPr>
        <w:t xml:space="preserve">On </w:t>
      </w:r>
      <w:r w:rsidR="00E042BA">
        <w:t>18 May</w:t>
      </w:r>
      <w:r>
        <w:rPr>
          <w:color w:val="231F20"/>
        </w:rPr>
        <w:t xml:space="preserve"> 2021, the Company </w:t>
      </w:r>
      <w:r w:rsidR="00E042BA">
        <w:rPr>
          <w:color w:val="231F20"/>
        </w:rPr>
        <w:t>entered into the Share Purchase Agreement, pursuant to which it agreed to purchase</w:t>
      </w:r>
      <w:r w:rsidR="00090366">
        <w:rPr>
          <w:color w:val="231F20"/>
        </w:rPr>
        <w:t xml:space="preserve"> the entire issued share capital of </w:t>
      </w:r>
      <w:r>
        <w:rPr>
          <w:color w:val="231F20"/>
        </w:rPr>
        <w:t>NLCO</w:t>
      </w:r>
      <w:r w:rsidR="00090366">
        <w:rPr>
          <w:color w:val="231F20"/>
        </w:rPr>
        <w:t xml:space="preserve">, a company owning a 100% interest </w:t>
      </w:r>
      <w:r w:rsidR="00BD2B8A">
        <w:rPr>
          <w:color w:val="231F20"/>
        </w:rPr>
        <w:t xml:space="preserve">in </w:t>
      </w:r>
      <w:r w:rsidR="00090366">
        <w:rPr>
          <w:color w:val="231F20"/>
        </w:rPr>
        <w:t xml:space="preserve">the Adeline Copper Project in </w:t>
      </w:r>
      <w:r w:rsidR="00494322">
        <w:rPr>
          <w:color w:val="231F20"/>
        </w:rPr>
        <w:t xml:space="preserve">central Labrador, </w:t>
      </w:r>
      <w:r w:rsidR="00747560">
        <w:rPr>
          <w:color w:val="231F20"/>
        </w:rPr>
        <w:t>N</w:t>
      </w:r>
      <w:r w:rsidR="00090366">
        <w:rPr>
          <w:color w:val="231F20"/>
        </w:rPr>
        <w:t xml:space="preserve">ewfoundland and Labrador, </w:t>
      </w:r>
      <w:r w:rsidR="00494322">
        <w:rPr>
          <w:color w:val="231F20"/>
        </w:rPr>
        <w:t xml:space="preserve">Canada, </w:t>
      </w:r>
      <w:r w:rsidR="00321808">
        <w:rPr>
          <w:color w:val="231F20"/>
        </w:rPr>
        <w:t>from Altius.</w:t>
      </w:r>
      <w:r w:rsidR="00090366">
        <w:rPr>
          <w:color w:val="231F20"/>
        </w:rPr>
        <w:t xml:space="preserve"> </w:t>
      </w:r>
      <w:r w:rsidR="00747560">
        <w:rPr>
          <w:color w:val="231F20"/>
        </w:rPr>
        <w:t xml:space="preserve">NLCO was incorporated under the laws of Newfoundland and Labrador on </w:t>
      </w:r>
      <w:r w:rsidR="00BD2B8A">
        <w:rPr>
          <w:color w:val="231F20"/>
        </w:rPr>
        <w:t>13 May 2021</w:t>
      </w:r>
      <w:r w:rsidR="00747560">
        <w:rPr>
          <w:color w:val="231F20"/>
        </w:rPr>
        <w:t xml:space="preserve"> with company number </w:t>
      </w:r>
      <w:r w:rsidR="00BD2B8A">
        <w:rPr>
          <w:color w:val="231F20"/>
        </w:rPr>
        <w:t>87986</w:t>
      </w:r>
      <w:r w:rsidR="00747560">
        <w:rPr>
          <w:color w:val="231F20"/>
        </w:rPr>
        <w:t xml:space="preserve">. </w:t>
      </w:r>
      <w:r w:rsidR="00E042BA">
        <w:rPr>
          <w:color w:val="231F20"/>
        </w:rPr>
        <w:t>Following completion of the Labrador Acquisition, t</w:t>
      </w:r>
      <w:r w:rsidR="00747560">
        <w:rPr>
          <w:color w:val="231F20"/>
        </w:rPr>
        <w:t xml:space="preserve">he entire issued share capital of NLCO </w:t>
      </w:r>
      <w:r w:rsidR="00E042BA">
        <w:rPr>
          <w:color w:val="231F20"/>
        </w:rPr>
        <w:t>will be</w:t>
      </w:r>
      <w:r w:rsidR="00747560">
        <w:rPr>
          <w:color w:val="231F20"/>
        </w:rPr>
        <w:t xml:space="preserve"> owned by the Company. </w:t>
      </w:r>
    </w:p>
    <w:p w14:paraId="7EB1EE68" w14:textId="0B1416A0" w:rsidR="00AE18F6" w:rsidRDefault="00AE18F6">
      <w:pPr>
        <w:pStyle w:val="BodyText"/>
        <w:kinsoku w:val="0"/>
        <w:overflowPunct w:val="0"/>
        <w:ind w:left="300" w:right="1188"/>
        <w:jc w:val="both"/>
        <w:rPr>
          <w:color w:val="231F20"/>
        </w:rPr>
      </w:pPr>
    </w:p>
    <w:p w14:paraId="1CB4C1EF" w14:textId="20F76024" w:rsidR="00AE18F6" w:rsidRDefault="00AE18F6">
      <w:pPr>
        <w:pStyle w:val="BodyText"/>
        <w:kinsoku w:val="0"/>
        <w:overflowPunct w:val="0"/>
        <w:ind w:left="300" w:right="1188"/>
        <w:jc w:val="both"/>
        <w:rPr>
          <w:color w:val="231F20"/>
        </w:rPr>
      </w:pPr>
      <w:r>
        <w:rPr>
          <w:color w:val="231F20"/>
        </w:rPr>
        <w:t>The consideration pa</w:t>
      </w:r>
      <w:r w:rsidR="00BD2B8A">
        <w:rPr>
          <w:color w:val="231F20"/>
        </w:rPr>
        <w:t xml:space="preserve">yable </w:t>
      </w:r>
      <w:r>
        <w:rPr>
          <w:color w:val="231F20"/>
        </w:rPr>
        <w:t xml:space="preserve">by the Company pursuant to the Labrador Acquisition </w:t>
      </w:r>
      <w:r w:rsidR="00742C76">
        <w:rPr>
          <w:color w:val="231F20"/>
        </w:rPr>
        <w:t xml:space="preserve">comprises </w:t>
      </w:r>
      <w:r>
        <w:rPr>
          <w:color w:val="231F20"/>
        </w:rPr>
        <w:t xml:space="preserve">the Company issuing </w:t>
      </w:r>
      <w:r w:rsidR="001D7EAF">
        <w:rPr>
          <w:color w:val="231F20"/>
        </w:rPr>
        <w:t>(</w:t>
      </w:r>
      <w:proofErr w:type="spellStart"/>
      <w:r w:rsidR="001D7EAF">
        <w:rPr>
          <w:color w:val="231F20"/>
        </w:rPr>
        <w:t>i</w:t>
      </w:r>
      <w:proofErr w:type="spellEnd"/>
      <w:r w:rsidR="001D7EAF">
        <w:rPr>
          <w:color w:val="231F20"/>
        </w:rPr>
        <w:t xml:space="preserve">) </w:t>
      </w:r>
      <w:r>
        <w:rPr>
          <w:color w:val="231F20"/>
        </w:rPr>
        <w:t xml:space="preserve">10,089,199 </w:t>
      </w:r>
      <w:r w:rsidR="00BD2B8A">
        <w:rPr>
          <w:color w:val="231F20"/>
        </w:rPr>
        <w:t xml:space="preserve">new </w:t>
      </w:r>
      <w:r>
        <w:rPr>
          <w:color w:val="231F20"/>
        </w:rPr>
        <w:t>Ordinary Shares</w:t>
      </w:r>
      <w:r w:rsidR="001D7EAF">
        <w:rPr>
          <w:color w:val="231F20"/>
        </w:rPr>
        <w:t xml:space="preserve"> </w:t>
      </w:r>
      <w:r>
        <w:rPr>
          <w:color w:val="231F20"/>
        </w:rPr>
        <w:t xml:space="preserve">and </w:t>
      </w:r>
      <w:r w:rsidR="001D7EAF">
        <w:rPr>
          <w:color w:val="231F20"/>
        </w:rPr>
        <w:t xml:space="preserve">(ii) </w:t>
      </w:r>
      <w:r w:rsidR="00332983">
        <w:rPr>
          <w:color w:val="231F20"/>
        </w:rPr>
        <w:t>W</w:t>
      </w:r>
      <w:r>
        <w:rPr>
          <w:color w:val="231F20"/>
        </w:rPr>
        <w:t>arrants over 11,100,000 Ordinary Shares</w:t>
      </w:r>
      <w:r w:rsidR="00B557A3">
        <w:rPr>
          <w:color w:val="231F20"/>
        </w:rPr>
        <w:t xml:space="preserve"> at an exercise price of 20p per share</w:t>
      </w:r>
      <w:r>
        <w:rPr>
          <w:color w:val="231F20"/>
        </w:rPr>
        <w:t xml:space="preserve"> to Altius. </w:t>
      </w:r>
      <w:r w:rsidR="00A75CF3">
        <w:rPr>
          <w:color w:val="231F20"/>
        </w:rPr>
        <w:t xml:space="preserve">Further details of the Labrador Acquisition are set out at paragraph </w:t>
      </w:r>
      <w:r w:rsidR="001D7EAF">
        <w:t>14.1</w:t>
      </w:r>
      <w:r w:rsidR="007E2EB3">
        <w:rPr>
          <w:color w:val="231F20"/>
        </w:rPr>
        <w:t xml:space="preserve"> of Part VII of this Document. </w:t>
      </w:r>
    </w:p>
    <w:p w14:paraId="52D201B4" w14:textId="77777777" w:rsidR="00783288" w:rsidRDefault="00783288">
      <w:pPr>
        <w:pStyle w:val="BodyText"/>
        <w:kinsoku w:val="0"/>
        <w:overflowPunct w:val="0"/>
        <w:spacing w:before="6"/>
        <w:rPr>
          <w:sz w:val="17"/>
          <w:szCs w:val="17"/>
        </w:rPr>
      </w:pPr>
    </w:p>
    <w:p w14:paraId="5D9829EF" w14:textId="77777777" w:rsidR="00783288" w:rsidRDefault="00E31420" w:rsidP="00512495">
      <w:pPr>
        <w:pStyle w:val="Heading1"/>
        <w:numPr>
          <w:ilvl w:val="0"/>
          <w:numId w:val="20"/>
        </w:numPr>
        <w:tabs>
          <w:tab w:val="left" w:pos="661"/>
        </w:tabs>
        <w:kinsoku w:val="0"/>
        <w:overflowPunct w:val="0"/>
        <w:ind w:left="660" w:hanging="361"/>
        <w:rPr>
          <w:color w:val="231F20"/>
        </w:rPr>
      </w:pPr>
      <w:r>
        <w:rPr>
          <w:color w:val="231F20"/>
        </w:rPr>
        <w:t>Principal Activities of the</w:t>
      </w:r>
      <w:r>
        <w:rPr>
          <w:color w:val="231F20"/>
          <w:spacing w:val="2"/>
        </w:rPr>
        <w:t xml:space="preserve"> </w:t>
      </w:r>
      <w:r>
        <w:rPr>
          <w:color w:val="231F20"/>
        </w:rPr>
        <w:t>Group</w:t>
      </w:r>
    </w:p>
    <w:p w14:paraId="318DA3F8" w14:textId="77777777" w:rsidR="00783288" w:rsidRDefault="00783288">
      <w:pPr>
        <w:pStyle w:val="BodyText"/>
        <w:kinsoku w:val="0"/>
        <w:overflowPunct w:val="0"/>
        <w:spacing w:before="6"/>
        <w:rPr>
          <w:b/>
          <w:bCs/>
        </w:rPr>
      </w:pPr>
    </w:p>
    <w:p w14:paraId="21D83B62" w14:textId="5CA272E9" w:rsidR="00783288" w:rsidRDefault="00E31420">
      <w:pPr>
        <w:pStyle w:val="BodyText"/>
        <w:kinsoku w:val="0"/>
        <w:overflowPunct w:val="0"/>
        <w:ind w:left="300" w:right="1192"/>
        <w:jc w:val="both"/>
        <w:rPr>
          <w:color w:val="231F20"/>
        </w:rPr>
      </w:pPr>
      <w:r>
        <w:rPr>
          <w:color w:val="231F20"/>
        </w:rPr>
        <w:t>The principal activity of the Group is currently the exploration for and development of copper and gold mineral resource assets in Cyprus</w:t>
      </w:r>
      <w:r w:rsidR="009C21A2">
        <w:rPr>
          <w:color w:val="231F20"/>
        </w:rPr>
        <w:t xml:space="preserve">. </w:t>
      </w:r>
      <w:r w:rsidR="009565D9">
        <w:rPr>
          <w:color w:val="231F20"/>
        </w:rPr>
        <w:t>T</w:t>
      </w:r>
      <w:r w:rsidR="009C21A2">
        <w:rPr>
          <w:color w:val="231F20"/>
        </w:rPr>
        <w:t xml:space="preserve">he exploration for and development of copper mineral resource assets in </w:t>
      </w:r>
      <w:r w:rsidR="00494322">
        <w:rPr>
          <w:color w:val="231F20"/>
        </w:rPr>
        <w:t xml:space="preserve">central Labrador, Newfoundland and Labrador, </w:t>
      </w:r>
      <w:r w:rsidR="009C21A2">
        <w:rPr>
          <w:color w:val="231F20"/>
        </w:rPr>
        <w:t>Canada is anticipated to commence shortly</w:t>
      </w:r>
      <w:r w:rsidR="009565D9">
        <w:rPr>
          <w:color w:val="231F20"/>
        </w:rPr>
        <w:t xml:space="preserve"> </w:t>
      </w:r>
      <w:r w:rsidR="00E721E8">
        <w:rPr>
          <w:color w:val="231F20"/>
        </w:rPr>
        <w:t>following</w:t>
      </w:r>
      <w:r w:rsidR="009565D9">
        <w:rPr>
          <w:color w:val="231F20"/>
        </w:rPr>
        <w:t xml:space="preserve"> completion of the Labrador Acquisition</w:t>
      </w:r>
      <w:r>
        <w:rPr>
          <w:color w:val="231F20"/>
        </w:rPr>
        <w:t>.</w:t>
      </w:r>
      <w:r w:rsidR="004313E4">
        <w:rPr>
          <w:color w:val="231F20"/>
        </w:rPr>
        <w:t xml:space="preserve"> </w:t>
      </w:r>
    </w:p>
    <w:p w14:paraId="7F6AF3B7" w14:textId="77777777" w:rsidR="00783288" w:rsidRDefault="00783288">
      <w:pPr>
        <w:pStyle w:val="BodyText"/>
        <w:kinsoku w:val="0"/>
        <w:overflowPunct w:val="0"/>
        <w:spacing w:before="7"/>
        <w:rPr>
          <w:sz w:val="17"/>
          <w:szCs w:val="17"/>
        </w:rPr>
      </w:pPr>
    </w:p>
    <w:p w14:paraId="4514C0DF" w14:textId="5BE0C75B" w:rsidR="00783288" w:rsidRDefault="005C470D" w:rsidP="00512495">
      <w:pPr>
        <w:pStyle w:val="Heading1"/>
        <w:numPr>
          <w:ilvl w:val="1"/>
          <w:numId w:val="20"/>
        </w:numPr>
        <w:tabs>
          <w:tab w:val="left" w:pos="1020"/>
        </w:tabs>
        <w:kinsoku w:val="0"/>
        <w:overflowPunct w:val="0"/>
        <w:rPr>
          <w:color w:val="231F20"/>
        </w:rPr>
      </w:pPr>
      <w:r>
        <w:rPr>
          <w:color w:val="231F20"/>
        </w:rPr>
        <w:t xml:space="preserve">Granted Prospecting </w:t>
      </w:r>
      <w:r w:rsidR="00E31420">
        <w:rPr>
          <w:color w:val="231F20"/>
        </w:rPr>
        <w:t>Permits in</w:t>
      </w:r>
      <w:r w:rsidR="00E31420">
        <w:rPr>
          <w:color w:val="231F20"/>
          <w:spacing w:val="2"/>
        </w:rPr>
        <w:t xml:space="preserve"> </w:t>
      </w:r>
      <w:r w:rsidR="00E31420">
        <w:rPr>
          <w:color w:val="231F20"/>
        </w:rPr>
        <w:t>Cyprus</w:t>
      </w:r>
      <w:r w:rsidR="00040508">
        <w:rPr>
          <w:color w:val="231F20"/>
        </w:rPr>
        <w:t xml:space="preserve"> </w:t>
      </w:r>
    </w:p>
    <w:p w14:paraId="4837FB8F" w14:textId="77777777" w:rsidR="00783288" w:rsidRDefault="00783288">
      <w:pPr>
        <w:pStyle w:val="BodyText"/>
        <w:kinsoku w:val="0"/>
        <w:overflowPunct w:val="0"/>
        <w:spacing w:before="4"/>
        <w:rPr>
          <w:b/>
          <w:bCs/>
        </w:rPr>
      </w:pPr>
    </w:p>
    <w:p w14:paraId="26BA80E8" w14:textId="5E134202" w:rsidR="00783288" w:rsidRDefault="00E31420">
      <w:pPr>
        <w:pStyle w:val="BodyText"/>
        <w:kinsoku w:val="0"/>
        <w:overflowPunct w:val="0"/>
        <w:ind w:left="300" w:right="1190"/>
        <w:jc w:val="both"/>
        <w:rPr>
          <w:color w:val="231F20"/>
        </w:rPr>
      </w:pPr>
      <w:r>
        <w:rPr>
          <w:color w:val="231F20"/>
        </w:rPr>
        <w:t xml:space="preserve">The </w:t>
      </w:r>
      <w:r w:rsidR="0019125A">
        <w:rPr>
          <w:color w:val="231F20"/>
        </w:rPr>
        <w:t xml:space="preserve">Group </w:t>
      </w:r>
      <w:r>
        <w:rPr>
          <w:color w:val="231F20"/>
        </w:rPr>
        <w:t xml:space="preserve">has a 100 per cent. interest in </w:t>
      </w:r>
      <w:r w:rsidR="00076EAC">
        <w:rPr>
          <w:color w:val="231F20"/>
        </w:rPr>
        <w:t>the Granted Prospecting Permits</w:t>
      </w:r>
      <w:r w:rsidR="00404B30">
        <w:rPr>
          <w:color w:val="231F20"/>
        </w:rPr>
        <w:t>. The Granted Prospecting Permits are split in Cyprus according to km</w:t>
      </w:r>
      <w:proofErr w:type="gramStart"/>
      <w:r w:rsidR="00404B30">
        <w:rPr>
          <w:color w:val="231F20"/>
          <w:position w:val="6"/>
          <w:sz w:val="12"/>
          <w:szCs w:val="12"/>
        </w:rPr>
        <w:t xml:space="preserve">2  </w:t>
      </w:r>
      <w:r w:rsidR="00404B30">
        <w:rPr>
          <w:color w:val="231F20"/>
        </w:rPr>
        <w:t>as</w:t>
      </w:r>
      <w:proofErr w:type="gramEnd"/>
      <w:r w:rsidR="00404B30">
        <w:rPr>
          <w:color w:val="231F20"/>
        </w:rPr>
        <w:t xml:space="preserve"> provided by the Mines Service Report in the following three areas</w:t>
      </w:r>
      <w:r>
        <w:rPr>
          <w:color w:val="231F20"/>
        </w:rPr>
        <w:t>:</w:t>
      </w:r>
    </w:p>
    <w:p w14:paraId="5BF00398" w14:textId="77777777" w:rsidR="00783288" w:rsidRDefault="00783288">
      <w:pPr>
        <w:pStyle w:val="BodyText"/>
        <w:kinsoku w:val="0"/>
        <w:overflowPunct w:val="0"/>
        <w:spacing w:before="11"/>
        <w:rPr>
          <w:sz w:val="17"/>
          <w:szCs w:val="17"/>
        </w:rPr>
      </w:pPr>
    </w:p>
    <w:p w14:paraId="21C6CAB8" w14:textId="2F97F8D5" w:rsidR="00783288" w:rsidRDefault="00E31420" w:rsidP="00512495">
      <w:pPr>
        <w:pStyle w:val="ListParagraph"/>
        <w:numPr>
          <w:ilvl w:val="0"/>
          <w:numId w:val="22"/>
        </w:numPr>
        <w:tabs>
          <w:tab w:val="left" w:pos="867"/>
        </w:tabs>
        <w:kinsoku w:val="0"/>
        <w:overflowPunct w:val="0"/>
        <w:spacing w:line="235" w:lineRule="auto"/>
        <w:ind w:right="1190"/>
        <w:jc w:val="both"/>
        <w:rPr>
          <w:rFonts w:ascii="Symbol" w:hAnsi="Symbol" w:cs="Symbol"/>
          <w:color w:val="231F20"/>
          <w:sz w:val="18"/>
          <w:szCs w:val="18"/>
        </w:rPr>
      </w:pPr>
      <w:bookmarkStart w:id="3" w:name="_Hlk74132793"/>
      <w:r>
        <w:rPr>
          <w:b/>
          <w:bCs/>
          <w:color w:val="231F20"/>
          <w:sz w:val="18"/>
          <w:szCs w:val="18"/>
          <w:u w:val="single"/>
        </w:rPr>
        <w:t>Troodos West</w:t>
      </w:r>
      <w:r>
        <w:rPr>
          <w:b/>
          <w:bCs/>
          <w:color w:val="231F20"/>
          <w:sz w:val="18"/>
          <w:szCs w:val="18"/>
        </w:rPr>
        <w:t xml:space="preserve"> </w:t>
      </w:r>
      <w:r>
        <w:rPr>
          <w:color w:val="231F20"/>
          <w:sz w:val="18"/>
          <w:szCs w:val="18"/>
        </w:rPr>
        <w:t>- a near contiguous block of fourteen Granted Prospecting Permits covering an area of approximately 5</w:t>
      </w:r>
      <w:r w:rsidR="00F2354D">
        <w:rPr>
          <w:color w:val="231F20"/>
          <w:sz w:val="18"/>
          <w:szCs w:val="18"/>
        </w:rPr>
        <w:t>2</w:t>
      </w:r>
      <w:r w:rsidR="005F5211">
        <w:rPr>
          <w:color w:val="231F20"/>
          <w:sz w:val="18"/>
          <w:szCs w:val="18"/>
        </w:rPr>
        <w:t>.</w:t>
      </w:r>
      <w:r w:rsidR="00F2354D">
        <w:rPr>
          <w:color w:val="231F20"/>
          <w:sz w:val="18"/>
          <w:szCs w:val="18"/>
        </w:rPr>
        <w:t>875</w:t>
      </w:r>
      <w:r>
        <w:rPr>
          <w:color w:val="231F20"/>
          <w:sz w:val="18"/>
          <w:szCs w:val="18"/>
        </w:rPr>
        <w:t>km</w:t>
      </w:r>
      <w:r>
        <w:rPr>
          <w:color w:val="231F20"/>
          <w:position w:val="6"/>
          <w:sz w:val="12"/>
          <w:szCs w:val="12"/>
        </w:rPr>
        <w:t>2</w:t>
      </w:r>
      <w:r>
        <w:rPr>
          <w:color w:val="231F20"/>
          <w:sz w:val="18"/>
          <w:szCs w:val="18"/>
        </w:rPr>
        <w:t>, on the western side of the Troodos Mountains, Cyprus (“</w:t>
      </w:r>
      <w:r>
        <w:rPr>
          <w:b/>
          <w:bCs/>
          <w:color w:val="231F20"/>
          <w:sz w:val="18"/>
          <w:szCs w:val="18"/>
        </w:rPr>
        <w:t>Troodos</w:t>
      </w:r>
      <w:r>
        <w:rPr>
          <w:b/>
          <w:bCs/>
          <w:color w:val="231F20"/>
          <w:spacing w:val="-1"/>
          <w:sz w:val="18"/>
          <w:szCs w:val="18"/>
        </w:rPr>
        <w:t xml:space="preserve"> </w:t>
      </w:r>
      <w:r>
        <w:rPr>
          <w:b/>
          <w:bCs/>
          <w:color w:val="231F20"/>
          <w:sz w:val="18"/>
          <w:szCs w:val="18"/>
        </w:rPr>
        <w:t>West</w:t>
      </w:r>
      <w:r>
        <w:rPr>
          <w:color w:val="231F20"/>
          <w:sz w:val="18"/>
          <w:szCs w:val="18"/>
        </w:rPr>
        <w:t>”</w:t>
      </w:r>
      <w:proofErr w:type="gramStart"/>
      <w:r>
        <w:rPr>
          <w:color w:val="231F20"/>
          <w:sz w:val="18"/>
          <w:szCs w:val="18"/>
        </w:rPr>
        <w:t>);</w:t>
      </w:r>
      <w:proofErr w:type="gramEnd"/>
    </w:p>
    <w:bookmarkEnd w:id="3"/>
    <w:p w14:paraId="625BA8EB" w14:textId="77777777" w:rsidR="00783288" w:rsidRDefault="00783288">
      <w:pPr>
        <w:pStyle w:val="BodyText"/>
        <w:kinsoku w:val="0"/>
        <w:overflowPunct w:val="0"/>
        <w:spacing w:before="5"/>
      </w:pPr>
    </w:p>
    <w:p w14:paraId="716C226C" w14:textId="5B6EBE54" w:rsidR="00783288" w:rsidRDefault="00E31420" w:rsidP="00512495">
      <w:pPr>
        <w:pStyle w:val="ListParagraph"/>
        <w:numPr>
          <w:ilvl w:val="0"/>
          <w:numId w:val="22"/>
        </w:numPr>
        <w:tabs>
          <w:tab w:val="left" w:pos="867"/>
        </w:tabs>
        <w:kinsoku w:val="0"/>
        <w:overflowPunct w:val="0"/>
        <w:spacing w:line="237" w:lineRule="auto"/>
        <w:ind w:right="1190"/>
        <w:jc w:val="both"/>
        <w:rPr>
          <w:rFonts w:ascii="Symbol" w:hAnsi="Symbol" w:cs="Symbol"/>
          <w:color w:val="231F20"/>
          <w:sz w:val="18"/>
          <w:szCs w:val="18"/>
        </w:rPr>
      </w:pPr>
      <w:r>
        <w:rPr>
          <w:b/>
          <w:bCs/>
          <w:color w:val="231F20"/>
          <w:sz w:val="18"/>
          <w:szCs w:val="18"/>
          <w:u w:val="single"/>
        </w:rPr>
        <w:t>Troodos North</w:t>
      </w:r>
      <w:r>
        <w:rPr>
          <w:b/>
          <w:bCs/>
          <w:color w:val="231F20"/>
          <w:sz w:val="18"/>
          <w:szCs w:val="18"/>
        </w:rPr>
        <w:t xml:space="preserve"> </w:t>
      </w:r>
      <w:r>
        <w:rPr>
          <w:color w:val="231F20"/>
          <w:sz w:val="18"/>
          <w:szCs w:val="18"/>
        </w:rPr>
        <w:t>– t</w:t>
      </w:r>
      <w:r w:rsidR="005F5211">
        <w:rPr>
          <w:color w:val="231F20"/>
          <w:sz w:val="18"/>
          <w:szCs w:val="18"/>
        </w:rPr>
        <w:t>wo</w:t>
      </w:r>
      <w:r>
        <w:rPr>
          <w:color w:val="231F20"/>
          <w:sz w:val="18"/>
          <w:szCs w:val="18"/>
        </w:rPr>
        <w:t xml:space="preserve"> Granted Prospecting Permit</w:t>
      </w:r>
      <w:r w:rsidR="00040508">
        <w:rPr>
          <w:color w:val="231F20"/>
          <w:sz w:val="18"/>
          <w:szCs w:val="18"/>
        </w:rPr>
        <w:t>s</w:t>
      </w:r>
      <w:r>
        <w:rPr>
          <w:color w:val="231F20"/>
          <w:sz w:val="18"/>
          <w:szCs w:val="18"/>
        </w:rPr>
        <w:t xml:space="preserve"> covering an area of </w:t>
      </w:r>
      <w:r w:rsidR="005F5211">
        <w:rPr>
          <w:color w:val="231F20"/>
          <w:sz w:val="18"/>
          <w:szCs w:val="18"/>
        </w:rPr>
        <w:t>7.74</w:t>
      </w:r>
      <w:r w:rsidR="00F2354D">
        <w:rPr>
          <w:color w:val="231F20"/>
          <w:sz w:val="18"/>
          <w:szCs w:val="18"/>
        </w:rPr>
        <w:t>0</w:t>
      </w:r>
      <w:r>
        <w:rPr>
          <w:color w:val="231F20"/>
          <w:sz w:val="18"/>
          <w:szCs w:val="18"/>
        </w:rPr>
        <w:t xml:space="preserve"> km</w:t>
      </w:r>
      <w:r>
        <w:rPr>
          <w:color w:val="231F20"/>
          <w:position w:val="6"/>
          <w:sz w:val="12"/>
          <w:szCs w:val="12"/>
        </w:rPr>
        <w:t xml:space="preserve">2 </w:t>
      </w:r>
      <w:r>
        <w:rPr>
          <w:color w:val="231F20"/>
          <w:sz w:val="18"/>
          <w:szCs w:val="18"/>
        </w:rPr>
        <w:t>on the northern side of the Troodos Mountains, Cyprus (“</w:t>
      </w:r>
      <w:r>
        <w:rPr>
          <w:b/>
          <w:bCs/>
          <w:color w:val="231F20"/>
          <w:sz w:val="18"/>
          <w:szCs w:val="18"/>
        </w:rPr>
        <w:t>Troodos North</w:t>
      </w:r>
      <w:r>
        <w:rPr>
          <w:color w:val="231F20"/>
          <w:sz w:val="18"/>
          <w:szCs w:val="18"/>
        </w:rPr>
        <w:t>”);</w:t>
      </w:r>
      <w:r>
        <w:rPr>
          <w:color w:val="231F20"/>
          <w:spacing w:val="-6"/>
          <w:sz w:val="18"/>
          <w:szCs w:val="18"/>
        </w:rPr>
        <w:t xml:space="preserve"> </w:t>
      </w:r>
      <w:r>
        <w:rPr>
          <w:color w:val="231F20"/>
          <w:sz w:val="18"/>
          <w:szCs w:val="18"/>
        </w:rPr>
        <w:t>and</w:t>
      </w:r>
    </w:p>
    <w:p w14:paraId="5C718E61" w14:textId="77777777" w:rsidR="00783288" w:rsidRDefault="00783288">
      <w:pPr>
        <w:pStyle w:val="BodyText"/>
        <w:kinsoku w:val="0"/>
        <w:overflowPunct w:val="0"/>
        <w:spacing w:before="4"/>
      </w:pPr>
    </w:p>
    <w:p w14:paraId="0B7016E7" w14:textId="1FAA1830" w:rsidR="00783288" w:rsidRDefault="00E31420" w:rsidP="00512495">
      <w:pPr>
        <w:pStyle w:val="ListParagraph"/>
        <w:numPr>
          <w:ilvl w:val="0"/>
          <w:numId w:val="22"/>
        </w:numPr>
        <w:tabs>
          <w:tab w:val="left" w:pos="867"/>
        </w:tabs>
        <w:kinsoku w:val="0"/>
        <w:overflowPunct w:val="0"/>
        <w:spacing w:line="237" w:lineRule="auto"/>
        <w:ind w:right="1190"/>
        <w:jc w:val="both"/>
        <w:rPr>
          <w:rFonts w:ascii="Symbol" w:hAnsi="Symbol" w:cs="Symbol"/>
          <w:color w:val="231F20"/>
          <w:sz w:val="18"/>
          <w:szCs w:val="18"/>
        </w:rPr>
      </w:pPr>
      <w:r>
        <w:rPr>
          <w:b/>
          <w:bCs/>
          <w:color w:val="231F20"/>
          <w:sz w:val="18"/>
          <w:szCs w:val="18"/>
          <w:u w:val="single"/>
        </w:rPr>
        <w:t>Discovery South</w:t>
      </w:r>
      <w:r>
        <w:rPr>
          <w:b/>
          <w:bCs/>
          <w:color w:val="231F20"/>
          <w:sz w:val="18"/>
          <w:szCs w:val="18"/>
        </w:rPr>
        <w:t xml:space="preserve"> </w:t>
      </w:r>
      <w:r>
        <w:rPr>
          <w:color w:val="231F20"/>
          <w:sz w:val="18"/>
          <w:szCs w:val="18"/>
        </w:rPr>
        <w:t>– four Granted Prospecting Permits, covering an area of 3</w:t>
      </w:r>
      <w:r w:rsidR="00F2354D">
        <w:rPr>
          <w:color w:val="231F20"/>
          <w:sz w:val="18"/>
          <w:szCs w:val="18"/>
        </w:rPr>
        <w:t>4</w:t>
      </w:r>
      <w:r>
        <w:rPr>
          <w:color w:val="231F20"/>
          <w:sz w:val="18"/>
          <w:szCs w:val="18"/>
        </w:rPr>
        <w:t>.</w:t>
      </w:r>
      <w:r w:rsidR="00F2354D">
        <w:rPr>
          <w:color w:val="231F20"/>
          <w:sz w:val="18"/>
          <w:szCs w:val="18"/>
        </w:rPr>
        <w:t>767</w:t>
      </w:r>
      <w:r>
        <w:rPr>
          <w:color w:val="231F20"/>
          <w:sz w:val="18"/>
          <w:szCs w:val="18"/>
        </w:rPr>
        <w:t xml:space="preserve"> km</w:t>
      </w:r>
      <w:bookmarkStart w:id="4" w:name="_Hlk71190625"/>
      <w:r>
        <w:rPr>
          <w:color w:val="231F20"/>
          <w:position w:val="6"/>
          <w:sz w:val="12"/>
          <w:szCs w:val="12"/>
        </w:rPr>
        <w:t xml:space="preserve">2 </w:t>
      </w:r>
      <w:bookmarkEnd w:id="4"/>
      <w:r>
        <w:rPr>
          <w:color w:val="231F20"/>
          <w:sz w:val="18"/>
          <w:szCs w:val="18"/>
        </w:rPr>
        <w:t>on the eastern end of the Troodos West area, Cyprus (“</w:t>
      </w:r>
      <w:r>
        <w:rPr>
          <w:b/>
          <w:bCs/>
          <w:color w:val="231F20"/>
          <w:sz w:val="18"/>
          <w:szCs w:val="18"/>
        </w:rPr>
        <w:t>Discovery</w:t>
      </w:r>
      <w:r>
        <w:rPr>
          <w:b/>
          <w:bCs/>
          <w:color w:val="231F20"/>
          <w:spacing w:val="-14"/>
          <w:sz w:val="18"/>
          <w:szCs w:val="18"/>
        </w:rPr>
        <w:t xml:space="preserve"> </w:t>
      </w:r>
      <w:r>
        <w:rPr>
          <w:b/>
          <w:bCs/>
          <w:color w:val="231F20"/>
          <w:sz w:val="18"/>
          <w:szCs w:val="18"/>
        </w:rPr>
        <w:t>South</w:t>
      </w:r>
      <w:r>
        <w:rPr>
          <w:color w:val="231F20"/>
          <w:sz w:val="18"/>
          <w:szCs w:val="18"/>
        </w:rPr>
        <w:t>”).</w:t>
      </w:r>
    </w:p>
    <w:p w14:paraId="662B5277" w14:textId="77777777" w:rsidR="00783288" w:rsidRDefault="00783288">
      <w:pPr>
        <w:pStyle w:val="BodyText"/>
        <w:kinsoku w:val="0"/>
        <w:overflowPunct w:val="0"/>
      </w:pPr>
    </w:p>
    <w:p w14:paraId="27078210" w14:textId="6E690D35" w:rsidR="00783288" w:rsidRDefault="00E31420">
      <w:pPr>
        <w:pStyle w:val="BodyText"/>
        <w:kinsoku w:val="0"/>
        <w:overflowPunct w:val="0"/>
        <w:ind w:left="300" w:right="1188"/>
        <w:jc w:val="both"/>
        <w:rPr>
          <w:color w:val="231F20"/>
        </w:rPr>
      </w:pPr>
      <w:r>
        <w:rPr>
          <w:color w:val="231F20"/>
        </w:rPr>
        <w:t xml:space="preserve">In total, the Group’s Granted Prospecting Permits cover an area of </w:t>
      </w:r>
      <w:r w:rsidR="007574A5" w:rsidRPr="00000354">
        <w:rPr>
          <w:color w:val="231F20"/>
        </w:rPr>
        <w:t>9</w:t>
      </w:r>
      <w:r w:rsidR="00D3036A" w:rsidRPr="00000354">
        <w:rPr>
          <w:color w:val="231F20"/>
        </w:rPr>
        <w:t>5</w:t>
      </w:r>
      <w:r w:rsidR="007574A5" w:rsidRPr="00000354">
        <w:rPr>
          <w:color w:val="231F20"/>
        </w:rPr>
        <w:t>.</w:t>
      </w:r>
      <w:r w:rsidR="002C1A67" w:rsidRPr="00000354">
        <w:rPr>
          <w:color w:val="231F20"/>
        </w:rPr>
        <w:t>3</w:t>
      </w:r>
      <w:r w:rsidR="00F2354D" w:rsidRPr="00000354">
        <w:rPr>
          <w:color w:val="231F20"/>
        </w:rPr>
        <w:t>8</w:t>
      </w:r>
      <w:r w:rsidR="002C1A67" w:rsidRPr="00000354">
        <w:rPr>
          <w:color w:val="231F20"/>
        </w:rPr>
        <w:t>2</w:t>
      </w:r>
      <w:r>
        <w:rPr>
          <w:color w:val="231F20"/>
        </w:rPr>
        <w:t xml:space="preserve"> km</w:t>
      </w:r>
      <w:r>
        <w:rPr>
          <w:color w:val="231F20"/>
          <w:position w:val="6"/>
          <w:sz w:val="12"/>
          <w:szCs w:val="12"/>
        </w:rPr>
        <w:t>2</w:t>
      </w:r>
      <w:r>
        <w:rPr>
          <w:color w:val="231F20"/>
        </w:rPr>
        <w:t>. A full summary of the Granted Prospecting Permits to which the Group has title and their particulars is set out in the table at paragraph 15 of Part VII of this Document.</w:t>
      </w:r>
    </w:p>
    <w:p w14:paraId="661569B1" w14:textId="77777777" w:rsidR="00783288" w:rsidRDefault="00783288">
      <w:pPr>
        <w:pStyle w:val="BodyText"/>
        <w:kinsoku w:val="0"/>
        <w:overflowPunct w:val="0"/>
        <w:spacing w:before="5"/>
        <w:rPr>
          <w:sz w:val="24"/>
          <w:szCs w:val="24"/>
        </w:rPr>
      </w:pPr>
    </w:p>
    <w:p w14:paraId="75C958AB" w14:textId="4CDA099D" w:rsidR="00783288" w:rsidRDefault="007A229F">
      <w:pPr>
        <w:pStyle w:val="BodyText"/>
        <w:kinsoku w:val="0"/>
        <w:overflowPunct w:val="0"/>
        <w:spacing w:before="79"/>
        <w:ind w:left="300" w:right="1187"/>
        <w:jc w:val="both"/>
        <w:rPr>
          <w:color w:val="231F20"/>
        </w:rPr>
      </w:pPr>
      <w:r>
        <w:rPr>
          <w:color w:val="231F20"/>
        </w:rPr>
        <w:t xml:space="preserve">A Prospecting Permit may be one of three types, as listed below. </w:t>
      </w:r>
    </w:p>
    <w:p w14:paraId="63AFA892" w14:textId="64E2CF64" w:rsidR="007A229F" w:rsidRDefault="007A229F">
      <w:pPr>
        <w:pStyle w:val="BodyText"/>
        <w:kinsoku w:val="0"/>
        <w:overflowPunct w:val="0"/>
        <w:spacing w:before="79"/>
        <w:ind w:left="300" w:right="1187"/>
        <w:jc w:val="both"/>
        <w:rPr>
          <w:color w:val="231F20"/>
        </w:rPr>
      </w:pPr>
      <w:bookmarkStart w:id="5" w:name="_Hlk74133060"/>
    </w:p>
    <w:p w14:paraId="7FCCCA6B" w14:textId="3BC25227" w:rsidR="0053684E" w:rsidRDefault="00DC05CC" w:rsidP="00512495">
      <w:pPr>
        <w:pStyle w:val="ListParagraph"/>
        <w:numPr>
          <w:ilvl w:val="0"/>
          <w:numId w:val="33"/>
        </w:numPr>
        <w:tabs>
          <w:tab w:val="left" w:pos="867"/>
        </w:tabs>
        <w:kinsoku w:val="0"/>
        <w:overflowPunct w:val="0"/>
        <w:spacing w:line="235" w:lineRule="auto"/>
        <w:ind w:right="1190" w:hanging="440"/>
        <w:jc w:val="both"/>
        <w:rPr>
          <w:color w:val="231F20"/>
          <w:sz w:val="18"/>
          <w:szCs w:val="18"/>
        </w:rPr>
      </w:pPr>
      <w:r w:rsidRPr="0053684E">
        <w:rPr>
          <w:b/>
          <w:bCs/>
          <w:color w:val="231F20"/>
          <w:sz w:val="18"/>
          <w:szCs w:val="18"/>
          <w:u w:val="single"/>
        </w:rPr>
        <w:t>Reconnaissance Permit</w:t>
      </w:r>
      <w:r w:rsidRPr="0053684E">
        <w:rPr>
          <w:b/>
          <w:bCs/>
          <w:color w:val="231F20"/>
          <w:sz w:val="18"/>
          <w:szCs w:val="18"/>
        </w:rPr>
        <w:t xml:space="preserve"> </w:t>
      </w:r>
      <w:bookmarkEnd w:id="5"/>
      <w:r w:rsidR="0053684E" w:rsidRPr="0053684E">
        <w:rPr>
          <w:color w:val="231F20"/>
          <w:sz w:val="18"/>
          <w:szCs w:val="18"/>
        </w:rPr>
        <w:t>–</w:t>
      </w:r>
      <w:r w:rsidRPr="0053684E">
        <w:rPr>
          <w:color w:val="231F20"/>
          <w:sz w:val="18"/>
          <w:szCs w:val="18"/>
        </w:rPr>
        <w:t xml:space="preserve"> </w:t>
      </w:r>
      <w:r w:rsidR="0053684E" w:rsidRPr="0053684E">
        <w:rPr>
          <w:color w:val="231F20"/>
          <w:sz w:val="18"/>
          <w:szCs w:val="18"/>
        </w:rPr>
        <w:t xml:space="preserve">Subject to Regulation 5(a) of the Mines Regulations, a Reconnaissance Permit is defined as a prospecting permit granted for the search of minerals, as referred to in paragraph </w:t>
      </w:r>
      <w:r w:rsidR="0053684E">
        <w:rPr>
          <w:color w:val="231F20"/>
          <w:sz w:val="18"/>
          <w:szCs w:val="18"/>
        </w:rPr>
        <w:t>3.1</w:t>
      </w:r>
      <w:r w:rsidR="0053684E" w:rsidRPr="0053684E">
        <w:rPr>
          <w:color w:val="231F20"/>
          <w:sz w:val="18"/>
          <w:szCs w:val="18"/>
        </w:rPr>
        <w:t xml:space="preserve">(b) below, with any suitable method including the basic surface sampling but without performing any drilling or excavation. Reconnaissance </w:t>
      </w:r>
      <w:r w:rsidR="0053684E">
        <w:rPr>
          <w:color w:val="231F20"/>
          <w:sz w:val="18"/>
          <w:szCs w:val="18"/>
        </w:rPr>
        <w:t>P</w:t>
      </w:r>
      <w:r w:rsidR="0053684E" w:rsidRPr="0053684E">
        <w:rPr>
          <w:color w:val="231F20"/>
          <w:sz w:val="18"/>
          <w:szCs w:val="18"/>
        </w:rPr>
        <w:t xml:space="preserve">ermits allow reconnaissance work only.  </w:t>
      </w:r>
      <w:r w:rsidR="0018168F">
        <w:rPr>
          <w:color w:val="231F20"/>
          <w:sz w:val="18"/>
          <w:szCs w:val="18"/>
        </w:rPr>
        <w:t xml:space="preserve">In accordance with Regulation 6(3)(a) of the Mines Regulations, </w:t>
      </w:r>
      <w:r w:rsidR="0053684E" w:rsidRPr="0053684E">
        <w:rPr>
          <w:color w:val="231F20"/>
          <w:sz w:val="18"/>
          <w:szCs w:val="18"/>
        </w:rPr>
        <w:t xml:space="preserve">Reconnaissance </w:t>
      </w:r>
      <w:r w:rsidR="0053684E">
        <w:rPr>
          <w:color w:val="231F20"/>
          <w:sz w:val="18"/>
          <w:szCs w:val="18"/>
        </w:rPr>
        <w:t>P</w:t>
      </w:r>
      <w:r w:rsidR="0053684E" w:rsidRPr="0053684E">
        <w:rPr>
          <w:color w:val="231F20"/>
          <w:sz w:val="18"/>
          <w:szCs w:val="18"/>
        </w:rPr>
        <w:t xml:space="preserve">ermits </w:t>
      </w:r>
      <w:r w:rsidR="0018168F">
        <w:rPr>
          <w:color w:val="231F20"/>
          <w:sz w:val="18"/>
          <w:szCs w:val="18"/>
        </w:rPr>
        <w:t>can be renewed for 1 (one) period</w:t>
      </w:r>
      <w:r w:rsidR="0053684E" w:rsidRPr="0053684E">
        <w:rPr>
          <w:color w:val="231F20"/>
          <w:sz w:val="18"/>
          <w:szCs w:val="18"/>
        </w:rPr>
        <w:t xml:space="preserve"> </w:t>
      </w:r>
      <w:r w:rsidR="0018168F">
        <w:rPr>
          <w:color w:val="231F20"/>
          <w:sz w:val="18"/>
          <w:szCs w:val="18"/>
        </w:rPr>
        <w:t xml:space="preserve">of 1 (one) year for the total duration of validity of up to 2 (two) years. </w:t>
      </w:r>
      <w:r w:rsidR="0053684E" w:rsidRPr="0053684E">
        <w:rPr>
          <w:color w:val="231F20"/>
          <w:sz w:val="18"/>
          <w:szCs w:val="18"/>
        </w:rPr>
        <w:t>Subject to Reg</w:t>
      </w:r>
      <w:r w:rsidR="0053684E">
        <w:rPr>
          <w:color w:val="231F20"/>
          <w:sz w:val="18"/>
          <w:szCs w:val="18"/>
        </w:rPr>
        <w:t>ulation</w:t>
      </w:r>
      <w:r w:rsidR="0053684E" w:rsidRPr="0053684E">
        <w:rPr>
          <w:color w:val="231F20"/>
          <w:sz w:val="18"/>
          <w:szCs w:val="18"/>
        </w:rPr>
        <w:t xml:space="preserve"> 3(a) of the Mines Regulations, </w:t>
      </w:r>
      <w:r w:rsidR="0053684E">
        <w:rPr>
          <w:color w:val="231F20"/>
          <w:sz w:val="18"/>
          <w:szCs w:val="18"/>
        </w:rPr>
        <w:t>R</w:t>
      </w:r>
      <w:r w:rsidR="0053684E" w:rsidRPr="0053684E">
        <w:rPr>
          <w:color w:val="231F20"/>
          <w:sz w:val="18"/>
          <w:szCs w:val="18"/>
        </w:rPr>
        <w:t xml:space="preserve">econnaissance </w:t>
      </w:r>
      <w:r w:rsidR="0053684E">
        <w:rPr>
          <w:color w:val="231F20"/>
          <w:sz w:val="18"/>
          <w:szCs w:val="18"/>
        </w:rPr>
        <w:t>P</w:t>
      </w:r>
      <w:r w:rsidR="0053684E" w:rsidRPr="0053684E">
        <w:rPr>
          <w:color w:val="231F20"/>
          <w:sz w:val="18"/>
          <w:szCs w:val="18"/>
        </w:rPr>
        <w:t>ermits can cover an area of up to 25km</w:t>
      </w:r>
      <w:r w:rsidR="0053684E" w:rsidRPr="0053684E">
        <w:rPr>
          <w:color w:val="231F20"/>
          <w:sz w:val="18"/>
          <w:szCs w:val="18"/>
          <w:vertAlign w:val="superscript"/>
        </w:rPr>
        <w:t>2</w:t>
      </w:r>
      <w:r w:rsidR="0053684E" w:rsidRPr="0053684E">
        <w:rPr>
          <w:color w:val="231F20"/>
          <w:sz w:val="18"/>
          <w:szCs w:val="18"/>
        </w:rPr>
        <w:t xml:space="preserve">. Subject to the conditions as these are identified in each of the issued Granted Prospecting Permits, by granting the respective permit, the Republic of Cyprus is not bound to issue any </w:t>
      </w:r>
      <w:r w:rsidR="0053684E" w:rsidRPr="0053684E">
        <w:rPr>
          <w:color w:val="231F20"/>
          <w:sz w:val="18"/>
          <w:szCs w:val="18"/>
          <w:lang w:val="en-US"/>
        </w:rPr>
        <w:t xml:space="preserve">mining lease </w:t>
      </w:r>
      <w:r w:rsidR="0053684E" w:rsidRPr="0053684E">
        <w:rPr>
          <w:color w:val="231F20"/>
          <w:sz w:val="18"/>
          <w:szCs w:val="18"/>
        </w:rPr>
        <w:t xml:space="preserve">(or any other permit). </w:t>
      </w:r>
    </w:p>
    <w:p w14:paraId="29774928" w14:textId="77777777" w:rsidR="00370C43" w:rsidRDefault="00370C43" w:rsidP="00370C43">
      <w:pPr>
        <w:pStyle w:val="BodyText"/>
        <w:kinsoku w:val="0"/>
        <w:overflowPunct w:val="0"/>
        <w:spacing w:before="79"/>
        <w:ind w:right="1187"/>
        <w:jc w:val="both"/>
        <w:rPr>
          <w:color w:val="231F20"/>
        </w:rPr>
      </w:pPr>
      <w:bookmarkStart w:id="6" w:name="_Hlk74161403"/>
    </w:p>
    <w:p w14:paraId="71234488" w14:textId="4971FA58" w:rsidR="00ED5DD4" w:rsidRPr="00ED5DD4" w:rsidRDefault="00370C43" w:rsidP="00512495">
      <w:pPr>
        <w:pStyle w:val="ListParagraph"/>
        <w:numPr>
          <w:ilvl w:val="0"/>
          <w:numId w:val="33"/>
        </w:numPr>
        <w:tabs>
          <w:tab w:val="left" w:pos="867"/>
        </w:tabs>
        <w:kinsoku w:val="0"/>
        <w:overflowPunct w:val="0"/>
        <w:spacing w:line="235" w:lineRule="auto"/>
        <w:ind w:right="1190" w:hanging="454"/>
        <w:jc w:val="both"/>
        <w:rPr>
          <w:rFonts w:ascii="Symbol" w:hAnsi="Symbol" w:cs="Symbol"/>
          <w:color w:val="231F20"/>
          <w:sz w:val="18"/>
          <w:szCs w:val="18"/>
        </w:rPr>
      </w:pPr>
      <w:r>
        <w:rPr>
          <w:b/>
          <w:bCs/>
          <w:color w:val="231F20"/>
          <w:sz w:val="18"/>
          <w:szCs w:val="18"/>
          <w:u w:val="single"/>
        </w:rPr>
        <w:t>Exploration Permit (Category A)</w:t>
      </w:r>
      <w:r w:rsidRPr="00370C43">
        <w:rPr>
          <w:b/>
          <w:bCs/>
          <w:color w:val="231F20"/>
          <w:sz w:val="18"/>
          <w:szCs w:val="18"/>
        </w:rPr>
        <w:t xml:space="preserve"> </w:t>
      </w:r>
      <w:bookmarkEnd w:id="6"/>
      <w:r w:rsidR="006179F8" w:rsidRPr="00ED5DD4">
        <w:rPr>
          <w:bCs/>
          <w:color w:val="231F20"/>
          <w:sz w:val="18"/>
          <w:szCs w:val="18"/>
        </w:rPr>
        <w:t>–</w:t>
      </w:r>
      <w:r w:rsidRPr="00ED5DD4">
        <w:rPr>
          <w:bCs/>
          <w:color w:val="231F20"/>
          <w:sz w:val="18"/>
          <w:szCs w:val="18"/>
        </w:rPr>
        <w:t xml:space="preserve"> </w:t>
      </w:r>
      <w:r w:rsidR="006179F8" w:rsidRPr="006179F8">
        <w:rPr>
          <w:bCs/>
          <w:color w:val="231F20"/>
          <w:sz w:val="18"/>
          <w:szCs w:val="18"/>
        </w:rPr>
        <w:t>Subject to Regulation 5(b)</w:t>
      </w:r>
      <w:r w:rsidR="006179F8">
        <w:rPr>
          <w:bCs/>
          <w:color w:val="231F20"/>
          <w:sz w:val="18"/>
          <w:szCs w:val="18"/>
        </w:rPr>
        <w:t xml:space="preserve"> of the Mines Regulations, an Exploration Permit (Category A) is defined as a prospecting permit </w:t>
      </w:r>
      <w:r w:rsidR="006179F8" w:rsidRPr="006179F8">
        <w:rPr>
          <w:rFonts w:cs="Calibri"/>
          <w:sz w:val="18"/>
          <w:szCs w:val="18"/>
        </w:rPr>
        <w:t>granted for the search and identification minerals consisting of copper, iron, manganese, nickel, cobalt, chromium, zinc, lead, sulphur, cadmium, gold, silver, platinum, selenium, tellurium, any other metals, energy or radioactive minerals, asbestos, or containing them, with any suitable method including conducting of drilling.</w:t>
      </w:r>
      <w:r w:rsidR="006179F8">
        <w:rPr>
          <w:rFonts w:cs="Calibri"/>
          <w:sz w:val="18"/>
          <w:szCs w:val="18"/>
        </w:rPr>
        <w:t xml:space="preserve"> According to Regulation 3(b) of the Mines Regulations, Exploration Permits (Category A) can cover an area of up to 5</w:t>
      </w:r>
      <w:r w:rsidR="006179F8" w:rsidRPr="006179F8">
        <w:rPr>
          <w:color w:val="231F20"/>
          <w:sz w:val="18"/>
          <w:szCs w:val="18"/>
        </w:rPr>
        <w:t xml:space="preserve"> </w:t>
      </w:r>
      <w:bookmarkStart w:id="7" w:name="_Hlk74161593"/>
      <w:r w:rsidR="006179F8" w:rsidRPr="0053684E">
        <w:rPr>
          <w:color w:val="231F20"/>
          <w:sz w:val="18"/>
          <w:szCs w:val="18"/>
        </w:rPr>
        <w:t>km</w:t>
      </w:r>
      <w:r w:rsidR="006179F8" w:rsidRPr="0053684E">
        <w:rPr>
          <w:color w:val="231F20"/>
          <w:sz w:val="18"/>
          <w:szCs w:val="18"/>
          <w:vertAlign w:val="superscript"/>
        </w:rPr>
        <w:t>2</w:t>
      </w:r>
      <w:bookmarkEnd w:id="7"/>
      <w:r w:rsidR="006179F8">
        <w:rPr>
          <w:color w:val="231F20"/>
          <w:sz w:val="18"/>
          <w:szCs w:val="18"/>
          <w:vertAlign w:val="superscript"/>
        </w:rPr>
        <w:t xml:space="preserve">. </w:t>
      </w:r>
      <w:r w:rsidR="006179F8">
        <w:rPr>
          <w:color w:val="231F20"/>
          <w:sz w:val="18"/>
          <w:szCs w:val="18"/>
        </w:rPr>
        <w:t xml:space="preserve">In accordance with Regulation 6(3)(b) of the Mines Regulations, Exploration Permits (Category A) can be renewed for four consecutive periods lasting 1 year each, for the total duration of validity of up to 5 years. Subject to the conditions as these are identified in each of the issued Granted Prospecting Permits, by granting the respective licence, the Republic of Cyprus is not bound to issue any mining lease (or other licence). </w:t>
      </w:r>
    </w:p>
    <w:p w14:paraId="349DE51A" w14:textId="77777777" w:rsidR="00ED5DD4" w:rsidRPr="00ED5DD4" w:rsidRDefault="00ED5DD4" w:rsidP="00ED5DD4">
      <w:pPr>
        <w:tabs>
          <w:tab w:val="left" w:pos="867"/>
        </w:tabs>
        <w:kinsoku w:val="0"/>
        <w:overflowPunct w:val="0"/>
        <w:spacing w:line="235" w:lineRule="auto"/>
        <w:ind w:right="1190"/>
        <w:jc w:val="both"/>
        <w:rPr>
          <w:rFonts w:ascii="Symbol" w:hAnsi="Symbol" w:cs="Symbol"/>
          <w:color w:val="231F20"/>
          <w:sz w:val="18"/>
          <w:szCs w:val="18"/>
        </w:rPr>
      </w:pPr>
    </w:p>
    <w:p w14:paraId="16693C7E" w14:textId="29FF7BF6" w:rsidR="00ED5DD4" w:rsidRPr="006179F8" w:rsidRDefault="00ED5DD4" w:rsidP="00512495">
      <w:pPr>
        <w:pStyle w:val="ListParagraph"/>
        <w:numPr>
          <w:ilvl w:val="0"/>
          <w:numId w:val="33"/>
        </w:numPr>
        <w:tabs>
          <w:tab w:val="left" w:pos="867"/>
        </w:tabs>
        <w:kinsoku w:val="0"/>
        <w:overflowPunct w:val="0"/>
        <w:spacing w:line="235" w:lineRule="auto"/>
        <w:ind w:right="1190" w:hanging="468"/>
        <w:jc w:val="both"/>
        <w:rPr>
          <w:rFonts w:ascii="Symbol" w:hAnsi="Symbol" w:cs="Symbol"/>
          <w:color w:val="231F20"/>
          <w:sz w:val="18"/>
          <w:szCs w:val="18"/>
        </w:rPr>
      </w:pPr>
      <w:r>
        <w:rPr>
          <w:b/>
          <w:bCs/>
          <w:color w:val="231F20"/>
          <w:sz w:val="18"/>
          <w:szCs w:val="18"/>
          <w:u w:val="single"/>
        </w:rPr>
        <w:t xml:space="preserve">Exploration Permit (Category B) </w:t>
      </w:r>
      <w:r w:rsidRPr="00ED5DD4">
        <w:rPr>
          <w:rFonts w:ascii="Symbol" w:hAnsi="Symbol" w:cs="Symbol"/>
          <w:color w:val="231F20"/>
          <w:sz w:val="18"/>
          <w:szCs w:val="18"/>
        </w:rPr>
        <w:t></w:t>
      </w:r>
      <w:r>
        <w:rPr>
          <w:rFonts w:ascii="Symbol" w:hAnsi="Symbol" w:cs="Symbol"/>
          <w:color w:val="231F20"/>
          <w:sz w:val="18"/>
          <w:szCs w:val="18"/>
        </w:rPr>
        <w:t></w:t>
      </w:r>
      <w:r w:rsidR="00085B76" w:rsidRPr="006179F8">
        <w:rPr>
          <w:bCs/>
          <w:color w:val="231F20"/>
          <w:sz w:val="18"/>
          <w:szCs w:val="18"/>
        </w:rPr>
        <w:t>Subject to Regulation</w:t>
      </w:r>
      <w:r w:rsidR="00085B76">
        <w:rPr>
          <w:bCs/>
          <w:color w:val="231F20"/>
          <w:sz w:val="18"/>
          <w:szCs w:val="18"/>
        </w:rPr>
        <w:t xml:space="preserve"> 5(c) of the Mines Regulations, an Exploration Permit (Category B) is defined as a prospecting permit granted for the search and identification of quarry materials such as soil, </w:t>
      </w:r>
      <w:proofErr w:type="spellStart"/>
      <w:r w:rsidR="00085B76">
        <w:rPr>
          <w:bCs/>
          <w:color w:val="231F20"/>
          <w:sz w:val="18"/>
          <w:szCs w:val="18"/>
        </w:rPr>
        <w:t>ocher</w:t>
      </w:r>
      <w:proofErr w:type="spellEnd"/>
      <w:r w:rsidR="00085B76">
        <w:rPr>
          <w:bCs/>
          <w:color w:val="231F20"/>
          <w:sz w:val="18"/>
          <w:szCs w:val="18"/>
        </w:rPr>
        <w:t>, quartz, passage, granite, flint, magnesite, gypsum, salt, limestone, marble, chalk, clay, marl, slate, sandstone, sand, gravel, stone or other rocks or containing them, with any suitable method including drilling. According to Regulation 3(c) of the Mines Regulations, Exploration Permits (Category B) can cover an area of up to 2</w:t>
      </w:r>
      <w:r w:rsidR="00085B76" w:rsidRPr="0053684E">
        <w:rPr>
          <w:color w:val="231F20"/>
          <w:sz w:val="18"/>
          <w:szCs w:val="18"/>
        </w:rPr>
        <w:t>km</w:t>
      </w:r>
      <w:r w:rsidR="00085B76" w:rsidRPr="0053684E">
        <w:rPr>
          <w:color w:val="231F20"/>
          <w:sz w:val="18"/>
          <w:szCs w:val="18"/>
          <w:vertAlign w:val="superscript"/>
        </w:rPr>
        <w:t>2</w:t>
      </w:r>
      <w:r w:rsidR="00085B76">
        <w:rPr>
          <w:color w:val="231F20"/>
          <w:sz w:val="18"/>
          <w:szCs w:val="18"/>
          <w:vertAlign w:val="superscript"/>
        </w:rPr>
        <w:t xml:space="preserve">. </w:t>
      </w:r>
      <w:r w:rsidR="00085B76">
        <w:rPr>
          <w:bCs/>
          <w:color w:val="231F20"/>
          <w:sz w:val="18"/>
          <w:szCs w:val="18"/>
        </w:rPr>
        <w:t xml:space="preserve">In accordance with Regulation 6(3)(c) of the Mines Regulations, Exploration Permits (Category B) can be renewed for one period of one year, for the total duration of validity of up to 2 years. As at the date of this Document, the Company does not hold any Exploration Permits (Category B). </w:t>
      </w:r>
    </w:p>
    <w:p w14:paraId="485B9F71" w14:textId="77777777" w:rsidR="00783288" w:rsidRDefault="00783288">
      <w:pPr>
        <w:pStyle w:val="BodyText"/>
        <w:kinsoku w:val="0"/>
        <w:overflowPunct w:val="0"/>
        <w:spacing w:before="7"/>
        <w:rPr>
          <w:sz w:val="23"/>
          <w:szCs w:val="23"/>
        </w:rPr>
      </w:pPr>
    </w:p>
    <w:p w14:paraId="78541BDD" w14:textId="4154AC09" w:rsidR="00A307CC" w:rsidRDefault="005C470D" w:rsidP="00512495">
      <w:pPr>
        <w:pStyle w:val="Heading1"/>
        <w:numPr>
          <w:ilvl w:val="1"/>
          <w:numId w:val="20"/>
        </w:numPr>
        <w:tabs>
          <w:tab w:val="left" w:pos="1020"/>
        </w:tabs>
        <w:kinsoku w:val="0"/>
        <w:overflowPunct w:val="0"/>
        <w:ind w:left="1020"/>
        <w:rPr>
          <w:color w:val="231F20"/>
        </w:rPr>
      </w:pPr>
      <w:r>
        <w:rPr>
          <w:color w:val="231F20"/>
        </w:rPr>
        <w:t xml:space="preserve">Granted </w:t>
      </w:r>
      <w:r w:rsidR="00A307CC">
        <w:rPr>
          <w:color w:val="231F20"/>
        </w:rPr>
        <w:t>Map-Staked Mineral Licences in Canada</w:t>
      </w:r>
    </w:p>
    <w:p w14:paraId="7F351C78" w14:textId="33922B52" w:rsidR="00A307CC" w:rsidRDefault="00A307CC" w:rsidP="00A307CC"/>
    <w:p w14:paraId="0994A8DB" w14:textId="0EE5E6D1" w:rsidR="00A307CC" w:rsidRDefault="00E042BA" w:rsidP="005C470D">
      <w:pPr>
        <w:ind w:left="300" w:right="1164"/>
        <w:jc w:val="both"/>
        <w:rPr>
          <w:color w:val="231F20"/>
          <w:sz w:val="18"/>
          <w:szCs w:val="18"/>
        </w:rPr>
      </w:pPr>
      <w:r>
        <w:rPr>
          <w:sz w:val="18"/>
          <w:szCs w:val="18"/>
        </w:rPr>
        <w:t>Following completion of the Labrador Acquisition, the Group shall have</w:t>
      </w:r>
      <w:r w:rsidR="009226BA" w:rsidRPr="0070175D">
        <w:rPr>
          <w:sz w:val="18"/>
          <w:szCs w:val="18"/>
        </w:rPr>
        <w:t xml:space="preserve"> </w:t>
      </w:r>
      <w:r w:rsidR="009226BA" w:rsidRPr="00062F2D">
        <w:rPr>
          <w:sz w:val="18"/>
          <w:szCs w:val="18"/>
        </w:rPr>
        <w:t xml:space="preserve">a 100 per cent interest in </w:t>
      </w:r>
      <w:r w:rsidR="005C470D">
        <w:rPr>
          <w:sz w:val="18"/>
          <w:szCs w:val="18"/>
        </w:rPr>
        <w:t xml:space="preserve">10 Granted </w:t>
      </w:r>
      <w:r w:rsidR="009226BA" w:rsidRPr="00A84BCE">
        <w:rPr>
          <w:sz w:val="18"/>
          <w:szCs w:val="18"/>
        </w:rPr>
        <w:t>Map-Staked Mineral Licences in Canad</w:t>
      </w:r>
      <w:r w:rsidR="009226BA" w:rsidRPr="002C1743">
        <w:rPr>
          <w:sz w:val="18"/>
          <w:szCs w:val="18"/>
        </w:rPr>
        <w:t>a</w:t>
      </w:r>
      <w:r w:rsidR="009226BA" w:rsidRPr="00E237C3">
        <w:rPr>
          <w:sz w:val="18"/>
          <w:szCs w:val="18"/>
        </w:rPr>
        <w:t xml:space="preserve">. In total, </w:t>
      </w:r>
      <w:r>
        <w:rPr>
          <w:sz w:val="18"/>
          <w:szCs w:val="18"/>
        </w:rPr>
        <w:t xml:space="preserve">with effect from completion of the Labrador Acquisition, </w:t>
      </w:r>
      <w:r w:rsidR="009226BA" w:rsidRPr="00E237C3">
        <w:rPr>
          <w:sz w:val="18"/>
          <w:szCs w:val="18"/>
        </w:rPr>
        <w:t xml:space="preserve">the Group’s Granted Map-Staked Mineral Licences </w:t>
      </w:r>
      <w:r>
        <w:rPr>
          <w:sz w:val="18"/>
          <w:szCs w:val="18"/>
        </w:rPr>
        <w:t xml:space="preserve">shall </w:t>
      </w:r>
      <w:r w:rsidR="009226BA" w:rsidRPr="00E237C3">
        <w:rPr>
          <w:sz w:val="18"/>
          <w:szCs w:val="18"/>
        </w:rPr>
        <w:t xml:space="preserve">cover an area of </w:t>
      </w:r>
      <w:r w:rsidR="006A64C9">
        <w:rPr>
          <w:sz w:val="18"/>
          <w:szCs w:val="18"/>
        </w:rPr>
        <w:t>297</w:t>
      </w:r>
      <w:r w:rsidR="009226BA" w:rsidRPr="00153CEC">
        <w:rPr>
          <w:sz w:val="18"/>
          <w:szCs w:val="18"/>
        </w:rPr>
        <w:t>.25km</w:t>
      </w:r>
      <w:r w:rsidR="009226BA">
        <w:rPr>
          <w:color w:val="231F20"/>
          <w:position w:val="6"/>
          <w:sz w:val="12"/>
          <w:szCs w:val="12"/>
        </w:rPr>
        <w:t>2</w:t>
      </w:r>
      <w:r w:rsidR="009226BA" w:rsidRPr="007722F1">
        <w:rPr>
          <w:color w:val="231F20"/>
          <w:sz w:val="18"/>
          <w:szCs w:val="18"/>
        </w:rPr>
        <w:t>.</w:t>
      </w:r>
      <w:r w:rsidR="009226BA">
        <w:rPr>
          <w:color w:val="231F20"/>
          <w:sz w:val="18"/>
          <w:szCs w:val="18"/>
        </w:rPr>
        <w:t xml:space="preserve"> </w:t>
      </w:r>
      <w:r w:rsidR="009226BA" w:rsidRPr="007722F1">
        <w:rPr>
          <w:color w:val="231F20"/>
          <w:sz w:val="18"/>
          <w:szCs w:val="18"/>
        </w:rPr>
        <w:t xml:space="preserve">A full summary of the Granted </w:t>
      </w:r>
      <w:r w:rsidR="009226BA">
        <w:rPr>
          <w:color w:val="231F20"/>
          <w:sz w:val="18"/>
          <w:szCs w:val="18"/>
        </w:rPr>
        <w:t>Map-Staked Mineral Licences</w:t>
      </w:r>
      <w:r w:rsidR="009226BA" w:rsidRPr="007722F1">
        <w:rPr>
          <w:color w:val="231F20"/>
          <w:sz w:val="18"/>
          <w:szCs w:val="18"/>
        </w:rPr>
        <w:t xml:space="preserve"> to which the Group </w:t>
      </w:r>
      <w:r>
        <w:rPr>
          <w:color w:val="231F20"/>
          <w:sz w:val="18"/>
          <w:szCs w:val="18"/>
        </w:rPr>
        <w:t xml:space="preserve">shall have </w:t>
      </w:r>
      <w:r w:rsidR="009226BA" w:rsidRPr="007722F1">
        <w:rPr>
          <w:color w:val="231F20"/>
          <w:sz w:val="18"/>
          <w:szCs w:val="18"/>
        </w:rPr>
        <w:t>title and their particulars is set out in the table at paragraph 15 of Part VII of this Document.</w:t>
      </w:r>
    </w:p>
    <w:p w14:paraId="3CED6D77" w14:textId="7B8D2FCA" w:rsidR="0085406A" w:rsidRDefault="0085406A" w:rsidP="005C470D">
      <w:pPr>
        <w:ind w:right="1164"/>
        <w:jc w:val="both"/>
        <w:rPr>
          <w:color w:val="231F20"/>
          <w:sz w:val="18"/>
          <w:szCs w:val="18"/>
        </w:rPr>
      </w:pPr>
    </w:p>
    <w:p w14:paraId="726F561C" w14:textId="24D486E4" w:rsidR="0085406A" w:rsidRDefault="0085406A" w:rsidP="005C470D">
      <w:pPr>
        <w:ind w:left="300" w:right="1164"/>
        <w:jc w:val="both"/>
        <w:rPr>
          <w:color w:val="231F20"/>
          <w:sz w:val="18"/>
          <w:szCs w:val="18"/>
        </w:rPr>
      </w:pPr>
      <w:r>
        <w:rPr>
          <w:color w:val="231F20"/>
          <w:sz w:val="18"/>
          <w:szCs w:val="18"/>
        </w:rPr>
        <w:t>Map</w:t>
      </w:r>
      <w:r w:rsidR="005C470D">
        <w:rPr>
          <w:color w:val="231F20"/>
          <w:sz w:val="18"/>
          <w:szCs w:val="18"/>
        </w:rPr>
        <w:t>-</w:t>
      </w:r>
      <w:r>
        <w:rPr>
          <w:color w:val="231F20"/>
          <w:sz w:val="18"/>
          <w:szCs w:val="18"/>
        </w:rPr>
        <w:t>Staked Mineral Licences in Newfoundland and Labrador are defined and managed under the terms and conditions of the Mineral Act (RSNL1990) and associated Mineral Regulations as amended to date.</w:t>
      </w:r>
    </w:p>
    <w:p w14:paraId="4B8A08B0" w14:textId="097C30D7" w:rsidR="009226BA" w:rsidRDefault="009226BA" w:rsidP="00A307CC">
      <w:pPr>
        <w:ind w:left="300"/>
        <w:rPr>
          <w:sz w:val="18"/>
          <w:szCs w:val="18"/>
        </w:rPr>
      </w:pPr>
    </w:p>
    <w:p w14:paraId="7C6A66F8" w14:textId="4C9942C0" w:rsidR="009226BA" w:rsidRDefault="009226BA" w:rsidP="007722F1">
      <w:pPr>
        <w:ind w:left="300" w:right="1164"/>
        <w:rPr>
          <w:sz w:val="18"/>
          <w:szCs w:val="18"/>
        </w:rPr>
      </w:pPr>
      <w:r>
        <w:rPr>
          <w:sz w:val="18"/>
          <w:szCs w:val="18"/>
        </w:rPr>
        <w:t>Map</w:t>
      </w:r>
      <w:r w:rsidR="005C470D">
        <w:rPr>
          <w:sz w:val="18"/>
          <w:szCs w:val="18"/>
        </w:rPr>
        <w:t>-</w:t>
      </w:r>
      <w:r>
        <w:rPr>
          <w:sz w:val="18"/>
          <w:szCs w:val="18"/>
        </w:rPr>
        <w:t>Staked Mineral Licences are issued for terms of five years (which is renewable for three additional five-year terms and 10 additional one-year terms) and can be held for a maximum of thirty years provided that (</w:t>
      </w:r>
      <w:proofErr w:type="spellStart"/>
      <w:r>
        <w:rPr>
          <w:sz w:val="18"/>
          <w:szCs w:val="18"/>
        </w:rPr>
        <w:t>i</w:t>
      </w:r>
      <w:proofErr w:type="spellEnd"/>
      <w:r>
        <w:rPr>
          <w:sz w:val="18"/>
          <w:szCs w:val="18"/>
        </w:rPr>
        <w:t>) the minimum annual assessment work is completed (ii) the annual work is reported and (iii) the Map</w:t>
      </w:r>
      <w:r w:rsidR="005C470D">
        <w:rPr>
          <w:sz w:val="18"/>
          <w:szCs w:val="18"/>
        </w:rPr>
        <w:t>-</w:t>
      </w:r>
      <w:r>
        <w:rPr>
          <w:sz w:val="18"/>
          <w:szCs w:val="18"/>
        </w:rPr>
        <w:t xml:space="preserve">Staked Mineral Licence is renewed every five years. </w:t>
      </w:r>
    </w:p>
    <w:p w14:paraId="49554C13" w14:textId="77777777" w:rsidR="00332983" w:rsidRPr="0070175D" w:rsidRDefault="00332983" w:rsidP="007722F1">
      <w:pPr>
        <w:ind w:left="300" w:right="1164"/>
        <w:rPr>
          <w:sz w:val="18"/>
          <w:szCs w:val="18"/>
        </w:rPr>
      </w:pPr>
    </w:p>
    <w:p w14:paraId="1971D666" w14:textId="77777777" w:rsidR="00A307CC" w:rsidRPr="007722F1" w:rsidRDefault="00A307CC" w:rsidP="007722F1">
      <w:pPr>
        <w:ind w:left="300"/>
        <w:rPr>
          <w:sz w:val="18"/>
          <w:szCs w:val="18"/>
        </w:rPr>
      </w:pPr>
    </w:p>
    <w:p w14:paraId="7E008DAF" w14:textId="4EC1B546" w:rsidR="00783288" w:rsidRDefault="00E31420" w:rsidP="00512495">
      <w:pPr>
        <w:pStyle w:val="Heading1"/>
        <w:numPr>
          <w:ilvl w:val="1"/>
          <w:numId w:val="20"/>
        </w:numPr>
        <w:tabs>
          <w:tab w:val="left" w:pos="1020"/>
        </w:tabs>
        <w:kinsoku w:val="0"/>
        <w:overflowPunct w:val="0"/>
        <w:ind w:left="1020"/>
        <w:rPr>
          <w:color w:val="231F20"/>
        </w:rPr>
      </w:pPr>
      <w:r>
        <w:rPr>
          <w:color w:val="231F20"/>
        </w:rPr>
        <w:t>Exploration</w:t>
      </w:r>
      <w:r>
        <w:rPr>
          <w:color w:val="231F20"/>
          <w:spacing w:val="-3"/>
        </w:rPr>
        <w:t xml:space="preserve"> </w:t>
      </w:r>
      <w:r>
        <w:rPr>
          <w:color w:val="231F20"/>
        </w:rPr>
        <w:t>opportunity</w:t>
      </w:r>
    </w:p>
    <w:p w14:paraId="76487865" w14:textId="77777777" w:rsidR="00783288" w:rsidRDefault="00783288">
      <w:pPr>
        <w:pStyle w:val="BodyText"/>
        <w:kinsoku w:val="0"/>
        <w:overflowPunct w:val="0"/>
        <w:spacing w:before="9"/>
        <w:rPr>
          <w:b/>
          <w:bCs/>
          <w:sz w:val="15"/>
          <w:szCs w:val="15"/>
        </w:rPr>
      </w:pPr>
    </w:p>
    <w:p w14:paraId="553FA46A" w14:textId="77777777" w:rsidR="00783288" w:rsidRDefault="00E31420">
      <w:pPr>
        <w:pStyle w:val="BodyText"/>
        <w:kinsoku w:val="0"/>
        <w:overflowPunct w:val="0"/>
        <w:ind w:left="300" w:right="1191"/>
        <w:jc w:val="both"/>
        <w:rPr>
          <w:color w:val="231F20"/>
        </w:rPr>
      </w:pPr>
      <w:r>
        <w:rPr>
          <w:color w:val="231F20"/>
        </w:rPr>
        <w:t xml:space="preserve">The Directors believe that the Group’s Portfolio of Prospecting Permits in Cyprus present an attractive exploration </w:t>
      </w:r>
      <w:r>
        <w:rPr>
          <w:color w:val="231F20"/>
        </w:rPr>
        <w:lastRenderedPageBreak/>
        <w:t>opportunity because:</w:t>
      </w:r>
    </w:p>
    <w:p w14:paraId="05935BBD" w14:textId="77777777" w:rsidR="00783288" w:rsidRDefault="00E31420" w:rsidP="00512495">
      <w:pPr>
        <w:pStyle w:val="ListParagraph"/>
        <w:numPr>
          <w:ilvl w:val="2"/>
          <w:numId w:val="20"/>
        </w:numPr>
        <w:tabs>
          <w:tab w:val="left" w:pos="1064"/>
        </w:tabs>
        <w:kinsoku w:val="0"/>
        <w:overflowPunct w:val="0"/>
        <w:spacing w:line="256" w:lineRule="auto"/>
        <w:ind w:right="1188" w:hanging="360"/>
        <w:jc w:val="both"/>
        <w:rPr>
          <w:color w:val="231F20"/>
          <w:sz w:val="18"/>
          <w:szCs w:val="18"/>
        </w:rPr>
      </w:pPr>
      <w:r>
        <w:rPr>
          <w:color w:val="231F20"/>
          <w:sz w:val="18"/>
          <w:szCs w:val="18"/>
        </w:rPr>
        <w:t xml:space="preserve">they are in an area of Cyprus that was previously very actively mined, but has been subject to limited exploration over the last 46 years due to the Turkish invasion of </w:t>
      </w:r>
      <w:proofErr w:type="gramStart"/>
      <w:r>
        <w:rPr>
          <w:color w:val="231F20"/>
          <w:sz w:val="18"/>
          <w:szCs w:val="18"/>
        </w:rPr>
        <w:t>northern Cyprus</w:t>
      </w:r>
      <w:proofErr w:type="gramEnd"/>
      <w:r>
        <w:rPr>
          <w:color w:val="231F20"/>
          <w:sz w:val="18"/>
          <w:szCs w:val="18"/>
        </w:rPr>
        <w:t xml:space="preserve"> in</w:t>
      </w:r>
      <w:r>
        <w:rPr>
          <w:color w:val="231F20"/>
          <w:spacing w:val="-18"/>
          <w:sz w:val="18"/>
          <w:szCs w:val="18"/>
        </w:rPr>
        <w:t xml:space="preserve"> </w:t>
      </w:r>
      <w:r>
        <w:rPr>
          <w:color w:val="231F20"/>
          <w:sz w:val="18"/>
          <w:szCs w:val="18"/>
        </w:rPr>
        <w:t>1974;</w:t>
      </w:r>
    </w:p>
    <w:p w14:paraId="0133245A" w14:textId="77777777" w:rsidR="00783288" w:rsidRDefault="00E31420" w:rsidP="00512495">
      <w:pPr>
        <w:pStyle w:val="ListParagraph"/>
        <w:numPr>
          <w:ilvl w:val="2"/>
          <w:numId w:val="20"/>
        </w:numPr>
        <w:tabs>
          <w:tab w:val="left" w:pos="1064"/>
        </w:tabs>
        <w:kinsoku w:val="0"/>
        <w:overflowPunct w:val="0"/>
        <w:spacing w:line="259" w:lineRule="auto"/>
        <w:ind w:right="1189" w:hanging="360"/>
        <w:jc w:val="both"/>
        <w:rPr>
          <w:color w:val="231F20"/>
          <w:sz w:val="18"/>
          <w:szCs w:val="18"/>
        </w:rPr>
      </w:pPr>
      <w:r>
        <w:rPr>
          <w:color w:val="231F20"/>
          <w:sz w:val="18"/>
          <w:szCs w:val="18"/>
        </w:rPr>
        <w:t>the type of mineral deposits in the area covered by the Portfolio are volcanogenic massive sulphide deposits (“</w:t>
      </w:r>
      <w:r>
        <w:rPr>
          <w:b/>
          <w:bCs/>
          <w:color w:val="231F20"/>
          <w:sz w:val="18"/>
          <w:szCs w:val="18"/>
        </w:rPr>
        <w:t>VMS Deposits</w:t>
      </w:r>
      <w:r>
        <w:rPr>
          <w:color w:val="231F20"/>
          <w:sz w:val="18"/>
          <w:szCs w:val="18"/>
        </w:rPr>
        <w:t>”), which contain high proportions (over 50% mineral sulphides) and typically occur in clusters, meaning that where one VMS Deposit has been located, it is likely that there remain undiscovered deposits buried underground nearby;</w:t>
      </w:r>
      <w:r>
        <w:rPr>
          <w:color w:val="231F20"/>
          <w:spacing w:val="-1"/>
          <w:sz w:val="18"/>
          <w:szCs w:val="18"/>
        </w:rPr>
        <w:t xml:space="preserve"> </w:t>
      </w:r>
      <w:r>
        <w:rPr>
          <w:color w:val="231F20"/>
          <w:sz w:val="18"/>
          <w:szCs w:val="18"/>
        </w:rPr>
        <w:t>and</w:t>
      </w:r>
    </w:p>
    <w:p w14:paraId="22063723" w14:textId="4FE13BCF" w:rsidR="00783288" w:rsidRDefault="00E31420" w:rsidP="00512495">
      <w:pPr>
        <w:pStyle w:val="ListParagraph"/>
        <w:numPr>
          <w:ilvl w:val="2"/>
          <w:numId w:val="20"/>
        </w:numPr>
        <w:tabs>
          <w:tab w:val="left" w:pos="1064"/>
        </w:tabs>
        <w:kinsoku w:val="0"/>
        <w:overflowPunct w:val="0"/>
        <w:spacing w:line="256" w:lineRule="auto"/>
        <w:ind w:right="1191" w:hanging="360"/>
        <w:jc w:val="both"/>
        <w:rPr>
          <w:color w:val="231F20"/>
          <w:sz w:val="18"/>
          <w:szCs w:val="18"/>
        </w:rPr>
      </w:pPr>
      <w:r>
        <w:rPr>
          <w:color w:val="231F20"/>
          <w:sz w:val="18"/>
          <w:szCs w:val="18"/>
        </w:rPr>
        <w:t>the</w:t>
      </w:r>
      <w:r>
        <w:rPr>
          <w:color w:val="231F20"/>
          <w:spacing w:val="-4"/>
          <w:sz w:val="18"/>
          <w:szCs w:val="18"/>
        </w:rPr>
        <w:t xml:space="preserve"> </w:t>
      </w:r>
      <w:r>
        <w:rPr>
          <w:color w:val="231F20"/>
          <w:sz w:val="18"/>
          <w:szCs w:val="18"/>
        </w:rPr>
        <w:t>Group</w:t>
      </w:r>
      <w:r>
        <w:rPr>
          <w:color w:val="231F20"/>
          <w:spacing w:val="-4"/>
          <w:sz w:val="18"/>
          <w:szCs w:val="18"/>
        </w:rPr>
        <w:t xml:space="preserve"> </w:t>
      </w:r>
      <w:r>
        <w:rPr>
          <w:color w:val="231F20"/>
          <w:sz w:val="18"/>
          <w:szCs w:val="18"/>
        </w:rPr>
        <w:t>has</w:t>
      </w:r>
      <w:r>
        <w:rPr>
          <w:color w:val="231F20"/>
          <w:spacing w:val="-3"/>
          <w:sz w:val="18"/>
          <w:szCs w:val="18"/>
        </w:rPr>
        <w:t xml:space="preserve"> </w:t>
      </w:r>
      <w:r>
        <w:rPr>
          <w:color w:val="231F20"/>
          <w:sz w:val="18"/>
          <w:szCs w:val="18"/>
        </w:rPr>
        <w:t>an</w:t>
      </w:r>
      <w:r>
        <w:rPr>
          <w:color w:val="231F20"/>
          <w:spacing w:val="-4"/>
          <w:sz w:val="18"/>
          <w:szCs w:val="18"/>
        </w:rPr>
        <w:t xml:space="preserve"> </w:t>
      </w:r>
      <w:r>
        <w:rPr>
          <w:color w:val="231F20"/>
          <w:sz w:val="18"/>
          <w:szCs w:val="18"/>
        </w:rPr>
        <w:t>experienced</w:t>
      </w:r>
      <w:r>
        <w:rPr>
          <w:color w:val="231F20"/>
          <w:spacing w:val="-6"/>
          <w:sz w:val="18"/>
          <w:szCs w:val="18"/>
        </w:rPr>
        <w:t xml:space="preserve"> </w:t>
      </w:r>
      <w:r>
        <w:rPr>
          <w:color w:val="231F20"/>
          <w:sz w:val="18"/>
          <w:szCs w:val="18"/>
        </w:rPr>
        <w:t>team</w:t>
      </w:r>
      <w:r>
        <w:rPr>
          <w:color w:val="231F20"/>
          <w:spacing w:val="-3"/>
          <w:sz w:val="18"/>
          <w:szCs w:val="18"/>
        </w:rPr>
        <w:t xml:space="preserve"> </w:t>
      </w:r>
      <w:r>
        <w:rPr>
          <w:color w:val="231F20"/>
          <w:sz w:val="18"/>
          <w:szCs w:val="18"/>
        </w:rPr>
        <w:t>of</w:t>
      </w:r>
      <w:r>
        <w:rPr>
          <w:color w:val="231F20"/>
          <w:spacing w:val="-4"/>
          <w:sz w:val="18"/>
          <w:szCs w:val="18"/>
        </w:rPr>
        <w:t xml:space="preserve"> </w:t>
      </w:r>
      <w:r>
        <w:rPr>
          <w:color w:val="231F20"/>
          <w:sz w:val="18"/>
          <w:szCs w:val="18"/>
        </w:rPr>
        <w:t>geologists,</w:t>
      </w:r>
      <w:r>
        <w:rPr>
          <w:color w:val="231F20"/>
          <w:spacing w:val="-4"/>
          <w:sz w:val="18"/>
          <w:szCs w:val="18"/>
        </w:rPr>
        <w:t xml:space="preserve"> </w:t>
      </w:r>
      <w:r>
        <w:rPr>
          <w:color w:val="231F20"/>
          <w:sz w:val="18"/>
          <w:szCs w:val="18"/>
        </w:rPr>
        <w:t>as</w:t>
      </w:r>
      <w:r>
        <w:rPr>
          <w:color w:val="231F20"/>
          <w:spacing w:val="-3"/>
          <w:sz w:val="18"/>
          <w:szCs w:val="18"/>
        </w:rPr>
        <w:t xml:space="preserve"> </w:t>
      </w:r>
      <w:r>
        <w:rPr>
          <w:color w:val="231F20"/>
          <w:sz w:val="18"/>
          <w:szCs w:val="18"/>
        </w:rPr>
        <w:t>well</w:t>
      </w:r>
      <w:r>
        <w:rPr>
          <w:color w:val="231F20"/>
          <w:spacing w:val="-4"/>
          <w:sz w:val="18"/>
          <w:szCs w:val="18"/>
        </w:rPr>
        <w:t xml:space="preserve"> </w:t>
      </w:r>
      <w:r>
        <w:rPr>
          <w:color w:val="231F20"/>
          <w:sz w:val="18"/>
          <w:szCs w:val="18"/>
        </w:rPr>
        <w:t>as</w:t>
      </w:r>
      <w:r>
        <w:rPr>
          <w:color w:val="231F20"/>
          <w:spacing w:val="-5"/>
          <w:sz w:val="18"/>
          <w:szCs w:val="18"/>
        </w:rPr>
        <w:t xml:space="preserve"> </w:t>
      </w:r>
      <w:r>
        <w:rPr>
          <w:color w:val="231F20"/>
          <w:sz w:val="18"/>
          <w:szCs w:val="18"/>
        </w:rPr>
        <w:t>the</w:t>
      </w:r>
      <w:r>
        <w:rPr>
          <w:color w:val="231F20"/>
          <w:spacing w:val="-4"/>
          <w:sz w:val="18"/>
          <w:szCs w:val="18"/>
        </w:rPr>
        <w:t xml:space="preserve"> </w:t>
      </w:r>
      <w:r>
        <w:rPr>
          <w:color w:val="231F20"/>
          <w:sz w:val="18"/>
          <w:szCs w:val="18"/>
        </w:rPr>
        <w:t>know-how</w:t>
      </w:r>
      <w:r>
        <w:rPr>
          <w:color w:val="231F20"/>
          <w:spacing w:val="-7"/>
          <w:sz w:val="18"/>
          <w:szCs w:val="18"/>
        </w:rPr>
        <w:t xml:space="preserve"> </w:t>
      </w:r>
      <w:r>
        <w:rPr>
          <w:color w:val="231F20"/>
          <w:sz w:val="18"/>
          <w:szCs w:val="18"/>
        </w:rPr>
        <w:t>to</w:t>
      </w:r>
      <w:r>
        <w:rPr>
          <w:color w:val="231F20"/>
          <w:spacing w:val="-4"/>
          <w:sz w:val="18"/>
          <w:szCs w:val="18"/>
        </w:rPr>
        <w:t xml:space="preserve"> </w:t>
      </w:r>
      <w:r>
        <w:rPr>
          <w:color w:val="231F20"/>
          <w:sz w:val="18"/>
          <w:szCs w:val="18"/>
        </w:rPr>
        <w:t>utilise</w:t>
      </w:r>
      <w:r>
        <w:rPr>
          <w:color w:val="231F20"/>
          <w:spacing w:val="-4"/>
          <w:sz w:val="18"/>
          <w:szCs w:val="18"/>
        </w:rPr>
        <w:t xml:space="preserve"> </w:t>
      </w:r>
      <w:r>
        <w:rPr>
          <w:color w:val="231F20"/>
          <w:sz w:val="18"/>
          <w:szCs w:val="18"/>
        </w:rPr>
        <w:t>modern</w:t>
      </w:r>
      <w:r>
        <w:rPr>
          <w:color w:val="231F20"/>
          <w:spacing w:val="-4"/>
          <w:sz w:val="18"/>
          <w:szCs w:val="18"/>
        </w:rPr>
        <w:t xml:space="preserve"> </w:t>
      </w:r>
      <w:r>
        <w:rPr>
          <w:color w:val="231F20"/>
          <w:sz w:val="18"/>
          <w:szCs w:val="18"/>
        </w:rPr>
        <w:t>exploration techniques</w:t>
      </w:r>
      <w:r>
        <w:rPr>
          <w:color w:val="231F20"/>
          <w:spacing w:val="-11"/>
          <w:sz w:val="18"/>
          <w:szCs w:val="18"/>
        </w:rPr>
        <w:t xml:space="preserve"> </w:t>
      </w:r>
      <w:r>
        <w:rPr>
          <w:color w:val="231F20"/>
          <w:sz w:val="18"/>
          <w:szCs w:val="18"/>
        </w:rPr>
        <w:t>and</w:t>
      </w:r>
      <w:r>
        <w:rPr>
          <w:color w:val="231F20"/>
          <w:spacing w:val="-12"/>
          <w:sz w:val="18"/>
          <w:szCs w:val="18"/>
        </w:rPr>
        <w:t xml:space="preserve"> </w:t>
      </w:r>
      <w:r>
        <w:rPr>
          <w:color w:val="231F20"/>
          <w:sz w:val="18"/>
          <w:szCs w:val="18"/>
        </w:rPr>
        <w:t>technologies,</w:t>
      </w:r>
      <w:r>
        <w:rPr>
          <w:color w:val="231F20"/>
          <w:spacing w:val="-9"/>
          <w:sz w:val="18"/>
          <w:szCs w:val="18"/>
        </w:rPr>
        <w:t xml:space="preserve"> </w:t>
      </w:r>
      <w:r>
        <w:rPr>
          <w:color w:val="231F20"/>
          <w:sz w:val="18"/>
          <w:szCs w:val="18"/>
        </w:rPr>
        <w:t>to</w:t>
      </w:r>
      <w:r>
        <w:rPr>
          <w:color w:val="231F20"/>
          <w:spacing w:val="-10"/>
          <w:sz w:val="18"/>
          <w:szCs w:val="18"/>
        </w:rPr>
        <w:t xml:space="preserve"> </w:t>
      </w:r>
      <w:r>
        <w:rPr>
          <w:color w:val="231F20"/>
          <w:sz w:val="18"/>
          <w:szCs w:val="18"/>
        </w:rPr>
        <w:t>search</w:t>
      </w:r>
      <w:r>
        <w:rPr>
          <w:color w:val="231F20"/>
          <w:spacing w:val="-11"/>
          <w:sz w:val="18"/>
          <w:szCs w:val="18"/>
        </w:rPr>
        <w:t xml:space="preserve"> </w:t>
      </w:r>
      <w:r>
        <w:rPr>
          <w:color w:val="231F20"/>
          <w:sz w:val="18"/>
          <w:szCs w:val="18"/>
        </w:rPr>
        <w:t>for</w:t>
      </w:r>
      <w:r>
        <w:rPr>
          <w:color w:val="231F20"/>
          <w:spacing w:val="-13"/>
          <w:sz w:val="18"/>
          <w:szCs w:val="18"/>
        </w:rPr>
        <w:t xml:space="preserve"> </w:t>
      </w:r>
      <w:r>
        <w:rPr>
          <w:color w:val="231F20"/>
          <w:sz w:val="18"/>
          <w:szCs w:val="18"/>
        </w:rPr>
        <w:t>these</w:t>
      </w:r>
      <w:r>
        <w:rPr>
          <w:color w:val="231F20"/>
          <w:spacing w:val="-9"/>
          <w:sz w:val="18"/>
          <w:szCs w:val="18"/>
        </w:rPr>
        <w:t xml:space="preserve"> </w:t>
      </w:r>
      <w:r>
        <w:rPr>
          <w:color w:val="231F20"/>
          <w:sz w:val="18"/>
          <w:szCs w:val="18"/>
        </w:rPr>
        <w:t>VMS</w:t>
      </w:r>
      <w:r>
        <w:rPr>
          <w:color w:val="231F20"/>
          <w:spacing w:val="-10"/>
          <w:sz w:val="18"/>
          <w:szCs w:val="18"/>
        </w:rPr>
        <w:t xml:space="preserve"> </w:t>
      </w:r>
      <w:r>
        <w:rPr>
          <w:color w:val="231F20"/>
          <w:sz w:val="18"/>
          <w:szCs w:val="18"/>
        </w:rPr>
        <w:t>Deposits</w:t>
      </w:r>
      <w:r>
        <w:rPr>
          <w:color w:val="231F20"/>
          <w:spacing w:val="-9"/>
          <w:sz w:val="18"/>
          <w:szCs w:val="18"/>
        </w:rPr>
        <w:t xml:space="preserve"> </w:t>
      </w:r>
      <w:r>
        <w:rPr>
          <w:color w:val="231F20"/>
          <w:sz w:val="18"/>
          <w:szCs w:val="18"/>
        </w:rPr>
        <w:t>in</w:t>
      </w:r>
      <w:r>
        <w:rPr>
          <w:color w:val="231F20"/>
          <w:spacing w:val="-9"/>
          <w:sz w:val="18"/>
          <w:szCs w:val="18"/>
        </w:rPr>
        <w:t xml:space="preserve"> </w:t>
      </w:r>
      <w:r>
        <w:rPr>
          <w:color w:val="231F20"/>
          <w:sz w:val="18"/>
          <w:szCs w:val="18"/>
        </w:rPr>
        <w:t>a</w:t>
      </w:r>
      <w:r>
        <w:rPr>
          <w:color w:val="231F20"/>
          <w:spacing w:val="-12"/>
          <w:sz w:val="18"/>
          <w:szCs w:val="18"/>
        </w:rPr>
        <w:t xml:space="preserve"> </w:t>
      </w:r>
      <w:r>
        <w:rPr>
          <w:color w:val="231F20"/>
          <w:sz w:val="18"/>
          <w:szCs w:val="18"/>
        </w:rPr>
        <w:t>way</w:t>
      </w:r>
      <w:r>
        <w:rPr>
          <w:color w:val="231F20"/>
          <w:spacing w:val="-10"/>
          <w:sz w:val="18"/>
          <w:szCs w:val="18"/>
        </w:rPr>
        <w:t xml:space="preserve"> </w:t>
      </w:r>
      <w:r>
        <w:rPr>
          <w:color w:val="231F20"/>
          <w:sz w:val="18"/>
          <w:szCs w:val="18"/>
        </w:rPr>
        <w:t>that</w:t>
      </w:r>
      <w:r>
        <w:rPr>
          <w:color w:val="231F20"/>
          <w:spacing w:val="-10"/>
          <w:sz w:val="18"/>
          <w:szCs w:val="18"/>
        </w:rPr>
        <w:t xml:space="preserve"> </w:t>
      </w:r>
      <w:r>
        <w:rPr>
          <w:color w:val="231F20"/>
          <w:sz w:val="18"/>
          <w:szCs w:val="18"/>
        </w:rPr>
        <w:t>was</w:t>
      </w:r>
      <w:r>
        <w:rPr>
          <w:color w:val="231F20"/>
          <w:spacing w:val="-9"/>
          <w:sz w:val="18"/>
          <w:szCs w:val="18"/>
        </w:rPr>
        <w:t xml:space="preserve"> </w:t>
      </w:r>
      <w:r>
        <w:rPr>
          <w:color w:val="231F20"/>
          <w:sz w:val="18"/>
          <w:szCs w:val="18"/>
        </w:rPr>
        <w:t>unavailable</w:t>
      </w:r>
      <w:r>
        <w:rPr>
          <w:color w:val="231F20"/>
          <w:spacing w:val="-9"/>
          <w:sz w:val="18"/>
          <w:szCs w:val="18"/>
        </w:rPr>
        <w:t xml:space="preserve"> </w:t>
      </w:r>
      <w:r>
        <w:rPr>
          <w:color w:val="231F20"/>
          <w:sz w:val="18"/>
          <w:szCs w:val="18"/>
        </w:rPr>
        <w:t>to</w:t>
      </w:r>
      <w:r>
        <w:rPr>
          <w:color w:val="231F20"/>
          <w:spacing w:val="-12"/>
          <w:sz w:val="18"/>
          <w:szCs w:val="18"/>
        </w:rPr>
        <w:t xml:space="preserve"> </w:t>
      </w:r>
      <w:r>
        <w:rPr>
          <w:color w:val="231F20"/>
          <w:sz w:val="18"/>
          <w:szCs w:val="18"/>
        </w:rPr>
        <w:t>previous miners of the</w:t>
      </w:r>
      <w:r>
        <w:rPr>
          <w:color w:val="231F20"/>
          <w:spacing w:val="-2"/>
          <w:sz w:val="18"/>
          <w:szCs w:val="18"/>
        </w:rPr>
        <w:t xml:space="preserve"> </w:t>
      </w:r>
      <w:r>
        <w:rPr>
          <w:color w:val="231F20"/>
          <w:sz w:val="18"/>
          <w:szCs w:val="18"/>
        </w:rPr>
        <w:t>area.</w:t>
      </w:r>
    </w:p>
    <w:p w14:paraId="0EC04892" w14:textId="5BC4D8E8" w:rsidR="00175CB2" w:rsidRDefault="00175CB2" w:rsidP="007722F1">
      <w:pPr>
        <w:tabs>
          <w:tab w:val="left" w:pos="1064"/>
        </w:tabs>
        <w:kinsoku w:val="0"/>
        <w:overflowPunct w:val="0"/>
        <w:spacing w:line="256" w:lineRule="auto"/>
        <w:ind w:left="1063" w:right="1191"/>
        <w:jc w:val="both"/>
        <w:rPr>
          <w:color w:val="231F20"/>
          <w:sz w:val="18"/>
          <w:szCs w:val="18"/>
        </w:rPr>
      </w:pPr>
    </w:p>
    <w:p w14:paraId="29C22808" w14:textId="2EA2982B" w:rsidR="00175CB2" w:rsidRDefault="00C25004" w:rsidP="00175CB2">
      <w:pPr>
        <w:pStyle w:val="BodyText"/>
        <w:kinsoku w:val="0"/>
        <w:overflowPunct w:val="0"/>
        <w:ind w:left="300" w:right="1191"/>
        <w:jc w:val="both"/>
        <w:rPr>
          <w:color w:val="231F20"/>
        </w:rPr>
      </w:pPr>
      <w:r>
        <w:rPr>
          <w:color w:val="231F20"/>
        </w:rPr>
        <w:t>The Directors further</w:t>
      </w:r>
      <w:r w:rsidR="00175CB2">
        <w:rPr>
          <w:color w:val="231F20"/>
        </w:rPr>
        <w:t xml:space="preserve"> believe that the Group’s Portfolio of </w:t>
      </w:r>
      <w:r w:rsidR="00122E36">
        <w:rPr>
          <w:color w:val="231F20"/>
        </w:rPr>
        <w:t xml:space="preserve">Granted </w:t>
      </w:r>
      <w:r w:rsidR="00175CB2">
        <w:rPr>
          <w:color w:val="231F20"/>
        </w:rPr>
        <w:t>Map</w:t>
      </w:r>
      <w:r w:rsidR="005C470D">
        <w:rPr>
          <w:color w:val="231F20"/>
        </w:rPr>
        <w:t>-</w:t>
      </w:r>
      <w:r w:rsidR="00175CB2">
        <w:rPr>
          <w:color w:val="231F20"/>
        </w:rPr>
        <w:t>Staked Mineral Licences</w:t>
      </w:r>
      <w:r w:rsidR="00122E36">
        <w:rPr>
          <w:color w:val="231F20"/>
        </w:rPr>
        <w:t xml:space="preserve"> </w:t>
      </w:r>
      <w:r w:rsidR="00175CB2">
        <w:rPr>
          <w:color w:val="231F20"/>
        </w:rPr>
        <w:t>in Canada present an attractive exploration opportunity because:</w:t>
      </w:r>
    </w:p>
    <w:p w14:paraId="56C63752" w14:textId="0D4534F6" w:rsidR="00175CB2" w:rsidRDefault="00175CB2" w:rsidP="00175CB2">
      <w:pPr>
        <w:pStyle w:val="BodyText"/>
        <w:kinsoku w:val="0"/>
        <w:overflowPunct w:val="0"/>
        <w:ind w:left="300" w:right="1191"/>
        <w:jc w:val="both"/>
        <w:rPr>
          <w:color w:val="231F20"/>
        </w:rPr>
      </w:pPr>
    </w:p>
    <w:p w14:paraId="330D719F" w14:textId="57C0F6DC" w:rsidR="00175CB2" w:rsidRDefault="00175CB2" w:rsidP="00512495">
      <w:pPr>
        <w:pStyle w:val="BodyText"/>
        <w:numPr>
          <w:ilvl w:val="0"/>
          <w:numId w:val="31"/>
        </w:numPr>
        <w:kinsoku w:val="0"/>
        <w:overflowPunct w:val="0"/>
        <w:ind w:right="1191"/>
        <w:jc w:val="both"/>
        <w:rPr>
          <w:color w:val="231F20"/>
        </w:rPr>
      </w:pPr>
      <w:r>
        <w:rPr>
          <w:color w:val="231F20"/>
        </w:rPr>
        <w:t>they are in an area of Canada which clearly demonstrates the potential for sediment-hosted copper (SSC) mineralisation as reduced grey beds of the Adeline Island Formation host significant copper concentrations</w:t>
      </w:r>
      <w:r w:rsidR="00C25004">
        <w:rPr>
          <w:color w:val="231F20"/>
        </w:rPr>
        <w:t>;</w:t>
      </w:r>
      <w:r w:rsidR="00DD3FD2">
        <w:rPr>
          <w:color w:val="231F20"/>
        </w:rPr>
        <w:t xml:space="preserve"> and</w:t>
      </w:r>
    </w:p>
    <w:p w14:paraId="5E961A96" w14:textId="79C93887" w:rsidR="00C25004" w:rsidRDefault="00C25004" w:rsidP="00512495">
      <w:pPr>
        <w:pStyle w:val="BodyText"/>
        <w:numPr>
          <w:ilvl w:val="0"/>
          <w:numId w:val="31"/>
        </w:numPr>
        <w:kinsoku w:val="0"/>
        <w:overflowPunct w:val="0"/>
        <w:ind w:right="1191"/>
        <w:jc w:val="both"/>
        <w:rPr>
          <w:color w:val="231F20"/>
        </w:rPr>
      </w:pPr>
      <w:r>
        <w:rPr>
          <w:color w:val="231F20"/>
        </w:rPr>
        <w:t xml:space="preserve">historical exploration campaigns at Seal Lake sought small, very </w:t>
      </w:r>
      <w:proofErr w:type="gramStart"/>
      <w:r>
        <w:rPr>
          <w:color w:val="231F20"/>
        </w:rPr>
        <w:t>high grade</w:t>
      </w:r>
      <w:proofErr w:type="gramEnd"/>
      <w:r>
        <w:rPr>
          <w:color w:val="231F20"/>
        </w:rPr>
        <w:t xml:space="preserve"> copper deposit models as shown by the programs of shallow drilling and short step outs and more recent programmes lacked sustained effort or focus. </w:t>
      </w:r>
    </w:p>
    <w:p w14:paraId="637DF429" w14:textId="77777777" w:rsidR="00783288" w:rsidRDefault="00783288">
      <w:pPr>
        <w:pStyle w:val="BodyText"/>
        <w:kinsoku w:val="0"/>
        <w:overflowPunct w:val="0"/>
        <w:spacing w:before="7"/>
        <w:rPr>
          <w:sz w:val="17"/>
          <w:szCs w:val="17"/>
        </w:rPr>
      </w:pPr>
    </w:p>
    <w:p w14:paraId="720CA1F2" w14:textId="77777777" w:rsidR="00783288" w:rsidRDefault="00E31420" w:rsidP="00512495">
      <w:pPr>
        <w:pStyle w:val="Heading1"/>
        <w:numPr>
          <w:ilvl w:val="1"/>
          <w:numId w:val="20"/>
        </w:numPr>
        <w:tabs>
          <w:tab w:val="left" w:pos="1020"/>
        </w:tabs>
        <w:kinsoku w:val="0"/>
        <w:overflowPunct w:val="0"/>
        <w:rPr>
          <w:color w:val="231F20"/>
        </w:rPr>
      </w:pPr>
      <w:r>
        <w:rPr>
          <w:color w:val="231F20"/>
        </w:rPr>
        <w:t>Mining in</w:t>
      </w:r>
      <w:r>
        <w:rPr>
          <w:color w:val="231F20"/>
          <w:spacing w:val="-2"/>
        </w:rPr>
        <w:t xml:space="preserve"> </w:t>
      </w:r>
      <w:r>
        <w:rPr>
          <w:color w:val="231F20"/>
        </w:rPr>
        <w:t>Cyprus</w:t>
      </w:r>
    </w:p>
    <w:p w14:paraId="69ADA95D" w14:textId="77777777" w:rsidR="00783288" w:rsidRDefault="00783288">
      <w:pPr>
        <w:pStyle w:val="BodyText"/>
        <w:kinsoku w:val="0"/>
        <w:overflowPunct w:val="0"/>
        <w:spacing w:before="6"/>
        <w:rPr>
          <w:b/>
          <w:bCs/>
        </w:rPr>
      </w:pPr>
    </w:p>
    <w:p w14:paraId="464736B7" w14:textId="688EF84A" w:rsidR="00783288" w:rsidRDefault="00E31420">
      <w:pPr>
        <w:pStyle w:val="BodyText"/>
        <w:kinsoku w:val="0"/>
        <w:overflowPunct w:val="0"/>
        <w:ind w:left="300" w:right="1188"/>
        <w:jc w:val="both"/>
        <w:rPr>
          <w:color w:val="231F20"/>
        </w:rPr>
      </w:pPr>
      <w:r>
        <w:rPr>
          <w:color w:val="231F20"/>
        </w:rPr>
        <w:t>Modern mining commenced in Cyprus in the 1920s with more than 74 million tonnes of ore extracted from about 30 deposits in the following 50 years, (mainly copper and pyrite ores). However, the industry was brought to an abrupt halt by the invasion of Turkey in 1974 and principal mining regions in Cyprus were located on the front-line of this attack. In the decades following the Turkish invasion of Cyprus the price of copper fell steadily, in part due to large new copper mines being discovered in Latin America. As a result, the mining industry in Cyprus was not economically viable and therefore remained largely dormant, but not because there were not valuable mineral deposits to be found there.</w:t>
      </w:r>
    </w:p>
    <w:p w14:paraId="4FD82D96" w14:textId="3359B340" w:rsidR="0085406A" w:rsidRDefault="0085406A">
      <w:pPr>
        <w:pStyle w:val="BodyText"/>
        <w:kinsoku w:val="0"/>
        <w:overflowPunct w:val="0"/>
        <w:ind w:left="300" w:right="1188"/>
        <w:jc w:val="both"/>
        <w:rPr>
          <w:color w:val="231F20"/>
        </w:rPr>
      </w:pPr>
    </w:p>
    <w:p w14:paraId="7A0A7A3D" w14:textId="188398A8" w:rsidR="0085406A" w:rsidRDefault="0085406A" w:rsidP="00512495">
      <w:pPr>
        <w:pStyle w:val="Heading1"/>
        <w:numPr>
          <w:ilvl w:val="1"/>
          <w:numId w:val="20"/>
        </w:numPr>
        <w:tabs>
          <w:tab w:val="left" w:pos="1020"/>
        </w:tabs>
        <w:kinsoku w:val="0"/>
        <w:overflowPunct w:val="0"/>
        <w:rPr>
          <w:color w:val="231F20"/>
        </w:rPr>
      </w:pPr>
      <w:r>
        <w:rPr>
          <w:color w:val="231F20"/>
        </w:rPr>
        <w:t>Mining in</w:t>
      </w:r>
      <w:r>
        <w:rPr>
          <w:color w:val="231F20"/>
          <w:spacing w:val="-2"/>
        </w:rPr>
        <w:t xml:space="preserve"> </w:t>
      </w:r>
      <w:r>
        <w:rPr>
          <w:color w:val="231F20"/>
        </w:rPr>
        <w:t>Labrador, Newfoundland and Labrador, Canada</w:t>
      </w:r>
    </w:p>
    <w:p w14:paraId="133E7D56" w14:textId="4DF48450" w:rsidR="0085406A" w:rsidRDefault="0085406A" w:rsidP="00482284">
      <w:pPr>
        <w:pStyle w:val="BodyText"/>
        <w:kinsoku w:val="0"/>
        <w:overflowPunct w:val="0"/>
        <w:ind w:right="1188"/>
        <w:jc w:val="both"/>
        <w:rPr>
          <w:color w:val="231F20"/>
        </w:rPr>
      </w:pPr>
      <w:bookmarkStart w:id="8" w:name="_Hlk72575364"/>
    </w:p>
    <w:p w14:paraId="3884C74E" w14:textId="553ABCB1" w:rsidR="00DC65D3" w:rsidRDefault="00DC65D3">
      <w:pPr>
        <w:pStyle w:val="BodyText"/>
        <w:kinsoku w:val="0"/>
        <w:overflowPunct w:val="0"/>
        <w:ind w:left="300" w:right="1188"/>
        <w:jc w:val="both"/>
        <w:rPr>
          <w:color w:val="231F20"/>
        </w:rPr>
      </w:pPr>
      <w:r>
        <w:rPr>
          <w:color w:val="231F20"/>
        </w:rPr>
        <w:t xml:space="preserve">The first large scale commercial mine was opened at Tilt Cove in Newfoundland in 1864 and sparked </w:t>
      </w:r>
      <w:r w:rsidR="00F17830">
        <w:rPr>
          <w:color w:val="231F20"/>
        </w:rPr>
        <w:t>a copper boom. During the 1880s Newfoundland became the fifth largest copper mining region in the world</w:t>
      </w:r>
      <w:r w:rsidR="00D818EC">
        <w:rPr>
          <w:color w:val="231F20"/>
        </w:rPr>
        <w:t xml:space="preserve"> and in</w:t>
      </w:r>
      <w:r w:rsidR="00F17830">
        <w:rPr>
          <w:color w:val="231F20"/>
        </w:rPr>
        <w:t xml:space="preserve"> the 1890s Bell Island became one of the world’s leading sources of iron ore. </w:t>
      </w:r>
    </w:p>
    <w:p w14:paraId="08B4219B" w14:textId="36BB870E" w:rsidR="00F17830" w:rsidRDefault="00F17830">
      <w:pPr>
        <w:pStyle w:val="BodyText"/>
        <w:kinsoku w:val="0"/>
        <w:overflowPunct w:val="0"/>
        <w:ind w:left="300" w:right="1188"/>
        <w:jc w:val="both"/>
        <w:rPr>
          <w:color w:val="231F20"/>
        </w:rPr>
      </w:pPr>
    </w:p>
    <w:p w14:paraId="5338FE13" w14:textId="110001CB" w:rsidR="00F17830" w:rsidRDefault="00F17830">
      <w:pPr>
        <w:pStyle w:val="BodyText"/>
        <w:kinsoku w:val="0"/>
        <w:overflowPunct w:val="0"/>
        <w:ind w:left="300" w:right="1188"/>
        <w:jc w:val="both"/>
        <w:rPr>
          <w:color w:val="231F20"/>
        </w:rPr>
      </w:pPr>
      <w:r>
        <w:rPr>
          <w:color w:val="231F20"/>
        </w:rPr>
        <w:t xml:space="preserve">Newfoundland and Labrador </w:t>
      </w:r>
      <w:proofErr w:type="gramStart"/>
      <w:r>
        <w:rPr>
          <w:color w:val="231F20"/>
        </w:rPr>
        <w:t>is</w:t>
      </w:r>
      <w:proofErr w:type="gramEnd"/>
      <w:r>
        <w:rPr>
          <w:color w:val="231F20"/>
        </w:rPr>
        <w:t xml:space="preserve"> geologically diverse and is richly endowed with a wide spectrum of minerals. During the 20</w:t>
      </w:r>
      <w:r w:rsidRPr="00482284">
        <w:rPr>
          <w:color w:val="231F20"/>
          <w:vertAlign w:val="superscript"/>
        </w:rPr>
        <w:t>th</w:t>
      </w:r>
      <w:r>
        <w:rPr>
          <w:color w:val="231F20"/>
        </w:rPr>
        <w:t xml:space="preserve"> century several other minerals were mined in the province, including silver, gold, lead, </w:t>
      </w:r>
      <w:proofErr w:type="gramStart"/>
      <w:r>
        <w:rPr>
          <w:color w:val="231F20"/>
        </w:rPr>
        <w:t>copper</w:t>
      </w:r>
      <w:proofErr w:type="gramEnd"/>
      <w:r>
        <w:rPr>
          <w:color w:val="231F20"/>
        </w:rPr>
        <w:t xml:space="preserve"> and zinc. A world-class nickel deposit was discovered at </w:t>
      </w:r>
      <w:proofErr w:type="spellStart"/>
      <w:r>
        <w:rPr>
          <w:color w:val="231F20"/>
        </w:rPr>
        <w:t>Voisey’s</w:t>
      </w:r>
      <w:proofErr w:type="spellEnd"/>
      <w:r>
        <w:rPr>
          <w:color w:val="231F20"/>
        </w:rPr>
        <w:t xml:space="preserve"> Bay with a mine opening there in 2005. Gold, fluoride, iron ore, dolom</w:t>
      </w:r>
      <w:r w:rsidR="008E6A55">
        <w:rPr>
          <w:color w:val="231F20"/>
        </w:rPr>
        <w:t>ite and gypsum are also currently mined in the province. More recently, the province has attracted an increasing number of exploration companies. The influential Fraser Institute Survey of Mining Companies in 2020 ranked Labrador the 8</w:t>
      </w:r>
      <w:r w:rsidR="008E6A55" w:rsidRPr="00482284">
        <w:rPr>
          <w:color w:val="231F20"/>
          <w:vertAlign w:val="superscript"/>
        </w:rPr>
        <w:t>th</w:t>
      </w:r>
      <w:r w:rsidR="008E6A55">
        <w:rPr>
          <w:color w:val="231F20"/>
        </w:rPr>
        <w:t xml:space="preserve"> best destination for mining investment in the world. </w:t>
      </w:r>
    </w:p>
    <w:bookmarkEnd w:id="8"/>
    <w:p w14:paraId="350AF3D5" w14:textId="77777777" w:rsidR="00783288" w:rsidRDefault="00783288">
      <w:pPr>
        <w:pStyle w:val="BodyText"/>
        <w:kinsoku w:val="0"/>
        <w:overflowPunct w:val="0"/>
        <w:spacing w:before="6"/>
        <w:rPr>
          <w:sz w:val="17"/>
          <w:szCs w:val="17"/>
        </w:rPr>
      </w:pPr>
    </w:p>
    <w:p w14:paraId="0038F4B2" w14:textId="77777777" w:rsidR="00783288" w:rsidRDefault="00E31420" w:rsidP="00512495">
      <w:pPr>
        <w:pStyle w:val="Heading1"/>
        <w:numPr>
          <w:ilvl w:val="1"/>
          <w:numId w:val="20"/>
        </w:numPr>
        <w:tabs>
          <w:tab w:val="left" w:pos="1020"/>
        </w:tabs>
        <w:kinsoku w:val="0"/>
        <w:overflowPunct w:val="0"/>
        <w:spacing w:before="1"/>
        <w:rPr>
          <w:color w:val="231F20"/>
        </w:rPr>
      </w:pPr>
      <w:r>
        <w:rPr>
          <w:color w:val="231F20"/>
        </w:rPr>
        <w:t>VMS</w:t>
      </w:r>
      <w:r>
        <w:rPr>
          <w:color w:val="231F20"/>
          <w:spacing w:val="-1"/>
        </w:rPr>
        <w:t xml:space="preserve"> </w:t>
      </w:r>
      <w:r>
        <w:rPr>
          <w:color w:val="231F20"/>
        </w:rPr>
        <w:t>Deposits</w:t>
      </w:r>
    </w:p>
    <w:p w14:paraId="240FFAA0" w14:textId="77777777" w:rsidR="00783288" w:rsidRDefault="00783288">
      <w:pPr>
        <w:pStyle w:val="BodyText"/>
        <w:kinsoku w:val="0"/>
        <w:overflowPunct w:val="0"/>
        <w:spacing w:before="3"/>
        <w:rPr>
          <w:b/>
          <w:bCs/>
        </w:rPr>
      </w:pPr>
    </w:p>
    <w:p w14:paraId="140E9B2E" w14:textId="77777777" w:rsidR="00783288" w:rsidRDefault="00E31420">
      <w:pPr>
        <w:pStyle w:val="BodyText"/>
        <w:kinsoku w:val="0"/>
        <w:overflowPunct w:val="0"/>
        <w:ind w:left="300" w:right="1189"/>
        <w:jc w:val="both"/>
        <w:rPr>
          <w:color w:val="231F20"/>
        </w:rPr>
      </w:pPr>
      <w:r>
        <w:rPr>
          <w:color w:val="231F20"/>
        </w:rPr>
        <w:t xml:space="preserve">The land surrounding the Troodos Mountains </w:t>
      </w:r>
      <w:proofErr w:type="gramStart"/>
      <w:r>
        <w:rPr>
          <w:color w:val="231F20"/>
        </w:rPr>
        <w:t>is considered to be</w:t>
      </w:r>
      <w:proofErr w:type="gramEnd"/>
      <w:r>
        <w:rPr>
          <w:color w:val="231F20"/>
        </w:rPr>
        <w:t xml:space="preserve"> rich in a particular type of geology, called volcanogenic</w:t>
      </w:r>
      <w:r>
        <w:rPr>
          <w:color w:val="231F20"/>
          <w:spacing w:val="-14"/>
        </w:rPr>
        <w:t xml:space="preserve"> </w:t>
      </w:r>
      <w:r>
        <w:rPr>
          <w:color w:val="231F20"/>
        </w:rPr>
        <w:t>massive</w:t>
      </w:r>
      <w:r>
        <w:rPr>
          <w:color w:val="231F20"/>
          <w:spacing w:val="-13"/>
        </w:rPr>
        <w:t xml:space="preserve"> </w:t>
      </w:r>
      <w:r>
        <w:rPr>
          <w:color w:val="231F20"/>
        </w:rPr>
        <w:t>sulphide</w:t>
      </w:r>
      <w:r>
        <w:rPr>
          <w:color w:val="231F20"/>
          <w:spacing w:val="-11"/>
        </w:rPr>
        <w:t xml:space="preserve"> </w:t>
      </w:r>
      <w:r>
        <w:rPr>
          <w:color w:val="231F20"/>
        </w:rPr>
        <w:t>deposits</w:t>
      </w:r>
      <w:r>
        <w:rPr>
          <w:color w:val="231F20"/>
          <w:spacing w:val="-11"/>
        </w:rPr>
        <w:t xml:space="preserve"> </w:t>
      </w:r>
      <w:r>
        <w:rPr>
          <w:color w:val="231F20"/>
        </w:rPr>
        <w:t>(“</w:t>
      </w:r>
      <w:r>
        <w:rPr>
          <w:b/>
          <w:bCs/>
          <w:color w:val="231F20"/>
        </w:rPr>
        <w:t>VMS</w:t>
      </w:r>
      <w:r>
        <w:rPr>
          <w:b/>
          <w:bCs/>
          <w:color w:val="231F20"/>
          <w:spacing w:val="-12"/>
        </w:rPr>
        <w:t xml:space="preserve"> </w:t>
      </w:r>
      <w:r>
        <w:rPr>
          <w:b/>
          <w:bCs/>
          <w:color w:val="231F20"/>
        </w:rPr>
        <w:t>Deposits”</w:t>
      </w:r>
      <w:r>
        <w:rPr>
          <w:color w:val="231F20"/>
        </w:rPr>
        <w:t>).</w:t>
      </w:r>
      <w:r>
        <w:rPr>
          <w:color w:val="231F20"/>
          <w:spacing w:val="-14"/>
        </w:rPr>
        <w:t xml:space="preserve"> </w:t>
      </w:r>
      <w:r>
        <w:rPr>
          <w:color w:val="231F20"/>
        </w:rPr>
        <w:t>VMS</w:t>
      </w:r>
      <w:r>
        <w:rPr>
          <w:color w:val="231F20"/>
          <w:spacing w:val="-12"/>
        </w:rPr>
        <w:t xml:space="preserve"> </w:t>
      </w:r>
      <w:r>
        <w:rPr>
          <w:color w:val="231F20"/>
        </w:rPr>
        <w:t>Deposits</w:t>
      </w:r>
      <w:r>
        <w:rPr>
          <w:color w:val="231F20"/>
          <w:spacing w:val="-11"/>
        </w:rPr>
        <w:t xml:space="preserve"> </w:t>
      </w:r>
      <w:r>
        <w:rPr>
          <w:color w:val="231F20"/>
        </w:rPr>
        <w:t>are</w:t>
      </w:r>
      <w:r>
        <w:rPr>
          <w:color w:val="231F20"/>
          <w:spacing w:val="-11"/>
        </w:rPr>
        <w:t xml:space="preserve"> </w:t>
      </w:r>
      <w:r>
        <w:rPr>
          <w:color w:val="231F20"/>
        </w:rPr>
        <w:t>a</w:t>
      </w:r>
      <w:r>
        <w:rPr>
          <w:color w:val="231F20"/>
          <w:spacing w:val="-13"/>
        </w:rPr>
        <w:t xml:space="preserve"> </w:t>
      </w:r>
      <w:r>
        <w:rPr>
          <w:color w:val="231F20"/>
        </w:rPr>
        <w:t>type</w:t>
      </w:r>
      <w:r>
        <w:rPr>
          <w:color w:val="231F20"/>
          <w:spacing w:val="-11"/>
        </w:rPr>
        <w:t xml:space="preserve"> </w:t>
      </w:r>
      <w:r>
        <w:rPr>
          <w:color w:val="231F20"/>
        </w:rPr>
        <w:t>of</w:t>
      </w:r>
      <w:r>
        <w:rPr>
          <w:color w:val="231F20"/>
          <w:spacing w:val="-15"/>
        </w:rPr>
        <w:t xml:space="preserve"> </w:t>
      </w:r>
      <w:r>
        <w:rPr>
          <w:color w:val="231F20"/>
        </w:rPr>
        <w:t>metal</w:t>
      </w:r>
      <w:r>
        <w:rPr>
          <w:color w:val="231F20"/>
          <w:spacing w:val="-11"/>
        </w:rPr>
        <w:t xml:space="preserve"> </w:t>
      </w:r>
      <w:r>
        <w:rPr>
          <w:color w:val="231F20"/>
        </w:rPr>
        <w:t>sulphide</w:t>
      </w:r>
      <w:r>
        <w:rPr>
          <w:color w:val="231F20"/>
          <w:spacing w:val="-13"/>
        </w:rPr>
        <w:t xml:space="preserve"> </w:t>
      </w:r>
      <w:r>
        <w:rPr>
          <w:color w:val="231F20"/>
        </w:rPr>
        <w:t>ore</w:t>
      </w:r>
      <w:r>
        <w:rPr>
          <w:color w:val="231F20"/>
          <w:spacing w:val="-11"/>
        </w:rPr>
        <w:t xml:space="preserve"> </w:t>
      </w:r>
      <w:r>
        <w:rPr>
          <w:color w:val="231F20"/>
        </w:rPr>
        <w:t>deposit which are created by volcanic-associated hydrothermal events and which are particularly rich in certain metals (including copper and gold</w:t>
      </w:r>
      <w:proofErr w:type="gramStart"/>
      <w:r>
        <w:rPr>
          <w:color w:val="231F20"/>
        </w:rPr>
        <w:t>), and</w:t>
      </w:r>
      <w:proofErr w:type="gramEnd"/>
      <w:r>
        <w:rPr>
          <w:color w:val="231F20"/>
        </w:rPr>
        <w:t xml:space="preserve"> are comprised of more than 50 per cent mineral sulphide. See figure 1 below for a diagram of a VMS Deposit. VMS Deposits are one of the richest sources of </w:t>
      </w:r>
      <w:proofErr w:type="gramStart"/>
      <w:r>
        <w:rPr>
          <w:color w:val="231F20"/>
        </w:rPr>
        <w:t>copper, and</w:t>
      </w:r>
      <w:proofErr w:type="gramEnd"/>
      <w:r>
        <w:rPr>
          <w:color w:val="231F20"/>
        </w:rPr>
        <w:t xml:space="preserve"> can also produce economic</w:t>
      </w:r>
      <w:r>
        <w:rPr>
          <w:color w:val="231F20"/>
          <w:spacing w:val="-7"/>
        </w:rPr>
        <w:t xml:space="preserve"> </w:t>
      </w:r>
      <w:r>
        <w:rPr>
          <w:color w:val="231F20"/>
        </w:rPr>
        <w:t>amounts</w:t>
      </w:r>
      <w:r>
        <w:rPr>
          <w:color w:val="231F20"/>
          <w:spacing w:val="-8"/>
        </w:rPr>
        <w:t xml:space="preserve"> </w:t>
      </w:r>
      <w:r>
        <w:rPr>
          <w:color w:val="231F20"/>
        </w:rPr>
        <w:t>of</w:t>
      </w:r>
      <w:r>
        <w:rPr>
          <w:color w:val="231F20"/>
          <w:spacing w:val="-10"/>
        </w:rPr>
        <w:t xml:space="preserve"> </w:t>
      </w:r>
      <w:r>
        <w:rPr>
          <w:color w:val="231F20"/>
        </w:rPr>
        <w:t>gold.</w:t>
      </w:r>
      <w:r>
        <w:rPr>
          <w:color w:val="231F20"/>
          <w:spacing w:val="-6"/>
        </w:rPr>
        <w:t xml:space="preserve"> </w:t>
      </w:r>
      <w:r>
        <w:rPr>
          <w:color w:val="231F20"/>
        </w:rPr>
        <w:t>VMS</w:t>
      </w:r>
      <w:r>
        <w:rPr>
          <w:color w:val="231F20"/>
          <w:spacing w:val="-7"/>
        </w:rPr>
        <w:t xml:space="preserve"> </w:t>
      </w:r>
      <w:r>
        <w:rPr>
          <w:color w:val="231F20"/>
        </w:rPr>
        <w:t>Deposits</w:t>
      </w:r>
      <w:r>
        <w:rPr>
          <w:color w:val="231F20"/>
          <w:spacing w:val="-9"/>
        </w:rPr>
        <w:t xml:space="preserve"> </w:t>
      </w:r>
      <w:r>
        <w:rPr>
          <w:color w:val="231F20"/>
        </w:rPr>
        <w:t>account</w:t>
      </w:r>
      <w:r>
        <w:rPr>
          <w:color w:val="231F20"/>
          <w:spacing w:val="-6"/>
        </w:rPr>
        <w:t xml:space="preserve"> </w:t>
      </w:r>
      <w:r>
        <w:rPr>
          <w:color w:val="231F20"/>
        </w:rPr>
        <w:t>for</w:t>
      </w:r>
      <w:r>
        <w:rPr>
          <w:color w:val="231F20"/>
          <w:spacing w:val="-9"/>
        </w:rPr>
        <w:t xml:space="preserve"> </w:t>
      </w:r>
      <w:r>
        <w:rPr>
          <w:color w:val="231F20"/>
        </w:rPr>
        <w:t>approximately</w:t>
      </w:r>
      <w:r>
        <w:rPr>
          <w:color w:val="231F20"/>
          <w:spacing w:val="-9"/>
        </w:rPr>
        <w:t xml:space="preserve"> </w:t>
      </w:r>
      <w:r>
        <w:rPr>
          <w:color w:val="231F20"/>
        </w:rPr>
        <w:t>6</w:t>
      </w:r>
      <w:r>
        <w:rPr>
          <w:color w:val="231F20"/>
          <w:spacing w:val="-6"/>
        </w:rPr>
        <w:t xml:space="preserve"> </w:t>
      </w:r>
      <w:r>
        <w:rPr>
          <w:color w:val="231F20"/>
        </w:rPr>
        <w:t>per</w:t>
      </w:r>
      <w:r>
        <w:rPr>
          <w:color w:val="231F20"/>
          <w:spacing w:val="-10"/>
        </w:rPr>
        <w:t xml:space="preserve"> </w:t>
      </w:r>
      <w:r>
        <w:rPr>
          <w:color w:val="231F20"/>
        </w:rPr>
        <w:t>cent</w:t>
      </w:r>
      <w:r>
        <w:rPr>
          <w:color w:val="231F20"/>
          <w:spacing w:val="-6"/>
        </w:rPr>
        <w:t xml:space="preserve"> </w:t>
      </w:r>
      <w:r>
        <w:rPr>
          <w:color w:val="231F20"/>
        </w:rPr>
        <w:t>of</w:t>
      </w:r>
      <w:r>
        <w:rPr>
          <w:color w:val="231F20"/>
          <w:spacing w:val="-9"/>
        </w:rPr>
        <w:t xml:space="preserve"> </w:t>
      </w:r>
      <w:r>
        <w:rPr>
          <w:color w:val="231F20"/>
        </w:rPr>
        <w:t>overall</w:t>
      </w:r>
      <w:r>
        <w:rPr>
          <w:color w:val="231F20"/>
          <w:spacing w:val="-7"/>
        </w:rPr>
        <w:t xml:space="preserve"> </w:t>
      </w:r>
      <w:r>
        <w:rPr>
          <w:color w:val="231F20"/>
        </w:rPr>
        <w:t>global</w:t>
      </w:r>
      <w:r>
        <w:rPr>
          <w:color w:val="231F20"/>
          <w:spacing w:val="-9"/>
        </w:rPr>
        <w:t xml:space="preserve"> </w:t>
      </w:r>
      <w:r>
        <w:rPr>
          <w:color w:val="231F20"/>
        </w:rPr>
        <w:t>copper</w:t>
      </w:r>
      <w:r>
        <w:rPr>
          <w:color w:val="231F20"/>
          <w:spacing w:val="-7"/>
        </w:rPr>
        <w:t xml:space="preserve"> </w:t>
      </w:r>
      <w:r>
        <w:rPr>
          <w:color w:val="231F20"/>
        </w:rPr>
        <w:t>production and 2.2 per cent of overall global gold</w:t>
      </w:r>
      <w:r>
        <w:rPr>
          <w:color w:val="231F20"/>
          <w:spacing w:val="-2"/>
        </w:rPr>
        <w:t xml:space="preserve"> </w:t>
      </w:r>
      <w:r>
        <w:rPr>
          <w:color w:val="231F20"/>
        </w:rPr>
        <w:t>production.</w:t>
      </w:r>
    </w:p>
    <w:p w14:paraId="0F63E76A" w14:textId="77777777" w:rsidR="00783288" w:rsidRDefault="00E31420">
      <w:pPr>
        <w:pStyle w:val="BodyText"/>
        <w:kinsoku w:val="0"/>
        <w:overflowPunct w:val="0"/>
        <w:spacing w:before="5"/>
        <w:rPr>
          <w:sz w:val="14"/>
          <w:szCs w:val="14"/>
        </w:rPr>
      </w:pPr>
      <w:r>
        <w:rPr>
          <w:noProof/>
        </w:rPr>
        <w:lastRenderedPageBreak/>
        <mc:AlternateContent>
          <mc:Choice Requires="wps">
            <w:drawing>
              <wp:anchor distT="0" distB="0" distL="0" distR="0" simplePos="0" relativeHeight="251658240" behindDoc="0" locked="0" layoutInCell="0" allowOverlap="1" wp14:anchorId="1CAA5D19" wp14:editId="4EC24C1E">
                <wp:simplePos x="0" y="0"/>
                <wp:positionH relativeFrom="page">
                  <wp:posOffset>911225</wp:posOffset>
                </wp:positionH>
                <wp:positionV relativeFrom="paragraph">
                  <wp:posOffset>130810</wp:posOffset>
                </wp:positionV>
                <wp:extent cx="2730500" cy="224790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DB89" w14:textId="77777777" w:rsidR="00170424" w:rsidRDefault="00170424">
                            <w:pPr>
                              <w:widowControl/>
                              <w:autoSpaceDE/>
                              <w:autoSpaceDN/>
                              <w:adjustRightInd/>
                              <w:spacing w:line="3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4F57C" wp14:editId="6F3A6757">
                                  <wp:extent cx="27305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0" cy="2247900"/>
                                          </a:xfrm>
                                          <a:prstGeom prst="rect">
                                            <a:avLst/>
                                          </a:prstGeom>
                                          <a:noFill/>
                                          <a:ln>
                                            <a:noFill/>
                                          </a:ln>
                                        </pic:spPr>
                                      </pic:pic>
                                    </a:graphicData>
                                  </a:graphic>
                                </wp:inline>
                              </w:drawing>
                            </w:r>
                          </w:p>
                          <w:p w14:paraId="7607F4BA" w14:textId="77777777" w:rsidR="00170424" w:rsidRDefault="0017042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5D19" id="Rectangle 14" o:spid="_x0000_s1028" style="position:absolute;margin-left:71.75pt;margin-top:10.3pt;width:215pt;height:17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" o:allowincell="f" filled="f" stroked="f">
                <v:textbox inset="0,0,0,0">
                  <w:txbxContent>
                    <w:p w14:paraId="3719DB89" w14:textId="77777777" w:rsidR="00170424" w:rsidRDefault="00170424">
                      <w:pPr>
                        <w:widowControl/>
                        <w:autoSpaceDE/>
                        <w:autoSpaceDN/>
                        <w:adjustRightInd/>
                        <w:spacing w:line="3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4F57C" wp14:editId="6F3A6757">
                            <wp:extent cx="27305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0" cy="2247900"/>
                                    </a:xfrm>
                                    <a:prstGeom prst="rect">
                                      <a:avLst/>
                                    </a:prstGeom>
                                    <a:noFill/>
                                    <a:ln>
                                      <a:noFill/>
                                    </a:ln>
                                  </pic:spPr>
                                </pic:pic>
                              </a:graphicData>
                            </a:graphic>
                          </wp:inline>
                        </w:drawing>
                      </w:r>
                    </w:p>
                    <w:p w14:paraId="7607F4BA" w14:textId="77777777" w:rsidR="00170424" w:rsidRDefault="00170424">
                      <w:pPr>
                        <w:rPr>
                          <w:rFonts w:ascii="Times New Roman" w:hAnsi="Times New Roman" w:cs="Times New Roman"/>
                          <w:sz w:val="24"/>
                          <w:szCs w:val="24"/>
                        </w:rPr>
                      </w:pPr>
                    </w:p>
                  </w:txbxContent>
                </v:textbox>
                <w10:wrap type="topAndBottom" anchorx="page"/>
              </v:rect>
            </w:pict>
          </mc:Fallback>
        </mc:AlternateContent>
      </w:r>
    </w:p>
    <w:p w14:paraId="06B18DBA" w14:textId="77777777" w:rsidR="00783288" w:rsidRDefault="00783288">
      <w:pPr>
        <w:pStyle w:val="BodyText"/>
        <w:kinsoku w:val="0"/>
        <w:overflowPunct w:val="0"/>
        <w:spacing w:before="9"/>
        <w:rPr>
          <w:sz w:val="16"/>
          <w:szCs w:val="16"/>
        </w:rPr>
      </w:pPr>
    </w:p>
    <w:p w14:paraId="6496BF3B" w14:textId="77777777" w:rsidR="00783288" w:rsidRDefault="00E31420">
      <w:pPr>
        <w:pStyle w:val="Heading2"/>
        <w:kinsoku w:val="0"/>
        <w:overflowPunct w:val="0"/>
        <w:rPr>
          <w:color w:val="231F20"/>
        </w:rPr>
      </w:pPr>
      <w:r>
        <w:rPr>
          <w:color w:val="231F20"/>
        </w:rPr>
        <w:t>Figure 1.</w:t>
      </w:r>
    </w:p>
    <w:p w14:paraId="06333026" w14:textId="77777777" w:rsidR="00783288" w:rsidRDefault="00783288">
      <w:pPr>
        <w:pStyle w:val="BodyText"/>
        <w:kinsoku w:val="0"/>
        <w:overflowPunct w:val="0"/>
        <w:spacing w:before="1"/>
        <w:rPr>
          <w:b/>
          <w:bCs/>
          <w:i/>
          <w:iCs/>
        </w:rPr>
      </w:pPr>
    </w:p>
    <w:p w14:paraId="2599DC79" w14:textId="480A53DF" w:rsidR="00783288" w:rsidRDefault="00E31420">
      <w:pPr>
        <w:pStyle w:val="BodyText"/>
        <w:kinsoku w:val="0"/>
        <w:overflowPunct w:val="0"/>
        <w:spacing w:before="79" w:line="259" w:lineRule="auto"/>
        <w:ind w:left="300" w:right="1191"/>
        <w:jc w:val="both"/>
        <w:rPr>
          <w:color w:val="231F20"/>
        </w:rPr>
      </w:pPr>
      <w:r>
        <w:rPr>
          <w:color w:val="231F20"/>
        </w:rPr>
        <w:t>The Group’s initial drilling programme at its Troodos West licence area which commenced in 2018, encountered buried sulphide mineralisation (the type of rock that occurs in VMS Deposits) on several targets, verifying the</w:t>
      </w:r>
      <w:r w:rsidR="00D56AD8">
        <w:rPr>
          <w:color w:val="231F20"/>
        </w:rPr>
        <w:t xml:space="preserve"> </w:t>
      </w:r>
      <w:r>
        <w:rPr>
          <w:color w:val="231F20"/>
        </w:rPr>
        <w:t>Directors’</w:t>
      </w:r>
      <w:r>
        <w:rPr>
          <w:color w:val="231F20"/>
          <w:spacing w:val="-13"/>
        </w:rPr>
        <w:t xml:space="preserve"> </w:t>
      </w:r>
      <w:r>
        <w:rPr>
          <w:color w:val="231F20"/>
        </w:rPr>
        <w:t>expectation</w:t>
      </w:r>
      <w:r>
        <w:rPr>
          <w:color w:val="231F20"/>
          <w:spacing w:val="-12"/>
        </w:rPr>
        <w:t xml:space="preserve"> </w:t>
      </w:r>
      <w:r>
        <w:rPr>
          <w:color w:val="231F20"/>
        </w:rPr>
        <w:t>that</w:t>
      </w:r>
      <w:r>
        <w:rPr>
          <w:color w:val="231F20"/>
          <w:spacing w:val="-12"/>
        </w:rPr>
        <w:t xml:space="preserve"> </w:t>
      </w:r>
      <w:r>
        <w:rPr>
          <w:color w:val="231F20"/>
        </w:rPr>
        <w:t>these</w:t>
      </w:r>
      <w:r>
        <w:rPr>
          <w:color w:val="231F20"/>
          <w:spacing w:val="-10"/>
        </w:rPr>
        <w:t xml:space="preserve"> </w:t>
      </w:r>
      <w:r>
        <w:rPr>
          <w:color w:val="231F20"/>
        </w:rPr>
        <w:t>deposits</w:t>
      </w:r>
      <w:r>
        <w:rPr>
          <w:color w:val="231F20"/>
          <w:spacing w:val="-11"/>
        </w:rPr>
        <w:t xml:space="preserve"> </w:t>
      </w:r>
      <w:r>
        <w:rPr>
          <w:color w:val="231F20"/>
        </w:rPr>
        <w:t>exist</w:t>
      </w:r>
      <w:r>
        <w:rPr>
          <w:color w:val="231F20"/>
          <w:spacing w:val="-10"/>
        </w:rPr>
        <w:t xml:space="preserve"> </w:t>
      </w:r>
      <w:r>
        <w:rPr>
          <w:color w:val="231F20"/>
        </w:rPr>
        <w:t>there.</w:t>
      </w:r>
      <w:r>
        <w:rPr>
          <w:color w:val="231F20"/>
          <w:spacing w:val="-12"/>
        </w:rPr>
        <w:t xml:space="preserve"> </w:t>
      </w:r>
      <w:r>
        <w:rPr>
          <w:color w:val="231F20"/>
        </w:rPr>
        <w:t>The</w:t>
      </w:r>
      <w:r>
        <w:rPr>
          <w:color w:val="231F20"/>
          <w:spacing w:val="-10"/>
        </w:rPr>
        <w:t xml:space="preserve"> </w:t>
      </w:r>
      <w:r>
        <w:rPr>
          <w:color w:val="231F20"/>
        </w:rPr>
        <w:t>Group</w:t>
      </w:r>
      <w:r>
        <w:rPr>
          <w:color w:val="231F20"/>
          <w:spacing w:val="-11"/>
        </w:rPr>
        <w:t xml:space="preserve"> </w:t>
      </w:r>
      <w:r>
        <w:rPr>
          <w:color w:val="231F20"/>
        </w:rPr>
        <w:t>has</w:t>
      </w:r>
      <w:r>
        <w:rPr>
          <w:color w:val="231F20"/>
          <w:spacing w:val="-11"/>
        </w:rPr>
        <w:t xml:space="preserve"> </w:t>
      </w:r>
      <w:r>
        <w:rPr>
          <w:color w:val="231F20"/>
        </w:rPr>
        <w:t>announced</w:t>
      </w:r>
      <w:r>
        <w:rPr>
          <w:color w:val="231F20"/>
          <w:spacing w:val="-12"/>
        </w:rPr>
        <w:t xml:space="preserve"> </w:t>
      </w:r>
      <w:r>
        <w:rPr>
          <w:color w:val="231F20"/>
        </w:rPr>
        <w:t>encountering</w:t>
      </w:r>
      <w:r>
        <w:rPr>
          <w:color w:val="231F20"/>
          <w:spacing w:val="-10"/>
        </w:rPr>
        <w:t xml:space="preserve"> </w:t>
      </w:r>
      <w:r>
        <w:rPr>
          <w:color w:val="231F20"/>
        </w:rPr>
        <w:t>this</w:t>
      </w:r>
      <w:r>
        <w:rPr>
          <w:color w:val="231F20"/>
          <w:spacing w:val="-11"/>
        </w:rPr>
        <w:t xml:space="preserve"> </w:t>
      </w:r>
      <w:r>
        <w:rPr>
          <w:color w:val="231F20"/>
        </w:rPr>
        <w:t>type</w:t>
      </w:r>
      <w:r>
        <w:rPr>
          <w:color w:val="231F20"/>
          <w:spacing w:val="-10"/>
        </w:rPr>
        <w:t xml:space="preserve"> </w:t>
      </w:r>
      <w:r>
        <w:rPr>
          <w:color w:val="231F20"/>
        </w:rPr>
        <w:t>of</w:t>
      </w:r>
      <w:r>
        <w:rPr>
          <w:color w:val="231F20"/>
          <w:spacing w:val="-12"/>
        </w:rPr>
        <w:t xml:space="preserve"> </w:t>
      </w:r>
      <w:r>
        <w:rPr>
          <w:color w:val="231F20"/>
        </w:rPr>
        <w:t>sulphide mineralisation</w:t>
      </w:r>
      <w:r>
        <w:rPr>
          <w:color w:val="231F20"/>
          <w:spacing w:val="-12"/>
        </w:rPr>
        <w:t xml:space="preserve"> </w:t>
      </w:r>
      <w:r>
        <w:rPr>
          <w:color w:val="231F20"/>
        </w:rPr>
        <w:t>on</w:t>
      </w:r>
      <w:r>
        <w:rPr>
          <w:color w:val="231F20"/>
          <w:spacing w:val="-9"/>
        </w:rPr>
        <w:t xml:space="preserve"> </w:t>
      </w:r>
      <w:r>
        <w:rPr>
          <w:color w:val="231F20"/>
        </w:rPr>
        <w:t>its</w:t>
      </w:r>
      <w:r>
        <w:rPr>
          <w:color w:val="231F20"/>
          <w:spacing w:val="-9"/>
        </w:rPr>
        <w:t xml:space="preserve"> </w:t>
      </w:r>
      <w:r>
        <w:rPr>
          <w:color w:val="231F20"/>
        </w:rPr>
        <w:t>targets</w:t>
      </w:r>
      <w:r>
        <w:rPr>
          <w:color w:val="231F20"/>
          <w:spacing w:val="-8"/>
        </w:rPr>
        <w:t xml:space="preserve"> </w:t>
      </w:r>
      <w:r>
        <w:rPr>
          <w:color w:val="231F20"/>
        </w:rPr>
        <w:t>at</w:t>
      </w:r>
      <w:r>
        <w:rPr>
          <w:color w:val="231F20"/>
          <w:spacing w:val="-12"/>
        </w:rPr>
        <w:t xml:space="preserve"> </w:t>
      </w:r>
      <w:proofErr w:type="spellStart"/>
      <w:r>
        <w:rPr>
          <w:color w:val="231F20"/>
        </w:rPr>
        <w:t>Evlim</w:t>
      </w:r>
      <w:proofErr w:type="spellEnd"/>
      <w:r>
        <w:rPr>
          <w:color w:val="231F20"/>
        </w:rPr>
        <w:t>,</w:t>
      </w:r>
      <w:r>
        <w:rPr>
          <w:color w:val="231F20"/>
          <w:spacing w:val="-9"/>
        </w:rPr>
        <w:t xml:space="preserve"> </w:t>
      </w:r>
      <w:r>
        <w:rPr>
          <w:color w:val="231F20"/>
        </w:rPr>
        <w:t>Hillside</w:t>
      </w:r>
      <w:r>
        <w:rPr>
          <w:color w:val="231F20"/>
          <w:spacing w:val="-10"/>
        </w:rPr>
        <w:t xml:space="preserve"> </w:t>
      </w:r>
      <w:r>
        <w:rPr>
          <w:color w:val="231F20"/>
        </w:rPr>
        <w:t>and</w:t>
      </w:r>
      <w:r>
        <w:rPr>
          <w:color w:val="231F20"/>
          <w:spacing w:val="-9"/>
        </w:rPr>
        <w:t xml:space="preserve"> </w:t>
      </w:r>
      <w:r>
        <w:rPr>
          <w:color w:val="231F20"/>
        </w:rPr>
        <w:t>Embayment</w:t>
      </w:r>
      <w:r>
        <w:rPr>
          <w:color w:val="231F20"/>
          <w:spacing w:val="-8"/>
        </w:rPr>
        <w:t xml:space="preserve"> </w:t>
      </w:r>
      <w:r>
        <w:rPr>
          <w:color w:val="231F20"/>
        </w:rPr>
        <w:t>at</w:t>
      </w:r>
      <w:r>
        <w:rPr>
          <w:color w:val="231F20"/>
          <w:spacing w:val="-9"/>
        </w:rPr>
        <w:t xml:space="preserve"> </w:t>
      </w:r>
      <w:r>
        <w:rPr>
          <w:color w:val="231F20"/>
        </w:rPr>
        <w:t>Troodos</w:t>
      </w:r>
      <w:r>
        <w:rPr>
          <w:color w:val="231F20"/>
          <w:spacing w:val="-13"/>
        </w:rPr>
        <w:t xml:space="preserve"> </w:t>
      </w:r>
      <w:r>
        <w:rPr>
          <w:color w:val="231F20"/>
        </w:rPr>
        <w:t>West,</w:t>
      </w:r>
      <w:r>
        <w:rPr>
          <w:color w:val="231F20"/>
          <w:spacing w:val="-10"/>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an</w:t>
      </w:r>
      <w:r>
        <w:rPr>
          <w:color w:val="231F20"/>
          <w:spacing w:val="-11"/>
        </w:rPr>
        <w:t xml:space="preserve"> </w:t>
      </w:r>
      <w:r>
        <w:rPr>
          <w:color w:val="231F20"/>
        </w:rPr>
        <w:t>encouraging</w:t>
      </w:r>
      <w:r>
        <w:rPr>
          <w:color w:val="231F20"/>
          <w:spacing w:val="-10"/>
        </w:rPr>
        <w:t xml:space="preserve"> </w:t>
      </w:r>
      <w:r>
        <w:rPr>
          <w:color w:val="231F20"/>
        </w:rPr>
        <w:t>early</w:t>
      </w:r>
      <w:r>
        <w:rPr>
          <w:color w:val="231F20"/>
          <w:spacing w:val="-10"/>
        </w:rPr>
        <w:t xml:space="preserve"> </w:t>
      </w:r>
      <w:r>
        <w:rPr>
          <w:color w:val="231F20"/>
        </w:rPr>
        <w:t>sign for this licence</w:t>
      </w:r>
      <w:r>
        <w:rPr>
          <w:color w:val="231F20"/>
          <w:spacing w:val="1"/>
        </w:rPr>
        <w:t xml:space="preserve"> </w:t>
      </w:r>
      <w:r>
        <w:rPr>
          <w:color w:val="231F20"/>
        </w:rPr>
        <w:t>area.</w:t>
      </w:r>
    </w:p>
    <w:p w14:paraId="1AABDAFC" w14:textId="77777777" w:rsidR="00783288" w:rsidRDefault="00E31420">
      <w:pPr>
        <w:pStyle w:val="BodyText"/>
        <w:kinsoku w:val="0"/>
        <w:overflowPunct w:val="0"/>
        <w:spacing w:before="159" w:line="259" w:lineRule="auto"/>
        <w:ind w:left="300" w:right="1189"/>
        <w:jc w:val="both"/>
        <w:rPr>
          <w:color w:val="231F20"/>
        </w:rPr>
      </w:pPr>
      <w:r>
        <w:rPr>
          <w:color w:val="231F20"/>
        </w:rPr>
        <w:t>VMS Deposits generally occur in clusters or stacks typically a few hundred metres apart from each other, which means that where the Group has found one VMS Deposit, others are likely to be buried nearby. In Cyprus only those deposits that were visible on the surface of the land have been mined by other companies so far, because historically miners did not have the technology to explore for VMS Deposits that were buried underground. The Directors</w:t>
      </w:r>
      <w:r>
        <w:rPr>
          <w:color w:val="231F20"/>
          <w:spacing w:val="-11"/>
        </w:rPr>
        <w:t xml:space="preserve"> </w:t>
      </w:r>
      <w:r>
        <w:rPr>
          <w:color w:val="231F20"/>
        </w:rPr>
        <w:t>believe</w:t>
      </w:r>
      <w:r>
        <w:rPr>
          <w:color w:val="231F20"/>
          <w:spacing w:val="-11"/>
        </w:rPr>
        <w:t xml:space="preserve"> </w:t>
      </w:r>
      <w:r>
        <w:rPr>
          <w:color w:val="231F20"/>
        </w:rPr>
        <w:t>that</w:t>
      </w:r>
      <w:r>
        <w:rPr>
          <w:color w:val="231F20"/>
          <w:spacing w:val="-14"/>
        </w:rPr>
        <w:t xml:space="preserve"> </w:t>
      </w:r>
      <w:r>
        <w:rPr>
          <w:color w:val="231F20"/>
        </w:rPr>
        <w:t>approximately</w:t>
      </w:r>
      <w:r>
        <w:rPr>
          <w:color w:val="231F20"/>
          <w:spacing w:val="-13"/>
        </w:rPr>
        <w:t xml:space="preserve"> </w:t>
      </w:r>
      <w:r>
        <w:rPr>
          <w:color w:val="231F20"/>
        </w:rPr>
        <w:t>80</w:t>
      </w:r>
      <w:r>
        <w:rPr>
          <w:color w:val="231F20"/>
          <w:spacing w:val="-13"/>
        </w:rPr>
        <w:t xml:space="preserve"> </w:t>
      </w:r>
      <w:r>
        <w:rPr>
          <w:color w:val="231F20"/>
        </w:rPr>
        <w:t>per</w:t>
      </w:r>
      <w:r>
        <w:rPr>
          <w:color w:val="231F20"/>
          <w:spacing w:val="-12"/>
        </w:rPr>
        <w:t xml:space="preserve"> </w:t>
      </w:r>
      <w:r>
        <w:rPr>
          <w:color w:val="231F20"/>
        </w:rPr>
        <w:t>cent</w:t>
      </w:r>
      <w:r>
        <w:rPr>
          <w:color w:val="231F20"/>
          <w:spacing w:val="-11"/>
        </w:rPr>
        <w:t xml:space="preserve"> </w:t>
      </w:r>
      <w:r>
        <w:rPr>
          <w:color w:val="231F20"/>
        </w:rPr>
        <w:t>of</w:t>
      </w:r>
      <w:r>
        <w:rPr>
          <w:color w:val="231F20"/>
          <w:spacing w:val="-11"/>
        </w:rPr>
        <w:t xml:space="preserve"> </w:t>
      </w:r>
      <w:r>
        <w:rPr>
          <w:color w:val="231F20"/>
        </w:rPr>
        <w:t>the</w:t>
      </w:r>
      <w:r>
        <w:rPr>
          <w:color w:val="231F20"/>
          <w:spacing w:val="-13"/>
        </w:rPr>
        <w:t xml:space="preserve"> </w:t>
      </w:r>
      <w:r>
        <w:rPr>
          <w:color w:val="231F20"/>
        </w:rPr>
        <w:t>prospective</w:t>
      </w:r>
      <w:r>
        <w:rPr>
          <w:color w:val="231F20"/>
          <w:spacing w:val="-11"/>
        </w:rPr>
        <w:t xml:space="preserve"> </w:t>
      </w:r>
      <w:r>
        <w:rPr>
          <w:color w:val="231F20"/>
        </w:rPr>
        <w:t>area</w:t>
      </w:r>
      <w:r>
        <w:rPr>
          <w:color w:val="231F20"/>
          <w:spacing w:val="-11"/>
        </w:rPr>
        <w:t xml:space="preserve"> </w:t>
      </w:r>
      <w:r>
        <w:rPr>
          <w:color w:val="231F20"/>
        </w:rPr>
        <w:t>at</w:t>
      </w:r>
      <w:r>
        <w:rPr>
          <w:color w:val="231F20"/>
          <w:spacing w:val="-14"/>
        </w:rPr>
        <w:t xml:space="preserve"> </w:t>
      </w:r>
      <w:r>
        <w:rPr>
          <w:color w:val="231F20"/>
        </w:rPr>
        <w:t>its</w:t>
      </w:r>
      <w:r>
        <w:rPr>
          <w:color w:val="231F20"/>
          <w:spacing w:val="-10"/>
        </w:rPr>
        <w:t xml:space="preserve"> </w:t>
      </w:r>
      <w:r>
        <w:rPr>
          <w:color w:val="231F20"/>
        </w:rPr>
        <w:t>Troodos</w:t>
      </w:r>
      <w:r>
        <w:rPr>
          <w:color w:val="231F20"/>
          <w:spacing w:val="-15"/>
        </w:rPr>
        <w:t xml:space="preserve"> </w:t>
      </w:r>
      <w:r>
        <w:rPr>
          <w:color w:val="231F20"/>
        </w:rPr>
        <w:t>West</w:t>
      </w:r>
      <w:r>
        <w:rPr>
          <w:color w:val="231F20"/>
          <w:spacing w:val="-14"/>
        </w:rPr>
        <w:t xml:space="preserve"> </w:t>
      </w:r>
      <w:r>
        <w:rPr>
          <w:color w:val="231F20"/>
        </w:rPr>
        <w:t>licence</w:t>
      </w:r>
      <w:r>
        <w:rPr>
          <w:color w:val="231F20"/>
          <w:spacing w:val="-11"/>
        </w:rPr>
        <w:t xml:space="preserve"> </w:t>
      </w:r>
      <w:r>
        <w:rPr>
          <w:color w:val="231F20"/>
        </w:rPr>
        <w:t>area</w:t>
      </w:r>
      <w:r>
        <w:rPr>
          <w:color w:val="231F20"/>
          <w:spacing w:val="-11"/>
        </w:rPr>
        <w:t xml:space="preserve"> </w:t>
      </w:r>
      <w:r>
        <w:rPr>
          <w:color w:val="231F20"/>
        </w:rPr>
        <w:t>is</w:t>
      </w:r>
      <w:r>
        <w:rPr>
          <w:color w:val="231F20"/>
          <w:spacing w:val="-10"/>
        </w:rPr>
        <w:t xml:space="preserve"> </w:t>
      </w:r>
      <w:r>
        <w:rPr>
          <w:color w:val="231F20"/>
        </w:rPr>
        <w:t>beneath such shallow cover and therefore the Directors consider it likely that the Group will find additional deposits when exploring under the</w:t>
      </w:r>
      <w:r>
        <w:rPr>
          <w:color w:val="231F20"/>
          <w:spacing w:val="1"/>
        </w:rPr>
        <w:t xml:space="preserve"> </w:t>
      </w:r>
      <w:r>
        <w:rPr>
          <w:color w:val="231F20"/>
        </w:rPr>
        <w:t>surface.</w:t>
      </w:r>
    </w:p>
    <w:p w14:paraId="4DFCC4E5" w14:textId="4C4CC8D5" w:rsidR="00783288" w:rsidRDefault="00E31420">
      <w:pPr>
        <w:pStyle w:val="BodyText"/>
        <w:kinsoku w:val="0"/>
        <w:overflowPunct w:val="0"/>
        <w:spacing w:before="159" w:line="259" w:lineRule="auto"/>
        <w:ind w:left="300" w:right="1190"/>
        <w:jc w:val="both"/>
        <w:rPr>
          <w:color w:val="231F20"/>
        </w:rPr>
      </w:pPr>
      <w:r>
        <w:rPr>
          <w:color w:val="231F20"/>
        </w:rPr>
        <w:t>The</w:t>
      </w:r>
      <w:r>
        <w:rPr>
          <w:color w:val="231F20"/>
          <w:spacing w:val="-7"/>
        </w:rPr>
        <w:t xml:space="preserve"> </w:t>
      </w:r>
      <w:r>
        <w:rPr>
          <w:color w:val="231F20"/>
        </w:rPr>
        <w:t>Group</w:t>
      </w:r>
      <w:r>
        <w:rPr>
          <w:color w:val="231F20"/>
          <w:spacing w:val="-6"/>
        </w:rPr>
        <w:t xml:space="preserve"> </w:t>
      </w:r>
      <w:r>
        <w:rPr>
          <w:color w:val="231F20"/>
        </w:rPr>
        <w:t>now</w:t>
      </w:r>
      <w:r>
        <w:rPr>
          <w:color w:val="231F20"/>
          <w:spacing w:val="-10"/>
        </w:rPr>
        <w:t xml:space="preserve"> </w:t>
      </w:r>
      <w:r>
        <w:rPr>
          <w:color w:val="231F20"/>
        </w:rPr>
        <w:t>has</w:t>
      </w:r>
      <w:r>
        <w:rPr>
          <w:color w:val="231F20"/>
          <w:spacing w:val="-7"/>
        </w:rPr>
        <w:t xml:space="preserve"> </w:t>
      </w:r>
      <w:r>
        <w:rPr>
          <w:color w:val="231F20"/>
        </w:rPr>
        <w:t>access</w:t>
      </w:r>
      <w:r>
        <w:rPr>
          <w:color w:val="231F20"/>
          <w:spacing w:val="-6"/>
        </w:rPr>
        <w:t xml:space="preserve"> </w:t>
      </w:r>
      <w:r>
        <w:rPr>
          <w:color w:val="231F20"/>
        </w:rPr>
        <w:t>to</w:t>
      </w:r>
      <w:r>
        <w:rPr>
          <w:color w:val="231F20"/>
          <w:spacing w:val="-9"/>
        </w:rPr>
        <w:t xml:space="preserve"> </w:t>
      </w:r>
      <w:r>
        <w:rPr>
          <w:color w:val="231F20"/>
        </w:rPr>
        <w:t>and</w:t>
      </w:r>
      <w:r>
        <w:rPr>
          <w:color w:val="231F20"/>
          <w:spacing w:val="-7"/>
        </w:rPr>
        <w:t xml:space="preserve"> </w:t>
      </w:r>
      <w:r>
        <w:rPr>
          <w:color w:val="231F20"/>
        </w:rPr>
        <w:t>utilises</w:t>
      </w:r>
      <w:r>
        <w:rPr>
          <w:color w:val="231F20"/>
          <w:spacing w:val="-6"/>
        </w:rPr>
        <w:t xml:space="preserve"> </w:t>
      </w:r>
      <w:r>
        <w:rPr>
          <w:color w:val="231F20"/>
        </w:rPr>
        <w:t>more</w:t>
      </w:r>
      <w:r>
        <w:rPr>
          <w:color w:val="231F20"/>
          <w:spacing w:val="-6"/>
        </w:rPr>
        <w:t xml:space="preserve"> </w:t>
      </w:r>
      <w:r>
        <w:rPr>
          <w:color w:val="231F20"/>
        </w:rPr>
        <w:t>modern</w:t>
      </w:r>
      <w:r>
        <w:rPr>
          <w:color w:val="231F20"/>
          <w:spacing w:val="-7"/>
        </w:rPr>
        <w:t xml:space="preserve"> </w:t>
      </w:r>
      <w:r>
        <w:rPr>
          <w:color w:val="231F20"/>
        </w:rPr>
        <w:t>geophysical</w:t>
      </w:r>
      <w:r>
        <w:rPr>
          <w:color w:val="231F20"/>
          <w:spacing w:val="-6"/>
        </w:rPr>
        <w:t xml:space="preserve"> </w:t>
      </w:r>
      <w:r>
        <w:rPr>
          <w:color w:val="231F20"/>
        </w:rPr>
        <w:t>techniques</w:t>
      </w:r>
      <w:r>
        <w:rPr>
          <w:color w:val="231F20"/>
          <w:spacing w:val="-6"/>
        </w:rPr>
        <w:t xml:space="preserve"> </w:t>
      </w:r>
      <w:r>
        <w:rPr>
          <w:color w:val="231F20"/>
        </w:rPr>
        <w:t>such</w:t>
      </w:r>
      <w:r>
        <w:rPr>
          <w:color w:val="231F20"/>
          <w:spacing w:val="-10"/>
        </w:rPr>
        <w:t xml:space="preserve"> </w:t>
      </w:r>
      <w:r>
        <w:rPr>
          <w:color w:val="231F20"/>
        </w:rPr>
        <w:t>as</w:t>
      </w:r>
      <w:r>
        <w:rPr>
          <w:color w:val="231F20"/>
          <w:spacing w:val="-6"/>
        </w:rPr>
        <w:t xml:space="preserve"> </w:t>
      </w:r>
      <w:r>
        <w:rPr>
          <w:color w:val="231F20"/>
        </w:rPr>
        <w:t>AMT</w:t>
      </w:r>
      <w:r>
        <w:rPr>
          <w:color w:val="231F20"/>
          <w:spacing w:val="-9"/>
        </w:rPr>
        <w:t xml:space="preserve"> </w:t>
      </w:r>
      <w:r>
        <w:rPr>
          <w:color w:val="231F20"/>
        </w:rPr>
        <w:t>Surveys</w:t>
      </w:r>
      <w:r>
        <w:rPr>
          <w:color w:val="231F20"/>
          <w:spacing w:val="-7"/>
        </w:rPr>
        <w:t xml:space="preserve"> </w:t>
      </w:r>
      <w:r>
        <w:rPr>
          <w:color w:val="231F20"/>
        </w:rPr>
        <w:t>(discussed at paragraph 3.6 below), which allows the Group to form a clearer picture of the VMS Deposits underground. The Group is therefore able to use this modern geological know-how and technology to reliably explore for and locate VMS Deposits that remain undiscovered, buried at shallow depths of between 50-200 metres</w:t>
      </w:r>
      <w:r>
        <w:rPr>
          <w:color w:val="231F20"/>
          <w:spacing w:val="-26"/>
        </w:rPr>
        <w:t xml:space="preserve"> </w:t>
      </w:r>
      <w:r>
        <w:rPr>
          <w:color w:val="231F20"/>
        </w:rPr>
        <w:t>underground.</w:t>
      </w:r>
    </w:p>
    <w:p w14:paraId="751A6CBD" w14:textId="77777777" w:rsidR="00783288" w:rsidRDefault="00E31420" w:rsidP="00512495">
      <w:pPr>
        <w:pStyle w:val="Heading1"/>
        <w:numPr>
          <w:ilvl w:val="1"/>
          <w:numId w:val="20"/>
        </w:numPr>
        <w:tabs>
          <w:tab w:val="left" w:pos="1020"/>
        </w:tabs>
        <w:kinsoku w:val="0"/>
        <w:overflowPunct w:val="0"/>
        <w:spacing w:before="154"/>
        <w:rPr>
          <w:color w:val="231F20"/>
        </w:rPr>
      </w:pPr>
      <w:r>
        <w:rPr>
          <w:color w:val="231F20"/>
        </w:rPr>
        <w:t>Experienced Team</w:t>
      </w:r>
    </w:p>
    <w:p w14:paraId="11CA8FEA" w14:textId="77777777" w:rsidR="00783288" w:rsidRDefault="00783288">
      <w:pPr>
        <w:pStyle w:val="BodyText"/>
        <w:kinsoku w:val="0"/>
        <w:overflowPunct w:val="0"/>
        <w:spacing w:before="4"/>
        <w:rPr>
          <w:b/>
          <w:bCs/>
        </w:rPr>
      </w:pPr>
    </w:p>
    <w:p w14:paraId="22FFC439" w14:textId="4F406A20" w:rsidR="00783288" w:rsidRPr="00B27A2B" w:rsidRDefault="00E31420">
      <w:pPr>
        <w:pStyle w:val="BodyText"/>
        <w:kinsoku w:val="0"/>
        <w:overflowPunct w:val="0"/>
        <w:ind w:left="300" w:right="1191"/>
        <w:jc w:val="both"/>
        <w:rPr>
          <w:b/>
          <w:i/>
          <w:color w:val="231F20"/>
        </w:rPr>
      </w:pPr>
      <w:r>
        <w:rPr>
          <w:color w:val="231F20"/>
        </w:rPr>
        <w:t>The Directors also believe the Group is well positioned to take advantage of the VMS Deposits it has identified in Cyprus</w:t>
      </w:r>
      <w:r w:rsidR="00C25004">
        <w:rPr>
          <w:color w:val="231F20"/>
        </w:rPr>
        <w:t xml:space="preserve"> and the opportunities presented in Labrador</w:t>
      </w:r>
      <w:r>
        <w:rPr>
          <w:color w:val="231F20"/>
        </w:rPr>
        <w:t xml:space="preserve"> due to the expertise of its Board and technical/geological team (including David Cliff</w:t>
      </w:r>
      <w:r w:rsidR="000911DE">
        <w:rPr>
          <w:color w:val="231F20"/>
        </w:rPr>
        <w:t>, Neil O’Brien</w:t>
      </w:r>
      <w:r>
        <w:rPr>
          <w:color w:val="231F20"/>
        </w:rPr>
        <w:t xml:space="preserve"> and Michael Parker).</w:t>
      </w:r>
    </w:p>
    <w:p w14:paraId="49178BBC" w14:textId="77777777" w:rsidR="00783288" w:rsidRDefault="00783288">
      <w:pPr>
        <w:pStyle w:val="BodyText"/>
        <w:kinsoku w:val="0"/>
        <w:overflowPunct w:val="0"/>
      </w:pPr>
    </w:p>
    <w:p w14:paraId="2B475680" w14:textId="7CB83ED8" w:rsidR="00D16FC7" w:rsidRPr="00E40F67" w:rsidRDefault="000911DE" w:rsidP="00E40F67">
      <w:pPr>
        <w:pStyle w:val="BodyText"/>
        <w:kinsoku w:val="0"/>
        <w:overflowPunct w:val="0"/>
        <w:ind w:left="300" w:right="1191"/>
        <w:jc w:val="both"/>
        <w:rPr>
          <w:b/>
          <w:i/>
          <w:color w:val="231F20"/>
        </w:rPr>
      </w:pPr>
      <w:r>
        <w:rPr>
          <w:color w:val="231F20"/>
        </w:rPr>
        <w:t>David</w:t>
      </w:r>
      <w:r>
        <w:rPr>
          <w:color w:val="231F20"/>
          <w:spacing w:val="-4"/>
        </w:rPr>
        <w:t xml:space="preserve"> </w:t>
      </w:r>
      <w:r>
        <w:rPr>
          <w:color w:val="231F20"/>
        </w:rPr>
        <w:t>Cliff,</w:t>
      </w:r>
      <w:r>
        <w:rPr>
          <w:color w:val="231F20"/>
          <w:spacing w:val="-7"/>
        </w:rPr>
        <w:t xml:space="preserve"> </w:t>
      </w:r>
      <w:r>
        <w:rPr>
          <w:color w:val="231F20"/>
        </w:rPr>
        <w:t>a senior geologist, is on the Group’s board</w:t>
      </w:r>
      <w:r w:rsidR="00AE6F56">
        <w:rPr>
          <w:color w:val="231F20"/>
        </w:rPr>
        <w:t xml:space="preserve"> and represents the technical team on the board</w:t>
      </w:r>
      <w:r>
        <w:rPr>
          <w:color w:val="231F20"/>
        </w:rPr>
        <w:t xml:space="preserve">. Mr Cliff was previously Head of Exploration Europe, for Rio Tinto, one of the world’s largest mining companies, where he played a leading role in the discovery of the </w:t>
      </w:r>
      <w:proofErr w:type="spellStart"/>
      <w:r>
        <w:rPr>
          <w:color w:val="231F20"/>
        </w:rPr>
        <w:t>Copler</w:t>
      </w:r>
      <w:proofErr w:type="spellEnd"/>
      <w:r>
        <w:rPr>
          <w:color w:val="231F20"/>
        </w:rPr>
        <w:t xml:space="preserve"> gold mine in eastern Turkey. </w:t>
      </w:r>
      <w:r w:rsidR="00E31420">
        <w:rPr>
          <w:color w:val="231F20"/>
        </w:rPr>
        <w:t>The Group engages highly regarded expert in VMS Deposits, Dr Neil O’Brien, as a technical consultant to advise on</w:t>
      </w:r>
      <w:r w:rsidR="00E31420">
        <w:rPr>
          <w:color w:val="231F20"/>
          <w:spacing w:val="-11"/>
        </w:rPr>
        <w:t xml:space="preserve"> </w:t>
      </w:r>
      <w:r w:rsidR="00E31420">
        <w:rPr>
          <w:color w:val="231F20"/>
        </w:rPr>
        <w:t>the</w:t>
      </w:r>
      <w:r w:rsidR="00E31420">
        <w:rPr>
          <w:color w:val="231F20"/>
          <w:spacing w:val="-10"/>
        </w:rPr>
        <w:t xml:space="preserve"> </w:t>
      </w:r>
      <w:r w:rsidR="00E31420">
        <w:rPr>
          <w:color w:val="231F20"/>
        </w:rPr>
        <w:t>Group’s</w:t>
      </w:r>
      <w:r w:rsidR="00E31420">
        <w:rPr>
          <w:color w:val="231F20"/>
          <w:spacing w:val="-9"/>
        </w:rPr>
        <w:t xml:space="preserve"> </w:t>
      </w:r>
      <w:r w:rsidR="00E31420">
        <w:rPr>
          <w:color w:val="231F20"/>
        </w:rPr>
        <w:t>exploration</w:t>
      </w:r>
      <w:r w:rsidR="00E31420">
        <w:rPr>
          <w:color w:val="231F20"/>
          <w:spacing w:val="-12"/>
        </w:rPr>
        <w:t xml:space="preserve"> </w:t>
      </w:r>
      <w:r w:rsidR="00E31420">
        <w:rPr>
          <w:color w:val="231F20"/>
        </w:rPr>
        <w:t>programmes.</w:t>
      </w:r>
      <w:r w:rsidR="00E31420">
        <w:rPr>
          <w:color w:val="231F20"/>
          <w:spacing w:val="-11"/>
        </w:rPr>
        <w:t xml:space="preserve"> </w:t>
      </w:r>
      <w:r w:rsidR="00E31420">
        <w:rPr>
          <w:color w:val="231F20"/>
        </w:rPr>
        <w:t>Dr</w:t>
      </w:r>
      <w:r w:rsidR="00E31420">
        <w:rPr>
          <w:color w:val="231F20"/>
          <w:spacing w:val="-10"/>
        </w:rPr>
        <w:t xml:space="preserve"> </w:t>
      </w:r>
      <w:r w:rsidR="00E31420">
        <w:rPr>
          <w:color w:val="231F20"/>
        </w:rPr>
        <w:t>O’Brien</w:t>
      </w:r>
      <w:r w:rsidR="00E31420">
        <w:rPr>
          <w:color w:val="231F20"/>
          <w:spacing w:val="-12"/>
        </w:rPr>
        <w:t xml:space="preserve"> </w:t>
      </w:r>
      <w:r w:rsidR="00E31420">
        <w:rPr>
          <w:color w:val="231F20"/>
        </w:rPr>
        <w:t>was</w:t>
      </w:r>
      <w:r w:rsidR="00E31420">
        <w:rPr>
          <w:color w:val="231F20"/>
          <w:spacing w:val="-9"/>
        </w:rPr>
        <w:t xml:space="preserve"> </w:t>
      </w:r>
      <w:r w:rsidR="00E31420">
        <w:rPr>
          <w:color w:val="231F20"/>
        </w:rPr>
        <w:t>previously</w:t>
      </w:r>
      <w:r w:rsidR="00E31420">
        <w:rPr>
          <w:color w:val="231F20"/>
          <w:spacing w:val="-11"/>
        </w:rPr>
        <w:t xml:space="preserve"> </w:t>
      </w:r>
      <w:r w:rsidR="00E31420">
        <w:rPr>
          <w:color w:val="231F20"/>
        </w:rPr>
        <w:t>Head</w:t>
      </w:r>
      <w:r w:rsidR="00E31420">
        <w:rPr>
          <w:color w:val="231F20"/>
          <w:spacing w:val="-12"/>
        </w:rPr>
        <w:t xml:space="preserve"> </w:t>
      </w:r>
      <w:r w:rsidR="00E31420">
        <w:rPr>
          <w:color w:val="231F20"/>
        </w:rPr>
        <w:t>of</w:t>
      </w:r>
      <w:r w:rsidR="00E31420">
        <w:rPr>
          <w:color w:val="231F20"/>
          <w:spacing w:val="-13"/>
        </w:rPr>
        <w:t xml:space="preserve"> </w:t>
      </w:r>
      <w:r w:rsidR="00E31420">
        <w:rPr>
          <w:color w:val="231F20"/>
        </w:rPr>
        <w:t>Exploration</w:t>
      </w:r>
      <w:r w:rsidR="00E31420">
        <w:rPr>
          <w:color w:val="231F20"/>
          <w:spacing w:val="-10"/>
        </w:rPr>
        <w:t xml:space="preserve"> </w:t>
      </w:r>
      <w:r w:rsidR="00E31420">
        <w:rPr>
          <w:color w:val="231F20"/>
        </w:rPr>
        <w:t>for</w:t>
      </w:r>
      <w:r w:rsidR="00E31420">
        <w:rPr>
          <w:color w:val="231F20"/>
          <w:spacing w:val="-13"/>
        </w:rPr>
        <w:t xml:space="preserve"> </w:t>
      </w:r>
      <w:r w:rsidR="00E31420">
        <w:rPr>
          <w:color w:val="231F20"/>
        </w:rPr>
        <w:t>Lundin</w:t>
      </w:r>
      <w:r w:rsidR="00E31420">
        <w:rPr>
          <w:color w:val="231F20"/>
          <w:spacing w:val="-10"/>
        </w:rPr>
        <w:t xml:space="preserve"> </w:t>
      </w:r>
      <w:r w:rsidR="00E31420">
        <w:rPr>
          <w:color w:val="231F20"/>
        </w:rPr>
        <w:t>Mining,</w:t>
      </w:r>
      <w:r w:rsidR="00E31420">
        <w:rPr>
          <w:color w:val="231F20"/>
          <w:spacing w:val="-12"/>
        </w:rPr>
        <w:t xml:space="preserve"> </w:t>
      </w:r>
      <w:r w:rsidR="00E31420">
        <w:rPr>
          <w:color w:val="231F20"/>
        </w:rPr>
        <w:t>a</w:t>
      </w:r>
      <w:r w:rsidR="00E31420">
        <w:rPr>
          <w:color w:val="231F20"/>
          <w:spacing w:val="-12"/>
        </w:rPr>
        <w:t xml:space="preserve"> </w:t>
      </w:r>
      <w:r w:rsidR="00E31420">
        <w:rPr>
          <w:color w:val="231F20"/>
        </w:rPr>
        <w:t xml:space="preserve">$35bn mining company. Dr O’Brien is a specialist in VMS geology </w:t>
      </w:r>
      <w:proofErr w:type="gramStart"/>
      <w:r w:rsidR="00E31420">
        <w:rPr>
          <w:color w:val="231F20"/>
        </w:rPr>
        <w:t>and also</w:t>
      </w:r>
      <w:proofErr w:type="gramEnd"/>
      <w:r w:rsidR="00E31420">
        <w:rPr>
          <w:color w:val="231F20"/>
        </w:rPr>
        <w:t xml:space="preserve"> has considerable experience in the regional geological</w:t>
      </w:r>
      <w:r w:rsidR="00E31420">
        <w:rPr>
          <w:color w:val="231F20"/>
          <w:spacing w:val="-7"/>
        </w:rPr>
        <w:t xml:space="preserve"> </w:t>
      </w:r>
      <w:r w:rsidR="00E31420">
        <w:rPr>
          <w:color w:val="231F20"/>
        </w:rPr>
        <w:t>structure</w:t>
      </w:r>
      <w:r w:rsidR="00E31420">
        <w:rPr>
          <w:color w:val="231F20"/>
          <w:spacing w:val="-7"/>
        </w:rPr>
        <w:t xml:space="preserve"> </w:t>
      </w:r>
      <w:r w:rsidR="00E31420">
        <w:rPr>
          <w:color w:val="231F20"/>
        </w:rPr>
        <w:t>which</w:t>
      </w:r>
      <w:r w:rsidR="00E31420">
        <w:rPr>
          <w:color w:val="231F20"/>
          <w:spacing w:val="-6"/>
        </w:rPr>
        <w:t xml:space="preserve"> </w:t>
      </w:r>
      <w:r w:rsidR="00E31420">
        <w:rPr>
          <w:color w:val="231F20"/>
        </w:rPr>
        <w:t>the</w:t>
      </w:r>
      <w:r w:rsidR="00E31420">
        <w:rPr>
          <w:color w:val="231F20"/>
          <w:spacing w:val="-9"/>
        </w:rPr>
        <w:t xml:space="preserve"> </w:t>
      </w:r>
      <w:r w:rsidR="00E31420">
        <w:rPr>
          <w:color w:val="231F20"/>
        </w:rPr>
        <w:t>Group</w:t>
      </w:r>
      <w:r w:rsidR="00E31420">
        <w:rPr>
          <w:color w:val="231F20"/>
          <w:spacing w:val="-5"/>
        </w:rPr>
        <w:t xml:space="preserve"> </w:t>
      </w:r>
      <w:r w:rsidR="00E31420">
        <w:rPr>
          <w:color w:val="231F20"/>
        </w:rPr>
        <w:t>is</w:t>
      </w:r>
      <w:r w:rsidR="00E31420">
        <w:rPr>
          <w:color w:val="231F20"/>
          <w:spacing w:val="-6"/>
        </w:rPr>
        <w:t xml:space="preserve"> </w:t>
      </w:r>
      <w:r w:rsidR="00E31420">
        <w:rPr>
          <w:color w:val="231F20"/>
        </w:rPr>
        <w:t>exploring</w:t>
      </w:r>
      <w:r w:rsidR="00E31420">
        <w:rPr>
          <w:color w:val="231F20"/>
          <w:spacing w:val="-7"/>
        </w:rPr>
        <w:t xml:space="preserve"> </w:t>
      </w:r>
      <w:r w:rsidR="00E31420">
        <w:rPr>
          <w:color w:val="231F20"/>
        </w:rPr>
        <w:t>in</w:t>
      </w:r>
      <w:r w:rsidR="00E31420">
        <w:rPr>
          <w:color w:val="231F20"/>
          <w:spacing w:val="-6"/>
        </w:rPr>
        <w:t xml:space="preserve"> </w:t>
      </w:r>
      <w:r w:rsidR="00E31420">
        <w:rPr>
          <w:color w:val="231F20"/>
        </w:rPr>
        <w:t>Cyprus,</w:t>
      </w:r>
      <w:r w:rsidR="00E31420">
        <w:rPr>
          <w:color w:val="231F20"/>
          <w:spacing w:val="-10"/>
        </w:rPr>
        <w:t xml:space="preserve"> </w:t>
      </w:r>
      <w:r w:rsidR="00E31420">
        <w:rPr>
          <w:color w:val="231F20"/>
        </w:rPr>
        <w:t>known</w:t>
      </w:r>
      <w:r w:rsidR="00E31420">
        <w:rPr>
          <w:color w:val="231F20"/>
          <w:spacing w:val="-4"/>
        </w:rPr>
        <w:t xml:space="preserve"> </w:t>
      </w:r>
      <w:r w:rsidR="00E31420">
        <w:rPr>
          <w:color w:val="231F20"/>
        </w:rPr>
        <w:t>as</w:t>
      </w:r>
      <w:r w:rsidR="00E31420">
        <w:rPr>
          <w:color w:val="231F20"/>
          <w:spacing w:val="-7"/>
        </w:rPr>
        <w:t xml:space="preserve"> </w:t>
      </w:r>
      <w:r w:rsidR="00E31420">
        <w:rPr>
          <w:color w:val="231F20"/>
        </w:rPr>
        <w:t>the</w:t>
      </w:r>
      <w:r w:rsidR="00E31420">
        <w:rPr>
          <w:color w:val="231F20"/>
          <w:spacing w:val="-6"/>
        </w:rPr>
        <w:t xml:space="preserve"> </w:t>
      </w:r>
      <w:r w:rsidR="00E31420">
        <w:rPr>
          <w:color w:val="231F20"/>
        </w:rPr>
        <w:t>Tethyan</w:t>
      </w:r>
      <w:r w:rsidR="00E31420">
        <w:rPr>
          <w:color w:val="231F20"/>
          <w:spacing w:val="-5"/>
        </w:rPr>
        <w:t xml:space="preserve"> </w:t>
      </w:r>
      <w:r w:rsidR="00E31420">
        <w:rPr>
          <w:color w:val="231F20"/>
        </w:rPr>
        <w:t>Belt. Also advising the team is Michael Parker, as a technical consultant, who was previously an exploration geologist for 20 years with a major mining company, First Quantum Minerals. Therefore, the Directors believe that</w:t>
      </w:r>
      <w:r w:rsidR="00040508">
        <w:rPr>
          <w:color w:val="231F20"/>
        </w:rPr>
        <w:t>,</w:t>
      </w:r>
      <w:r w:rsidR="00E31420">
        <w:rPr>
          <w:color w:val="231F20"/>
        </w:rPr>
        <w:t xml:space="preserve"> for a comparatively early stage mineral exploration venture, the Group has a uniquely senior and experienced technical/geological team, which has the potential to give the Group a competitive</w:t>
      </w:r>
      <w:r w:rsidR="00E31420">
        <w:rPr>
          <w:color w:val="231F20"/>
          <w:spacing w:val="-25"/>
        </w:rPr>
        <w:t xml:space="preserve"> </w:t>
      </w:r>
      <w:r w:rsidR="00E31420">
        <w:rPr>
          <w:color w:val="231F20"/>
        </w:rPr>
        <w:t>advantage.</w:t>
      </w:r>
      <w:r w:rsidR="0017121F" w:rsidRPr="00E90130">
        <w:rPr>
          <w:b/>
          <w:i/>
          <w:color w:val="231F20"/>
        </w:rPr>
        <w:t xml:space="preserve"> </w:t>
      </w:r>
    </w:p>
    <w:p w14:paraId="0865F37F" w14:textId="77777777" w:rsidR="00783288" w:rsidRDefault="00783288">
      <w:pPr>
        <w:pStyle w:val="BodyText"/>
        <w:kinsoku w:val="0"/>
        <w:overflowPunct w:val="0"/>
        <w:spacing w:before="7"/>
        <w:rPr>
          <w:sz w:val="17"/>
          <w:szCs w:val="17"/>
        </w:rPr>
      </w:pPr>
    </w:p>
    <w:p w14:paraId="4A3B03A9" w14:textId="77777777" w:rsidR="00783288" w:rsidRDefault="00E31420" w:rsidP="00512495">
      <w:pPr>
        <w:pStyle w:val="Heading1"/>
        <w:numPr>
          <w:ilvl w:val="1"/>
          <w:numId w:val="20"/>
        </w:numPr>
        <w:tabs>
          <w:tab w:val="left" w:pos="1020"/>
        </w:tabs>
        <w:kinsoku w:val="0"/>
        <w:overflowPunct w:val="0"/>
        <w:rPr>
          <w:color w:val="231F20"/>
        </w:rPr>
      </w:pPr>
      <w:r>
        <w:rPr>
          <w:color w:val="231F20"/>
        </w:rPr>
        <w:t>The Exploration</w:t>
      </w:r>
      <w:r>
        <w:rPr>
          <w:color w:val="231F20"/>
          <w:spacing w:val="1"/>
        </w:rPr>
        <w:t xml:space="preserve"> </w:t>
      </w:r>
      <w:r>
        <w:rPr>
          <w:color w:val="231F20"/>
        </w:rPr>
        <w:t>Approach</w:t>
      </w:r>
    </w:p>
    <w:p w14:paraId="550850E5" w14:textId="77777777" w:rsidR="00783288" w:rsidRDefault="00783288">
      <w:pPr>
        <w:pStyle w:val="BodyText"/>
        <w:kinsoku w:val="0"/>
        <w:overflowPunct w:val="0"/>
        <w:spacing w:before="6"/>
        <w:rPr>
          <w:b/>
          <w:bCs/>
        </w:rPr>
      </w:pPr>
    </w:p>
    <w:p w14:paraId="3B144D9D" w14:textId="6B8006BE" w:rsidR="00783288" w:rsidRDefault="00E31420">
      <w:pPr>
        <w:pStyle w:val="BodyText"/>
        <w:kinsoku w:val="0"/>
        <w:overflowPunct w:val="0"/>
        <w:spacing w:line="259" w:lineRule="auto"/>
        <w:ind w:left="300" w:right="1188"/>
        <w:jc w:val="both"/>
        <w:rPr>
          <w:color w:val="231F20"/>
        </w:rPr>
      </w:pPr>
      <w:r>
        <w:rPr>
          <w:color w:val="231F20"/>
        </w:rPr>
        <w:t>The Group uses a multi-faceted approach to its exploration programme using a variety of techniques such as satellite</w:t>
      </w:r>
      <w:r>
        <w:rPr>
          <w:color w:val="231F20"/>
          <w:spacing w:val="-13"/>
        </w:rPr>
        <w:t xml:space="preserve"> </w:t>
      </w:r>
      <w:r>
        <w:rPr>
          <w:color w:val="231F20"/>
        </w:rPr>
        <w:t>surveys,</w:t>
      </w:r>
      <w:r>
        <w:rPr>
          <w:color w:val="231F20"/>
          <w:spacing w:val="-13"/>
        </w:rPr>
        <w:t xml:space="preserve"> </w:t>
      </w:r>
      <w:r>
        <w:rPr>
          <w:color w:val="231F20"/>
        </w:rPr>
        <w:t>geological</w:t>
      </w:r>
      <w:r>
        <w:rPr>
          <w:color w:val="231F20"/>
          <w:spacing w:val="-15"/>
        </w:rPr>
        <w:t xml:space="preserve"> </w:t>
      </w:r>
      <w:r>
        <w:rPr>
          <w:color w:val="231F20"/>
        </w:rPr>
        <w:t>mapping,</w:t>
      </w:r>
      <w:r>
        <w:rPr>
          <w:color w:val="231F20"/>
          <w:spacing w:val="-13"/>
        </w:rPr>
        <w:t xml:space="preserve"> </w:t>
      </w:r>
      <w:r>
        <w:rPr>
          <w:color w:val="231F20"/>
        </w:rPr>
        <w:t>geochemistry</w:t>
      </w:r>
      <w:r>
        <w:rPr>
          <w:color w:val="231F20"/>
          <w:spacing w:val="-14"/>
        </w:rPr>
        <w:t xml:space="preserve"> </w:t>
      </w:r>
      <w:r>
        <w:rPr>
          <w:color w:val="231F20"/>
        </w:rPr>
        <w:t>and</w:t>
      </w:r>
      <w:r>
        <w:rPr>
          <w:color w:val="231F20"/>
          <w:spacing w:val="-15"/>
        </w:rPr>
        <w:t xml:space="preserve"> </w:t>
      </w:r>
      <w:r>
        <w:rPr>
          <w:color w:val="231F20"/>
        </w:rPr>
        <w:t>utilising</w:t>
      </w:r>
      <w:r>
        <w:rPr>
          <w:color w:val="231F20"/>
          <w:spacing w:val="-13"/>
        </w:rPr>
        <w:t xml:space="preserve"> </w:t>
      </w:r>
      <w:r>
        <w:rPr>
          <w:color w:val="231F20"/>
        </w:rPr>
        <w:t>information</w:t>
      </w:r>
      <w:r>
        <w:rPr>
          <w:color w:val="231F20"/>
          <w:spacing w:val="-12"/>
        </w:rPr>
        <w:t xml:space="preserve"> </w:t>
      </w:r>
      <w:r>
        <w:rPr>
          <w:color w:val="231F20"/>
        </w:rPr>
        <w:t>from</w:t>
      </w:r>
      <w:r>
        <w:rPr>
          <w:color w:val="231F20"/>
          <w:spacing w:val="-15"/>
        </w:rPr>
        <w:t xml:space="preserve"> </w:t>
      </w:r>
      <w:r>
        <w:rPr>
          <w:color w:val="231F20"/>
        </w:rPr>
        <w:t>the</w:t>
      </w:r>
      <w:r>
        <w:rPr>
          <w:color w:val="231F20"/>
          <w:spacing w:val="-15"/>
        </w:rPr>
        <w:t xml:space="preserve"> </w:t>
      </w:r>
      <w:r>
        <w:rPr>
          <w:color w:val="231F20"/>
        </w:rPr>
        <w:t>Cypriot</w:t>
      </w:r>
      <w:r>
        <w:rPr>
          <w:color w:val="231F20"/>
          <w:spacing w:val="-12"/>
        </w:rPr>
        <w:t xml:space="preserve"> </w:t>
      </w:r>
      <w:r>
        <w:rPr>
          <w:color w:val="231F20"/>
        </w:rPr>
        <w:t>government</w:t>
      </w:r>
      <w:r>
        <w:rPr>
          <w:color w:val="231F20"/>
          <w:spacing w:val="-16"/>
        </w:rPr>
        <w:t xml:space="preserve"> </w:t>
      </w:r>
      <w:r>
        <w:rPr>
          <w:color w:val="231F20"/>
        </w:rPr>
        <w:t xml:space="preserve">archives, in order to narrow the search area and then identify specific targets, for drill testing (using both percussion and </w:t>
      </w:r>
      <w:r w:rsidR="00497D65">
        <w:rPr>
          <w:color w:val="231F20"/>
        </w:rPr>
        <w:t>D</w:t>
      </w:r>
      <w:r>
        <w:rPr>
          <w:color w:val="231F20"/>
        </w:rPr>
        <w:t xml:space="preserve">iamond </w:t>
      </w:r>
      <w:r w:rsidR="00497D65">
        <w:rPr>
          <w:color w:val="231F20"/>
        </w:rPr>
        <w:t>D</w:t>
      </w:r>
      <w:r>
        <w:rPr>
          <w:color w:val="231F20"/>
        </w:rPr>
        <w:t>rilling techniques). All these techniques when taken together allow the Group to generate an in depth understanding of the geological landscape such that it can allocate capital resources most efficiently to only the most prospective areas for copper and gold VMS</w:t>
      </w:r>
      <w:r>
        <w:rPr>
          <w:color w:val="231F20"/>
          <w:spacing w:val="-5"/>
        </w:rPr>
        <w:t xml:space="preserve"> </w:t>
      </w:r>
      <w:r>
        <w:rPr>
          <w:color w:val="231F20"/>
        </w:rPr>
        <w:t>Deposits.</w:t>
      </w:r>
    </w:p>
    <w:p w14:paraId="14F25382" w14:textId="77777777" w:rsidR="00783288" w:rsidRDefault="00E31420">
      <w:pPr>
        <w:pStyle w:val="BodyText"/>
        <w:kinsoku w:val="0"/>
        <w:overflowPunct w:val="0"/>
        <w:spacing w:before="159" w:line="259" w:lineRule="auto"/>
        <w:ind w:left="300" w:right="1190"/>
        <w:jc w:val="both"/>
        <w:rPr>
          <w:color w:val="231F20"/>
        </w:rPr>
      </w:pPr>
      <w:r>
        <w:rPr>
          <w:color w:val="231F20"/>
        </w:rPr>
        <w:lastRenderedPageBreak/>
        <w:t xml:space="preserve">One particularly useful technique utilised by the Group for its mineral resource exploration is called AMT (audio- </w:t>
      </w:r>
      <w:proofErr w:type="spellStart"/>
      <w:r>
        <w:rPr>
          <w:color w:val="231F20"/>
        </w:rPr>
        <w:t>magnetotellurics</w:t>
      </w:r>
      <w:proofErr w:type="spellEnd"/>
      <w:r>
        <w:rPr>
          <w:color w:val="231F20"/>
        </w:rPr>
        <w:t>).</w:t>
      </w:r>
      <w:r>
        <w:rPr>
          <w:color w:val="231F20"/>
          <w:spacing w:val="-11"/>
        </w:rPr>
        <w:t xml:space="preserve"> </w:t>
      </w:r>
      <w:r>
        <w:rPr>
          <w:color w:val="231F20"/>
        </w:rPr>
        <w:t>AMT</w:t>
      </w:r>
      <w:r>
        <w:rPr>
          <w:color w:val="231F20"/>
          <w:spacing w:val="-12"/>
        </w:rPr>
        <w:t xml:space="preserve"> </w:t>
      </w:r>
      <w:r>
        <w:rPr>
          <w:color w:val="231F20"/>
        </w:rPr>
        <w:t>is</w:t>
      </w:r>
      <w:r>
        <w:rPr>
          <w:color w:val="231F20"/>
          <w:spacing w:val="-9"/>
        </w:rPr>
        <w:t xml:space="preserve"> </w:t>
      </w:r>
      <w:r>
        <w:rPr>
          <w:color w:val="231F20"/>
        </w:rPr>
        <w:t>an</w:t>
      </w:r>
      <w:r>
        <w:rPr>
          <w:color w:val="231F20"/>
          <w:spacing w:val="-10"/>
        </w:rPr>
        <w:t xml:space="preserve"> </w:t>
      </w:r>
      <w:r>
        <w:rPr>
          <w:color w:val="231F20"/>
        </w:rPr>
        <w:t>advanced</w:t>
      </w:r>
      <w:r>
        <w:rPr>
          <w:color w:val="231F20"/>
          <w:spacing w:val="-12"/>
        </w:rPr>
        <w:t xml:space="preserve"> </w:t>
      </w:r>
      <w:r>
        <w:rPr>
          <w:color w:val="231F20"/>
        </w:rPr>
        <w:t>technology</w:t>
      </w:r>
      <w:r>
        <w:rPr>
          <w:color w:val="231F20"/>
          <w:spacing w:val="-11"/>
        </w:rPr>
        <w:t xml:space="preserve"> </w:t>
      </w:r>
      <w:r>
        <w:rPr>
          <w:color w:val="231F20"/>
        </w:rPr>
        <w:t>that</w:t>
      </w:r>
      <w:r>
        <w:rPr>
          <w:color w:val="231F20"/>
          <w:spacing w:val="-12"/>
        </w:rPr>
        <w:t xml:space="preserve"> </w:t>
      </w:r>
      <w:r>
        <w:rPr>
          <w:color w:val="231F20"/>
        </w:rPr>
        <w:t>measures</w:t>
      </w:r>
      <w:r>
        <w:rPr>
          <w:color w:val="231F20"/>
          <w:spacing w:val="-8"/>
        </w:rPr>
        <w:t xml:space="preserve"> </w:t>
      </w:r>
      <w:r>
        <w:rPr>
          <w:color w:val="231F20"/>
        </w:rPr>
        <w:t>the</w:t>
      </w:r>
      <w:r>
        <w:rPr>
          <w:color w:val="231F20"/>
          <w:spacing w:val="-12"/>
        </w:rPr>
        <w:t xml:space="preserve"> </w:t>
      </w:r>
      <w:r>
        <w:rPr>
          <w:color w:val="231F20"/>
        </w:rPr>
        <w:t>natural</w:t>
      </w:r>
      <w:r>
        <w:rPr>
          <w:color w:val="231F20"/>
          <w:spacing w:val="-10"/>
        </w:rPr>
        <w:t xml:space="preserve"> </w:t>
      </w:r>
      <w:r>
        <w:rPr>
          <w:color w:val="231F20"/>
        </w:rPr>
        <w:t>electromagnetic</w:t>
      </w:r>
      <w:r>
        <w:rPr>
          <w:color w:val="231F20"/>
          <w:spacing w:val="-11"/>
        </w:rPr>
        <w:t xml:space="preserve"> </w:t>
      </w:r>
      <w:r>
        <w:rPr>
          <w:color w:val="231F20"/>
        </w:rPr>
        <w:t>signals</w:t>
      </w:r>
      <w:r>
        <w:rPr>
          <w:color w:val="231F20"/>
          <w:spacing w:val="-9"/>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earth's crust, which are generated by lightning strikes, to create a high-resolution image of geological features underground. AMT measures natural high frequency signals in the audio range (greater than 1 hertz), which are generated by lightning strikes hitting the earth around the globe. These induce time-varying electric and magnetic fields into the earth's crust and oceans, which in turn produce signals that can then be measured over a range of frequencies using probes and magnetic field antennas. Ground resistivity values are then calculated from these AMT measurements, creating a relatively clear 3D image of the subsurface of the relevant</w:t>
      </w:r>
      <w:r>
        <w:rPr>
          <w:color w:val="231F20"/>
          <w:spacing w:val="-20"/>
        </w:rPr>
        <w:t xml:space="preserve"> </w:t>
      </w:r>
      <w:r>
        <w:rPr>
          <w:color w:val="231F20"/>
        </w:rPr>
        <w:t>land.</w:t>
      </w:r>
    </w:p>
    <w:p w14:paraId="2F7A630A" w14:textId="05855F9D" w:rsidR="00783288" w:rsidRDefault="00E31420">
      <w:pPr>
        <w:pStyle w:val="BodyText"/>
        <w:kinsoku w:val="0"/>
        <w:overflowPunct w:val="0"/>
        <w:spacing w:before="158" w:line="259" w:lineRule="auto"/>
        <w:ind w:left="300" w:right="1188"/>
        <w:jc w:val="both"/>
        <w:rPr>
          <w:color w:val="231F20"/>
        </w:rPr>
      </w:pPr>
      <w:r>
        <w:rPr>
          <w:color w:val="231F20"/>
        </w:rPr>
        <w:t xml:space="preserve">The Directors believe that its AMT surveys will be able to </w:t>
      </w:r>
      <w:r w:rsidR="00F13FDD">
        <w:rPr>
          <w:color w:val="231F20"/>
        </w:rPr>
        <w:t>identify</w:t>
      </w:r>
      <w:r>
        <w:rPr>
          <w:color w:val="231F20"/>
        </w:rPr>
        <w:t xml:space="preserve"> sulphide mineralisation </w:t>
      </w:r>
      <w:proofErr w:type="gramStart"/>
      <w:r>
        <w:rPr>
          <w:color w:val="231F20"/>
        </w:rPr>
        <w:t>and also</w:t>
      </w:r>
      <w:proofErr w:type="gramEnd"/>
      <w:r>
        <w:rPr>
          <w:color w:val="231F20"/>
        </w:rPr>
        <w:t xml:space="preserve"> provide a useful indication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depth</w:t>
      </w:r>
      <w:r>
        <w:rPr>
          <w:color w:val="231F20"/>
          <w:spacing w:val="-13"/>
        </w:rPr>
        <w:t xml:space="preserve"> </w:t>
      </w:r>
      <w:r>
        <w:rPr>
          <w:color w:val="231F20"/>
        </w:rPr>
        <w:t>at</w:t>
      </w:r>
      <w:r>
        <w:rPr>
          <w:color w:val="231F20"/>
          <w:spacing w:val="-14"/>
        </w:rPr>
        <w:t xml:space="preserve"> </w:t>
      </w:r>
      <w:r>
        <w:rPr>
          <w:color w:val="231F20"/>
        </w:rPr>
        <w:t>which</w:t>
      </w:r>
      <w:r>
        <w:rPr>
          <w:color w:val="231F20"/>
          <w:spacing w:val="-16"/>
        </w:rPr>
        <w:t xml:space="preserve"> </w:t>
      </w:r>
      <w:r>
        <w:rPr>
          <w:color w:val="231F20"/>
        </w:rPr>
        <w:t>mineralised</w:t>
      </w:r>
      <w:r>
        <w:rPr>
          <w:color w:val="231F20"/>
          <w:spacing w:val="-16"/>
        </w:rPr>
        <w:t xml:space="preserve"> </w:t>
      </w:r>
      <w:r>
        <w:rPr>
          <w:color w:val="231F20"/>
        </w:rPr>
        <w:t>deposits</w:t>
      </w:r>
      <w:r>
        <w:rPr>
          <w:color w:val="231F20"/>
          <w:spacing w:val="-13"/>
        </w:rPr>
        <w:t xml:space="preserve"> </w:t>
      </w:r>
      <w:r>
        <w:rPr>
          <w:color w:val="231F20"/>
        </w:rPr>
        <w:t>may</w:t>
      </w:r>
      <w:r>
        <w:rPr>
          <w:color w:val="231F20"/>
          <w:spacing w:val="-15"/>
        </w:rPr>
        <w:t xml:space="preserve"> </w:t>
      </w:r>
      <w:r>
        <w:rPr>
          <w:color w:val="231F20"/>
        </w:rPr>
        <w:t>occur.</w:t>
      </w:r>
      <w:r>
        <w:rPr>
          <w:color w:val="231F20"/>
          <w:spacing w:val="-14"/>
        </w:rPr>
        <w:t xml:space="preserve"> </w:t>
      </w:r>
      <w:r>
        <w:rPr>
          <w:color w:val="231F20"/>
        </w:rPr>
        <w:t>This</w:t>
      </w:r>
      <w:r>
        <w:rPr>
          <w:color w:val="231F20"/>
          <w:spacing w:val="-13"/>
        </w:rPr>
        <w:t xml:space="preserve"> </w:t>
      </w:r>
      <w:r>
        <w:rPr>
          <w:color w:val="231F20"/>
        </w:rPr>
        <w:t>will</w:t>
      </w:r>
      <w:r>
        <w:rPr>
          <w:color w:val="231F20"/>
          <w:spacing w:val="-13"/>
        </w:rPr>
        <w:t xml:space="preserve"> </w:t>
      </w:r>
      <w:r>
        <w:rPr>
          <w:color w:val="231F20"/>
        </w:rPr>
        <w:t>contribute</w:t>
      </w:r>
      <w:r>
        <w:rPr>
          <w:color w:val="231F20"/>
          <w:spacing w:val="-13"/>
        </w:rPr>
        <w:t xml:space="preserve"> </w:t>
      </w:r>
      <w:r>
        <w:rPr>
          <w:color w:val="231F20"/>
        </w:rPr>
        <w:t>to</w:t>
      </w:r>
      <w:r>
        <w:rPr>
          <w:color w:val="231F20"/>
          <w:spacing w:val="-13"/>
        </w:rPr>
        <w:t xml:space="preserve"> </w:t>
      </w:r>
      <w:r>
        <w:rPr>
          <w:color w:val="231F20"/>
        </w:rPr>
        <w:t>enabling</w:t>
      </w:r>
      <w:r>
        <w:rPr>
          <w:color w:val="231F20"/>
          <w:spacing w:val="-13"/>
        </w:rPr>
        <w:t xml:space="preserve"> </w:t>
      </w:r>
      <w:r>
        <w:rPr>
          <w:color w:val="231F20"/>
        </w:rPr>
        <w:t>the</w:t>
      </w:r>
      <w:r>
        <w:rPr>
          <w:color w:val="231F20"/>
          <w:spacing w:val="-13"/>
        </w:rPr>
        <w:t xml:space="preserve"> </w:t>
      </w:r>
      <w:r>
        <w:rPr>
          <w:color w:val="231F20"/>
        </w:rPr>
        <w:t>Group</w:t>
      </w:r>
      <w:r>
        <w:rPr>
          <w:color w:val="231F20"/>
          <w:spacing w:val="-13"/>
        </w:rPr>
        <w:t xml:space="preserve"> </w:t>
      </w:r>
      <w:r>
        <w:rPr>
          <w:color w:val="231F20"/>
        </w:rPr>
        <w:t>to</w:t>
      </w:r>
      <w:r>
        <w:rPr>
          <w:color w:val="231F20"/>
          <w:spacing w:val="-13"/>
        </w:rPr>
        <w:t xml:space="preserve"> </w:t>
      </w:r>
      <w:r>
        <w:rPr>
          <w:color w:val="231F20"/>
        </w:rPr>
        <w:t>identify the most prospective areas for VMS Deposits and therefore to allocate its resources most efficiently, thereby significantly enhancing the Group’s exploration</w:t>
      </w:r>
      <w:r>
        <w:rPr>
          <w:color w:val="231F20"/>
          <w:spacing w:val="-2"/>
        </w:rPr>
        <w:t xml:space="preserve"> </w:t>
      </w:r>
      <w:r>
        <w:rPr>
          <w:color w:val="231F20"/>
        </w:rPr>
        <w:t>prospects.</w:t>
      </w:r>
    </w:p>
    <w:p w14:paraId="0536550C" w14:textId="49A989E7" w:rsidR="00300EFA" w:rsidRDefault="00300EFA">
      <w:pPr>
        <w:pStyle w:val="BodyText"/>
        <w:kinsoku w:val="0"/>
        <w:overflowPunct w:val="0"/>
        <w:spacing w:before="158" w:line="259" w:lineRule="auto"/>
        <w:ind w:left="300" w:right="1188"/>
        <w:jc w:val="both"/>
        <w:rPr>
          <w:color w:val="231F20"/>
        </w:rPr>
      </w:pPr>
      <w:r>
        <w:rPr>
          <w:color w:val="231F20"/>
        </w:rPr>
        <w:t>In the 2021 exploration campaign the Group is also utilising Down Hole EM (electromagnetics) which involves lowering a probe down a drill hole to act as a receiver to an electrical current charged into a surface copper loop adjacent to the hole. This is used to measure the resistivity in sub-surface rock formations to help identify the possible location of mineral deposits. In addition, the Group is utilising a gravity surveys as a further geophysics tool. This measures minute changes in the Earth’s gravity which, when combined with accurate GPS attitude data, can provide an analysis of rock lithology. The Group believes that</w:t>
      </w:r>
      <w:r w:rsidR="0017121F">
        <w:rPr>
          <w:color w:val="231F20"/>
        </w:rPr>
        <w:t>,</w:t>
      </w:r>
      <w:r>
        <w:rPr>
          <w:color w:val="231F20"/>
        </w:rPr>
        <w:t xml:space="preserve"> in combination</w:t>
      </w:r>
      <w:r w:rsidR="0017121F">
        <w:rPr>
          <w:color w:val="231F20"/>
        </w:rPr>
        <w:t>,</w:t>
      </w:r>
      <w:r>
        <w:rPr>
          <w:color w:val="231F20"/>
        </w:rPr>
        <w:t xml:space="preserve"> these various geophysics techniques will significantly increase the Group’s chances of making a discovery.</w:t>
      </w:r>
    </w:p>
    <w:p w14:paraId="28057255" w14:textId="32E85A04" w:rsidR="00783288" w:rsidRDefault="00E31420">
      <w:pPr>
        <w:pStyle w:val="BodyText"/>
        <w:kinsoku w:val="0"/>
        <w:overflowPunct w:val="0"/>
        <w:spacing w:before="79" w:line="259" w:lineRule="auto"/>
        <w:ind w:left="300" w:right="1189"/>
        <w:jc w:val="both"/>
        <w:rPr>
          <w:color w:val="231F20"/>
        </w:rPr>
      </w:pPr>
      <w:r>
        <w:rPr>
          <w:color w:val="231F20"/>
        </w:rPr>
        <w:t xml:space="preserve">Once the Group has identified targets which it believes to be prospective for gold and/or copper, the Group has a two phased drilling strategy which involves </w:t>
      </w:r>
      <w:r w:rsidR="00497D65">
        <w:rPr>
          <w:color w:val="231F20"/>
        </w:rPr>
        <w:t>P</w:t>
      </w:r>
      <w:r>
        <w:rPr>
          <w:color w:val="231F20"/>
        </w:rPr>
        <w:t xml:space="preserve">ercussion </w:t>
      </w:r>
      <w:r w:rsidR="00497D65">
        <w:rPr>
          <w:color w:val="231F20"/>
        </w:rPr>
        <w:t>D</w:t>
      </w:r>
      <w:r>
        <w:rPr>
          <w:color w:val="231F20"/>
        </w:rPr>
        <w:t xml:space="preserve">rilling, followed by </w:t>
      </w:r>
      <w:r w:rsidR="00497D65">
        <w:rPr>
          <w:color w:val="231F20"/>
        </w:rPr>
        <w:t>D</w:t>
      </w:r>
      <w:r>
        <w:rPr>
          <w:color w:val="231F20"/>
        </w:rPr>
        <w:t xml:space="preserve">iamond </w:t>
      </w:r>
      <w:r w:rsidR="00497D65">
        <w:rPr>
          <w:color w:val="231F20"/>
        </w:rPr>
        <w:t>D</w:t>
      </w:r>
      <w:r>
        <w:rPr>
          <w:color w:val="231F20"/>
        </w:rPr>
        <w:t xml:space="preserve">rilling. Percussion </w:t>
      </w:r>
      <w:r w:rsidR="00497D65">
        <w:rPr>
          <w:color w:val="231F20"/>
        </w:rPr>
        <w:t>D</w:t>
      </w:r>
      <w:r>
        <w:rPr>
          <w:color w:val="231F20"/>
        </w:rPr>
        <w:t xml:space="preserve">rilling is a less common exploration technique employed by the Group as a final testing tool prior to </w:t>
      </w:r>
      <w:r w:rsidR="00497D65">
        <w:rPr>
          <w:color w:val="231F20"/>
        </w:rPr>
        <w:t>D</w:t>
      </w:r>
      <w:r>
        <w:rPr>
          <w:color w:val="231F20"/>
        </w:rPr>
        <w:t xml:space="preserve">iamond </w:t>
      </w:r>
      <w:r w:rsidR="00497D65">
        <w:rPr>
          <w:color w:val="231F20"/>
        </w:rPr>
        <w:t>D</w:t>
      </w:r>
      <w:r>
        <w:rPr>
          <w:color w:val="231F20"/>
        </w:rPr>
        <w:t xml:space="preserve">rilling to investigate targets up to 200m underground. Percussion </w:t>
      </w:r>
      <w:r w:rsidR="00497D65">
        <w:rPr>
          <w:color w:val="231F20"/>
        </w:rPr>
        <w:t>D</w:t>
      </w:r>
      <w:r>
        <w:rPr>
          <w:color w:val="231F20"/>
        </w:rPr>
        <w:t xml:space="preserve">rilling is regarded as more rudimentary than </w:t>
      </w:r>
      <w:r w:rsidR="00497D65">
        <w:rPr>
          <w:color w:val="231F20"/>
        </w:rPr>
        <w:t>D</w:t>
      </w:r>
      <w:r>
        <w:rPr>
          <w:color w:val="231F20"/>
        </w:rPr>
        <w:t xml:space="preserve">iamond </w:t>
      </w:r>
      <w:r w:rsidR="00497D65">
        <w:rPr>
          <w:color w:val="231F20"/>
        </w:rPr>
        <w:t>D</w:t>
      </w:r>
      <w:r>
        <w:rPr>
          <w:color w:val="231F20"/>
        </w:rPr>
        <w:t>rilling,</w:t>
      </w:r>
      <w:r>
        <w:rPr>
          <w:color w:val="231F20"/>
          <w:spacing w:val="-6"/>
        </w:rPr>
        <w:t xml:space="preserve"> </w:t>
      </w:r>
      <w:r>
        <w:rPr>
          <w:color w:val="231F20"/>
        </w:rPr>
        <w:t>in</w:t>
      </w:r>
      <w:r>
        <w:rPr>
          <w:color w:val="231F20"/>
          <w:spacing w:val="-6"/>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produces</w:t>
      </w:r>
      <w:r>
        <w:rPr>
          <w:color w:val="231F20"/>
          <w:spacing w:val="-6"/>
        </w:rPr>
        <w:t xml:space="preserve"> </w:t>
      </w:r>
      <w:r>
        <w:rPr>
          <w:color w:val="231F20"/>
        </w:rPr>
        <w:t>rock</w:t>
      </w:r>
      <w:r>
        <w:rPr>
          <w:color w:val="231F20"/>
          <w:spacing w:val="-7"/>
        </w:rPr>
        <w:t xml:space="preserve"> </w:t>
      </w:r>
      <w:r>
        <w:rPr>
          <w:color w:val="231F20"/>
        </w:rPr>
        <w:t>chips,</w:t>
      </w:r>
      <w:r>
        <w:rPr>
          <w:color w:val="231F20"/>
          <w:spacing w:val="-6"/>
        </w:rPr>
        <w:t xml:space="preserve"> </w:t>
      </w:r>
      <w:r>
        <w:rPr>
          <w:color w:val="231F20"/>
        </w:rPr>
        <w:t>and</w:t>
      </w:r>
      <w:r>
        <w:rPr>
          <w:color w:val="231F20"/>
          <w:spacing w:val="-9"/>
        </w:rPr>
        <w:t xml:space="preserve"> </w:t>
      </w:r>
      <w:r>
        <w:rPr>
          <w:color w:val="231F20"/>
        </w:rPr>
        <w:t>sometimes</w:t>
      </w:r>
      <w:r>
        <w:rPr>
          <w:color w:val="231F20"/>
          <w:spacing w:val="-8"/>
        </w:rPr>
        <w:t xml:space="preserve"> </w:t>
      </w:r>
      <w:r>
        <w:rPr>
          <w:color w:val="231F20"/>
        </w:rPr>
        <w:t>sludge,</w:t>
      </w:r>
      <w:r>
        <w:rPr>
          <w:color w:val="231F20"/>
          <w:spacing w:val="-7"/>
        </w:rPr>
        <w:t xml:space="preserve"> </w:t>
      </w:r>
      <w:r>
        <w:rPr>
          <w:color w:val="231F20"/>
        </w:rPr>
        <w:t>(rather</w:t>
      </w:r>
      <w:r>
        <w:rPr>
          <w:color w:val="231F20"/>
          <w:spacing w:val="-7"/>
        </w:rPr>
        <w:t xml:space="preserve"> </w:t>
      </w:r>
      <w:r>
        <w:rPr>
          <w:color w:val="231F20"/>
        </w:rPr>
        <w:t>than</w:t>
      </w:r>
      <w:r>
        <w:rPr>
          <w:color w:val="231F20"/>
          <w:spacing w:val="-6"/>
        </w:rPr>
        <w:t xml:space="preserve"> </w:t>
      </w:r>
      <w:r>
        <w:rPr>
          <w:color w:val="231F20"/>
        </w:rPr>
        <w:t>complete</w:t>
      </w:r>
      <w:r>
        <w:rPr>
          <w:color w:val="231F20"/>
          <w:spacing w:val="-6"/>
        </w:rPr>
        <w:t xml:space="preserve"> </w:t>
      </w:r>
      <w:r>
        <w:rPr>
          <w:color w:val="231F20"/>
        </w:rPr>
        <w:t>rock</w:t>
      </w:r>
      <w:r>
        <w:rPr>
          <w:color w:val="231F20"/>
          <w:spacing w:val="-6"/>
        </w:rPr>
        <w:t xml:space="preserve"> </w:t>
      </w:r>
      <w:r>
        <w:rPr>
          <w:color w:val="231F20"/>
        </w:rPr>
        <w:t>core</w:t>
      </w:r>
      <w:r>
        <w:rPr>
          <w:color w:val="231F20"/>
          <w:spacing w:val="-6"/>
        </w:rPr>
        <w:t xml:space="preserve"> </w:t>
      </w:r>
      <w:r>
        <w:rPr>
          <w:color w:val="231F20"/>
        </w:rPr>
        <w:t>samples),</w:t>
      </w:r>
      <w:r>
        <w:rPr>
          <w:color w:val="231F20"/>
          <w:spacing w:val="-5"/>
        </w:rPr>
        <w:t xml:space="preserve"> </w:t>
      </w:r>
      <w:r>
        <w:rPr>
          <w:color w:val="231F20"/>
        </w:rPr>
        <w:t>it</w:t>
      </w:r>
      <w:r>
        <w:rPr>
          <w:color w:val="231F20"/>
          <w:spacing w:val="-6"/>
        </w:rPr>
        <w:t xml:space="preserve"> </w:t>
      </w:r>
      <w:r>
        <w:rPr>
          <w:color w:val="231F20"/>
        </w:rPr>
        <w:t>can</w:t>
      </w:r>
      <w:r>
        <w:rPr>
          <w:color w:val="231F20"/>
          <w:spacing w:val="-6"/>
        </w:rPr>
        <w:t xml:space="preserve"> </w:t>
      </w:r>
      <w:r>
        <w:rPr>
          <w:color w:val="231F20"/>
        </w:rPr>
        <w:t>only drill</w:t>
      </w:r>
      <w:r>
        <w:rPr>
          <w:color w:val="231F20"/>
          <w:spacing w:val="-7"/>
        </w:rPr>
        <w:t xml:space="preserve"> </w:t>
      </w:r>
      <w:r>
        <w:rPr>
          <w:color w:val="231F20"/>
        </w:rPr>
        <w:t>vertically</w:t>
      </w:r>
      <w:r>
        <w:rPr>
          <w:color w:val="231F20"/>
          <w:spacing w:val="-6"/>
        </w:rPr>
        <w:t xml:space="preserve"> </w:t>
      </w:r>
      <w:r>
        <w:rPr>
          <w:color w:val="231F20"/>
        </w:rPr>
        <w:t>and</w:t>
      </w:r>
      <w:r>
        <w:rPr>
          <w:color w:val="231F20"/>
          <w:spacing w:val="-4"/>
        </w:rPr>
        <w:t xml:space="preserve"> </w:t>
      </w:r>
      <w:r>
        <w:rPr>
          <w:color w:val="231F20"/>
        </w:rPr>
        <w:t>rock</w:t>
      </w:r>
      <w:r>
        <w:rPr>
          <w:color w:val="231F20"/>
          <w:spacing w:val="-6"/>
        </w:rPr>
        <w:t xml:space="preserve"> </w:t>
      </w:r>
      <w:r>
        <w:rPr>
          <w:color w:val="231F20"/>
        </w:rPr>
        <w:t>chips</w:t>
      </w:r>
      <w:r>
        <w:rPr>
          <w:color w:val="231F20"/>
          <w:spacing w:val="-6"/>
        </w:rPr>
        <w:t xml:space="preserve"> </w:t>
      </w:r>
      <w:r>
        <w:rPr>
          <w:color w:val="231F20"/>
        </w:rPr>
        <w:t>can</w:t>
      </w:r>
      <w:r>
        <w:rPr>
          <w:color w:val="231F20"/>
          <w:spacing w:val="-4"/>
        </w:rPr>
        <w:t xml:space="preserve"> </w:t>
      </w:r>
      <w:r>
        <w:rPr>
          <w:color w:val="231F20"/>
        </w:rPr>
        <w:t>also</w:t>
      </w:r>
      <w:r>
        <w:rPr>
          <w:color w:val="231F20"/>
          <w:spacing w:val="-6"/>
        </w:rPr>
        <w:t xml:space="preserve"> </w:t>
      </w:r>
      <w:r>
        <w:rPr>
          <w:color w:val="231F20"/>
        </w:rPr>
        <w:t>fall</w:t>
      </w:r>
      <w:r>
        <w:rPr>
          <w:color w:val="231F20"/>
          <w:spacing w:val="-6"/>
        </w:rPr>
        <w:t xml:space="preserve"> </w:t>
      </w:r>
      <w:r>
        <w:rPr>
          <w:color w:val="231F20"/>
        </w:rPr>
        <w:t>down</w:t>
      </w:r>
      <w:r>
        <w:rPr>
          <w:color w:val="231F20"/>
          <w:spacing w:val="-4"/>
        </w:rPr>
        <w:t xml:space="preserve"> </w:t>
      </w:r>
      <w:r>
        <w:rPr>
          <w:color w:val="231F20"/>
        </w:rPr>
        <w:t>the</w:t>
      </w:r>
      <w:r>
        <w:rPr>
          <w:color w:val="231F20"/>
          <w:spacing w:val="-6"/>
        </w:rPr>
        <w:t xml:space="preserve"> </w:t>
      </w:r>
      <w:r>
        <w:rPr>
          <w:color w:val="231F20"/>
        </w:rPr>
        <w:t>hole</w:t>
      </w:r>
      <w:r>
        <w:rPr>
          <w:color w:val="231F20"/>
          <w:spacing w:val="-4"/>
        </w:rPr>
        <w:t xml:space="preserve"> </w:t>
      </w:r>
      <w:r>
        <w:rPr>
          <w:color w:val="231F20"/>
        </w:rPr>
        <w:t>and</w:t>
      </w:r>
      <w:r>
        <w:rPr>
          <w:color w:val="231F20"/>
          <w:spacing w:val="-4"/>
        </w:rPr>
        <w:t xml:space="preserve"> </w:t>
      </w:r>
      <w:r>
        <w:rPr>
          <w:color w:val="231F20"/>
        </w:rPr>
        <w:t>contaminate</w:t>
      </w:r>
      <w:r>
        <w:rPr>
          <w:color w:val="231F20"/>
          <w:spacing w:val="-6"/>
        </w:rPr>
        <w:t xml:space="preserve"> </w:t>
      </w:r>
      <w:r>
        <w:rPr>
          <w:color w:val="231F20"/>
        </w:rPr>
        <w:t>samples.</w:t>
      </w:r>
      <w:r>
        <w:rPr>
          <w:color w:val="231F20"/>
          <w:spacing w:val="-6"/>
        </w:rPr>
        <w:t xml:space="preserve"> </w:t>
      </w:r>
      <w:r>
        <w:rPr>
          <w:color w:val="231F20"/>
        </w:rPr>
        <w:t>However,</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w:t>
      </w:r>
      <w:r>
        <w:rPr>
          <w:color w:val="231F20"/>
          <w:spacing w:val="-6"/>
        </w:rPr>
        <w:t xml:space="preserve"> </w:t>
      </w:r>
      <w:r>
        <w:rPr>
          <w:color w:val="231F20"/>
        </w:rPr>
        <w:t>relatively</w:t>
      </w:r>
      <w:r>
        <w:rPr>
          <w:color w:val="231F20"/>
          <w:spacing w:val="-6"/>
        </w:rPr>
        <w:t xml:space="preserve"> </w:t>
      </w:r>
      <w:r>
        <w:rPr>
          <w:color w:val="231F20"/>
        </w:rPr>
        <w:t>quick and</w:t>
      </w:r>
      <w:r>
        <w:rPr>
          <w:color w:val="231F20"/>
          <w:spacing w:val="7"/>
        </w:rPr>
        <w:t xml:space="preserve"> </w:t>
      </w:r>
      <w:r>
        <w:rPr>
          <w:color w:val="231F20"/>
        </w:rPr>
        <w:t>cost</w:t>
      </w:r>
      <w:r>
        <w:rPr>
          <w:color w:val="231F20"/>
          <w:spacing w:val="8"/>
        </w:rPr>
        <w:t xml:space="preserve"> </w:t>
      </w:r>
      <w:r>
        <w:rPr>
          <w:color w:val="231F20"/>
        </w:rPr>
        <w:t>effective</w:t>
      </w:r>
      <w:r>
        <w:rPr>
          <w:color w:val="231F20"/>
          <w:spacing w:val="8"/>
        </w:rPr>
        <w:t xml:space="preserve"> </w:t>
      </w:r>
      <w:r>
        <w:rPr>
          <w:color w:val="231F20"/>
        </w:rPr>
        <w:t>(typically</w:t>
      </w:r>
      <w:r>
        <w:rPr>
          <w:color w:val="231F20"/>
          <w:spacing w:val="5"/>
        </w:rPr>
        <w:t xml:space="preserve"> </w:t>
      </w:r>
      <w:r>
        <w:rPr>
          <w:color w:val="231F20"/>
        </w:rPr>
        <w:t>costing</w:t>
      </w:r>
      <w:r>
        <w:rPr>
          <w:color w:val="231F20"/>
          <w:spacing w:val="11"/>
        </w:rPr>
        <w:t xml:space="preserve"> </w:t>
      </w:r>
      <w:r>
        <w:rPr>
          <w:color w:val="231F20"/>
        </w:rPr>
        <w:t>around</w:t>
      </w:r>
      <w:r>
        <w:rPr>
          <w:color w:val="231F20"/>
          <w:spacing w:val="11"/>
        </w:rPr>
        <w:t xml:space="preserve"> </w:t>
      </w:r>
      <w:r>
        <w:rPr>
          <w:color w:val="231F20"/>
        </w:rPr>
        <w:t>15</w:t>
      </w:r>
      <w:r>
        <w:rPr>
          <w:color w:val="231F20"/>
          <w:spacing w:val="10"/>
        </w:rPr>
        <w:t xml:space="preserve"> </w:t>
      </w:r>
      <w:r>
        <w:rPr>
          <w:color w:val="231F20"/>
        </w:rPr>
        <w:t>per</w:t>
      </w:r>
      <w:r>
        <w:rPr>
          <w:color w:val="231F20"/>
          <w:spacing w:val="8"/>
        </w:rPr>
        <w:t xml:space="preserve"> </w:t>
      </w:r>
      <w:r>
        <w:rPr>
          <w:color w:val="231F20"/>
        </w:rPr>
        <w:t>cent</w:t>
      </w:r>
      <w:r>
        <w:rPr>
          <w:color w:val="231F20"/>
          <w:spacing w:val="10"/>
        </w:rPr>
        <w:t xml:space="preserve"> </w:t>
      </w:r>
      <w:r>
        <w:rPr>
          <w:color w:val="231F20"/>
        </w:rPr>
        <w:t>of</w:t>
      </w:r>
      <w:r>
        <w:rPr>
          <w:color w:val="231F20"/>
          <w:spacing w:val="9"/>
        </w:rPr>
        <w:t xml:space="preserve"> </w:t>
      </w:r>
      <w:r>
        <w:rPr>
          <w:color w:val="231F20"/>
        </w:rPr>
        <w:t>the</w:t>
      </w:r>
      <w:r>
        <w:rPr>
          <w:color w:val="231F20"/>
          <w:spacing w:val="11"/>
        </w:rPr>
        <w:t xml:space="preserve"> </w:t>
      </w:r>
      <w:r>
        <w:rPr>
          <w:color w:val="231F20"/>
        </w:rPr>
        <w:t>cost</w:t>
      </w:r>
      <w:r>
        <w:rPr>
          <w:color w:val="231F20"/>
          <w:spacing w:val="8"/>
        </w:rPr>
        <w:t xml:space="preserve"> </w:t>
      </w:r>
      <w:r>
        <w:rPr>
          <w:color w:val="231F20"/>
        </w:rPr>
        <w:t>of</w:t>
      </w:r>
      <w:r>
        <w:rPr>
          <w:color w:val="231F20"/>
          <w:spacing w:val="7"/>
        </w:rPr>
        <w:t xml:space="preserve"> </w:t>
      </w:r>
      <w:r w:rsidR="00497D65">
        <w:rPr>
          <w:color w:val="231F20"/>
        </w:rPr>
        <w:t>D</w:t>
      </w:r>
      <w:r>
        <w:rPr>
          <w:color w:val="231F20"/>
        </w:rPr>
        <w:t>iamond</w:t>
      </w:r>
      <w:r>
        <w:rPr>
          <w:color w:val="231F20"/>
          <w:spacing w:val="8"/>
        </w:rPr>
        <w:t xml:space="preserve"> </w:t>
      </w:r>
      <w:r w:rsidR="00497D65">
        <w:rPr>
          <w:color w:val="231F20"/>
        </w:rPr>
        <w:t>D</w:t>
      </w:r>
      <w:r>
        <w:rPr>
          <w:color w:val="231F20"/>
        </w:rPr>
        <w:t>rilling)</w:t>
      </w:r>
      <w:r>
        <w:rPr>
          <w:color w:val="231F20"/>
          <w:spacing w:val="10"/>
        </w:rPr>
        <w:t xml:space="preserve"> </w:t>
      </w:r>
      <w:r>
        <w:rPr>
          <w:color w:val="231F20"/>
        </w:rPr>
        <w:t>way</w:t>
      </w:r>
      <w:r>
        <w:rPr>
          <w:color w:val="231F20"/>
          <w:spacing w:val="8"/>
        </w:rPr>
        <w:t xml:space="preserve"> </w:t>
      </w:r>
      <w:r>
        <w:rPr>
          <w:color w:val="231F20"/>
        </w:rPr>
        <w:t>to</w:t>
      </w:r>
      <w:r>
        <w:rPr>
          <w:color w:val="231F20"/>
          <w:spacing w:val="11"/>
        </w:rPr>
        <w:t xml:space="preserve"> </w:t>
      </w:r>
      <w:r>
        <w:rPr>
          <w:color w:val="231F20"/>
        </w:rPr>
        <w:t>gain</w:t>
      </w:r>
      <w:r>
        <w:rPr>
          <w:color w:val="231F20"/>
          <w:spacing w:val="8"/>
        </w:rPr>
        <w:t xml:space="preserve"> </w:t>
      </w:r>
      <w:r>
        <w:rPr>
          <w:color w:val="231F20"/>
        </w:rPr>
        <w:t>a</w:t>
      </w:r>
      <w:r>
        <w:rPr>
          <w:color w:val="231F20"/>
          <w:spacing w:val="7"/>
        </w:rPr>
        <w:t xml:space="preserve"> </w:t>
      </w:r>
      <w:r>
        <w:rPr>
          <w:color w:val="231F20"/>
        </w:rPr>
        <w:t>good</w:t>
      </w:r>
      <w:r>
        <w:rPr>
          <w:color w:val="231F20"/>
          <w:spacing w:val="8"/>
        </w:rPr>
        <w:t xml:space="preserve"> </w:t>
      </w:r>
      <w:r>
        <w:rPr>
          <w:color w:val="231F20"/>
        </w:rPr>
        <w:t>initial</w:t>
      </w:r>
      <w:r w:rsidR="00D46169">
        <w:rPr>
          <w:color w:val="231F20"/>
        </w:rPr>
        <w:t xml:space="preserve"> </w:t>
      </w:r>
      <w:r>
        <w:rPr>
          <w:color w:val="231F20"/>
        </w:rPr>
        <w:t>picture</w:t>
      </w:r>
      <w:r>
        <w:rPr>
          <w:color w:val="231F20"/>
          <w:spacing w:val="-12"/>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type</w:t>
      </w:r>
      <w:r>
        <w:rPr>
          <w:color w:val="231F20"/>
          <w:spacing w:val="-12"/>
        </w:rPr>
        <w:t xml:space="preserve"> </w:t>
      </w:r>
      <w:r>
        <w:rPr>
          <w:color w:val="231F20"/>
        </w:rPr>
        <w:t>of</w:t>
      </w:r>
      <w:r>
        <w:rPr>
          <w:color w:val="231F20"/>
          <w:spacing w:val="-12"/>
        </w:rPr>
        <w:t xml:space="preserve"> </w:t>
      </w:r>
      <w:r>
        <w:rPr>
          <w:color w:val="231F20"/>
        </w:rPr>
        <w:t>rocks</w:t>
      </w:r>
      <w:r>
        <w:rPr>
          <w:color w:val="231F20"/>
          <w:spacing w:val="-11"/>
        </w:rPr>
        <w:t xml:space="preserve"> </w:t>
      </w:r>
      <w:r>
        <w:rPr>
          <w:color w:val="231F20"/>
        </w:rPr>
        <w:t>that</w:t>
      </w:r>
      <w:r>
        <w:rPr>
          <w:color w:val="231F20"/>
          <w:spacing w:val="-11"/>
        </w:rPr>
        <w:t xml:space="preserve"> </w:t>
      </w:r>
      <w:r>
        <w:rPr>
          <w:color w:val="231F20"/>
        </w:rPr>
        <w:t>exist</w:t>
      </w:r>
      <w:r>
        <w:rPr>
          <w:color w:val="231F20"/>
          <w:spacing w:val="-10"/>
        </w:rPr>
        <w:t xml:space="preserve"> </w:t>
      </w:r>
      <w:r>
        <w:rPr>
          <w:color w:val="231F20"/>
        </w:rPr>
        <w:t>underground,</w:t>
      </w:r>
      <w:r>
        <w:rPr>
          <w:color w:val="231F20"/>
          <w:spacing w:val="-12"/>
        </w:rPr>
        <w:t xml:space="preserve"> </w:t>
      </w:r>
      <w:r>
        <w:rPr>
          <w:color w:val="231F20"/>
        </w:rPr>
        <w:t>including</w:t>
      </w:r>
      <w:r>
        <w:rPr>
          <w:color w:val="231F20"/>
          <w:spacing w:val="-8"/>
        </w:rPr>
        <w:t xml:space="preserve"> </w:t>
      </w:r>
      <w:r>
        <w:rPr>
          <w:color w:val="231F20"/>
        </w:rPr>
        <w:t>the</w:t>
      </w:r>
      <w:r>
        <w:rPr>
          <w:color w:val="231F20"/>
          <w:spacing w:val="-9"/>
        </w:rPr>
        <w:t xml:space="preserve"> </w:t>
      </w:r>
      <w:r>
        <w:rPr>
          <w:color w:val="231F20"/>
        </w:rPr>
        <w:t>presence</w:t>
      </w:r>
      <w:r>
        <w:rPr>
          <w:color w:val="231F20"/>
          <w:spacing w:val="-12"/>
        </w:rPr>
        <w:t xml:space="preserve"> </w:t>
      </w:r>
      <w:r>
        <w:rPr>
          <w:color w:val="231F20"/>
        </w:rPr>
        <w:t>of</w:t>
      </w:r>
      <w:r>
        <w:rPr>
          <w:color w:val="231F20"/>
          <w:spacing w:val="-12"/>
        </w:rPr>
        <w:t xml:space="preserve"> </w:t>
      </w:r>
      <w:r>
        <w:rPr>
          <w:color w:val="231F20"/>
        </w:rPr>
        <w:t>mineralisation,</w:t>
      </w:r>
      <w:r>
        <w:rPr>
          <w:color w:val="231F20"/>
          <w:spacing w:val="-11"/>
        </w:rPr>
        <w:t xml:space="preserve"> </w:t>
      </w:r>
      <w:r>
        <w:rPr>
          <w:color w:val="231F20"/>
        </w:rPr>
        <w:t>its</w:t>
      </w:r>
      <w:r>
        <w:rPr>
          <w:color w:val="231F20"/>
          <w:spacing w:val="-9"/>
        </w:rPr>
        <w:t xml:space="preserve"> </w:t>
      </w:r>
      <w:r>
        <w:rPr>
          <w:color w:val="231F20"/>
        </w:rPr>
        <w:t>extent,</w:t>
      </w:r>
      <w:r>
        <w:rPr>
          <w:color w:val="231F20"/>
          <w:spacing w:val="-12"/>
        </w:rPr>
        <w:t xml:space="preserve"> </w:t>
      </w:r>
      <w:r>
        <w:rPr>
          <w:color w:val="231F20"/>
        </w:rPr>
        <w:t>and</w:t>
      </w:r>
      <w:r>
        <w:rPr>
          <w:color w:val="231F20"/>
          <w:spacing w:val="-12"/>
        </w:rPr>
        <w:t xml:space="preserve"> </w:t>
      </w:r>
      <w:r>
        <w:rPr>
          <w:color w:val="231F20"/>
        </w:rPr>
        <w:t xml:space="preserve">potential thickness. Percussion </w:t>
      </w:r>
      <w:r w:rsidR="00497D65">
        <w:rPr>
          <w:color w:val="231F20"/>
        </w:rPr>
        <w:t>D</w:t>
      </w:r>
      <w:r>
        <w:rPr>
          <w:color w:val="231F20"/>
        </w:rPr>
        <w:t xml:space="preserve">rilling has proved to be a very effective initial screening tool for the Group to this point. Once mineralisation has been located by a percussion drill, a diamond drill can be targeted to </w:t>
      </w:r>
      <w:proofErr w:type="gramStart"/>
      <w:r>
        <w:rPr>
          <w:color w:val="231F20"/>
        </w:rPr>
        <w:t>more accurately measure drill sites</w:t>
      </w:r>
      <w:proofErr w:type="gramEnd"/>
      <w:r>
        <w:rPr>
          <w:color w:val="231F20"/>
        </w:rPr>
        <w:t xml:space="preserve"> for grade and width. This </w:t>
      </w:r>
      <w:proofErr w:type="gramStart"/>
      <w:r>
        <w:rPr>
          <w:color w:val="231F20"/>
        </w:rPr>
        <w:t>two stage</w:t>
      </w:r>
      <w:proofErr w:type="gramEnd"/>
      <w:r>
        <w:rPr>
          <w:color w:val="231F20"/>
        </w:rPr>
        <w:t xml:space="preserve"> drilling approach reduces the potential for wasted drilling using the more expensive </w:t>
      </w:r>
      <w:r w:rsidR="00497D65">
        <w:rPr>
          <w:color w:val="231F20"/>
        </w:rPr>
        <w:t>D</w:t>
      </w:r>
      <w:r>
        <w:rPr>
          <w:color w:val="231F20"/>
        </w:rPr>
        <w:t xml:space="preserve">iamond </w:t>
      </w:r>
      <w:r w:rsidR="00497D65">
        <w:rPr>
          <w:color w:val="231F20"/>
        </w:rPr>
        <w:t>D</w:t>
      </w:r>
      <w:r>
        <w:rPr>
          <w:color w:val="231F20"/>
        </w:rPr>
        <w:t>rilling and make the Group’s drill programmes more</w:t>
      </w:r>
      <w:r>
        <w:rPr>
          <w:color w:val="231F20"/>
          <w:spacing w:val="-12"/>
        </w:rPr>
        <w:t xml:space="preserve"> </w:t>
      </w:r>
      <w:r>
        <w:rPr>
          <w:color w:val="231F20"/>
        </w:rPr>
        <w:t>efficient.</w:t>
      </w:r>
    </w:p>
    <w:p w14:paraId="002715DA" w14:textId="3B4D7CE4" w:rsidR="003A30E7" w:rsidRDefault="003A30E7">
      <w:pPr>
        <w:pStyle w:val="BodyText"/>
        <w:kinsoku w:val="0"/>
        <w:overflowPunct w:val="0"/>
        <w:spacing w:before="79" w:line="259" w:lineRule="auto"/>
        <w:ind w:left="300" w:right="1189"/>
        <w:jc w:val="both"/>
        <w:rPr>
          <w:color w:val="231F20"/>
        </w:rPr>
      </w:pPr>
      <w:r>
        <w:rPr>
          <w:color w:val="231F20"/>
        </w:rPr>
        <w:t xml:space="preserve">In Labrador, the Group intends to pursue core re-logging, detailed geological mapping, </w:t>
      </w:r>
      <w:proofErr w:type="gramStart"/>
      <w:r>
        <w:rPr>
          <w:color w:val="231F20"/>
        </w:rPr>
        <w:t>prospecting</w:t>
      </w:r>
      <w:proofErr w:type="gramEnd"/>
      <w:r>
        <w:rPr>
          <w:color w:val="231F20"/>
        </w:rPr>
        <w:t xml:space="preserve"> and soil sampling to identify drill targets within the target areas. Geochemical techniques such as soil and/or till sampling, in conjunction with detailed geological and structural mapping, will aid in the identification and evaluation of potentially mineralised areas. </w:t>
      </w:r>
    </w:p>
    <w:p w14:paraId="740001FD" w14:textId="77777777" w:rsidR="00783288" w:rsidRDefault="00E31420" w:rsidP="00512495">
      <w:pPr>
        <w:pStyle w:val="Heading1"/>
        <w:numPr>
          <w:ilvl w:val="1"/>
          <w:numId w:val="20"/>
        </w:numPr>
        <w:tabs>
          <w:tab w:val="left" w:pos="1020"/>
        </w:tabs>
        <w:kinsoku w:val="0"/>
        <w:overflowPunct w:val="0"/>
        <w:spacing w:before="154"/>
        <w:rPr>
          <w:color w:val="231F20"/>
        </w:rPr>
      </w:pPr>
      <w:r>
        <w:rPr>
          <w:color w:val="231F20"/>
        </w:rPr>
        <w:t>Gold</w:t>
      </w:r>
    </w:p>
    <w:p w14:paraId="3F594251" w14:textId="77777777" w:rsidR="00783288" w:rsidRDefault="00783288">
      <w:pPr>
        <w:pStyle w:val="BodyText"/>
        <w:kinsoku w:val="0"/>
        <w:overflowPunct w:val="0"/>
        <w:spacing w:before="9"/>
        <w:rPr>
          <w:b/>
          <w:bCs/>
          <w:sz w:val="15"/>
          <w:szCs w:val="15"/>
        </w:rPr>
      </w:pPr>
    </w:p>
    <w:p w14:paraId="5E51FD8F" w14:textId="77777777" w:rsidR="00783288" w:rsidRDefault="00E31420">
      <w:pPr>
        <w:pStyle w:val="BodyText"/>
        <w:kinsoku w:val="0"/>
        <w:overflowPunct w:val="0"/>
        <w:spacing w:line="259" w:lineRule="auto"/>
        <w:ind w:left="300" w:right="1192"/>
        <w:jc w:val="both"/>
        <w:rPr>
          <w:color w:val="231F20"/>
        </w:rPr>
      </w:pPr>
      <w:r>
        <w:rPr>
          <w:color w:val="231F20"/>
        </w:rPr>
        <w:t>While</w:t>
      </w:r>
      <w:r>
        <w:rPr>
          <w:color w:val="231F20"/>
          <w:spacing w:val="-14"/>
        </w:rPr>
        <w:t xml:space="preserve"> </w:t>
      </w:r>
      <w:r>
        <w:rPr>
          <w:color w:val="231F20"/>
        </w:rPr>
        <w:t>mining</w:t>
      </w:r>
      <w:r>
        <w:rPr>
          <w:color w:val="231F20"/>
          <w:spacing w:val="-13"/>
        </w:rPr>
        <w:t xml:space="preserve"> </w:t>
      </w:r>
      <w:r>
        <w:rPr>
          <w:color w:val="231F20"/>
        </w:rPr>
        <w:t>in</w:t>
      </w:r>
      <w:r>
        <w:rPr>
          <w:color w:val="231F20"/>
          <w:spacing w:val="-12"/>
        </w:rPr>
        <w:t xml:space="preserve"> </w:t>
      </w:r>
      <w:r>
        <w:rPr>
          <w:color w:val="231F20"/>
        </w:rPr>
        <w:t>Cyprus</w:t>
      </w:r>
      <w:r>
        <w:rPr>
          <w:color w:val="231F20"/>
          <w:spacing w:val="-10"/>
        </w:rPr>
        <w:t xml:space="preserve"> </w:t>
      </w:r>
      <w:r>
        <w:rPr>
          <w:color w:val="231F20"/>
        </w:rPr>
        <w:t>has</w:t>
      </w:r>
      <w:r>
        <w:rPr>
          <w:color w:val="231F20"/>
          <w:spacing w:val="-11"/>
        </w:rPr>
        <w:t xml:space="preserve"> </w:t>
      </w:r>
      <w:r>
        <w:rPr>
          <w:color w:val="231F20"/>
        </w:rPr>
        <w:t>traditionally</w:t>
      </w:r>
      <w:r>
        <w:rPr>
          <w:color w:val="231F20"/>
          <w:spacing w:val="-13"/>
        </w:rPr>
        <w:t xml:space="preserve"> </w:t>
      </w:r>
      <w:r>
        <w:rPr>
          <w:color w:val="231F20"/>
        </w:rPr>
        <w:t>been</w:t>
      </w:r>
      <w:r>
        <w:rPr>
          <w:color w:val="231F20"/>
          <w:spacing w:val="-13"/>
        </w:rPr>
        <w:t xml:space="preserve"> </w:t>
      </w:r>
      <w:r>
        <w:rPr>
          <w:color w:val="231F20"/>
        </w:rPr>
        <w:t>strongly</w:t>
      </w:r>
      <w:r>
        <w:rPr>
          <w:color w:val="231F20"/>
          <w:spacing w:val="-14"/>
        </w:rPr>
        <w:t xml:space="preserve"> </w:t>
      </w:r>
      <w:r>
        <w:rPr>
          <w:color w:val="231F20"/>
        </w:rPr>
        <w:t>associated</w:t>
      </w:r>
      <w:r>
        <w:rPr>
          <w:color w:val="231F20"/>
          <w:spacing w:val="-11"/>
        </w:rPr>
        <w:t xml:space="preserve"> </w:t>
      </w:r>
      <w:r>
        <w:rPr>
          <w:color w:val="231F20"/>
        </w:rPr>
        <w:t>with</w:t>
      </w:r>
      <w:r>
        <w:rPr>
          <w:color w:val="231F20"/>
          <w:spacing w:val="-12"/>
        </w:rPr>
        <w:t xml:space="preserve"> </w:t>
      </w:r>
      <w:r>
        <w:rPr>
          <w:color w:val="231F20"/>
        </w:rPr>
        <w:t>copper</w:t>
      </w:r>
      <w:r>
        <w:rPr>
          <w:color w:val="231F20"/>
          <w:spacing w:val="-12"/>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rPr>
        <w:t>word</w:t>
      </w:r>
      <w:r>
        <w:rPr>
          <w:color w:val="231F20"/>
          <w:spacing w:val="-12"/>
        </w:rPr>
        <w:t xml:space="preserve"> </w:t>
      </w:r>
      <w:r>
        <w:rPr>
          <w:color w:val="231F20"/>
        </w:rPr>
        <w:t>“copper”</w:t>
      </w:r>
      <w:r>
        <w:rPr>
          <w:color w:val="231F20"/>
          <w:spacing w:val="-12"/>
        </w:rPr>
        <w:t xml:space="preserve"> </w:t>
      </w:r>
      <w:r>
        <w:rPr>
          <w:color w:val="231F20"/>
        </w:rPr>
        <w:t>being</w:t>
      </w:r>
      <w:r>
        <w:rPr>
          <w:color w:val="231F20"/>
          <w:spacing w:val="-11"/>
        </w:rPr>
        <w:t xml:space="preserve"> </w:t>
      </w:r>
      <w:r>
        <w:rPr>
          <w:color w:val="231F20"/>
        </w:rPr>
        <w:t>derived from the Latin name for Cyprus), another commercial opportunity exists for the Group in exploration for</w:t>
      </w:r>
      <w:r>
        <w:rPr>
          <w:color w:val="231F20"/>
          <w:spacing w:val="-31"/>
        </w:rPr>
        <w:t xml:space="preserve"> </w:t>
      </w:r>
      <w:r>
        <w:rPr>
          <w:color w:val="231F20"/>
        </w:rPr>
        <w:t>gold.</w:t>
      </w:r>
    </w:p>
    <w:p w14:paraId="0A793284" w14:textId="4701DA87" w:rsidR="00D57809" w:rsidRDefault="00E31420" w:rsidP="00D57809">
      <w:pPr>
        <w:pStyle w:val="BodyText"/>
        <w:kinsoku w:val="0"/>
        <w:overflowPunct w:val="0"/>
        <w:spacing w:before="160" w:line="259" w:lineRule="auto"/>
        <w:ind w:left="300" w:right="1190"/>
        <w:jc w:val="both"/>
        <w:rPr>
          <w:color w:val="231F20"/>
        </w:rPr>
      </w:pPr>
      <w:r>
        <w:rPr>
          <w:color w:val="231F20"/>
        </w:rPr>
        <w:t>Cyprus has not previously been considered as a location for gold mined in association with copper, because its mining boom of the 1960s and 1970s coincided with the period when gold prices were pegged at just $35 per ounce,</w:t>
      </w:r>
      <w:r>
        <w:rPr>
          <w:color w:val="231F20"/>
          <w:spacing w:val="-5"/>
        </w:rPr>
        <w:t xml:space="preserve"> </w:t>
      </w:r>
      <w:r>
        <w:rPr>
          <w:color w:val="231F20"/>
        </w:rPr>
        <w:t>and</w:t>
      </w:r>
      <w:r>
        <w:rPr>
          <w:color w:val="231F20"/>
          <w:spacing w:val="-5"/>
        </w:rPr>
        <w:t xml:space="preserve"> </w:t>
      </w:r>
      <w:r>
        <w:rPr>
          <w:color w:val="231F20"/>
        </w:rPr>
        <w:t>gold</w:t>
      </w:r>
      <w:r>
        <w:rPr>
          <w:color w:val="231F20"/>
          <w:spacing w:val="-5"/>
        </w:rPr>
        <w:t xml:space="preserve"> </w:t>
      </w:r>
      <w:r>
        <w:rPr>
          <w:color w:val="231F20"/>
        </w:rPr>
        <w:t>was</w:t>
      </w:r>
      <w:r>
        <w:rPr>
          <w:color w:val="231F20"/>
          <w:spacing w:val="-4"/>
        </w:rPr>
        <w:t xml:space="preserve"> </w:t>
      </w:r>
      <w:r>
        <w:rPr>
          <w:color w:val="231F20"/>
        </w:rPr>
        <w:t>then</w:t>
      </w:r>
      <w:r>
        <w:rPr>
          <w:color w:val="231F20"/>
          <w:spacing w:val="-6"/>
        </w:rPr>
        <w:t xml:space="preserve"> </w:t>
      </w:r>
      <w:r>
        <w:rPr>
          <w:color w:val="231F20"/>
        </w:rPr>
        <w:t>uneconomic</w:t>
      </w:r>
      <w:r>
        <w:rPr>
          <w:color w:val="231F20"/>
          <w:spacing w:val="-4"/>
        </w:rPr>
        <w:t xml:space="preserve"> </w:t>
      </w:r>
      <w:r>
        <w:rPr>
          <w:color w:val="231F20"/>
        </w:rPr>
        <w:t>to</w:t>
      </w:r>
      <w:r>
        <w:rPr>
          <w:color w:val="231F20"/>
          <w:spacing w:val="-7"/>
        </w:rPr>
        <w:t xml:space="preserve"> </w:t>
      </w:r>
      <w:r>
        <w:rPr>
          <w:color w:val="231F20"/>
        </w:rPr>
        <w:t>produce.</w:t>
      </w:r>
      <w:r>
        <w:rPr>
          <w:color w:val="231F20"/>
          <w:spacing w:val="-5"/>
        </w:rPr>
        <w:t xml:space="preserve"> </w:t>
      </w:r>
      <w:r>
        <w:rPr>
          <w:color w:val="231F20"/>
        </w:rPr>
        <w:t>The</w:t>
      </w:r>
      <w:r>
        <w:rPr>
          <w:color w:val="231F20"/>
          <w:spacing w:val="-4"/>
        </w:rPr>
        <w:t xml:space="preserve"> </w:t>
      </w:r>
      <w:r>
        <w:rPr>
          <w:color w:val="231F20"/>
        </w:rPr>
        <w:t>development</w:t>
      </w:r>
      <w:r>
        <w:rPr>
          <w:color w:val="231F20"/>
          <w:spacing w:val="-3"/>
        </w:rPr>
        <w:t xml:space="preserve"> </w:t>
      </w:r>
      <w:r>
        <w:rPr>
          <w:color w:val="231F20"/>
        </w:rPr>
        <w:t>of</w:t>
      </w:r>
      <w:r>
        <w:rPr>
          <w:color w:val="231F20"/>
          <w:spacing w:val="-7"/>
        </w:rPr>
        <w:t xml:space="preserve"> </w:t>
      </w:r>
      <w:r>
        <w:rPr>
          <w:color w:val="231F20"/>
        </w:rPr>
        <w:t>lower</w:t>
      </w:r>
      <w:r>
        <w:rPr>
          <w:color w:val="231F20"/>
          <w:spacing w:val="-5"/>
        </w:rPr>
        <w:t xml:space="preserve"> </w:t>
      </w:r>
      <w:r>
        <w:rPr>
          <w:color w:val="231F20"/>
        </w:rPr>
        <w:t>cost</w:t>
      </w:r>
      <w:r>
        <w:rPr>
          <w:color w:val="231F20"/>
          <w:spacing w:val="-4"/>
        </w:rPr>
        <w:t xml:space="preserve"> </w:t>
      </w:r>
      <w:r>
        <w:rPr>
          <w:color w:val="231F20"/>
        </w:rPr>
        <w:t>and</w:t>
      </w:r>
      <w:r>
        <w:rPr>
          <w:color w:val="231F20"/>
          <w:spacing w:val="-7"/>
        </w:rPr>
        <w:t xml:space="preserve"> </w:t>
      </w:r>
      <w:r>
        <w:rPr>
          <w:color w:val="231F20"/>
        </w:rPr>
        <w:t>more</w:t>
      </w:r>
      <w:r>
        <w:rPr>
          <w:color w:val="231F20"/>
          <w:spacing w:val="-5"/>
        </w:rPr>
        <w:t xml:space="preserve"> </w:t>
      </w:r>
      <w:r>
        <w:rPr>
          <w:color w:val="231F20"/>
        </w:rPr>
        <w:t>consistently</w:t>
      </w:r>
      <w:r>
        <w:rPr>
          <w:color w:val="231F20"/>
          <w:spacing w:val="-6"/>
        </w:rPr>
        <w:t xml:space="preserve"> </w:t>
      </w:r>
      <w:r>
        <w:rPr>
          <w:color w:val="231F20"/>
        </w:rPr>
        <w:t xml:space="preserve">accurate </w:t>
      </w:r>
      <w:r w:rsidRPr="00D57809">
        <w:rPr>
          <w:color w:val="231F20"/>
        </w:rPr>
        <w:t>assay methods occurred during the period when the $35 gold peg was abandoned which was also at around the same</w:t>
      </w:r>
      <w:r w:rsidRPr="00D57809">
        <w:rPr>
          <w:color w:val="231F20"/>
          <w:spacing w:val="-10"/>
        </w:rPr>
        <w:t xml:space="preserve"> </w:t>
      </w:r>
      <w:r w:rsidRPr="00D57809">
        <w:rPr>
          <w:color w:val="231F20"/>
        </w:rPr>
        <w:t>time</w:t>
      </w:r>
      <w:r w:rsidRPr="00D57809">
        <w:rPr>
          <w:color w:val="231F20"/>
          <w:spacing w:val="-9"/>
        </w:rPr>
        <w:t xml:space="preserve"> </w:t>
      </w:r>
      <w:r w:rsidRPr="00D57809">
        <w:rPr>
          <w:color w:val="231F20"/>
        </w:rPr>
        <w:t>the</w:t>
      </w:r>
      <w:r w:rsidRPr="00D57809">
        <w:rPr>
          <w:color w:val="231F20"/>
          <w:spacing w:val="-12"/>
        </w:rPr>
        <w:t xml:space="preserve"> </w:t>
      </w:r>
      <w:r w:rsidRPr="00D57809">
        <w:rPr>
          <w:color w:val="231F20"/>
        </w:rPr>
        <w:t>mining</w:t>
      </w:r>
      <w:r w:rsidRPr="00D57809">
        <w:rPr>
          <w:color w:val="231F20"/>
          <w:spacing w:val="-9"/>
        </w:rPr>
        <w:t xml:space="preserve"> </w:t>
      </w:r>
      <w:r w:rsidRPr="00D57809">
        <w:rPr>
          <w:color w:val="231F20"/>
        </w:rPr>
        <w:t>industry</w:t>
      </w:r>
      <w:r w:rsidRPr="00D57809">
        <w:rPr>
          <w:color w:val="231F20"/>
          <w:spacing w:val="-13"/>
        </w:rPr>
        <w:t xml:space="preserve"> </w:t>
      </w:r>
      <w:r w:rsidRPr="00D57809">
        <w:rPr>
          <w:color w:val="231F20"/>
        </w:rPr>
        <w:t>halted</w:t>
      </w:r>
      <w:r w:rsidRPr="00D57809">
        <w:rPr>
          <w:color w:val="231F20"/>
          <w:spacing w:val="-11"/>
        </w:rPr>
        <w:t xml:space="preserve"> </w:t>
      </w:r>
      <w:r w:rsidRPr="00D57809">
        <w:rPr>
          <w:color w:val="231F20"/>
        </w:rPr>
        <w:t>in</w:t>
      </w:r>
      <w:r w:rsidRPr="00D57809">
        <w:rPr>
          <w:color w:val="231F20"/>
          <w:spacing w:val="-10"/>
        </w:rPr>
        <w:t xml:space="preserve"> </w:t>
      </w:r>
      <w:r w:rsidRPr="00D57809">
        <w:rPr>
          <w:color w:val="231F20"/>
        </w:rPr>
        <w:t>Cyprus</w:t>
      </w:r>
      <w:r w:rsidRPr="00D57809">
        <w:rPr>
          <w:color w:val="231F20"/>
          <w:spacing w:val="-10"/>
        </w:rPr>
        <w:t xml:space="preserve"> </w:t>
      </w:r>
      <w:r w:rsidRPr="00D57809">
        <w:rPr>
          <w:color w:val="231F20"/>
        </w:rPr>
        <w:t>in</w:t>
      </w:r>
      <w:r w:rsidRPr="00D57809">
        <w:rPr>
          <w:color w:val="231F20"/>
          <w:spacing w:val="-11"/>
        </w:rPr>
        <w:t xml:space="preserve"> </w:t>
      </w:r>
      <w:r w:rsidRPr="00D57809">
        <w:rPr>
          <w:color w:val="231F20"/>
        </w:rPr>
        <w:t>the</w:t>
      </w:r>
      <w:r w:rsidRPr="00D57809">
        <w:rPr>
          <w:color w:val="231F20"/>
          <w:spacing w:val="-12"/>
        </w:rPr>
        <w:t xml:space="preserve"> </w:t>
      </w:r>
      <w:r w:rsidRPr="00D57809">
        <w:rPr>
          <w:color w:val="231F20"/>
        </w:rPr>
        <w:t>early</w:t>
      </w:r>
      <w:r w:rsidRPr="00D57809">
        <w:rPr>
          <w:color w:val="231F20"/>
          <w:spacing w:val="-10"/>
        </w:rPr>
        <w:t xml:space="preserve"> </w:t>
      </w:r>
      <w:r w:rsidRPr="00D57809">
        <w:rPr>
          <w:color w:val="231F20"/>
        </w:rPr>
        <w:t>1970s.</w:t>
      </w:r>
      <w:r w:rsidRPr="00D57809">
        <w:rPr>
          <w:color w:val="231F20"/>
          <w:spacing w:val="-11"/>
        </w:rPr>
        <w:t xml:space="preserve"> </w:t>
      </w:r>
      <w:r w:rsidRPr="00D57809">
        <w:rPr>
          <w:color w:val="231F20"/>
        </w:rPr>
        <w:t>This</w:t>
      </w:r>
      <w:r w:rsidRPr="00D57809">
        <w:rPr>
          <w:color w:val="231F20"/>
          <w:spacing w:val="-11"/>
        </w:rPr>
        <w:t xml:space="preserve"> </w:t>
      </w:r>
      <w:r w:rsidRPr="00D57809">
        <w:rPr>
          <w:color w:val="231F20"/>
        </w:rPr>
        <w:t>sparked</w:t>
      </w:r>
      <w:r w:rsidRPr="00D57809">
        <w:rPr>
          <w:color w:val="231F20"/>
          <w:spacing w:val="-11"/>
        </w:rPr>
        <w:t xml:space="preserve"> </w:t>
      </w:r>
      <w:r w:rsidRPr="00D57809">
        <w:rPr>
          <w:color w:val="231F20"/>
        </w:rPr>
        <w:t>a</w:t>
      </w:r>
      <w:r w:rsidRPr="00D57809">
        <w:rPr>
          <w:color w:val="231F20"/>
          <w:spacing w:val="-11"/>
        </w:rPr>
        <w:t xml:space="preserve"> </w:t>
      </w:r>
      <w:r w:rsidRPr="00D57809">
        <w:rPr>
          <w:color w:val="231F20"/>
        </w:rPr>
        <w:t>significant</w:t>
      </w:r>
      <w:r w:rsidRPr="00D57809">
        <w:rPr>
          <w:color w:val="231F20"/>
          <w:spacing w:val="-14"/>
        </w:rPr>
        <w:t xml:space="preserve"> </w:t>
      </w:r>
      <w:r w:rsidRPr="00D57809">
        <w:rPr>
          <w:color w:val="231F20"/>
        </w:rPr>
        <w:t>increase</w:t>
      </w:r>
      <w:r w:rsidRPr="00D57809">
        <w:rPr>
          <w:color w:val="231F20"/>
          <w:spacing w:val="-12"/>
        </w:rPr>
        <w:t xml:space="preserve"> </w:t>
      </w:r>
      <w:r w:rsidRPr="00D57809">
        <w:rPr>
          <w:color w:val="231F20"/>
        </w:rPr>
        <w:t>in</w:t>
      </w:r>
      <w:r w:rsidRPr="00D57809">
        <w:rPr>
          <w:color w:val="231F20"/>
          <w:spacing w:val="-11"/>
        </w:rPr>
        <w:t xml:space="preserve"> </w:t>
      </w:r>
      <w:r w:rsidRPr="00D57809">
        <w:rPr>
          <w:color w:val="231F20"/>
        </w:rPr>
        <w:t>gold</w:t>
      </w:r>
      <w:r w:rsidRPr="00D57809">
        <w:rPr>
          <w:color w:val="231F20"/>
          <w:spacing w:val="-9"/>
        </w:rPr>
        <w:t xml:space="preserve"> </w:t>
      </w:r>
      <w:r w:rsidRPr="00D57809">
        <w:rPr>
          <w:color w:val="231F20"/>
        </w:rPr>
        <w:t>prices which saw the value of gold increase more than fifty-fold in the last 40 years, to approximately $1,</w:t>
      </w:r>
      <w:r w:rsidR="00EE73D6" w:rsidRPr="00D57809">
        <w:rPr>
          <w:color w:val="231F20"/>
        </w:rPr>
        <w:t>770</w:t>
      </w:r>
      <w:r w:rsidR="00D57809" w:rsidRPr="00D57809">
        <w:rPr>
          <w:color w:val="231F20"/>
        </w:rPr>
        <w:t xml:space="preserve"> </w:t>
      </w:r>
      <w:r w:rsidRPr="00D57809">
        <w:rPr>
          <w:color w:val="231F20"/>
        </w:rPr>
        <w:t xml:space="preserve">per ounce </w:t>
      </w:r>
      <w:r w:rsidR="00046867" w:rsidRPr="00D57809">
        <w:rPr>
          <w:i/>
          <w:color w:val="070808"/>
        </w:rPr>
        <w:t>(</w:t>
      </w:r>
      <w:r w:rsidR="009C1D2E" w:rsidRPr="00D57809">
        <w:rPr>
          <w:i/>
          <w:color w:val="070808"/>
        </w:rPr>
        <w:t>Source: London Metal Exchange,</w:t>
      </w:r>
      <w:r w:rsidR="009C1D2E" w:rsidRPr="00D57809">
        <w:rPr>
          <w:b/>
          <w:i/>
          <w:color w:val="070808"/>
        </w:rPr>
        <w:t xml:space="preserve"> </w:t>
      </w:r>
      <w:hyperlink r:id="rId17" w:history="1">
        <w:r w:rsidR="009C1D2E" w:rsidRPr="00D57809">
          <w:rPr>
            <w:rStyle w:val="Hyperlink"/>
            <w:i/>
          </w:rPr>
          <w:t>www.lme.com/Metals</w:t>
        </w:r>
      </w:hyperlink>
      <w:r w:rsidR="009C1D2E" w:rsidRPr="00D57809">
        <w:rPr>
          <w:i/>
        </w:rPr>
        <w:t xml:space="preserve">, </w:t>
      </w:r>
      <w:r w:rsidR="00D57809" w:rsidRPr="00D57809">
        <w:rPr>
          <w:i/>
        </w:rPr>
        <w:t>01.07.21</w:t>
      </w:r>
      <w:r w:rsidR="00046867" w:rsidRPr="00D57809">
        <w:rPr>
          <w:i/>
          <w:color w:val="070808"/>
        </w:rPr>
        <w:t>)</w:t>
      </w:r>
      <w:r w:rsidR="009C1D2E" w:rsidRPr="00D57809">
        <w:rPr>
          <w:i/>
          <w:color w:val="070808"/>
        </w:rPr>
        <w:t>.</w:t>
      </w:r>
      <w:r w:rsidR="009C1D2E" w:rsidRPr="00D57809">
        <w:rPr>
          <w:b/>
          <w:i/>
          <w:color w:val="231F20"/>
        </w:rPr>
        <w:t xml:space="preserve"> </w:t>
      </w:r>
    </w:p>
    <w:p w14:paraId="6693A414" w14:textId="4A6FE23B" w:rsidR="00783288" w:rsidRDefault="00E31420" w:rsidP="00A75B49">
      <w:pPr>
        <w:pStyle w:val="BodyText"/>
        <w:kinsoku w:val="0"/>
        <w:overflowPunct w:val="0"/>
        <w:spacing w:before="158"/>
        <w:ind w:left="300" w:right="1190"/>
        <w:jc w:val="both"/>
        <w:rPr>
          <w:color w:val="231F20"/>
        </w:rPr>
      </w:pPr>
      <w:r>
        <w:rPr>
          <w:color w:val="231F20"/>
        </w:rPr>
        <w:t>the mid-1970s onwards there was a gold exploration boom. At that time, Cyprus was considered geo-politically risky and a relatively small-scale opportunity. While a small number of junior mineral exploration companies did drill in Cyprus following the turn of the millennium, their exploration operations were relatively short-lived, typically for financial reasons. Consequently, Copper VMS Deposits in Cyprus have not yet been comprehensively evaluated for their gold potential in the modern era.</w:t>
      </w:r>
    </w:p>
    <w:p w14:paraId="490A80F6" w14:textId="6CD851E4" w:rsidR="00783288" w:rsidRDefault="00E31420">
      <w:pPr>
        <w:pStyle w:val="BodyText"/>
        <w:kinsoku w:val="0"/>
        <w:overflowPunct w:val="0"/>
        <w:spacing w:before="161"/>
        <w:ind w:left="300" w:right="1188"/>
        <w:jc w:val="both"/>
        <w:rPr>
          <w:color w:val="231F20"/>
        </w:rPr>
      </w:pPr>
      <w:r>
        <w:rPr>
          <w:color w:val="231F20"/>
        </w:rPr>
        <w:t>During the Group’s appraisals at Troodos West in April 2020, the Group identified significant enrichment of gold, in</w:t>
      </w:r>
      <w:r>
        <w:rPr>
          <w:color w:val="231F20"/>
          <w:spacing w:val="-12"/>
        </w:rPr>
        <w:t xml:space="preserve"> </w:t>
      </w:r>
      <w:r>
        <w:rPr>
          <w:color w:val="231F20"/>
        </w:rPr>
        <w:t>association</w:t>
      </w:r>
      <w:r>
        <w:rPr>
          <w:color w:val="231F20"/>
          <w:spacing w:val="-12"/>
        </w:rPr>
        <w:t xml:space="preserve"> </w:t>
      </w:r>
      <w:r>
        <w:rPr>
          <w:color w:val="231F20"/>
        </w:rPr>
        <w:t>with</w:t>
      </w:r>
      <w:r>
        <w:rPr>
          <w:color w:val="231F20"/>
          <w:spacing w:val="-11"/>
        </w:rPr>
        <w:t xml:space="preserve"> </w:t>
      </w:r>
      <w:r>
        <w:rPr>
          <w:color w:val="231F20"/>
        </w:rPr>
        <w:t>VMS</w:t>
      </w:r>
      <w:r>
        <w:rPr>
          <w:color w:val="231F20"/>
          <w:spacing w:val="-12"/>
        </w:rPr>
        <w:t xml:space="preserve"> </w:t>
      </w:r>
      <w:r>
        <w:rPr>
          <w:color w:val="231F20"/>
        </w:rPr>
        <w:t>type</w:t>
      </w:r>
      <w:r>
        <w:rPr>
          <w:color w:val="231F20"/>
          <w:spacing w:val="-14"/>
        </w:rPr>
        <w:t xml:space="preserve"> </w:t>
      </w:r>
      <w:r>
        <w:rPr>
          <w:color w:val="231F20"/>
        </w:rPr>
        <w:t>sulphide</w:t>
      </w:r>
      <w:r>
        <w:rPr>
          <w:color w:val="231F20"/>
          <w:spacing w:val="-13"/>
        </w:rPr>
        <w:t xml:space="preserve"> </w:t>
      </w:r>
      <w:r>
        <w:rPr>
          <w:color w:val="231F20"/>
        </w:rPr>
        <w:t>occurrences,</w:t>
      </w:r>
      <w:r>
        <w:rPr>
          <w:color w:val="231F20"/>
          <w:spacing w:val="-15"/>
        </w:rPr>
        <w:t xml:space="preserve"> </w:t>
      </w:r>
      <w:r>
        <w:rPr>
          <w:color w:val="231F20"/>
        </w:rPr>
        <w:t>at</w:t>
      </w:r>
      <w:r>
        <w:rPr>
          <w:color w:val="231F20"/>
          <w:spacing w:val="-14"/>
        </w:rPr>
        <w:t xml:space="preserve"> </w:t>
      </w:r>
      <w:r>
        <w:rPr>
          <w:color w:val="231F20"/>
        </w:rPr>
        <w:t>five</w:t>
      </w:r>
      <w:r>
        <w:rPr>
          <w:color w:val="231F20"/>
          <w:spacing w:val="-13"/>
        </w:rPr>
        <w:t xml:space="preserve"> </w:t>
      </w:r>
      <w:r>
        <w:rPr>
          <w:color w:val="231F20"/>
        </w:rPr>
        <w:t>locations</w:t>
      </w:r>
      <w:r>
        <w:rPr>
          <w:color w:val="231F20"/>
          <w:spacing w:val="-14"/>
        </w:rPr>
        <w:t xml:space="preserve"> </w:t>
      </w:r>
      <w:r>
        <w:rPr>
          <w:color w:val="231F20"/>
        </w:rPr>
        <w:t>over</w:t>
      </w:r>
      <w:r>
        <w:rPr>
          <w:color w:val="231F20"/>
          <w:spacing w:val="-12"/>
        </w:rPr>
        <w:t xml:space="preserve"> </w:t>
      </w:r>
      <w:r>
        <w:rPr>
          <w:color w:val="231F20"/>
        </w:rPr>
        <w:t>a</w:t>
      </w:r>
      <w:r>
        <w:rPr>
          <w:color w:val="231F20"/>
          <w:spacing w:val="-14"/>
        </w:rPr>
        <w:t xml:space="preserve"> </w:t>
      </w:r>
      <w:r>
        <w:rPr>
          <w:color w:val="231F20"/>
        </w:rPr>
        <w:t>4km</w:t>
      </w:r>
      <w:r>
        <w:rPr>
          <w:color w:val="231F20"/>
          <w:spacing w:val="-13"/>
        </w:rPr>
        <w:t xml:space="preserve"> </w:t>
      </w:r>
      <w:r>
        <w:rPr>
          <w:color w:val="231F20"/>
        </w:rPr>
        <w:t>strike</w:t>
      </w:r>
      <w:r>
        <w:rPr>
          <w:color w:val="231F20"/>
          <w:spacing w:val="-13"/>
        </w:rPr>
        <w:t xml:space="preserve"> </w:t>
      </w:r>
      <w:r>
        <w:rPr>
          <w:color w:val="231F20"/>
        </w:rPr>
        <w:t>length</w:t>
      </w:r>
      <w:r>
        <w:rPr>
          <w:color w:val="231F20"/>
          <w:spacing w:val="-17"/>
        </w:rPr>
        <w:t xml:space="preserve"> </w:t>
      </w:r>
      <w:r>
        <w:rPr>
          <w:color w:val="231F20"/>
        </w:rPr>
        <w:t>on</w:t>
      </w:r>
      <w:r>
        <w:rPr>
          <w:color w:val="231F20"/>
          <w:spacing w:val="-11"/>
        </w:rPr>
        <w:t xml:space="preserve"> </w:t>
      </w:r>
      <w:r>
        <w:rPr>
          <w:color w:val="231F20"/>
        </w:rPr>
        <w:t>a</w:t>
      </w:r>
      <w:r>
        <w:rPr>
          <w:color w:val="231F20"/>
          <w:spacing w:val="-13"/>
        </w:rPr>
        <w:t xml:space="preserve"> </w:t>
      </w:r>
      <w:r>
        <w:rPr>
          <w:color w:val="231F20"/>
        </w:rPr>
        <w:t>major</w:t>
      </w:r>
      <w:r>
        <w:rPr>
          <w:color w:val="231F20"/>
          <w:spacing w:val="-15"/>
        </w:rPr>
        <w:t xml:space="preserve"> </w:t>
      </w:r>
      <w:r>
        <w:rPr>
          <w:color w:val="231F20"/>
        </w:rPr>
        <w:t>prospective geological structure. In addition, on the same geological structure approximately 7km south-east, another gold occurrence in association with VMS sulphide was also identified, which confirms the presence of multiple VMS Deposits containing gold occurring relatively near to one another at Troodos</w:t>
      </w:r>
      <w:r>
        <w:rPr>
          <w:color w:val="231F20"/>
          <w:spacing w:val="-11"/>
        </w:rPr>
        <w:t xml:space="preserve"> </w:t>
      </w:r>
      <w:r>
        <w:rPr>
          <w:color w:val="231F20"/>
        </w:rPr>
        <w:t>West.</w:t>
      </w:r>
    </w:p>
    <w:p w14:paraId="33023436" w14:textId="1D4C4B20" w:rsidR="0075699D" w:rsidRPr="00265FD3" w:rsidRDefault="00E31420" w:rsidP="0075699D">
      <w:pPr>
        <w:pStyle w:val="BodyText"/>
        <w:kinsoku w:val="0"/>
        <w:overflowPunct w:val="0"/>
        <w:spacing w:before="157"/>
        <w:ind w:left="300" w:right="1190"/>
        <w:jc w:val="both"/>
        <w:rPr>
          <w:b/>
          <w:i/>
          <w:color w:val="231F20"/>
          <w:highlight w:val="yellow"/>
        </w:rPr>
      </w:pPr>
      <w:r>
        <w:rPr>
          <w:color w:val="231F20"/>
        </w:rPr>
        <w:t>Gold</w:t>
      </w:r>
      <w:r>
        <w:rPr>
          <w:color w:val="231F20"/>
          <w:spacing w:val="-10"/>
        </w:rPr>
        <w:t xml:space="preserve"> </w:t>
      </w:r>
      <w:r>
        <w:rPr>
          <w:color w:val="231F20"/>
        </w:rPr>
        <w:t>intercepts</w:t>
      </w:r>
      <w:r>
        <w:rPr>
          <w:color w:val="231F20"/>
          <w:spacing w:val="-9"/>
        </w:rPr>
        <w:t xml:space="preserve"> </w:t>
      </w:r>
      <w:r>
        <w:rPr>
          <w:color w:val="231F20"/>
        </w:rPr>
        <w:t>were</w:t>
      </w:r>
      <w:r>
        <w:rPr>
          <w:color w:val="231F20"/>
          <w:spacing w:val="-12"/>
        </w:rPr>
        <w:t xml:space="preserve"> </w:t>
      </w:r>
      <w:r>
        <w:rPr>
          <w:color w:val="231F20"/>
        </w:rPr>
        <w:t>also</w:t>
      </w:r>
      <w:r>
        <w:rPr>
          <w:color w:val="231F20"/>
          <w:spacing w:val="-10"/>
        </w:rPr>
        <w:t xml:space="preserve"> </w:t>
      </w:r>
      <w:r>
        <w:rPr>
          <w:color w:val="231F20"/>
        </w:rPr>
        <w:t>encountered</w:t>
      </w:r>
      <w:r>
        <w:rPr>
          <w:color w:val="231F20"/>
          <w:spacing w:val="-9"/>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Group’s</w:t>
      </w:r>
      <w:r>
        <w:rPr>
          <w:color w:val="231F20"/>
          <w:spacing w:val="-9"/>
        </w:rPr>
        <w:t xml:space="preserve"> </w:t>
      </w:r>
      <w:r w:rsidR="00497D65">
        <w:rPr>
          <w:color w:val="231F20"/>
        </w:rPr>
        <w:t>D</w:t>
      </w:r>
      <w:r>
        <w:rPr>
          <w:color w:val="231F20"/>
        </w:rPr>
        <w:t>iamond</w:t>
      </w:r>
      <w:r>
        <w:rPr>
          <w:color w:val="231F20"/>
          <w:spacing w:val="-11"/>
        </w:rPr>
        <w:t xml:space="preserve"> </w:t>
      </w:r>
      <w:r w:rsidR="00497D65">
        <w:rPr>
          <w:color w:val="231F20"/>
        </w:rPr>
        <w:t>D</w:t>
      </w:r>
      <w:r>
        <w:rPr>
          <w:color w:val="231F20"/>
        </w:rPr>
        <w:t>rilling</w:t>
      </w:r>
      <w:r>
        <w:rPr>
          <w:color w:val="231F20"/>
          <w:spacing w:val="-12"/>
        </w:rPr>
        <w:t xml:space="preserve"> </w:t>
      </w:r>
      <w:r>
        <w:rPr>
          <w:color w:val="231F20"/>
        </w:rPr>
        <w:t>campaign</w:t>
      </w:r>
      <w:r>
        <w:rPr>
          <w:color w:val="231F20"/>
          <w:spacing w:val="-12"/>
        </w:rPr>
        <w:t xml:space="preserve"> </w:t>
      </w:r>
      <w:r>
        <w:rPr>
          <w:color w:val="231F20"/>
        </w:rPr>
        <w:t>at</w:t>
      </w:r>
      <w:r>
        <w:rPr>
          <w:color w:val="231F20"/>
          <w:spacing w:val="-11"/>
        </w:rPr>
        <w:t xml:space="preserve"> </w:t>
      </w:r>
      <w:r>
        <w:rPr>
          <w:color w:val="231F20"/>
        </w:rPr>
        <w:t>Troodos</w:t>
      </w:r>
      <w:r>
        <w:rPr>
          <w:color w:val="231F20"/>
          <w:spacing w:val="-16"/>
        </w:rPr>
        <w:t xml:space="preserve"> </w:t>
      </w:r>
      <w:r>
        <w:rPr>
          <w:color w:val="231F20"/>
        </w:rPr>
        <w:t>West</w:t>
      </w:r>
      <w:r>
        <w:rPr>
          <w:color w:val="231F20"/>
          <w:spacing w:val="-12"/>
        </w:rPr>
        <w:t xml:space="preserve"> </w:t>
      </w:r>
      <w:r>
        <w:rPr>
          <w:color w:val="231F20"/>
        </w:rPr>
        <w:t>in</w:t>
      </w:r>
      <w:r>
        <w:rPr>
          <w:color w:val="231F20"/>
          <w:spacing w:val="-11"/>
        </w:rPr>
        <w:t xml:space="preserve"> </w:t>
      </w:r>
      <w:r>
        <w:rPr>
          <w:color w:val="231F20"/>
        </w:rPr>
        <w:t>late</w:t>
      </w:r>
      <w:r>
        <w:rPr>
          <w:color w:val="231F20"/>
          <w:spacing w:val="-12"/>
        </w:rPr>
        <w:t xml:space="preserve"> </w:t>
      </w:r>
      <w:r>
        <w:rPr>
          <w:color w:val="231F20"/>
        </w:rPr>
        <w:t xml:space="preserve">2018. Rock core samples produced during this drill programme are being measured according to the length of underground </w:t>
      </w:r>
      <w:proofErr w:type="gramStart"/>
      <w:r>
        <w:rPr>
          <w:color w:val="231F20"/>
        </w:rPr>
        <w:t>intercept, and</w:t>
      </w:r>
      <w:proofErr w:type="gramEnd"/>
      <w:r>
        <w:rPr>
          <w:color w:val="231F20"/>
        </w:rPr>
        <w:t xml:space="preserve"> assayed for mineral grade. Among the most notable intercepts were 29.8 meters </w:t>
      </w:r>
      <w:r>
        <w:rPr>
          <w:color w:val="231F20"/>
        </w:rPr>
        <w:lastRenderedPageBreak/>
        <w:t>grading</w:t>
      </w:r>
      <w:r>
        <w:rPr>
          <w:color w:val="231F20"/>
          <w:spacing w:val="-13"/>
        </w:rPr>
        <w:t xml:space="preserve"> </w:t>
      </w:r>
      <w:r>
        <w:rPr>
          <w:color w:val="231F20"/>
        </w:rPr>
        <w:t>at</w:t>
      </w:r>
      <w:r>
        <w:rPr>
          <w:color w:val="231F20"/>
          <w:spacing w:val="-16"/>
        </w:rPr>
        <w:t xml:space="preserve"> </w:t>
      </w:r>
      <w:r>
        <w:rPr>
          <w:color w:val="231F20"/>
        </w:rPr>
        <w:t>an</w:t>
      </w:r>
      <w:r>
        <w:rPr>
          <w:color w:val="231F20"/>
          <w:spacing w:val="-13"/>
        </w:rPr>
        <w:t xml:space="preserve"> </w:t>
      </w:r>
      <w:r>
        <w:rPr>
          <w:color w:val="231F20"/>
        </w:rPr>
        <w:t>average</w:t>
      </w:r>
      <w:r>
        <w:rPr>
          <w:color w:val="231F20"/>
          <w:spacing w:val="-13"/>
        </w:rPr>
        <w:t xml:space="preserve"> </w:t>
      </w:r>
      <w:r>
        <w:rPr>
          <w:color w:val="231F20"/>
        </w:rPr>
        <w:t>of</w:t>
      </w:r>
      <w:r>
        <w:rPr>
          <w:color w:val="231F20"/>
          <w:spacing w:val="-16"/>
        </w:rPr>
        <w:t xml:space="preserve"> </w:t>
      </w:r>
      <w:r>
        <w:rPr>
          <w:color w:val="231F20"/>
        </w:rPr>
        <w:t>1.1g/t</w:t>
      </w:r>
      <w:r>
        <w:rPr>
          <w:color w:val="231F20"/>
          <w:spacing w:val="-16"/>
        </w:rPr>
        <w:t xml:space="preserve"> </w:t>
      </w:r>
      <w:r>
        <w:rPr>
          <w:color w:val="231F20"/>
        </w:rPr>
        <w:t>(grams</w:t>
      </w:r>
      <w:r>
        <w:rPr>
          <w:color w:val="231F20"/>
          <w:spacing w:val="-13"/>
        </w:rPr>
        <w:t xml:space="preserve"> </w:t>
      </w:r>
      <w:r>
        <w:rPr>
          <w:color w:val="231F20"/>
        </w:rPr>
        <w:t>per</w:t>
      </w:r>
      <w:r>
        <w:rPr>
          <w:color w:val="231F20"/>
          <w:spacing w:val="-14"/>
        </w:rPr>
        <w:t xml:space="preserve"> </w:t>
      </w:r>
      <w:r>
        <w:rPr>
          <w:color w:val="231F20"/>
        </w:rPr>
        <w:t>ton)</w:t>
      </w:r>
      <w:r>
        <w:rPr>
          <w:color w:val="231F20"/>
          <w:spacing w:val="-14"/>
        </w:rPr>
        <w:t xml:space="preserve"> </w:t>
      </w:r>
      <w:r>
        <w:rPr>
          <w:color w:val="231F20"/>
        </w:rPr>
        <w:t>Au</w:t>
      </w:r>
      <w:r>
        <w:rPr>
          <w:color w:val="231F20"/>
          <w:spacing w:val="-13"/>
        </w:rPr>
        <w:t xml:space="preserve"> </w:t>
      </w:r>
      <w:r>
        <w:rPr>
          <w:color w:val="231F20"/>
        </w:rPr>
        <w:t>(gold),</w:t>
      </w:r>
      <w:r>
        <w:rPr>
          <w:color w:val="231F20"/>
          <w:spacing w:val="-13"/>
        </w:rPr>
        <w:t xml:space="preserve"> </w:t>
      </w:r>
      <w:r>
        <w:rPr>
          <w:color w:val="231F20"/>
        </w:rPr>
        <w:t>27.9m</w:t>
      </w:r>
      <w:r>
        <w:rPr>
          <w:color w:val="231F20"/>
          <w:spacing w:val="-13"/>
        </w:rPr>
        <w:t xml:space="preserve"> </w:t>
      </w:r>
      <w:r>
        <w:rPr>
          <w:color w:val="231F20"/>
        </w:rPr>
        <w:t>at</w:t>
      </w:r>
      <w:r>
        <w:rPr>
          <w:color w:val="231F20"/>
          <w:spacing w:val="-14"/>
        </w:rPr>
        <w:t xml:space="preserve"> </w:t>
      </w:r>
      <w:r>
        <w:rPr>
          <w:color w:val="231F20"/>
        </w:rPr>
        <w:t>0.97g/t</w:t>
      </w:r>
      <w:r>
        <w:rPr>
          <w:color w:val="231F20"/>
          <w:spacing w:val="-14"/>
        </w:rPr>
        <w:t xml:space="preserve"> </w:t>
      </w:r>
      <w:r>
        <w:rPr>
          <w:color w:val="231F20"/>
        </w:rPr>
        <w:t>Au</w:t>
      </w:r>
      <w:r>
        <w:rPr>
          <w:color w:val="231F20"/>
          <w:spacing w:val="-13"/>
        </w:rPr>
        <w:t xml:space="preserve"> </w:t>
      </w:r>
      <w:r>
        <w:rPr>
          <w:color w:val="231F20"/>
        </w:rPr>
        <w:t>and</w:t>
      </w:r>
      <w:r>
        <w:rPr>
          <w:color w:val="231F20"/>
          <w:spacing w:val="-13"/>
        </w:rPr>
        <w:t xml:space="preserve"> </w:t>
      </w:r>
      <w:r>
        <w:rPr>
          <w:color w:val="231F20"/>
        </w:rPr>
        <w:t>10.5m</w:t>
      </w:r>
      <w:r>
        <w:rPr>
          <w:color w:val="231F20"/>
          <w:spacing w:val="-15"/>
        </w:rPr>
        <w:t xml:space="preserve"> </w:t>
      </w:r>
      <w:r>
        <w:rPr>
          <w:color w:val="231F20"/>
        </w:rPr>
        <w:t>at</w:t>
      </w:r>
      <w:r>
        <w:rPr>
          <w:color w:val="231F20"/>
          <w:spacing w:val="-14"/>
        </w:rPr>
        <w:t xml:space="preserve"> </w:t>
      </w:r>
      <w:r>
        <w:rPr>
          <w:color w:val="231F20"/>
        </w:rPr>
        <w:t>3.8</w:t>
      </w:r>
      <w:r>
        <w:rPr>
          <w:color w:val="231F20"/>
          <w:spacing w:val="-13"/>
        </w:rPr>
        <w:t xml:space="preserve"> </w:t>
      </w:r>
      <w:r>
        <w:rPr>
          <w:color w:val="231F20"/>
        </w:rPr>
        <w:t>g/t</w:t>
      </w:r>
      <w:r>
        <w:rPr>
          <w:color w:val="231F20"/>
          <w:spacing w:val="-14"/>
        </w:rPr>
        <w:t xml:space="preserve"> </w:t>
      </w:r>
      <w:r>
        <w:rPr>
          <w:color w:val="231F20"/>
        </w:rPr>
        <w:t>Au.</w:t>
      </w:r>
      <w:r>
        <w:rPr>
          <w:color w:val="231F20"/>
          <w:spacing w:val="-14"/>
        </w:rPr>
        <w:t xml:space="preserve"> </w:t>
      </w:r>
      <w:r>
        <w:rPr>
          <w:color w:val="231F20"/>
        </w:rPr>
        <w:t>The</w:t>
      </w:r>
      <w:r>
        <w:rPr>
          <w:color w:val="231F20"/>
          <w:spacing w:val="-13"/>
        </w:rPr>
        <w:t xml:space="preserve"> </w:t>
      </w:r>
      <w:r>
        <w:rPr>
          <w:color w:val="231F20"/>
        </w:rPr>
        <w:t xml:space="preserve">Directors believe that by industry standards, these would be considered noteworthy intersections in the context of exploring for commercially mineable gold deposits. Percussion </w:t>
      </w:r>
      <w:r w:rsidR="00497D65">
        <w:rPr>
          <w:color w:val="231F20"/>
        </w:rPr>
        <w:t>D</w:t>
      </w:r>
      <w:r>
        <w:rPr>
          <w:color w:val="231F20"/>
        </w:rPr>
        <w:t xml:space="preserve">rilling in early 2020 at the Group’s Hillside target encountered further gold enrichment in association with buried VMS sulphides. Rock chip assays from this area revealed intersections of VMS sulphides containing above 1 g/t Au. The Group’s technical team is also of the opinion, having carried out </w:t>
      </w:r>
      <w:proofErr w:type="gramStart"/>
      <w:r>
        <w:rPr>
          <w:color w:val="231F20"/>
        </w:rPr>
        <w:t>various different</w:t>
      </w:r>
      <w:proofErr w:type="gramEnd"/>
      <w:r>
        <w:rPr>
          <w:color w:val="231F20"/>
        </w:rPr>
        <w:t xml:space="preserve"> types of testing, that Cypriot deposits are capable of producing clean, gold-rich copper mineral concentrates that are in increasingly high demand from smelters</w:t>
      </w:r>
      <w:r>
        <w:rPr>
          <w:color w:val="231F20"/>
          <w:spacing w:val="-16"/>
        </w:rPr>
        <w:t xml:space="preserve"> </w:t>
      </w:r>
      <w:r>
        <w:rPr>
          <w:color w:val="231F20"/>
        </w:rPr>
        <w:t>globally.</w:t>
      </w:r>
    </w:p>
    <w:p w14:paraId="7699C319" w14:textId="53971117" w:rsidR="0075699D" w:rsidRDefault="0075699D" w:rsidP="0075699D">
      <w:pPr>
        <w:pStyle w:val="BodyText"/>
        <w:kinsoku w:val="0"/>
        <w:overflowPunct w:val="0"/>
        <w:spacing w:before="157"/>
        <w:ind w:left="300" w:right="1190"/>
        <w:jc w:val="both"/>
        <w:rPr>
          <w:color w:val="231F20"/>
        </w:rPr>
      </w:pPr>
      <w:r>
        <w:rPr>
          <w:color w:val="231F20"/>
        </w:rPr>
        <w:t xml:space="preserve">In the most recent assay results from the Group’s </w:t>
      </w:r>
      <w:r w:rsidR="00497D65">
        <w:rPr>
          <w:color w:val="231F20"/>
        </w:rPr>
        <w:t>D</w:t>
      </w:r>
      <w:r>
        <w:rPr>
          <w:color w:val="231F20"/>
        </w:rPr>
        <w:t xml:space="preserve">iamond </w:t>
      </w:r>
      <w:r w:rsidR="00497D65">
        <w:rPr>
          <w:color w:val="231F20"/>
        </w:rPr>
        <w:t>D</w:t>
      </w:r>
      <w:r>
        <w:rPr>
          <w:color w:val="231F20"/>
        </w:rPr>
        <w:t>rilling campaign</w:t>
      </w:r>
      <w:r w:rsidR="009D7652">
        <w:rPr>
          <w:color w:val="231F20"/>
        </w:rPr>
        <w:t xml:space="preserve"> of late 2020</w:t>
      </w:r>
      <w:r>
        <w:rPr>
          <w:color w:val="231F20"/>
        </w:rPr>
        <w:t>, two high grade intercepts of 3 g/t Au (gold) were encountered, providing further evidence of potentially commercial grades of gold in larger deposits.</w:t>
      </w:r>
    </w:p>
    <w:p w14:paraId="03DE7ADD" w14:textId="0A4F67A8" w:rsidR="00783288" w:rsidRDefault="00E31420">
      <w:pPr>
        <w:pStyle w:val="BodyText"/>
        <w:kinsoku w:val="0"/>
        <w:overflowPunct w:val="0"/>
        <w:spacing w:before="162"/>
        <w:ind w:left="300" w:right="1191"/>
        <w:jc w:val="both"/>
        <w:rPr>
          <w:color w:val="231F20"/>
        </w:rPr>
      </w:pPr>
      <w:r>
        <w:rPr>
          <w:color w:val="231F20"/>
        </w:rPr>
        <w:t>These factors, along with a</w:t>
      </w:r>
      <w:r w:rsidR="0075699D">
        <w:rPr>
          <w:color w:val="231F20"/>
        </w:rPr>
        <w:t>n</w:t>
      </w:r>
      <w:r>
        <w:rPr>
          <w:color w:val="231F20"/>
        </w:rPr>
        <w:t xml:space="preserve"> appreciation in the price of gold of </w:t>
      </w:r>
      <w:r w:rsidR="009D7652">
        <w:rPr>
          <w:color w:val="231F20"/>
        </w:rPr>
        <w:t>approximately</w:t>
      </w:r>
      <w:r>
        <w:rPr>
          <w:color w:val="231F20"/>
        </w:rPr>
        <w:t xml:space="preserve"> 40% over the last two years</w:t>
      </w:r>
      <w:r w:rsidR="009261AB">
        <w:rPr>
          <w:color w:val="231F20"/>
        </w:rPr>
        <w:t xml:space="preserve"> </w:t>
      </w:r>
      <w:r w:rsidR="00046867">
        <w:rPr>
          <w:i/>
          <w:color w:val="070808"/>
        </w:rPr>
        <w:t>(</w:t>
      </w:r>
      <w:r w:rsidR="009C1D2E" w:rsidRPr="0026107B">
        <w:rPr>
          <w:i/>
          <w:color w:val="070808"/>
        </w:rPr>
        <w:t>Source: London Metal Exchange,</w:t>
      </w:r>
      <w:r w:rsidR="00905DD2">
        <w:rPr>
          <w:b/>
          <w:i/>
          <w:color w:val="070808"/>
        </w:rPr>
        <w:t xml:space="preserve"> </w:t>
      </w:r>
      <w:hyperlink r:id="rId18" w:anchor="tabIndex=0" w:history="1">
        <w:r w:rsidR="00905DD2" w:rsidRPr="00EF2315">
          <w:rPr>
            <w:rStyle w:val="Hyperlink"/>
            <w:i/>
          </w:rPr>
          <w:t>https://www.lme.com/Metals/Precious-metals/LME-Gold#tabIndex=0</w:t>
        </w:r>
      </w:hyperlink>
      <w:r w:rsidR="00905DD2">
        <w:rPr>
          <w:i/>
        </w:rPr>
        <w:t xml:space="preserve"> </w:t>
      </w:r>
      <w:r w:rsidR="000C5E9B">
        <w:rPr>
          <w:i/>
        </w:rPr>
        <w:t>0</w:t>
      </w:r>
      <w:r w:rsidR="00117CD0">
        <w:rPr>
          <w:i/>
        </w:rPr>
        <w:t>1</w:t>
      </w:r>
      <w:r w:rsidR="000C5E9B">
        <w:rPr>
          <w:i/>
        </w:rPr>
        <w:t>.07.21</w:t>
      </w:r>
      <w:r w:rsidR="00046867">
        <w:rPr>
          <w:i/>
          <w:color w:val="070808"/>
        </w:rPr>
        <w:t>)</w:t>
      </w:r>
      <w:r w:rsidR="009C1D2E">
        <w:rPr>
          <w:i/>
          <w:color w:val="070808"/>
        </w:rPr>
        <w:t xml:space="preserve"> </w:t>
      </w:r>
      <w:r>
        <w:rPr>
          <w:color w:val="231F20"/>
        </w:rPr>
        <w:t>has emphasised</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Directors</w:t>
      </w:r>
      <w:r>
        <w:rPr>
          <w:color w:val="231F20"/>
          <w:spacing w:val="-6"/>
        </w:rPr>
        <w:t xml:space="preserve"> </w:t>
      </w:r>
      <w:r>
        <w:rPr>
          <w:color w:val="231F20"/>
        </w:rPr>
        <w:t>the</w:t>
      </w:r>
      <w:r>
        <w:rPr>
          <w:color w:val="231F20"/>
          <w:spacing w:val="-7"/>
        </w:rPr>
        <w:t xml:space="preserve"> </w:t>
      </w:r>
      <w:r>
        <w:rPr>
          <w:color w:val="231F20"/>
        </w:rPr>
        <w:t>importance</w:t>
      </w:r>
      <w:r>
        <w:rPr>
          <w:color w:val="231F20"/>
          <w:spacing w:val="-6"/>
        </w:rPr>
        <w:t xml:space="preserve"> </w:t>
      </w:r>
      <w:r>
        <w:rPr>
          <w:color w:val="231F20"/>
        </w:rPr>
        <w:t>of</w:t>
      </w:r>
      <w:r>
        <w:rPr>
          <w:color w:val="231F20"/>
          <w:spacing w:val="-7"/>
        </w:rPr>
        <w:t xml:space="preserve"> </w:t>
      </w:r>
      <w:r>
        <w:rPr>
          <w:color w:val="231F20"/>
        </w:rPr>
        <w:t>gold</w:t>
      </w:r>
      <w:r>
        <w:rPr>
          <w:color w:val="231F20"/>
          <w:spacing w:val="-6"/>
        </w:rPr>
        <w:t xml:space="preserve"> </w:t>
      </w:r>
      <w:r>
        <w:rPr>
          <w:color w:val="231F20"/>
        </w:rPr>
        <w:t>rich</w:t>
      </w:r>
      <w:r>
        <w:rPr>
          <w:color w:val="231F20"/>
          <w:spacing w:val="-9"/>
        </w:rPr>
        <w:t xml:space="preserve"> </w:t>
      </w:r>
      <w:r>
        <w:rPr>
          <w:color w:val="231F20"/>
        </w:rPr>
        <w:t>copper</w:t>
      </w:r>
      <w:r>
        <w:rPr>
          <w:color w:val="231F20"/>
          <w:spacing w:val="-6"/>
        </w:rPr>
        <w:t xml:space="preserve"> </w:t>
      </w:r>
      <w:r>
        <w:rPr>
          <w:color w:val="231F20"/>
        </w:rPr>
        <w:t>deposits</w:t>
      </w:r>
      <w:r>
        <w:rPr>
          <w:color w:val="231F20"/>
          <w:spacing w:val="-6"/>
        </w:rPr>
        <w:t xml:space="preserve"> </w:t>
      </w:r>
      <w:r>
        <w:rPr>
          <w:color w:val="231F20"/>
        </w:rPr>
        <w:t>to</w:t>
      </w:r>
      <w:r>
        <w:rPr>
          <w:color w:val="231F20"/>
          <w:spacing w:val="-7"/>
        </w:rPr>
        <w:t xml:space="preserve"> </w:t>
      </w:r>
      <w:r>
        <w:rPr>
          <w:color w:val="231F20"/>
        </w:rPr>
        <w:t>its</w:t>
      </w:r>
      <w:r>
        <w:rPr>
          <w:color w:val="231F20"/>
          <w:spacing w:val="-6"/>
        </w:rPr>
        <w:t xml:space="preserve"> </w:t>
      </w:r>
      <w:r>
        <w:rPr>
          <w:color w:val="231F20"/>
        </w:rPr>
        <w:t>operations</w:t>
      </w:r>
      <w:r>
        <w:rPr>
          <w:color w:val="231F20"/>
          <w:spacing w:val="-8"/>
        </w:rPr>
        <w:t xml:space="preserve"> </w:t>
      </w:r>
      <w:r>
        <w:rPr>
          <w:color w:val="231F20"/>
        </w:rPr>
        <w:t>and</w:t>
      </w:r>
      <w:r>
        <w:rPr>
          <w:color w:val="231F20"/>
          <w:spacing w:val="-7"/>
        </w:rPr>
        <w:t xml:space="preserve"> </w:t>
      </w:r>
      <w:r>
        <w:rPr>
          <w:color w:val="231F20"/>
        </w:rPr>
        <w:t>the</w:t>
      </w:r>
      <w:r>
        <w:rPr>
          <w:color w:val="231F20"/>
          <w:spacing w:val="-6"/>
        </w:rPr>
        <w:t xml:space="preserve"> </w:t>
      </w:r>
      <w:r>
        <w:rPr>
          <w:color w:val="231F20"/>
        </w:rPr>
        <w:t>Directors</w:t>
      </w:r>
      <w:r>
        <w:rPr>
          <w:color w:val="231F20"/>
          <w:spacing w:val="-7"/>
        </w:rPr>
        <w:t xml:space="preserve"> </w:t>
      </w:r>
      <w:r>
        <w:rPr>
          <w:color w:val="231F20"/>
        </w:rPr>
        <w:t>believe that gold will form an important component of the value of the Group’s mineral resource assets in</w:t>
      </w:r>
      <w:r>
        <w:rPr>
          <w:color w:val="231F20"/>
          <w:spacing w:val="-30"/>
        </w:rPr>
        <w:t xml:space="preserve"> </w:t>
      </w:r>
      <w:r>
        <w:rPr>
          <w:color w:val="231F20"/>
        </w:rPr>
        <w:t>Cyprus.</w:t>
      </w:r>
    </w:p>
    <w:p w14:paraId="4246A5CC" w14:textId="77777777" w:rsidR="009261AB" w:rsidRDefault="009261AB" w:rsidP="009261AB">
      <w:pPr>
        <w:pStyle w:val="BodyText"/>
        <w:kinsoku w:val="0"/>
        <w:overflowPunct w:val="0"/>
        <w:ind w:left="300" w:right="1191"/>
        <w:jc w:val="both"/>
        <w:rPr>
          <w:b/>
          <w:i/>
          <w:color w:val="070808"/>
          <w:highlight w:val="yellow"/>
        </w:rPr>
      </w:pPr>
    </w:p>
    <w:p w14:paraId="091C2F9A" w14:textId="291B415F" w:rsidR="00783288" w:rsidRDefault="00E31420" w:rsidP="00512495">
      <w:pPr>
        <w:pStyle w:val="Heading1"/>
        <w:numPr>
          <w:ilvl w:val="1"/>
          <w:numId w:val="20"/>
        </w:numPr>
        <w:tabs>
          <w:tab w:val="left" w:pos="1020"/>
        </w:tabs>
        <w:kinsoku w:val="0"/>
        <w:overflowPunct w:val="0"/>
        <w:spacing w:before="155"/>
        <w:rPr>
          <w:color w:val="231F20"/>
        </w:rPr>
      </w:pPr>
      <w:r>
        <w:rPr>
          <w:color w:val="231F20"/>
        </w:rPr>
        <w:t>Target</w:t>
      </w:r>
      <w:r>
        <w:rPr>
          <w:color w:val="231F20"/>
          <w:spacing w:val="-1"/>
        </w:rPr>
        <w:t xml:space="preserve"> </w:t>
      </w:r>
      <w:r>
        <w:rPr>
          <w:color w:val="231F20"/>
        </w:rPr>
        <w:t>Development</w:t>
      </w:r>
    </w:p>
    <w:p w14:paraId="15A7B1A1" w14:textId="77777777" w:rsidR="006211BA" w:rsidRPr="00FE358B" w:rsidRDefault="006211BA" w:rsidP="00FE358B"/>
    <w:p w14:paraId="33E01F0A" w14:textId="77777777" w:rsidR="00DD3FD2" w:rsidRPr="00DD3FD2" w:rsidRDefault="00DD3FD2" w:rsidP="00512495">
      <w:pPr>
        <w:pStyle w:val="ListParagraph"/>
        <w:numPr>
          <w:ilvl w:val="0"/>
          <w:numId w:val="19"/>
        </w:numPr>
        <w:tabs>
          <w:tab w:val="left" w:pos="1020"/>
        </w:tabs>
        <w:kinsoku w:val="0"/>
        <w:overflowPunct w:val="0"/>
        <w:rPr>
          <w:b/>
          <w:bCs/>
          <w:vanish/>
          <w:color w:val="231F20"/>
          <w:sz w:val="18"/>
          <w:szCs w:val="18"/>
        </w:rPr>
      </w:pPr>
    </w:p>
    <w:p w14:paraId="6338A1B2" w14:textId="77777777" w:rsidR="00DD3FD2" w:rsidRPr="00DD3FD2" w:rsidRDefault="00DD3FD2" w:rsidP="00512495">
      <w:pPr>
        <w:pStyle w:val="ListParagraph"/>
        <w:numPr>
          <w:ilvl w:val="1"/>
          <w:numId w:val="19"/>
        </w:numPr>
        <w:tabs>
          <w:tab w:val="left" w:pos="1020"/>
        </w:tabs>
        <w:kinsoku w:val="0"/>
        <w:overflowPunct w:val="0"/>
        <w:rPr>
          <w:b/>
          <w:bCs/>
          <w:vanish/>
          <w:color w:val="231F20"/>
          <w:sz w:val="18"/>
          <w:szCs w:val="18"/>
        </w:rPr>
      </w:pPr>
    </w:p>
    <w:p w14:paraId="2FC3CEB8" w14:textId="77777777" w:rsidR="00DD3FD2" w:rsidRPr="00DD3FD2" w:rsidRDefault="00DD3FD2" w:rsidP="00512495">
      <w:pPr>
        <w:pStyle w:val="ListParagraph"/>
        <w:numPr>
          <w:ilvl w:val="1"/>
          <w:numId w:val="19"/>
        </w:numPr>
        <w:tabs>
          <w:tab w:val="left" w:pos="1020"/>
        </w:tabs>
        <w:kinsoku w:val="0"/>
        <w:overflowPunct w:val="0"/>
        <w:rPr>
          <w:b/>
          <w:bCs/>
          <w:vanish/>
          <w:color w:val="231F20"/>
          <w:sz w:val="18"/>
          <w:szCs w:val="18"/>
        </w:rPr>
      </w:pPr>
    </w:p>
    <w:p w14:paraId="5045F2B4" w14:textId="61FE10FF" w:rsidR="00783288" w:rsidRPr="00DD3FD2" w:rsidRDefault="00DD3FD2" w:rsidP="00DD3FD2">
      <w:pPr>
        <w:tabs>
          <w:tab w:val="left" w:pos="1020"/>
        </w:tabs>
        <w:kinsoku w:val="0"/>
        <w:overflowPunct w:val="0"/>
        <w:ind w:left="299"/>
        <w:rPr>
          <w:b/>
          <w:bCs/>
          <w:color w:val="231F20"/>
          <w:sz w:val="18"/>
          <w:szCs w:val="18"/>
        </w:rPr>
      </w:pPr>
      <w:r>
        <w:rPr>
          <w:b/>
          <w:bCs/>
          <w:color w:val="231F20"/>
          <w:sz w:val="18"/>
          <w:szCs w:val="18"/>
        </w:rPr>
        <w:t xml:space="preserve">3.10.1 </w:t>
      </w:r>
      <w:r w:rsidR="00E31420" w:rsidRPr="00DD3FD2">
        <w:rPr>
          <w:b/>
          <w:bCs/>
          <w:color w:val="231F20"/>
          <w:sz w:val="18"/>
          <w:szCs w:val="18"/>
        </w:rPr>
        <w:t>Troodos West</w:t>
      </w:r>
    </w:p>
    <w:p w14:paraId="267CC673" w14:textId="77777777" w:rsidR="00783288" w:rsidRDefault="00783288">
      <w:pPr>
        <w:pStyle w:val="BodyText"/>
        <w:kinsoku w:val="0"/>
        <w:overflowPunct w:val="0"/>
        <w:spacing w:before="6"/>
        <w:rPr>
          <w:b/>
          <w:bCs/>
        </w:rPr>
      </w:pPr>
    </w:p>
    <w:p w14:paraId="2FB8B625" w14:textId="336E64F7" w:rsidR="00D56AD8" w:rsidRDefault="00E31420">
      <w:pPr>
        <w:pStyle w:val="BodyText"/>
        <w:kinsoku w:val="0"/>
        <w:overflowPunct w:val="0"/>
        <w:ind w:left="300" w:right="1189"/>
        <w:jc w:val="both"/>
        <w:rPr>
          <w:color w:val="231F20"/>
        </w:rPr>
      </w:pPr>
      <w:r>
        <w:rPr>
          <w:color w:val="231F20"/>
        </w:rPr>
        <w:t>Throughout 2019, the Group focused on its exploration resources on its Troodos West licence area, using the variety of inter-connected exploration techniques referenced at paragraph 3.6 of this Part I above, to identify over 30</w:t>
      </w:r>
      <w:r>
        <w:rPr>
          <w:color w:val="231F20"/>
          <w:spacing w:val="-5"/>
        </w:rPr>
        <w:t xml:space="preserve"> </w:t>
      </w:r>
      <w:r>
        <w:rPr>
          <w:color w:val="231F20"/>
        </w:rPr>
        <w:t>specific</w:t>
      </w:r>
      <w:r>
        <w:rPr>
          <w:color w:val="231F20"/>
          <w:spacing w:val="-6"/>
        </w:rPr>
        <w:t xml:space="preserve"> </w:t>
      </w:r>
      <w:r>
        <w:rPr>
          <w:color w:val="231F20"/>
        </w:rPr>
        <w:t>targets</w:t>
      </w:r>
      <w:r>
        <w:rPr>
          <w:color w:val="231F20"/>
          <w:spacing w:val="-3"/>
        </w:rPr>
        <w:t xml:space="preserve"> </w:t>
      </w:r>
      <w:r>
        <w:rPr>
          <w:color w:val="231F20"/>
        </w:rPr>
        <w:t>which</w:t>
      </w:r>
      <w:r>
        <w:rPr>
          <w:color w:val="231F20"/>
          <w:spacing w:val="-4"/>
        </w:rPr>
        <w:t xml:space="preserve"> </w:t>
      </w:r>
      <w:r>
        <w:rPr>
          <w:color w:val="231F20"/>
        </w:rPr>
        <w:t>were</w:t>
      </w:r>
      <w:r>
        <w:rPr>
          <w:color w:val="231F20"/>
          <w:spacing w:val="-6"/>
        </w:rPr>
        <w:t xml:space="preserve"> </w:t>
      </w:r>
      <w:r>
        <w:rPr>
          <w:color w:val="231F20"/>
        </w:rPr>
        <w:t>considered</w:t>
      </w:r>
      <w:r>
        <w:rPr>
          <w:color w:val="231F20"/>
          <w:spacing w:val="-4"/>
        </w:rPr>
        <w:t xml:space="preserve"> </w:t>
      </w:r>
      <w:r>
        <w:rPr>
          <w:color w:val="231F20"/>
        </w:rPr>
        <w:t>for</w:t>
      </w:r>
      <w:r>
        <w:rPr>
          <w:color w:val="231F20"/>
          <w:spacing w:val="-4"/>
        </w:rPr>
        <w:t xml:space="preserve"> </w:t>
      </w:r>
      <w:r>
        <w:rPr>
          <w:color w:val="231F20"/>
        </w:rPr>
        <w:t>drilling</w:t>
      </w:r>
      <w:r>
        <w:rPr>
          <w:color w:val="231F20"/>
          <w:spacing w:val="-4"/>
        </w:rPr>
        <w:t xml:space="preserve"> </w:t>
      </w:r>
      <w:r>
        <w:rPr>
          <w:color w:val="231F20"/>
        </w:rPr>
        <w:t>and</w:t>
      </w:r>
      <w:r>
        <w:rPr>
          <w:color w:val="231F20"/>
          <w:spacing w:val="-5"/>
        </w:rPr>
        <w:t xml:space="preserve"> </w:t>
      </w:r>
      <w:r>
        <w:rPr>
          <w:color w:val="231F20"/>
        </w:rPr>
        <w:t>testing.</w:t>
      </w:r>
      <w:r>
        <w:rPr>
          <w:color w:val="231F20"/>
          <w:spacing w:val="-4"/>
        </w:rPr>
        <w:t xml:space="preserve"> </w:t>
      </w:r>
      <w:r>
        <w:rPr>
          <w:color w:val="231F20"/>
        </w:rPr>
        <w:t>As</w:t>
      </w:r>
      <w:r>
        <w:rPr>
          <w:color w:val="231F20"/>
          <w:spacing w:val="-3"/>
        </w:rPr>
        <w:t xml:space="preserve"> </w:t>
      </w:r>
      <w:r>
        <w:rPr>
          <w:color w:val="231F20"/>
        </w:rPr>
        <w:t>at</w:t>
      </w:r>
      <w:r>
        <w:rPr>
          <w:color w:val="231F20"/>
          <w:spacing w:val="-4"/>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of</w:t>
      </w:r>
      <w:r>
        <w:rPr>
          <w:color w:val="231F20"/>
          <w:spacing w:val="-4"/>
        </w:rPr>
        <w:t xml:space="preserve"> </w:t>
      </w:r>
      <w:r>
        <w:rPr>
          <w:color w:val="231F20"/>
        </w:rPr>
        <w:t>this</w:t>
      </w:r>
      <w:r>
        <w:rPr>
          <w:color w:val="231F20"/>
          <w:spacing w:val="-3"/>
        </w:rPr>
        <w:t xml:space="preserve"> </w:t>
      </w:r>
      <w:r>
        <w:rPr>
          <w:color w:val="231F20"/>
        </w:rPr>
        <w:t>Document,</w:t>
      </w:r>
      <w:r>
        <w:rPr>
          <w:color w:val="231F20"/>
          <w:spacing w:val="-7"/>
        </w:rPr>
        <w:t xml:space="preserve"> </w:t>
      </w:r>
      <w:r>
        <w:rPr>
          <w:color w:val="231F20"/>
        </w:rPr>
        <w:t>this</w:t>
      </w:r>
      <w:r>
        <w:rPr>
          <w:color w:val="231F20"/>
          <w:spacing w:val="-3"/>
        </w:rPr>
        <w:t xml:space="preserve"> </w:t>
      </w:r>
      <w:r>
        <w:rPr>
          <w:color w:val="231F20"/>
        </w:rPr>
        <w:t>list</w:t>
      </w:r>
      <w:r>
        <w:rPr>
          <w:color w:val="231F20"/>
          <w:spacing w:val="-4"/>
        </w:rPr>
        <w:t xml:space="preserve"> </w:t>
      </w:r>
      <w:r>
        <w:rPr>
          <w:color w:val="231F20"/>
        </w:rPr>
        <w:t>includes the</w:t>
      </w:r>
      <w:r>
        <w:rPr>
          <w:color w:val="231F20"/>
          <w:spacing w:val="-3"/>
        </w:rPr>
        <w:t xml:space="preserve"> </w:t>
      </w:r>
      <w:r>
        <w:rPr>
          <w:color w:val="231F20"/>
        </w:rPr>
        <w:t>following</w:t>
      </w:r>
      <w:r>
        <w:rPr>
          <w:color w:val="231F20"/>
          <w:spacing w:val="-4"/>
        </w:rPr>
        <w:t xml:space="preserve"> </w:t>
      </w:r>
      <w:r>
        <w:rPr>
          <w:color w:val="231F20"/>
        </w:rPr>
        <w:t>notable</w:t>
      </w:r>
      <w:r>
        <w:rPr>
          <w:color w:val="231F20"/>
          <w:spacing w:val="-3"/>
        </w:rPr>
        <w:t xml:space="preserve"> </w:t>
      </w:r>
      <w:r>
        <w:rPr>
          <w:color w:val="231F20"/>
        </w:rPr>
        <w:t>target</w:t>
      </w:r>
      <w:r>
        <w:rPr>
          <w:color w:val="231F20"/>
          <w:spacing w:val="-4"/>
        </w:rPr>
        <w:t xml:space="preserve"> </w:t>
      </w:r>
      <w:r>
        <w:rPr>
          <w:color w:val="231F20"/>
        </w:rPr>
        <w:t>sites:</w:t>
      </w:r>
      <w:r>
        <w:rPr>
          <w:color w:val="231F20"/>
          <w:spacing w:val="-3"/>
        </w:rPr>
        <w:t xml:space="preserve"> </w:t>
      </w:r>
      <w:proofErr w:type="spellStart"/>
      <w:r>
        <w:rPr>
          <w:color w:val="231F20"/>
        </w:rPr>
        <w:t>Evlim</w:t>
      </w:r>
      <w:proofErr w:type="spellEnd"/>
      <w:r>
        <w:rPr>
          <w:color w:val="231F20"/>
        </w:rPr>
        <w:t>,</w:t>
      </w:r>
      <w:r>
        <w:rPr>
          <w:color w:val="231F20"/>
          <w:spacing w:val="-3"/>
        </w:rPr>
        <w:t xml:space="preserve"> </w:t>
      </w:r>
      <w:r>
        <w:rPr>
          <w:color w:val="231F20"/>
        </w:rPr>
        <w:t>Hillside,</w:t>
      </w:r>
      <w:r>
        <w:rPr>
          <w:color w:val="231F20"/>
          <w:spacing w:val="-4"/>
        </w:rPr>
        <w:t xml:space="preserve"> </w:t>
      </w:r>
      <w:r>
        <w:rPr>
          <w:color w:val="231F20"/>
        </w:rPr>
        <w:t>Kin</w:t>
      </w:r>
      <w:r>
        <w:rPr>
          <w:color w:val="231F20"/>
          <w:spacing w:val="-2"/>
        </w:rPr>
        <w:t xml:space="preserve"> </w:t>
      </w:r>
      <w:r>
        <w:rPr>
          <w:color w:val="231F20"/>
        </w:rPr>
        <w:t>Valley,</w:t>
      </w:r>
      <w:r>
        <w:rPr>
          <w:color w:val="231F20"/>
          <w:spacing w:val="-4"/>
        </w:rPr>
        <w:t xml:space="preserve"> </w:t>
      </w:r>
      <w:r>
        <w:rPr>
          <w:color w:val="231F20"/>
        </w:rPr>
        <w:t>Embayment,</w:t>
      </w:r>
      <w:r>
        <w:rPr>
          <w:color w:val="231F20"/>
          <w:spacing w:val="-4"/>
        </w:rPr>
        <w:t xml:space="preserve"> </w:t>
      </w:r>
      <w:r>
        <w:rPr>
          <w:color w:val="231F20"/>
        </w:rPr>
        <w:t>Prince,</w:t>
      </w:r>
      <w:r>
        <w:rPr>
          <w:color w:val="231F20"/>
          <w:spacing w:val="-3"/>
        </w:rPr>
        <w:t xml:space="preserve"> </w:t>
      </w:r>
      <w:r>
        <w:rPr>
          <w:color w:val="231F20"/>
        </w:rPr>
        <w:t>Orchard,</w:t>
      </w:r>
      <w:r>
        <w:rPr>
          <w:color w:val="231F20"/>
          <w:spacing w:val="-6"/>
        </w:rPr>
        <w:t xml:space="preserve"> </w:t>
      </w:r>
      <w:r>
        <w:rPr>
          <w:color w:val="231F20"/>
        </w:rPr>
        <w:t>Princess,</w:t>
      </w:r>
      <w:r>
        <w:rPr>
          <w:color w:val="231F20"/>
          <w:spacing w:val="-3"/>
        </w:rPr>
        <w:t xml:space="preserve"> </w:t>
      </w:r>
      <w:proofErr w:type="spellStart"/>
      <w:r>
        <w:rPr>
          <w:color w:val="231F20"/>
        </w:rPr>
        <w:t>Copse</w:t>
      </w:r>
      <w:proofErr w:type="spellEnd"/>
      <w:r>
        <w:rPr>
          <w:color w:val="231F20"/>
          <w:spacing w:val="-10"/>
        </w:rPr>
        <w:t xml:space="preserve"> </w:t>
      </w:r>
      <w:r>
        <w:rPr>
          <w:color w:val="231F20"/>
        </w:rPr>
        <w:t xml:space="preserve">West, </w:t>
      </w:r>
      <w:proofErr w:type="spellStart"/>
      <w:r>
        <w:rPr>
          <w:color w:val="231F20"/>
        </w:rPr>
        <w:t>Copse</w:t>
      </w:r>
      <w:proofErr w:type="spellEnd"/>
      <w:r>
        <w:rPr>
          <w:color w:val="231F20"/>
        </w:rPr>
        <w:t xml:space="preserve"> East, Ridgecrest, </w:t>
      </w:r>
      <w:proofErr w:type="spellStart"/>
      <w:r>
        <w:rPr>
          <w:color w:val="231F20"/>
        </w:rPr>
        <w:t>Kinplane</w:t>
      </w:r>
      <w:proofErr w:type="spellEnd"/>
      <w:r>
        <w:rPr>
          <w:color w:val="231F20"/>
        </w:rPr>
        <w:t xml:space="preserve"> and Forest sites. As at the date of this Document, the Group’s highest priority drill targets on its Troodos West licence (which it considers to be most prospective for copper and gold) area are </w:t>
      </w:r>
      <w:proofErr w:type="spellStart"/>
      <w:r>
        <w:rPr>
          <w:color w:val="231F20"/>
        </w:rPr>
        <w:t>Evlim</w:t>
      </w:r>
      <w:proofErr w:type="spellEnd"/>
      <w:r>
        <w:rPr>
          <w:color w:val="231F20"/>
        </w:rPr>
        <w:t xml:space="preserve">, </w:t>
      </w:r>
      <w:proofErr w:type="spellStart"/>
      <w:r>
        <w:rPr>
          <w:color w:val="231F20"/>
        </w:rPr>
        <w:t>KinValley</w:t>
      </w:r>
      <w:proofErr w:type="spellEnd"/>
      <w:r>
        <w:rPr>
          <w:color w:val="231F20"/>
        </w:rPr>
        <w:t xml:space="preserve"> and Hillside. This target list represents a principal asset of the Group and the locations of the targets are depicted at Figure 2</w:t>
      </w:r>
      <w:r>
        <w:rPr>
          <w:color w:val="231F20"/>
          <w:spacing w:val="-2"/>
        </w:rPr>
        <w:t xml:space="preserve"> </w:t>
      </w:r>
      <w:r>
        <w:rPr>
          <w:color w:val="231F20"/>
        </w:rPr>
        <w:t>below.</w:t>
      </w:r>
    </w:p>
    <w:p w14:paraId="6E815113" w14:textId="77777777" w:rsidR="00783288" w:rsidRDefault="00783288">
      <w:pPr>
        <w:pStyle w:val="BodyText"/>
        <w:kinsoku w:val="0"/>
        <w:overflowPunct w:val="0"/>
        <w:ind w:left="300" w:right="1189"/>
        <w:jc w:val="both"/>
        <w:rPr>
          <w:color w:val="231F20"/>
        </w:rPr>
      </w:pPr>
    </w:p>
    <w:p w14:paraId="5BBE8EB1" w14:textId="77777777" w:rsidR="00783288" w:rsidRDefault="00E31420">
      <w:pPr>
        <w:pStyle w:val="BodyText"/>
        <w:kinsoku w:val="0"/>
        <w:overflowPunct w:val="0"/>
        <w:ind w:left="300"/>
        <w:rPr>
          <w:sz w:val="20"/>
          <w:szCs w:val="20"/>
        </w:rPr>
      </w:pPr>
      <w:r>
        <w:rPr>
          <w:noProof/>
          <w:sz w:val="20"/>
          <w:szCs w:val="20"/>
        </w:rPr>
        <w:drawing>
          <wp:inline distT="0" distB="0" distL="0" distR="0" wp14:anchorId="0EEEF20B" wp14:editId="7FC84CFC">
            <wp:extent cx="3308350" cy="323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8350" cy="3232150"/>
                    </a:xfrm>
                    <a:prstGeom prst="rect">
                      <a:avLst/>
                    </a:prstGeom>
                    <a:noFill/>
                    <a:ln>
                      <a:noFill/>
                    </a:ln>
                  </pic:spPr>
                </pic:pic>
              </a:graphicData>
            </a:graphic>
          </wp:inline>
        </w:drawing>
      </w:r>
    </w:p>
    <w:p w14:paraId="38750354" w14:textId="77777777" w:rsidR="00783288" w:rsidRDefault="00E31420">
      <w:pPr>
        <w:pStyle w:val="Heading2"/>
        <w:kinsoku w:val="0"/>
        <w:overflowPunct w:val="0"/>
        <w:spacing w:before="151"/>
        <w:jc w:val="left"/>
        <w:rPr>
          <w:color w:val="231F20"/>
        </w:rPr>
      </w:pPr>
      <w:r>
        <w:rPr>
          <w:color w:val="231F20"/>
        </w:rPr>
        <w:t>Figure 2</w:t>
      </w:r>
    </w:p>
    <w:p w14:paraId="7C0D7DFC" w14:textId="77777777" w:rsidR="00783288" w:rsidRDefault="00783288">
      <w:pPr>
        <w:pStyle w:val="BodyText"/>
        <w:kinsoku w:val="0"/>
        <w:overflowPunct w:val="0"/>
        <w:spacing w:before="4"/>
        <w:rPr>
          <w:b/>
          <w:bCs/>
          <w:i/>
          <w:iCs/>
        </w:rPr>
      </w:pPr>
    </w:p>
    <w:p w14:paraId="2CA72FE6" w14:textId="77777777" w:rsidR="00783288" w:rsidRDefault="00E31420">
      <w:pPr>
        <w:pStyle w:val="BodyText"/>
        <w:kinsoku w:val="0"/>
        <w:overflowPunct w:val="0"/>
        <w:ind w:left="300" w:right="1189"/>
        <w:rPr>
          <w:color w:val="231F20"/>
        </w:rPr>
      </w:pPr>
      <w:r>
        <w:rPr>
          <w:color w:val="231F20"/>
        </w:rPr>
        <w:t>The Directors consider the Group’s Troodos West licence area particularly prospective for copper and gold VMS mineralisation because:</w:t>
      </w:r>
    </w:p>
    <w:p w14:paraId="24E54E11" w14:textId="538D9D63" w:rsidR="00783288" w:rsidRDefault="00E31420" w:rsidP="00512495">
      <w:pPr>
        <w:pStyle w:val="ListParagraph"/>
        <w:numPr>
          <w:ilvl w:val="3"/>
          <w:numId w:val="19"/>
        </w:numPr>
        <w:tabs>
          <w:tab w:val="left" w:pos="1069"/>
        </w:tabs>
        <w:kinsoku w:val="0"/>
        <w:overflowPunct w:val="0"/>
        <w:spacing w:line="259" w:lineRule="auto"/>
        <w:ind w:right="1191" w:hanging="360"/>
        <w:rPr>
          <w:color w:val="231F20"/>
          <w:sz w:val="18"/>
          <w:szCs w:val="18"/>
        </w:rPr>
      </w:pPr>
      <w:r>
        <w:rPr>
          <w:color w:val="231F20"/>
          <w:sz w:val="18"/>
          <w:szCs w:val="18"/>
        </w:rPr>
        <w:t xml:space="preserve">it has already identified copper and gold mineralisation in this area following </w:t>
      </w:r>
      <w:r w:rsidR="00497D65">
        <w:rPr>
          <w:color w:val="231F20"/>
          <w:sz w:val="18"/>
          <w:szCs w:val="18"/>
        </w:rPr>
        <w:t>P</w:t>
      </w:r>
      <w:r>
        <w:rPr>
          <w:color w:val="231F20"/>
          <w:sz w:val="18"/>
          <w:szCs w:val="18"/>
        </w:rPr>
        <w:t xml:space="preserve">ercussion </w:t>
      </w:r>
      <w:r w:rsidR="00497D65">
        <w:rPr>
          <w:color w:val="231F20"/>
          <w:sz w:val="18"/>
          <w:szCs w:val="18"/>
        </w:rPr>
        <w:t>D</w:t>
      </w:r>
      <w:r>
        <w:rPr>
          <w:color w:val="231F20"/>
          <w:sz w:val="18"/>
          <w:szCs w:val="18"/>
        </w:rPr>
        <w:t xml:space="preserve">rilling in 2018 and 2020 and is currently </w:t>
      </w:r>
      <w:r w:rsidR="00497D65">
        <w:rPr>
          <w:color w:val="231F20"/>
          <w:sz w:val="18"/>
          <w:szCs w:val="18"/>
        </w:rPr>
        <w:t>D</w:t>
      </w:r>
      <w:r>
        <w:rPr>
          <w:color w:val="231F20"/>
          <w:sz w:val="18"/>
          <w:szCs w:val="18"/>
        </w:rPr>
        <w:t xml:space="preserve">iamond </w:t>
      </w:r>
      <w:r w:rsidR="00497D65">
        <w:rPr>
          <w:color w:val="231F20"/>
          <w:sz w:val="18"/>
          <w:szCs w:val="18"/>
        </w:rPr>
        <w:t>D</w:t>
      </w:r>
      <w:r>
        <w:rPr>
          <w:color w:val="231F20"/>
          <w:sz w:val="18"/>
          <w:szCs w:val="18"/>
        </w:rPr>
        <w:t>rilling on this</w:t>
      </w:r>
      <w:r>
        <w:rPr>
          <w:color w:val="231F20"/>
          <w:spacing w:val="-9"/>
          <w:sz w:val="18"/>
          <w:szCs w:val="18"/>
        </w:rPr>
        <w:t xml:space="preserve"> </w:t>
      </w:r>
      <w:proofErr w:type="gramStart"/>
      <w:r>
        <w:rPr>
          <w:color w:val="231F20"/>
          <w:sz w:val="18"/>
          <w:szCs w:val="18"/>
        </w:rPr>
        <w:t>area;</w:t>
      </w:r>
      <w:proofErr w:type="gramEnd"/>
    </w:p>
    <w:p w14:paraId="0BF0AEE8" w14:textId="77777777" w:rsidR="00783288" w:rsidRDefault="00E31420" w:rsidP="00512495">
      <w:pPr>
        <w:pStyle w:val="ListParagraph"/>
        <w:numPr>
          <w:ilvl w:val="3"/>
          <w:numId w:val="19"/>
        </w:numPr>
        <w:tabs>
          <w:tab w:val="left" w:pos="1069"/>
        </w:tabs>
        <w:kinsoku w:val="0"/>
        <w:overflowPunct w:val="0"/>
        <w:spacing w:line="256" w:lineRule="auto"/>
        <w:ind w:right="1191" w:hanging="360"/>
        <w:rPr>
          <w:color w:val="231F20"/>
          <w:sz w:val="18"/>
          <w:szCs w:val="18"/>
        </w:rPr>
      </w:pPr>
      <w:r>
        <w:rPr>
          <w:color w:val="231F20"/>
          <w:sz w:val="18"/>
          <w:szCs w:val="18"/>
        </w:rPr>
        <w:t>there</w:t>
      </w:r>
      <w:r>
        <w:rPr>
          <w:color w:val="231F20"/>
          <w:spacing w:val="-7"/>
          <w:sz w:val="18"/>
          <w:szCs w:val="18"/>
        </w:rPr>
        <w:t xml:space="preserve"> </w:t>
      </w:r>
      <w:r>
        <w:rPr>
          <w:color w:val="231F20"/>
          <w:sz w:val="18"/>
          <w:szCs w:val="18"/>
        </w:rPr>
        <w:t>are</w:t>
      </w:r>
      <w:r>
        <w:rPr>
          <w:color w:val="231F20"/>
          <w:spacing w:val="-6"/>
          <w:sz w:val="18"/>
          <w:szCs w:val="18"/>
        </w:rPr>
        <w:t xml:space="preserve"> </w:t>
      </w:r>
      <w:r>
        <w:rPr>
          <w:color w:val="231F20"/>
          <w:sz w:val="18"/>
          <w:szCs w:val="18"/>
        </w:rPr>
        <w:t>four</w:t>
      </w:r>
      <w:r>
        <w:rPr>
          <w:color w:val="231F20"/>
          <w:spacing w:val="-8"/>
          <w:sz w:val="18"/>
          <w:szCs w:val="18"/>
        </w:rPr>
        <w:t xml:space="preserve"> </w:t>
      </w:r>
      <w:r>
        <w:rPr>
          <w:color w:val="231F20"/>
          <w:sz w:val="18"/>
          <w:szCs w:val="18"/>
        </w:rPr>
        <w:t>historic</w:t>
      </w:r>
      <w:r>
        <w:rPr>
          <w:color w:val="231F20"/>
          <w:spacing w:val="-8"/>
          <w:sz w:val="18"/>
          <w:szCs w:val="18"/>
        </w:rPr>
        <w:t xml:space="preserve"> </w:t>
      </w:r>
      <w:r>
        <w:rPr>
          <w:color w:val="231F20"/>
          <w:sz w:val="18"/>
          <w:szCs w:val="18"/>
        </w:rPr>
        <w:t>mines</w:t>
      </w:r>
      <w:r>
        <w:rPr>
          <w:color w:val="231F20"/>
          <w:spacing w:val="-6"/>
          <w:sz w:val="18"/>
          <w:szCs w:val="18"/>
        </w:rPr>
        <w:t xml:space="preserve"> </w:t>
      </w:r>
      <w:r>
        <w:rPr>
          <w:color w:val="231F20"/>
          <w:sz w:val="18"/>
          <w:szCs w:val="18"/>
        </w:rPr>
        <w:t>from</w:t>
      </w:r>
      <w:r>
        <w:rPr>
          <w:color w:val="231F20"/>
          <w:spacing w:val="-7"/>
          <w:sz w:val="18"/>
          <w:szCs w:val="18"/>
        </w:rPr>
        <w:t xml:space="preserve"> </w:t>
      </w:r>
      <w:r>
        <w:rPr>
          <w:color w:val="231F20"/>
          <w:sz w:val="18"/>
          <w:szCs w:val="18"/>
        </w:rPr>
        <w:t>previous</w:t>
      </w:r>
      <w:r>
        <w:rPr>
          <w:color w:val="231F20"/>
          <w:spacing w:val="-8"/>
          <w:sz w:val="18"/>
          <w:szCs w:val="18"/>
        </w:rPr>
        <w:t xml:space="preserve"> </w:t>
      </w:r>
      <w:r>
        <w:rPr>
          <w:color w:val="231F20"/>
          <w:sz w:val="18"/>
          <w:szCs w:val="18"/>
        </w:rPr>
        <w:t>operators</w:t>
      </w:r>
      <w:r>
        <w:rPr>
          <w:color w:val="231F20"/>
          <w:spacing w:val="-7"/>
          <w:sz w:val="18"/>
          <w:szCs w:val="18"/>
        </w:rPr>
        <w:t xml:space="preserve"> </w:t>
      </w:r>
      <w:r>
        <w:rPr>
          <w:color w:val="231F20"/>
          <w:sz w:val="18"/>
          <w:szCs w:val="18"/>
        </w:rPr>
        <w:t>located</w:t>
      </w:r>
      <w:r>
        <w:rPr>
          <w:color w:val="231F20"/>
          <w:spacing w:val="-8"/>
          <w:sz w:val="18"/>
          <w:szCs w:val="18"/>
        </w:rPr>
        <w:t xml:space="preserve"> </w:t>
      </w:r>
      <w:r>
        <w:rPr>
          <w:color w:val="231F20"/>
          <w:sz w:val="18"/>
          <w:szCs w:val="18"/>
        </w:rPr>
        <w:t>on</w:t>
      </w:r>
      <w:r>
        <w:rPr>
          <w:color w:val="231F20"/>
          <w:spacing w:val="-6"/>
          <w:sz w:val="18"/>
          <w:szCs w:val="18"/>
        </w:rPr>
        <w:t xml:space="preserve"> </w:t>
      </w:r>
      <w:r>
        <w:rPr>
          <w:color w:val="231F20"/>
          <w:sz w:val="18"/>
          <w:szCs w:val="18"/>
        </w:rPr>
        <w:t>Troodos</w:t>
      </w:r>
      <w:r>
        <w:rPr>
          <w:color w:val="231F20"/>
          <w:spacing w:val="-11"/>
          <w:sz w:val="18"/>
          <w:szCs w:val="18"/>
        </w:rPr>
        <w:t xml:space="preserve"> </w:t>
      </w:r>
      <w:r>
        <w:rPr>
          <w:color w:val="231F20"/>
          <w:sz w:val="18"/>
          <w:szCs w:val="18"/>
        </w:rPr>
        <w:t>West,</w:t>
      </w:r>
      <w:r>
        <w:rPr>
          <w:color w:val="231F20"/>
          <w:spacing w:val="-6"/>
          <w:sz w:val="18"/>
          <w:szCs w:val="18"/>
        </w:rPr>
        <w:t xml:space="preserve"> </w:t>
      </w:r>
      <w:r>
        <w:rPr>
          <w:color w:val="231F20"/>
          <w:sz w:val="18"/>
          <w:szCs w:val="18"/>
        </w:rPr>
        <w:t>each</w:t>
      </w:r>
      <w:r>
        <w:rPr>
          <w:color w:val="231F20"/>
          <w:spacing w:val="-9"/>
          <w:sz w:val="18"/>
          <w:szCs w:val="18"/>
        </w:rPr>
        <w:t xml:space="preserve"> </w:t>
      </w:r>
      <w:r>
        <w:rPr>
          <w:color w:val="231F20"/>
          <w:sz w:val="18"/>
          <w:szCs w:val="18"/>
        </w:rPr>
        <w:t>of</w:t>
      </w:r>
      <w:r>
        <w:rPr>
          <w:color w:val="231F20"/>
          <w:spacing w:val="-7"/>
          <w:sz w:val="18"/>
          <w:szCs w:val="18"/>
        </w:rPr>
        <w:t xml:space="preserve"> </w:t>
      </w:r>
      <w:r>
        <w:rPr>
          <w:color w:val="231F20"/>
          <w:sz w:val="18"/>
          <w:szCs w:val="18"/>
        </w:rPr>
        <w:t>which</w:t>
      </w:r>
      <w:r>
        <w:rPr>
          <w:color w:val="231F20"/>
          <w:spacing w:val="-6"/>
          <w:sz w:val="18"/>
          <w:szCs w:val="18"/>
        </w:rPr>
        <w:t xml:space="preserve"> </w:t>
      </w:r>
      <w:r>
        <w:rPr>
          <w:color w:val="231F20"/>
          <w:sz w:val="18"/>
          <w:szCs w:val="18"/>
        </w:rPr>
        <w:t>had</w:t>
      </w:r>
      <w:r>
        <w:rPr>
          <w:color w:val="231F20"/>
          <w:spacing w:val="-9"/>
          <w:sz w:val="18"/>
          <w:szCs w:val="18"/>
        </w:rPr>
        <w:t xml:space="preserve"> </w:t>
      </w:r>
      <w:r>
        <w:rPr>
          <w:color w:val="231F20"/>
          <w:sz w:val="18"/>
          <w:szCs w:val="18"/>
        </w:rPr>
        <w:t>strong historic production records for</w:t>
      </w:r>
      <w:r>
        <w:rPr>
          <w:color w:val="231F20"/>
          <w:spacing w:val="-4"/>
          <w:sz w:val="18"/>
          <w:szCs w:val="18"/>
        </w:rPr>
        <w:t xml:space="preserve"> </w:t>
      </w:r>
      <w:proofErr w:type="gramStart"/>
      <w:r>
        <w:rPr>
          <w:color w:val="231F20"/>
          <w:sz w:val="18"/>
          <w:szCs w:val="18"/>
        </w:rPr>
        <w:t>copper;</w:t>
      </w:r>
      <w:proofErr w:type="gramEnd"/>
    </w:p>
    <w:p w14:paraId="2B72ADC2" w14:textId="77777777" w:rsidR="00783288" w:rsidRDefault="00E31420" w:rsidP="00512495">
      <w:pPr>
        <w:pStyle w:val="ListParagraph"/>
        <w:numPr>
          <w:ilvl w:val="3"/>
          <w:numId w:val="19"/>
        </w:numPr>
        <w:tabs>
          <w:tab w:val="left" w:pos="1069"/>
        </w:tabs>
        <w:kinsoku w:val="0"/>
        <w:overflowPunct w:val="0"/>
        <w:spacing w:line="256" w:lineRule="auto"/>
        <w:ind w:right="1189" w:hanging="360"/>
        <w:rPr>
          <w:color w:val="231F20"/>
          <w:sz w:val="18"/>
          <w:szCs w:val="18"/>
        </w:rPr>
      </w:pPr>
      <w:r>
        <w:rPr>
          <w:color w:val="231F20"/>
          <w:sz w:val="18"/>
          <w:szCs w:val="18"/>
        </w:rPr>
        <w:t>there is direct geological evidence of copper mineralisation such as outcrops of primary copper sulphide (chalcopyrite), secondary copper (such as malachite staining) and ancient slag</w:t>
      </w:r>
      <w:r>
        <w:rPr>
          <w:color w:val="231F20"/>
          <w:spacing w:val="-16"/>
          <w:sz w:val="18"/>
          <w:szCs w:val="18"/>
        </w:rPr>
        <w:t xml:space="preserve"> </w:t>
      </w:r>
      <w:proofErr w:type="gramStart"/>
      <w:r>
        <w:rPr>
          <w:color w:val="231F20"/>
          <w:sz w:val="18"/>
          <w:szCs w:val="18"/>
        </w:rPr>
        <w:t>piles;</w:t>
      </w:r>
      <w:proofErr w:type="gramEnd"/>
    </w:p>
    <w:p w14:paraId="6980BD25" w14:textId="77777777" w:rsidR="00783288" w:rsidRDefault="00E31420" w:rsidP="00512495">
      <w:pPr>
        <w:pStyle w:val="ListParagraph"/>
        <w:numPr>
          <w:ilvl w:val="3"/>
          <w:numId w:val="19"/>
        </w:numPr>
        <w:tabs>
          <w:tab w:val="left" w:pos="1069"/>
        </w:tabs>
        <w:kinsoku w:val="0"/>
        <w:overflowPunct w:val="0"/>
        <w:spacing w:line="256" w:lineRule="auto"/>
        <w:ind w:right="1191" w:hanging="360"/>
        <w:rPr>
          <w:color w:val="231F20"/>
          <w:sz w:val="18"/>
          <w:szCs w:val="18"/>
        </w:rPr>
      </w:pPr>
      <w:r>
        <w:rPr>
          <w:color w:val="231F20"/>
          <w:sz w:val="18"/>
          <w:szCs w:val="18"/>
        </w:rPr>
        <w:t>prospective host rocks are currently only exposed over approximately 20 per cent of the Troodos West area but it has already yielded four mines and numerous</w:t>
      </w:r>
      <w:r>
        <w:rPr>
          <w:color w:val="231F20"/>
          <w:spacing w:val="-6"/>
          <w:sz w:val="18"/>
          <w:szCs w:val="18"/>
        </w:rPr>
        <w:t xml:space="preserve"> </w:t>
      </w:r>
      <w:proofErr w:type="gramStart"/>
      <w:r>
        <w:rPr>
          <w:color w:val="231F20"/>
          <w:sz w:val="18"/>
          <w:szCs w:val="18"/>
        </w:rPr>
        <w:t>prospects;</w:t>
      </w:r>
      <w:proofErr w:type="gramEnd"/>
    </w:p>
    <w:p w14:paraId="0AE53433" w14:textId="77777777" w:rsidR="00783288" w:rsidRDefault="00E31420" w:rsidP="00512495">
      <w:pPr>
        <w:pStyle w:val="ListParagraph"/>
        <w:numPr>
          <w:ilvl w:val="3"/>
          <w:numId w:val="19"/>
        </w:numPr>
        <w:tabs>
          <w:tab w:val="left" w:pos="1069"/>
        </w:tabs>
        <w:kinsoku w:val="0"/>
        <w:overflowPunct w:val="0"/>
        <w:spacing w:line="256" w:lineRule="auto"/>
        <w:ind w:right="1191" w:hanging="360"/>
        <w:rPr>
          <w:color w:val="231F20"/>
          <w:sz w:val="18"/>
          <w:szCs w:val="18"/>
        </w:rPr>
      </w:pPr>
      <w:r>
        <w:rPr>
          <w:color w:val="231F20"/>
          <w:sz w:val="18"/>
          <w:szCs w:val="18"/>
        </w:rPr>
        <w:lastRenderedPageBreak/>
        <w:t>previous exploration work carried out by the Group identified new prospects with potential high-grade copper and gold mineralisation that have not yet been fully evaluated by the</w:t>
      </w:r>
      <w:r>
        <w:rPr>
          <w:color w:val="231F20"/>
          <w:spacing w:val="-13"/>
          <w:sz w:val="18"/>
          <w:szCs w:val="18"/>
        </w:rPr>
        <w:t xml:space="preserve"> </w:t>
      </w:r>
      <w:r>
        <w:rPr>
          <w:color w:val="231F20"/>
          <w:sz w:val="18"/>
          <w:szCs w:val="18"/>
        </w:rPr>
        <w:t>Group.</w:t>
      </w:r>
    </w:p>
    <w:p w14:paraId="16103064" w14:textId="5B16BF74" w:rsidR="009D7652" w:rsidRDefault="009D7652" w:rsidP="00512495">
      <w:pPr>
        <w:pStyle w:val="ListParagraph"/>
        <w:numPr>
          <w:ilvl w:val="3"/>
          <w:numId w:val="19"/>
        </w:numPr>
        <w:tabs>
          <w:tab w:val="left" w:pos="1069"/>
        </w:tabs>
        <w:kinsoku w:val="0"/>
        <w:overflowPunct w:val="0"/>
        <w:spacing w:line="256" w:lineRule="auto"/>
        <w:ind w:right="1191" w:hanging="360"/>
        <w:rPr>
          <w:color w:val="231F20"/>
          <w:sz w:val="18"/>
          <w:szCs w:val="18"/>
        </w:rPr>
      </w:pPr>
      <w:r>
        <w:rPr>
          <w:color w:val="231F20"/>
          <w:sz w:val="18"/>
          <w:szCs w:val="18"/>
        </w:rPr>
        <w:t xml:space="preserve">Assays from </w:t>
      </w:r>
      <w:r w:rsidR="00497D65">
        <w:rPr>
          <w:color w:val="231F20"/>
          <w:sz w:val="18"/>
          <w:szCs w:val="18"/>
        </w:rPr>
        <w:t>D</w:t>
      </w:r>
      <w:r>
        <w:rPr>
          <w:color w:val="231F20"/>
          <w:sz w:val="18"/>
          <w:szCs w:val="18"/>
        </w:rPr>
        <w:t xml:space="preserve">iamond </w:t>
      </w:r>
      <w:r w:rsidR="00497D65">
        <w:rPr>
          <w:color w:val="231F20"/>
          <w:sz w:val="18"/>
          <w:szCs w:val="18"/>
        </w:rPr>
        <w:t>D</w:t>
      </w:r>
      <w:r>
        <w:rPr>
          <w:color w:val="231F20"/>
          <w:sz w:val="18"/>
          <w:szCs w:val="18"/>
        </w:rPr>
        <w:t>rilling (below) two intercepts displayed revealed high grade polymetallic massive sulphide mineralisation</w:t>
      </w:r>
      <w:r w:rsidR="0017121F">
        <w:rPr>
          <w:color w:val="231F20"/>
          <w:sz w:val="18"/>
          <w:szCs w:val="18"/>
        </w:rPr>
        <w:t>.</w:t>
      </w:r>
      <w:r>
        <w:rPr>
          <w:color w:val="231F20"/>
          <w:sz w:val="18"/>
          <w:szCs w:val="18"/>
        </w:rPr>
        <w:t xml:space="preserve"> </w:t>
      </w:r>
    </w:p>
    <w:p w14:paraId="061D3816" w14:textId="77777777" w:rsidR="00783288" w:rsidRDefault="00783288">
      <w:pPr>
        <w:pStyle w:val="BodyText"/>
        <w:kinsoku w:val="0"/>
        <w:overflowPunct w:val="0"/>
        <w:spacing w:before="3"/>
      </w:pPr>
    </w:p>
    <w:p w14:paraId="29FD499C" w14:textId="4580B5D1" w:rsidR="00783288" w:rsidRDefault="00E31420">
      <w:pPr>
        <w:pStyle w:val="BodyText"/>
        <w:kinsoku w:val="0"/>
        <w:overflowPunct w:val="0"/>
        <w:ind w:left="300" w:right="1191"/>
        <w:jc w:val="both"/>
        <w:rPr>
          <w:color w:val="231F20"/>
        </w:rPr>
      </w:pPr>
      <w:r>
        <w:rPr>
          <w:color w:val="231F20"/>
        </w:rPr>
        <w:t>Despite</w:t>
      </w:r>
      <w:r>
        <w:rPr>
          <w:color w:val="231F20"/>
          <w:spacing w:val="-10"/>
        </w:rPr>
        <w:t xml:space="preserve"> </w:t>
      </w:r>
      <w:r>
        <w:rPr>
          <w:color w:val="231F20"/>
        </w:rPr>
        <w:t>the</w:t>
      </w:r>
      <w:r>
        <w:rPr>
          <w:color w:val="231F20"/>
          <w:spacing w:val="-9"/>
        </w:rPr>
        <w:t xml:space="preserve"> </w:t>
      </w:r>
      <w:r>
        <w:rPr>
          <w:color w:val="231F20"/>
        </w:rPr>
        <w:t>above,</w:t>
      </w:r>
      <w:r>
        <w:rPr>
          <w:color w:val="231F20"/>
          <w:spacing w:val="-10"/>
        </w:rPr>
        <w:t xml:space="preserve"> </w:t>
      </w:r>
      <w:r>
        <w:rPr>
          <w:color w:val="231F20"/>
        </w:rPr>
        <w:t>although</w:t>
      </w:r>
      <w:r>
        <w:rPr>
          <w:color w:val="231F20"/>
          <w:spacing w:val="-9"/>
        </w:rPr>
        <w:t xml:space="preserve"> </w:t>
      </w:r>
      <w:r>
        <w:rPr>
          <w:color w:val="231F20"/>
        </w:rPr>
        <w:t>exploration</w:t>
      </w:r>
      <w:r>
        <w:rPr>
          <w:color w:val="231F20"/>
          <w:spacing w:val="-10"/>
        </w:rPr>
        <w:t xml:space="preserve"> </w:t>
      </w:r>
      <w:r>
        <w:rPr>
          <w:color w:val="231F20"/>
        </w:rPr>
        <w:t>and</w:t>
      </w:r>
      <w:r>
        <w:rPr>
          <w:color w:val="231F20"/>
          <w:spacing w:val="-9"/>
        </w:rPr>
        <w:t xml:space="preserve"> </w:t>
      </w:r>
      <w:r>
        <w:rPr>
          <w:color w:val="231F20"/>
        </w:rPr>
        <w:t>drilling</w:t>
      </w:r>
      <w:r>
        <w:rPr>
          <w:color w:val="231F20"/>
          <w:spacing w:val="-10"/>
        </w:rPr>
        <w:t xml:space="preserve"> </w:t>
      </w:r>
      <w:r>
        <w:rPr>
          <w:color w:val="231F20"/>
        </w:rPr>
        <w:t>results</w:t>
      </w:r>
      <w:r>
        <w:rPr>
          <w:color w:val="231F20"/>
          <w:spacing w:val="-8"/>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Troodos</w:t>
      </w:r>
      <w:r>
        <w:rPr>
          <w:color w:val="231F20"/>
          <w:spacing w:val="-14"/>
        </w:rPr>
        <w:t xml:space="preserve"> </w:t>
      </w:r>
      <w:r>
        <w:rPr>
          <w:color w:val="231F20"/>
        </w:rPr>
        <w:t>West</w:t>
      </w:r>
      <w:r>
        <w:rPr>
          <w:color w:val="231F20"/>
          <w:spacing w:val="-9"/>
        </w:rPr>
        <w:t xml:space="preserve"> </w:t>
      </w:r>
      <w:r>
        <w:rPr>
          <w:color w:val="231F20"/>
        </w:rPr>
        <w:t>licence</w:t>
      </w:r>
      <w:r>
        <w:rPr>
          <w:color w:val="231F20"/>
          <w:spacing w:val="-9"/>
        </w:rPr>
        <w:t xml:space="preserve"> </w:t>
      </w:r>
      <w:r>
        <w:rPr>
          <w:color w:val="231F20"/>
        </w:rPr>
        <w:t>area</w:t>
      </w:r>
      <w:r>
        <w:rPr>
          <w:color w:val="231F20"/>
          <w:spacing w:val="-10"/>
        </w:rPr>
        <w:t xml:space="preserve"> </w:t>
      </w:r>
      <w:r>
        <w:rPr>
          <w:color w:val="231F20"/>
        </w:rPr>
        <w:t>have</w:t>
      </w:r>
      <w:r>
        <w:rPr>
          <w:color w:val="231F20"/>
          <w:spacing w:val="-9"/>
        </w:rPr>
        <w:t xml:space="preserve"> </w:t>
      </w:r>
      <w:r>
        <w:rPr>
          <w:color w:val="231F20"/>
        </w:rPr>
        <w:t>been</w:t>
      </w:r>
      <w:r>
        <w:rPr>
          <w:color w:val="231F20"/>
          <w:spacing w:val="-10"/>
        </w:rPr>
        <w:t xml:space="preserve"> </w:t>
      </w:r>
      <w:r>
        <w:rPr>
          <w:color w:val="231F20"/>
        </w:rPr>
        <w:t xml:space="preserve">positive so far, further assays and testing are required of the core samples derived from </w:t>
      </w:r>
      <w:r w:rsidR="00497D65">
        <w:rPr>
          <w:color w:val="231F20"/>
        </w:rPr>
        <w:t>D</w:t>
      </w:r>
      <w:r>
        <w:rPr>
          <w:color w:val="231F20"/>
        </w:rPr>
        <w:t xml:space="preserve">iamond </w:t>
      </w:r>
      <w:r w:rsidR="00497D65">
        <w:rPr>
          <w:color w:val="231F20"/>
        </w:rPr>
        <w:t>D</w:t>
      </w:r>
      <w:r>
        <w:rPr>
          <w:color w:val="231F20"/>
        </w:rPr>
        <w:t>rilling to determine the prospectively of each target drilled and whether any of them would be viable to develop commercially. There can be no guarantees that any of the drill results from Troodos West identified so far will result in the establishment of a commercially mineable</w:t>
      </w:r>
      <w:r>
        <w:rPr>
          <w:color w:val="231F20"/>
          <w:spacing w:val="-3"/>
        </w:rPr>
        <w:t xml:space="preserve"> </w:t>
      </w:r>
      <w:r>
        <w:rPr>
          <w:color w:val="231F20"/>
        </w:rPr>
        <w:t>resource.</w:t>
      </w:r>
    </w:p>
    <w:p w14:paraId="74FDA030" w14:textId="77777777" w:rsidR="00783288" w:rsidRDefault="00783288">
      <w:pPr>
        <w:pStyle w:val="BodyText"/>
        <w:kinsoku w:val="0"/>
        <w:overflowPunct w:val="0"/>
        <w:spacing w:before="5"/>
        <w:rPr>
          <w:sz w:val="17"/>
          <w:szCs w:val="17"/>
        </w:rPr>
      </w:pPr>
    </w:p>
    <w:p w14:paraId="40F74C52" w14:textId="77777777" w:rsidR="00783288" w:rsidRDefault="00E31420">
      <w:pPr>
        <w:pStyle w:val="Heading1"/>
        <w:kinsoku w:val="0"/>
        <w:overflowPunct w:val="0"/>
        <w:spacing w:before="1"/>
        <w:jc w:val="both"/>
        <w:rPr>
          <w:color w:val="231F20"/>
        </w:rPr>
      </w:pPr>
      <w:r>
        <w:rPr>
          <w:color w:val="231F20"/>
        </w:rPr>
        <w:t>2020 Diamond drill and Survey Programme</w:t>
      </w:r>
    </w:p>
    <w:p w14:paraId="53423932" w14:textId="5895CA8A" w:rsidR="00265FD3" w:rsidRDefault="00265FD3">
      <w:pPr>
        <w:pStyle w:val="BodyText"/>
        <w:kinsoku w:val="0"/>
        <w:overflowPunct w:val="0"/>
        <w:spacing w:before="1"/>
        <w:ind w:left="300" w:right="1188"/>
        <w:jc w:val="both"/>
        <w:rPr>
          <w:color w:val="231F20"/>
        </w:rPr>
      </w:pPr>
    </w:p>
    <w:p w14:paraId="40249614" w14:textId="330F98C3" w:rsidR="00265FD3" w:rsidRDefault="00265FD3">
      <w:pPr>
        <w:pStyle w:val="BodyText"/>
        <w:kinsoku w:val="0"/>
        <w:overflowPunct w:val="0"/>
        <w:spacing w:before="1"/>
        <w:ind w:left="300" w:right="1188"/>
        <w:jc w:val="both"/>
        <w:rPr>
          <w:color w:val="231F20"/>
        </w:rPr>
      </w:pPr>
      <w:r>
        <w:rPr>
          <w:color w:val="231F20"/>
        </w:rPr>
        <w:t xml:space="preserve">The Group </w:t>
      </w:r>
      <w:r w:rsidR="00D54C5D">
        <w:rPr>
          <w:color w:val="231F20"/>
        </w:rPr>
        <w:t>undertook</w:t>
      </w:r>
      <w:r w:rsidR="004865EF">
        <w:rPr>
          <w:color w:val="231F20"/>
        </w:rPr>
        <w:t xml:space="preserve"> approximately 2,100m of</w:t>
      </w:r>
      <w:r w:rsidR="00D54C5D">
        <w:rPr>
          <w:color w:val="231F20"/>
        </w:rPr>
        <w:t xml:space="preserve"> Diamond Drilling </w:t>
      </w:r>
      <w:r w:rsidR="004865EF">
        <w:rPr>
          <w:color w:val="231F20"/>
        </w:rPr>
        <w:t>on</w:t>
      </w:r>
      <w:r>
        <w:rPr>
          <w:color w:val="231F20"/>
        </w:rPr>
        <w:t xml:space="preserve"> </w:t>
      </w:r>
      <w:proofErr w:type="gramStart"/>
      <w:r>
        <w:rPr>
          <w:color w:val="231F20"/>
        </w:rPr>
        <w:t>a number of</w:t>
      </w:r>
      <w:proofErr w:type="gramEnd"/>
      <w:r>
        <w:rPr>
          <w:color w:val="231F20"/>
        </w:rPr>
        <w:t xml:space="preserve"> targets from September to November</w:t>
      </w:r>
      <w:r w:rsidR="00122E36">
        <w:rPr>
          <w:color w:val="231F20"/>
        </w:rPr>
        <w:t xml:space="preserve"> 2020</w:t>
      </w:r>
      <w:r>
        <w:rPr>
          <w:color w:val="231F20"/>
        </w:rPr>
        <w:t xml:space="preserve">. The </w:t>
      </w:r>
      <w:r w:rsidR="00E16D27">
        <w:rPr>
          <w:color w:val="231F20"/>
        </w:rPr>
        <w:t xml:space="preserve">Diamond Drilling </w:t>
      </w:r>
      <w:r>
        <w:rPr>
          <w:color w:val="231F20"/>
        </w:rPr>
        <w:t xml:space="preserve">provided encouraging inter-sections on all three of the Group’s priority targets. </w:t>
      </w:r>
    </w:p>
    <w:p w14:paraId="0B1F3139" w14:textId="46B01334" w:rsidR="00265FD3" w:rsidRDefault="00265FD3">
      <w:pPr>
        <w:pStyle w:val="BodyText"/>
        <w:kinsoku w:val="0"/>
        <w:overflowPunct w:val="0"/>
        <w:spacing w:before="1"/>
        <w:ind w:left="300" w:right="1188"/>
        <w:jc w:val="both"/>
        <w:rPr>
          <w:color w:val="231F20"/>
        </w:rPr>
      </w:pPr>
    </w:p>
    <w:p w14:paraId="6BDD7968" w14:textId="6ABF13D7" w:rsidR="00265FD3" w:rsidRDefault="00265FD3">
      <w:pPr>
        <w:pStyle w:val="BodyText"/>
        <w:kinsoku w:val="0"/>
        <w:overflowPunct w:val="0"/>
        <w:spacing w:before="1"/>
        <w:ind w:left="300" w:right="1188"/>
        <w:jc w:val="both"/>
        <w:rPr>
          <w:color w:val="231F20"/>
        </w:rPr>
      </w:pPr>
      <w:r>
        <w:rPr>
          <w:color w:val="231F20"/>
        </w:rPr>
        <w:t xml:space="preserve">At target </w:t>
      </w:r>
      <w:proofErr w:type="spellStart"/>
      <w:r>
        <w:rPr>
          <w:color w:val="231F20"/>
        </w:rPr>
        <w:t>Evlim</w:t>
      </w:r>
      <w:proofErr w:type="spellEnd"/>
      <w:r>
        <w:rPr>
          <w:color w:val="231F20"/>
        </w:rPr>
        <w:t xml:space="preserve">, high-grade, resource quality polymetallic massive sulphides were encountered from a depth of 148.50-151.15m, i.e. 2.65m with assayed grades of 2.8% copper, 3.8% zinc, 3.0g/t silver. The total mineralised width of the intersection was 11.6m. </w:t>
      </w:r>
    </w:p>
    <w:p w14:paraId="3F691BF0" w14:textId="3E619131" w:rsidR="006A3C3E" w:rsidRDefault="006A3C3E">
      <w:pPr>
        <w:pStyle w:val="BodyText"/>
        <w:kinsoku w:val="0"/>
        <w:overflowPunct w:val="0"/>
        <w:spacing w:before="1"/>
        <w:ind w:left="300" w:right="1188"/>
        <w:jc w:val="both"/>
        <w:rPr>
          <w:color w:val="231F20"/>
        </w:rPr>
      </w:pPr>
    </w:p>
    <w:p w14:paraId="400BD7D2" w14:textId="6A437BC2" w:rsidR="006A3C3E" w:rsidRDefault="006A3C3E">
      <w:pPr>
        <w:pStyle w:val="BodyText"/>
        <w:kinsoku w:val="0"/>
        <w:overflowPunct w:val="0"/>
        <w:spacing w:before="1"/>
        <w:ind w:left="300" w:right="1188"/>
        <w:jc w:val="both"/>
        <w:rPr>
          <w:color w:val="231F20"/>
        </w:rPr>
      </w:pPr>
      <w:r>
        <w:rPr>
          <w:color w:val="231F20"/>
        </w:rPr>
        <w:t xml:space="preserve">At target Hillside, resource-grade polymetallic sulphides were encountered from a depth of 143.55-146.00m i.e. 2.45m with assayed grades of 1.4% copper, 4.4% zinc, 3.0g/t gold, 38 g/t silver. The total mineralised width of the intersection was 16.6m. </w:t>
      </w:r>
    </w:p>
    <w:p w14:paraId="39EFB757" w14:textId="3C5953BB" w:rsidR="006A3C3E" w:rsidRDefault="006A3C3E">
      <w:pPr>
        <w:pStyle w:val="BodyText"/>
        <w:kinsoku w:val="0"/>
        <w:overflowPunct w:val="0"/>
        <w:spacing w:before="1"/>
        <w:ind w:left="300" w:right="1188"/>
        <w:jc w:val="both"/>
        <w:rPr>
          <w:color w:val="231F20"/>
        </w:rPr>
      </w:pPr>
    </w:p>
    <w:p w14:paraId="2C9F84A7" w14:textId="5B1D68DB" w:rsidR="007574A5" w:rsidRDefault="006A3C3E" w:rsidP="006A3C3E">
      <w:pPr>
        <w:pStyle w:val="BodyText"/>
        <w:kinsoku w:val="0"/>
        <w:overflowPunct w:val="0"/>
        <w:spacing w:before="1"/>
        <w:ind w:left="300" w:right="1188"/>
        <w:jc w:val="both"/>
        <w:rPr>
          <w:color w:val="231F20"/>
        </w:rPr>
      </w:pPr>
      <w:r>
        <w:rPr>
          <w:color w:val="231F20"/>
        </w:rPr>
        <w:t xml:space="preserve">At target </w:t>
      </w:r>
      <w:proofErr w:type="spellStart"/>
      <w:r>
        <w:rPr>
          <w:color w:val="231F20"/>
        </w:rPr>
        <w:t>KinValley</w:t>
      </w:r>
      <w:proofErr w:type="spellEnd"/>
      <w:r>
        <w:rPr>
          <w:color w:val="231F20"/>
        </w:rPr>
        <w:t>, traces of supergene native copper were encountered in three drill holes, indicative of a primary copper sulphide source undergoing weathering nearby.</w:t>
      </w:r>
    </w:p>
    <w:p w14:paraId="5EE12766" w14:textId="77777777" w:rsidR="007574A5" w:rsidRDefault="007574A5" w:rsidP="006A3C3E">
      <w:pPr>
        <w:pStyle w:val="BodyText"/>
        <w:kinsoku w:val="0"/>
        <w:overflowPunct w:val="0"/>
        <w:spacing w:before="1"/>
        <w:ind w:right="1188"/>
        <w:jc w:val="both"/>
        <w:rPr>
          <w:color w:val="231F20"/>
        </w:rPr>
      </w:pPr>
    </w:p>
    <w:p w14:paraId="7EB167F7" w14:textId="3C399619" w:rsidR="00783288" w:rsidRDefault="00E31420">
      <w:pPr>
        <w:pStyle w:val="BodyText"/>
        <w:kinsoku w:val="0"/>
        <w:overflowPunct w:val="0"/>
        <w:spacing w:before="1"/>
        <w:ind w:left="300" w:right="1188"/>
        <w:jc w:val="both"/>
        <w:rPr>
          <w:color w:val="231F20"/>
        </w:rPr>
      </w:pPr>
      <w:r>
        <w:rPr>
          <w:color w:val="231F20"/>
        </w:rPr>
        <w:t>The</w:t>
      </w:r>
      <w:r>
        <w:rPr>
          <w:color w:val="231F20"/>
          <w:spacing w:val="-6"/>
        </w:rPr>
        <w:t xml:space="preserve"> </w:t>
      </w:r>
      <w:r>
        <w:rPr>
          <w:color w:val="231F20"/>
        </w:rPr>
        <w:t>Group</w:t>
      </w:r>
      <w:r>
        <w:rPr>
          <w:color w:val="231F20"/>
          <w:spacing w:val="-6"/>
        </w:rPr>
        <w:t xml:space="preserve"> </w:t>
      </w:r>
      <w:r>
        <w:rPr>
          <w:color w:val="231F20"/>
        </w:rPr>
        <w:t>concurrently</w:t>
      </w:r>
      <w:r>
        <w:rPr>
          <w:color w:val="231F20"/>
          <w:spacing w:val="-8"/>
        </w:rPr>
        <w:t xml:space="preserve"> </w:t>
      </w:r>
      <w:r>
        <w:rPr>
          <w:color w:val="231F20"/>
        </w:rPr>
        <w:t>ran</w:t>
      </w:r>
      <w:r>
        <w:rPr>
          <w:color w:val="231F20"/>
          <w:spacing w:val="-6"/>
        </w:rPr>
        <w:t xml:space="preserve"> </w:t>
      </w:r>
      <w:r w:rsidR="007574A5">
        <w:rPr>
          <w:color w:val="231F20"/>
          <w:spacing w:val="-6"/>
        </w:rPr>
        <w:t xml:space="preserve">a series of </w:t>
      </w:r>
      <w:r>
        <w:rPr>
          <w:color w:val="231F20"/>
        </w:rPr>
        <w:t>AMT</w:t>
      </w:r>
      <w:r>
        <w:rPr>
          <w:color w:val="231F20"/>
          <w:spacing w:val="-9"/>
        </w:rPr>
        <w:t xml:space="preserve"> </w:t>
      </w:r>
      <w:r>
        <w:rPr>
          <w:color w:val="231F20"/>
        </w:rPr>
        <w:t>geophysics</w:t>
      </w:r>
      <w:r>
        <w:rPr>
          <w:color w:val="231F20"/>
          <w:spacing w:val="-8"/>
        </w:rPr>
        <w:t xml:space="preserve"> </w:t>
      </w:r>
      <w:r>
        <w:rPr>
          <w:color w:val="231F20"/>
        </w:rPr>
        <w:t>survey</w:t>
      </w:r>
      <w:r w:rsidR="007574A5">
        <w:rPr>
          <w:color w:val="231F20"/>
        </w:rPr>
        <w:t>s</w:t>
      </w:r>
      <w:r>
        <w:rPr>
          <w:color w:val="231F20"/>
          <w:spacing w:val="-8"/>
        </w:rPr>
        <w:t xml:space="preserve"> </w:t>
      </w:r>
      <w:r>
        <w:rPr>
          <w:color w:val="231F20"/>
        </w:rPr>
        <w:t>at</w:t>
      </w:r>
      <w:r>
        <w:rPr>
          <w:color w:val="231F20"/>
          <w:spacing w:val="-9"/>
        </w:rPr>
        <w:t xml:space="preserve"> </w:t>
      </w:r>
      <w:proofErr w:type="gramStart"/>
      <w:r>
        <w:rPr>
          <w:color w:val="231F20"/>
        </w:rPr>
        <w:t>a</w:t>
      </w:r>
      <w:r>
        <w:rPr>
          <w:color w:val="231F20"/>
          <w:spacing w:val="-8"/>
        </w:rPr>
        <w:t xml:space="preserve"> </w:t>
      </w:r>
      <w:r>
        <w:rPr>
          <w:color w:val="231F20"/>
        </w:rPr>
        <w:t>number</w:t>
      </w:r>
      <w:r>
        <w:rPr>
          <w:color w:val="231F20"/>
          <w:spacing w:val="-9"/>
        </w:rPr>
        <w:t xml:space="preserve"> </w:t>
      </w:r>
      <w:r>
        <w:rPr>
          <w:color w:val="231F20"/>
        </w:rPr>
        <w:t>of</w:t>
      </w:r>
      <w:proofErr w:type="gramEnd"/>
      <w:r>
        <w:rPr>
          <w:color w:val="231F20"/>
          <w:spacing w:val="-9"/>
        </w:rPr>
        <w:t xml:space="preserve"> </w:t>
      </w:r>
      <w:r>
        <w:rPr>
          <w:color w:val="231F20"/>
        </w:rPr>
        <w:t>locations</w:t>
      </w:r>
      <w:r>
        <w:rPr>
          <w:color w:val="231F20"/>
          <w:spacing w:val="-6"/>
        </w:rPr>
        <w:t xml:space="preserve"> </w:t>
      </w:r>
      <w:r>
        <w:rPr>
          <w:color w:val="231F20"/>
        </w:rPr>
        <w:t>at</w:t>
      </w:r>
      <w:r>
        <w:rPr>
          <w:color w:val="231F20"/>
          <w:spacing w:val="-9"/>
        </w:rPr>
        <w:t xml:space="preserve"> </w:t>
      </w:r>
      <w:r>
        <w:rPr>
          <w:color w:val="231F20"/>
        </w:rPr>
        <w:t>Troodos</w:t>
      </w:r>
      <w:r>
        <w:rPr>
          <w:color w:val="231F20"/>
          <w:spacing w:val="-9"/>
        </w:rPr>
        <w:t xml:space="preserve"> </w:t>
      </w:r>
      <w:r>
        <w:rPr>
          <w:color w:val="231F20"/>
        </w:rPr>
        <w:t xml:space="preserve">West, and the survey has also been expanded to a location at Troodos North. Diamond </w:t>
      </w:r>
      <w:r w:rsidR="00497D65">
        <w:rPr>
          <w:color w:val="231F20"/>
        </w:rPr>
        <w:t>D</w:t>
      </w:r>
      <w:r>
        <w:rPr>
          <w:color w:val="231F20"/>
        </w:rPr>
        <w:t xml:space="preserve">rilling on AMT anomalies has verified that this survey technique can be an effective tool in identifying and locating sulphide mineralisation. </w:t>
      </w:r>
    </w:p>
    <w:p w14:paraId="297909B7" w14:textId="77777777" w:rsidR="0017121F" w:rsidRDefault="0017121F">
      <w:pPr>
        <w:pStyle w:val="BodyText"/>
        <w:kinsoku w:val="0"/>
        <w:overflowPunct w:val="0"/>
        <w:spacing w:before="1"/>
        <w:ind w:left="300" w:right="1188"/>
        <w:jc w:val="both"/>
        <w:rPr>
          <w:color w:val="231F20"/>
        </w:rPr>
      </w:pPr>
    </w:p>
    <w:p w14:paraId="341FB8C7" w14:textId="75D68D24" w:rsidR="00783288" w:rsidRDefault="0096044A" w:rsidP="00FE358B">
      <w:pPr>
        <w:pStyle w:val="Heading1"/>
        <w:tabs>
          <w:tab w:val="left" w:pos="1740"/>
        </w:tabs>
        <w:kinsoku w:val="0"/>
        <w:overflowPunct w:val="0"/>
        <w:spacing w:before="74"/>
        <w:ind w:left="1739" w:hanging="1455"/>
        <w:rPr>
          <w:color w:val="231F20"/>
        </w:rPr>
      </w:pPr>
      <w:r>
        <w:rPr>
          <w:color w:val="231F20"/>
        </w:rPr>
        <w:t>3.</w:t>
      </w:r>
      <w:r w:rsidR="00DD3FD2">
        <w:rPr>
          <w:color w:val="231F20"/>
        </w:rPr>
        <w:t>10</w:t>
      </w:r>
      <w:r>
        <w:rPr>
          <w:color w:val="231F20"/>
        </w:rPr>
        <w:t xml:space="preserve">.2 </w:t>
      </w:r>
      <w:r w:rsidR="00E31420">
        <w:rPr>
          <w:color w:val="231F20"/>
        </w:rPr>
        <w:t>Discovery</w:t>
      </w:r>
      <w:r w:rsidR="00E31420">
        <w:rPr>
          <w:color w:val="231F20"/>
          <w:spacing w:val="-9"/>
        </w:rPr>
        <w:t xml:space="preserve"> </w:t>
      </w:r>
      <w:r w:rsidR="00E31420">
        <w:rPr>
          <w:color w:val="231F20"/>
        </w:rPr>
        <w:t>South</w:t>
      </w:r>
    </w:p>
    <w:p w14:paraId="40006F74" w14:textId="77777777" w:rsidR="00783288" w:rsidRDefault="00783288">
      <w:pPr>
        <w:pStyle w:val="BodyText"/>
        <w:kinsoku w:val="0"/>
        <w:overflowPunct w:val="0"/>
        <w:spacing w:before="9"/>
        <w:rPr>
          <w:b/>
          <w:bCs/>
          <w:sz w:val="19"/>
          <w:szCs w:val="19"/>
        </w:rPr>
      </w:pPr>
    </w:p>
    <w:p w14:paraId="6BC081B7" w14:textId="73A43FF4" w:rsidR="00783288" w:rsidRDefault="00E31420">
      <w:pPr>
        <w:pStyle w:val="BodyText"/>
        <w:kinsoku w:val="0"/>
        <w:overflowPunct w:val="0"/>
        <w:ind w:left="300" w:right="1188"/>
        <w:jc w:val="both"/>
        <w:rPr>
          <w:color w:val="231F20"/>
        </w:rPr>
      </w:pPr>
      <w:r>
        <w:rPr>
          <w:color w:val="231F20"/>
        </w:rPr>
        <w:t>The Group intends to start focusing increased attention and resources on its four Discovery South Prospecting Permit</w:t>
      </w:r>
      <w:r>
        <w:rPr>
          <w:color w:val="231F20"/>
          <w:spacing w:val="-7"/>
        </w:rPr>
        <w:t xml:space="preserve"> </w:t>
      </w:r>
      <w:r>
        <w:rPr>
          <w:color w:val="231F20"/>
        </w:rPr>
        <w:t>areas</w:t>
      </w:r>
      <w:r>
        <w:rPr>
          <w:color w:val="231F20"/>
          <w:spacing w:val="-6"/>
        </w:rPr>
        <w:t xml:space="preserve"> </w:t>
      </w:r>
      <w:r>
        <w:rPr>
          <w:color w:val="231F20"/>
        </w:rPr>
        <w:t>and</w:t>
      </w:r>
      <w:r>
        <w:rPr>
          <w:color w:val="231F20"/>
          <w:spacing w:val="-7"/>
        </w:rPr>
        <w:t xml:space="preserve"> </w:t>
      </w:r>
      <w:r>
        <w:rPr>
          <w:color w:val="231F20"/>
        </w:rPr>
        <w:t>commence</w:t>
      </w:r>
      <w:r>
        <w:rPr>
          <w:color w:val="231F20"/>
          <w:spacing w:val="-6"/>
        </w:rPr>
        <w:t xml:space="preserve"> </w:t>
      </w:r>
      <w:r>
        <w:rPr>
          <w:color w:val="231F20"/>
        </w:rPr>
        <w:t>intensive</w:t>
      </w:r>
      <w:r>
        <w:rPr>
          <w:color w:val="231F20"/>
          <w:spacing w:val="-4"/>
        </w:rPr>
        <w:t xml:space="preserve"> </w:t>
      </w:r>
      <w:r>
        <w:rPr>
          <w:color w:val="231F20"/>
        </w:rPr>
        <w:t>desktop</w:t>
      </w:r>
      <w:r>
        <w:rPr>
          <w:color w:val="231F20"/>
          <w:spacing w:val="-10"/>
        </w:rPr>
        <w:t xml:space="preserve"> </w:t>
      </w:r>
      <w:r>
        <w:rPr>
          <w:color w:val="231F20"/>
        </w:rPr>
        <w:t>studies,</w:t>
      </w:r>
      <w:r>
        <w:rPr>
          <w:color w:val="231F20"/>
          <w:spacing w:val="-4"/>
        </w:rPr>
        <w:t xml:space="preserve"> </w:t>
      </w:r>
      <w:r>
        <w:rPr>
          <w:color w:val="231F20"/>
        </w:rPr>
        <w:t>while</w:t>
      </w:r>
      <w:r>
        <w:rPr>
          <w:color w:val="231F20"/>
          <w:spacing w:val="-5"/>
        </w:rPr>
        <w:t xml:space="preserve"> </w:t>
      </w:r>
      <w:r>
        <w:rPr>
          <w:color w:val="231F20"/>
        </w:rPr>
        <w:t>drilling</w:t>
      </w:r>
      <w:r>
        <w:rPr>
          <w:color w:val="231F20"/>
          <w:spacing w:val="-6"/>
        </w:rPr>
        <w:t xml:space="preserve"> </w:t>
      </w:r>
      <w:r>
        <w:rPr>
          <w:color w:val="231F20"/>
        </w:rPr>
        <w:t>programmes</w:t>
      </w:r>
      <w:r>
        <w:rPr>
          <w:color w:val="231F20"/>
          <w:spacing w:val="-6"/>
        </w:rPr>
        <w:t xml:space="preserve"> </w:t>
      </w:r>
      <w:r>
        <w:rPr>
          <w:color w:val="231F20"/>
        </w:rPr>
        <w:t>continue</w:t>
      </w:r>
      <w:r>
        <w:rPr>
          <w:color w:val="231F20"/>
          <w:spacing w:val="-7"/>
        </w:rPr>
        <w:t xml:space="preserve"> </w:t>
      </w:r>
      <w:r>
        <w:rPr>
          <w:color w:val="231F20"/>
        </w:rPr>
        <w:t>at</w:t>
      </w:r>
      <w:r>
        <w:rPr>
          <w:color w:val="231F20"/>
          <w:spacing w:val="-6"/>
        </w:rPr>
        <w:t xml:space="preserve"> </w:t>
      </w:r>
      <w:r>
        <w:rPr>
          <w:color w:val="231F20"/>
        </w:rPr>
        <w:t>Troodos</w:t>
      </w:r>
      <w:r>
        <w:rPr>
          <w:color w:val="231F20"/>
          <w:spacing w:val="-10"/>
        </w:rPr>
        <w:t xml:space="preserve"> </w:t>
      </w:r>
      <w:r>
        <w:rPr>
          <w:color w:val="231F20"/>
        </w:rPr>
        <w:t>West.</w:t>
      </w:r>
      <w:r>
        <w:rPr>
          <w:color w:val="231F20"/>
          <w:spacing w:val="-7"/>
        </w:rPr>
        <w:t xml:space="preserve"> </w:t>
      </w:r>
      <w:r>
        <w:rPr>
          <w:color w:val="231F20"/>
        </w:rPr>
        <w:t xml:space="preserve">Nine prospects have been identified at Discovery South, and while data is still being analysed, there is one especially interesting target called </w:t>
      </w:r>
      <w:proofErr w:type="spellStart"/>
      <w:r>
        <w:rPr>
          <w:color w:val="231F20"/>
        </w:rPr>
        <w:t>Perapedhi</w:t>
      </w:r>
      <w:proofErr w:type="spellEnd"/>
      <w:r>
        <w:rPr>
          <w:color w:val="231F20"/>
        </w:rPr>
        <w:t>. This site has been drilled historically in the 1980’s and intersected 1 per cent copper over 15 - 20 metres, which the Directors consider noteworthy in the context of exploration for commercial prospects</w:t>
      </w:r>
      <w:r>
        <w:rPr>
          <w:color w:val="231F20"/>
          <w:spacing w:val="-4"/>
        </w:rPr>
        <w:t xml:space="preserve"> </w:t>
      </w:r>
      <w:r>
        <w:rPr>
          <w:color w:val="231F20"/>
        </w:rPr>
        <w:t>and</w:t>
      </w:r>
      <w:r>
        <w:rPr>
          <w:color w:val="231F20"/>
          <w:spacing w:val="-6"/>
        </w:rPr>
        <w:t xml:space="preserve"> </w:t>
      </w:r>
      <w:r>
        <w:rPr>
          <w:color w:val="231F20"/>
        </w:rPr>
        <w:t>accordingly</w:t>
      </w:r>
      <w:r>
        <w:rPr>
          <w:color w:val="231F20"/>
          <w:spacing w:val="-6"/>
        </w:rPr>
        <w:t xml:space="preserve"> </w:t>
      </w:r>
      <w:r>
        <w:rPr>
          <w:color w:val="231F20"/>
        </w:rPr>
        <w:t>this</w:t>
      </w:r>
      <w:r>
        <w:rPr>
          <w:color w:val="231F20"/>
          <w:spacing w:val="-6"/>
        </w:rPr>
        <w:t xml:space="preserve"> </w:t>
      </w:r>
      <w:r>
        <w:rPr>
          <w:color w:val="231F20"/>
        </w:rPr>
        <w:t>site</w:t>
      </w:r>
      <w:r>
        <w:rPr>
          <w:color w:val="231F20"/>
          <w:spacing w:val="-4"/>
        </w:rPr>
        <w:t xml:space="preserve"> </w:t>
      </w:r>
      <w:r>
        <w:rPr>
          <w:color w:val="231F20"/>
        </w:rPr>
        <w:t>is</w:t>
      </w:r>
      <w:r>
        <w:rPr>
          <w:color w:val="231F20"/>
          <w:spacing w:val="-3"/>
        </w:rPr>
        <w:t xml:space="preserve"> </w:t>
      </w:r>
      <w:r>
        <w:rPr>
          <w:color w:val="231F20"/>
        </w:rPr>
        <w:t>likely</w:t>
      </w:r>
      <w:r>
        <w:rPr>
          <w:color w:val="231F20"/>
          <w:spacing w:val="-6"/>
        </w:rPr>
        <w:t xml:space="preserve"> </w:t>
      </w:r>
      <w:r>
        <w:rPr>
          <w:color w:val="231F20"/>
        </w:rPr>
        <w:t>to</w:t>
      </w:r>
      <w:r>
        <w:rPr>
          <w:color w:val="231F20"/>
          <w:spacing w:val="-6"/>
        </w:rPr>
        <w:t xml:space="preserve"> </w:t>
      </w:r>
      <w:r>
        <w:rPr>
          <w:color w:val="231F20"/>
        </w:rPr>
        <w:t>be</w:t>
      </w:r>
      <w:r>
        <w:rPr>
          <w:color w:val="231F20"/>
          <w:spacing w:val="-4"/>
        </w:rPr>
        <w:t xml:space="preserve"> </w:t>
      </w:r>
      <w:r>
        <w:rPr>
          <w:color w:val="231F20"/>
        </w:rPr>
        <w:t>fast-tracked</w:t>
      </w:r>
      <w:r>
        <w:rPr>
          <w:color w:val="231F20"/>
          <w:spacing w:val="-9"/>
        </w:rPr>
        <w:t xml:space="preserve"> </w:t>
      </w:r>
      <w:r>
        <w:rPr>
          <w:color w:val="231F20"/>
        </w:rPr>
        <w:t>for</w:t>
      </w:r>
      <w:r>
        <w:rPr>
          <w:color w:val="231F20"/>
          <w:spacing w:val="-4"/>
        </w:rPr>
        <w:t xml:space="preserve"> </w:t>
      </w:r>
      <w:r>
        <w:rPr>
          <w:color w:val="231F20"/>
        </w:rPr>
        <w:t>drilling</w:t>
      </w:r>
      <w:r>
        <w:rPr>
          <w:color w:val="231F20"/>
          <w:spacing w:val="-6"/>
        </w:rPr>
        <w:t xml:space="preserve"> </w:t>
      </w:r>
      <w:r>
        <w:rPr>
          <w:color w:val="231F20"/>
        </w:rPr>
        <w:t>and</w:t>
      </w:r>
      <w:r>
        <w:rPr>
          <w:color w:val="231F20"/>
          <w:spacing w:val="-6"/>
        </w:rPr>
        <w:t xml:space="preserve"> </w:t>
      </w:r>
      <w:r>
        <w:rPr>
          <w:color w:val="231F20"/>
        </w:rPr>
        <w:t>testing</w:t>
      </w:r>
      <w:r>
        <w:rPr>
          <w:color w:val="231F20"/>
          <w:spacing w:val="-5"/>
        </w:rPr>
        <w:t xml:space="preserve"> </w:t>
      </w:r>
      <w:r>
        <w:rPr>
          <w:color w:val="231F20"/>
        </w:rPr>
        <w:t>by</w:t>
      </w:r>
      <w:r>
        <w:rPr>
          <w:color w:val="231F20"/>
          <w:spacing w:val="-6"/>
        </w:rPr>
        <w:t xml:space="preserve"> </w:t>
      </w:r>
      <w:r>
        <w:rPr>
          <w:color w:val="231F20"/>
        </w:rPr>
        <w:t>the</w:t>
      </w:r>
      <w:r>
        <w:rPr>
          <w:color w:val="231F20"/>
          <w:spacing w:val="-5"/>
        </w:rPr>
        <w:t xml:space="preserve"> </w:t>
      </w:r>
      <w:r>
        <w:rPr>
          <w:color w:val="231F20"/>
        </w:rPr>
        <w:t>Group.</w:t>
      </w:r>
      <w:r>
        <w:rPr>
          <w:color w:val="231F20"/>
          <w:spacing w:val="-4"/>
        </w:rPr>
        <w:t xml:space="preserve"> </w:t>
      </w:r>
      <w:r w:rsidR="00FC2F8C">
        <w:rPr>
          <w:color w:val="231F20"/>
        </w:rPr>
        <w:t>T</w:t>
      </w:r>
      <w:r>
        <w:rPr>
          <w:color w:val="231F20"/>
        </w:rPr>
        <w:t xml:space="preserve">he Group </w:t>
      </w:r>
      <w:r w:rsidR="00FC2F8C">
        <w:rPr>
          <w:color w:val="231F20"/>
        </w:rPr>
        <w:t xml:space="preserve">identified targets and </w:t>
      </w:r>
      <w:r>
        <w:rPr>
          <w:color w:val="231F20"/>
        </w:rPr>
        <w:t xml:space="preserve">commenced drilling on its Discovery South Prospecting Permit areas </w:t>
      </w:r>
      <w:r w:rsidR="00D720EB">
        <w:rPr>
          <w:color w:val="231F20"/>
        </w:rPr>
        <w:t xml:space="preserve">at </w:t>
      </w:r>
      <w:r w:rsidR="002A6B39">
        <w:rPr>
          <w:color w:val="231F20"/>
        </w:rPr>
        <w:t xml:space="preserve">the </w:t>
      </w:r>
      <w:r w:rsidR="00B765C9">
        <w:rPr>
          <w:color w:val="231F20"/>
        </w:rPr>
        <w:t>start of July</w:t>
      </w:r>
      <w:r w:rsidR="002A6B39">
        <w:rPr>
          <w:color w:val="231F20"/>
        </w:rPr>
        <w:t xml:space="preserve"> </w:t>
      </w:r>
      <w:r>
        <w:rPr>
          <w:color w:val="231F20"/>
        </w:rPr>
        <w:t>2021.</w:t>
      </w:r>
      <w:r w:rsidR="0019125A">
        <w:rPr>
          <w:color w:val="231F20"/>
        </w:rPr>
        <w:t xml:space="preserve"> </w:t>
      </w:r>
    </w:p>
    <w:p w14:paraId="533D3BBF" w14:textId="77777777" w:rsidR="00783288" w:rsidRDefault="00783288">
      <w:pPr>
        <w:pStyle w:val="BodyText"/>
        <w:kinsoku w:val="0"/>
        <w:overflowPunct w:val="0"/>
        <w:spacing w:before="6"/>
        <w:rPr>
          <w:sz w:val="17"/>
          <w:szCs w:val="17"/>
        </w:rPr>
      </w:pPr>
    </w:p>
    <w:p w14:paraId="6F29E85F" w14:textId="6357AE6E" w:rsidR="00783288" w:rsidRDefault="0096044A" w:rsidP="00FE358B">
      <w:pPr>
        <w:pStyle w:val="Heading1"/>
        <w:tabs>
          <w:tab w:val="left" w:pos="1740"/>
        </w:tabs>
        <w:kinsoku w:val="0"/>
        <w:overflowPunct w:val="0"/>
        <w:ind w:left="1739" w:hanging="1455"/>
        <w:rPr>
          <w:color w:val="231F20"/>
        </w:rPr>
      </w:pPr>
      <w:r>
        <w:rPr>
          <w:color w:val="231F20"/>
        </w:rPr>
        <w:t>3.</w:t>
      </w:r>
      <w:r w:rsidR="00DD3FD2">
        <w:rPr>
          <w:color w:val="231F20"/>
        </w:rPr>
        <w:t>10</w:t>
      </w:r>
      <w:r>
        <w:rPr>
          <w:color w:val="231F20"/>
        </w:rPr>
        <w:t xml:space="preserve">.3 </w:t>
      </w:r>
      <w:r w:rsidR="00E31420">
        <w:rPr>
          <w:color w:val="231F20"/>
        </w:rPr>
        <w:t>Troodos North</w:t>
      </w:r>
    </w:p>
    <w:p w14:paraId="35C48A7C" w14:textId="77777777" w:rsidR="00783288" w:rsidRDefault="00783288">
      <w:pPr>
        <w:pStyle w:val="BodyText"/>
        <w:kinsoku w:val="0"/>
        <w:overflowPunct w:val="0"/>
        <w:spacing w:before="7"/>
        <w:rPr>
          <w:b/>
          <w:bCs/>
          <w:sz w:val="19"/>
          <w:szCs w:val="19"/>
        </w:rPr>
      </w:pPr>
    </w:p>
    <w:p w14:paraId="50018832" w14:textId="77777777" w:rsidR="00783288" w:rsidRDefault="00E31420">
      <w:pPr>
        <w:pStyle w:val="BodyText"/>
        <w:kinsoku w:val="0"/>
        <w:overflowPunct w:val="0"/>
        <w:ind w:left="300" w:right="1191"/>
        <w:jc w:val="both"/>
        <w:rPr>
          <w:color w:val="231F20"/>
        </w:rPr>
      </w:pPr>
      <w:r>
        <w:rPr>
          <w:color w:val="231F20"/>
        </w:rPr>
        <w:t>The</w:t>
      </w:r>
      <w:r>
        <w:rPr>
          <w:color w:val="231F20"/>
          <w:spacing w:val="-9"/>
        </w:rPr>
        <w:t xml:space="preserve"> </w:t>
      </w:r>
      <w:r>
        <w:rPr>
          <w:color w:val="231F20"/>
        </w:rPr>
        <w:t>Troodos</w:t>
      </w:r>
      <w:r>
        <w:rPr>
          <w:color w:val="231F20"/>
          <w:spacing w:val="-8"/>
        </w:rPr>
        <w:t xml:space="preserve"> </w:t>
      </w:r>
      <w:r>
        <w:rPr>
          <w:color w:val="231F20"/>
        </w:rPr>
        <w:t>North</w:t>
      </w:r>
      <w:r>
        <w:rPr>
          <w:color w:val="231F20"/>
          <w:spacing w:val="-9"/>
        </w:rPr>
        <w:t xml:space="preserve"> </w:t>
      </w:r>
      <w:r>
        <w:rPr>
          <w:color w:val="231F20"/>
        </w:rPr>
        <w:t>Project</w:t>
      </w:r>
      <w:r>
        <w:rPr>
          <w:color w:val="231F20"/>
          <w:spacing w:val="-10"/>
        </w:rPr>
        <w:t xml:space="preserve"> </w:t>
      </w:r>
      <w:r>
        <w:rPr>
          <w:color w:val="231F20"/>
        </w:rPr>
        <w:t>comprises</w:t>
      </w:r>
      <w:r>
        <w:rPr>
          <w:color w:val="231F20"/>
          <w:spacing w:val="-10"/>
        </w:rPr>
        <w:t xml:space="preserve"> </w:t>
      </w:r>
      <w:r>
        <w:rPr>
          <w:color w:val="231F20"/>
        </w:rPr>
        <w:t>3</w:t>
      </w:r>
      <w:r>
        <w:rPr>
          <w:color w:val="231F20"/>
          <w:spacing w:val="-9"/>
        </w:rPr>
        <w:t xml:space="preserve"> </w:t>
      </w:r>
      <w:r>
        <w:rPr>
          <w:color w:val="231F20"/>
        </w:rPr>
        <w:t>Granted</w:t>
      </w:r>
      <w:r>
        <w:rPr>
          <w:color w:val="231F20"/>
          <w:spacing w:val="-9"/>
        </w:rPr>
        <w:t xml:space="preserve"> </w:t>
      </w:r>
      <w:r>
        <w:rPr>
          <w:color w:val="231F20"/>
        </w:rPr>
        <w:t>Prospecting</w:t>
      </w:r>
      <w:r>
        <w:rPr>
          <w:color w:val="231F20"/>
          <w:spacing w:val="-9"/>
        </w:rPr>
        <w:t xml:space="preserve"> </w:t>
      </w:r>
      <w:r>
        <w:rPr>
          <w:color w:val="231F20"/>
        </w:rPr>
        <w:t>Permits</w:t>
      </w:r>
      <w:r>
        <w:rPr>
          <w:color w:val="231F20"/>
          <w:spacing w:val="-7"/>
        </w:rPr>
        <w:t xml:space="preserve"> </w:t>
      </w:r>
      <w:r>
        <w:rPr>
          <w:color w:val="231F20"/>
        </w:rPr>
        <w:t>covering</w:t>
      </w:r>
      <w:r>
        <w:rPr>
          <w:color w:val="231F20"/>
          <w:spacing w:val="-9"/>
        </w:rPr>
        <w:t xml:space="preserve"> </w:t>
      </w:r>
      <w:r>
        <w:rPr>
          <w:color w:val="231F20"/>
        </w:rPr>
        <w:t>an</w:t>
      </w:r>
      <w:r>
        <w:rPr>
          <w:color w:val="231F20"/>
          <w:spacing w:val="-9"/>
        </w:rPr>
        <w:t xml:space="preserve"> </w:t>
      </w:r>
      <w:r>
        <w:rPr>
          <w:color w:val="231F20"/>
        </w:rPr>
        <w:t>area</w:t>
      </w:r>
      <w:r>
        <w:rPr>
          <w:color w:val="231F20"/>
          <w:spacing w:val="-11"/>
        </w:rPr>
        <w:t xml:space="preserve"> </w:t>
      </w:r>
      <w:r>
        <w:rPr>
          <w:color w:val="231F20"/>
        </w:rPr>
        <w:t>of</w:t>
      </w:r>
      <w:r>
        <w:rPr>
          <w:color w:val="231F20"/>
          <w:spacing w:val="-10"/>
        </w:rPr>
        <w:t xml:space="preserve"> </w:t>
      </w:r>
      <w:r>
        <w:rPr>
          <w:color w:val="231F20"/>
        </w:rPr>
        <w:t>12.48</w:t>
      </w:r>
      <w:r>
        <w:rPr>
          <w:color w:val="231F20"/>
          <w:spacing w:val="-11"/>
        </w:rPr>
        <w:t xml:space="preserve"> </w:t>
      </w:r>
      <w:r>
        <w:rPr>
          <w:color w:val="231F20"/>
        </w:rPr>
        <w:t>km</w:t>
      </w:r>
      <w:r>
        <w:rPr>
          <w:color w:val="231F20"/>
          <w:position w:val="6"/>
          <w:sz w:val="12"/>
          <w:szCs w:val="12"/>
        </w:rPr>
        <w:t>2</w:t>
      </w:r>
      <w:r>
        <w:rPr>
          <w:color w:val="231F20"/>
        </w:rPr>
        <w:t>.</w:t>
      </w:r>
      <w:r>
        <w:rPr>
          <w:color w:val="231F20"/>
          <w:spacing w:val="-9"/>
        </w:rPr>
        <w:t xml:space="preserve"> </w:t>
      </w:r>
      <w:r>
        <w:rPr>
          <w:color w:val="231F20"/>
        </w:rPr>
        <w:t>The</w:t>
      </w:r>
      <w:r>
        <w:rPr>
          <w:color w:val="231F20"/>
          <w:spacing w:val="-8"/>
        </w:rPr>
        <w:t xml:space="preserve"> </w:t>
      </w:r>
      <w:r>
        <w:rPr>
          <w:color w:val="231F20"/>
        </w:rPr>
        <w:t>Directors believe</w:t>
      </w:r>
      <w:r>
        <w:rPr>
          <w:color w:val="231F20"/>
          <w:spacing w:val="-10"/>
        </w:rPr>
        <w:t xml:space="preserve"> </w:t>
      </w:r>
      <w:r>
        <w:rPr>
          <w:color w:val="231F20"/>
        </w:rPr>
        <w:t>the</w:t>
      </w:r>
      <w:r>
        <w:rPr>
          <w:color w:val="231F20"/>
          <w:spacing w:val="-9"/>
        </w:rPr>
        <w:t xml:space="preserve"> </w:t>
      </w:r>
      <w:r>
        <w:rPr>
          <w:color w:val="231F20"/>
        </w:rPr>
        <w:t>Troodos</w:t>
      </w:r>
      <w:r>
        <w:rPr>
          <w:color w:val="231F20"/>
          <w:spacing w:val="-8"/>
        </w:rPr>
        <w:t xml:space="preserve"> </w:t>
      </w:r>
      <w:r>
        <w:rPr>
          <w:color w:val="231F20"/>
        </w:rPr>
        <w:t>North</w:t>
      </w:r>
      <w:r>
        <w:rPr>
          <w:color w:val="231F20"/>
          <w:spacing w:val="-9"/>
        </w:rPr>
        <w:t xml:space="preserve"> </w:t>
      </w:r>
      <w:r>
        <w:rPr>
          <w:color w:val="231F20"/>
        </w:rPr>
        <w:t>area</w:t>
      </w:r>
      <w:r>
        <w:rPr>
          <w:color w:val="231F20"/>
          <w:spacing w:val="-9"/>
        </w:rPr>
        <w:t xml:space="preserve"> </w:t>
      </w:r>
      <w:r>
        <w:rPr>
          <w:color w:val="231F20"/>
        </w:rPr>
        <w:t>is</w:t>
      </w:r>
      <w:r>
        <w:rPr>
          <w:color w:val="231F20"/>
          <w:spacing w:val="-8"/>
        </w:rPr>
        <w:t xml:space="preserve"> </w:t>
      </w:r>
      <w:r>
        <w:rPr>
          <w:color w:val="231F20"/>
        </w:rPr>
        <w:t>an</w:t>
      </w:r>
      <w:r>
        <w:rPr>
          <w:color w:val="231F20"/>
          <w:spacing w:val="-9"/>
        </w:rPr>
        <w:t xml:space="preserve"> </w:t>
      </w:r>
      <w:r>
        <w:rPr>
          <w:color w:val="231F20"/>
        </w:rPr>
        <w:t>attractive</w:t>
      </w:r>
      <w:r>
        <w:rPr>
          <w:color w:val="231F20"/>
          <w:spacing w:val="-9"/>
        </w:rPr>
        <w:t xml:space="preserve"> </w:t>
      </w:r>
      <w:r>
        <w:rPr>
          <w:color w:val="231F20"/>
        </w:rPr>
        <w:t>proposition</w:t>
      </w:r>
      <w:r>
        <w:rPr>
          <w:color w:val="231F20"/>
          <w:spacing w:val="-9"/>
        </w:rPr>
        <w:t xml:space="preserve"> </w:t>
      </w:r>
      <w:r>
        <w:rPr>
          <w:color w:val="231F20"/>
        </w:rPr>
        <w:t>because</w:t>
      </w:r>
      <w:r>
        <w:rPr>
          <w:color w:val="231F20"/>
          <w:spacing w:val="-10"/>
        </w:rPr>
        <w:t xml:space="preserve"> </w:t>
      </w:r>
      <w:r>
        <w:rPr>
          <w:color w:val="231F20"/>
        </w:rPr>
        <w:t>it</w:t>
      </w:r>
      <w:r>
        <w:rPr>
          <w:color w:val="231F20"/>
          <w:spacing w:val="-9"/>
        </w:rPr>
        <w:t xml:space="preserve"> </w:t>
      </w:r>
      <w:r>
        <w:rPr>
          <w:color w:val="231F20"/>
        </w:rPr>
        <w:t>is</w:t>
      </w:r>
      <w:r>
        <w:rPr>
          <w:color w:val="231F20"/>
          <w:spacing w:val="-8"/>
        </w:rPr>
        <w:t xml:space="preserve"> </w:t>
      </w:r>
      <w:r>
        <w:rPr>
          <w:color w:val="231F20"/>
        </w:rPr>
        <w:t>the</w:t>
      </w:r>
      <w:r>
        <w:rPr>
          <w:color w:val="231F20"/>
          <w:spacing w:val="-9"/>
        </w:rPr>
        <w:t xml:space="preserve"> </w:t>
      </w:r>
      <w:r>
        <w:rPr>
          <w:color w:val="231F20"/>
        </w:rPr>
        <w:t>area</w:t>
      </w:r>
      <w:r>
        <w:rPr>
          <w:color w:val="231F20"/>
          <w:spacing w:val="-9"/>
        </w:rPr>
        <w:t xml:space="preserve"> </w:t>
      </w:r>
      <w:r>
        <w:rPr>
          <w:color w:val="231F20"/>
        </w:rPr>
        <w:t>where</w:t>
      </w:r>
      <w:r>
        <w:rPr>
          <w:color w:val="231F20"/>
          <w:spacing w:val="-9"/>
        </w:rPr>
        <w:t xml:space="preserve"> </w:t>
      </w:r>
      <w:r>
        <w:rPr>
          <w:color w:val="231F20"/>
        </w:rPr>
        <w:t>the</w:t>
      </w:r>
      <w:r>
        <w:rPr>
          <w:color w:val="231F20"/>
          <w:spacing w:val="-11"/>
        </w:rPr>
        <w:t xml:space="preserve"> </w:t>
      </w:r>
      <w:r>
        <w:rPr>
          <w:color w:val="231F20"/>
        </w:rPr>
        <w:t>largest</w:t>
      </w:r>
      <w:r>
        <w:rPr>
          <w:color w:val="231F20"/>
          <w:spacing w:val="-9"/>
        </w:rPr>
        <w:t xml:space="preserve"> </w:t>
      </w:r>
      <w:r>
        <w:rPr>
          <w:color w:val="231F20"/>
        </w:rPr>
        <w:t>copper</w:t>
      </w:r>
      <w:r>
        <w:rPr>
          <w:color w:val="231F20"/>
          <w:spacing w:val="-9"/>
        </w:rPr>
        <w:t xml:space="preserve"> </w:t>
      </w:r>
      <w:r>
        <w:rPr>
          <w:color w:val="231F20"/>
        </w:rPr>
        <w:t xml:space="preserve">deposits have been found historically, of all the Group’s licence areas, including the </w:t>
      </w:r>
      <w:proofErr w:type="spellStart"/>
      <w:r>
        <w:rPr>
          <w:color w:val="231F20"/>
        </w:rPr>
        <w:t>Mavrovouni</w:t>
      </w:r>
      <w:proofErr w:type="spellEnd"/>
      <w:r>
        <w:rPr>
          <w:color w:val="231F20"/>
        </w:rPr>
        <w:t xml:space="preserve"> mine, which produced nearly</w:t>
      </w:r>
      <w:r>
        <w:rPr>
          <w:color w:val="231F20"/>
          <w:spacing w:val="-8"/>
        </w:rPr>
        <w:t xml:space="preserve"> </w:t>
      </w:r>
      <w:r>
        <w:rPr>
          <w:color w:val="231F20"/>
        </w:rPr>
        <w:t>750kt</w:t>
      </w:r>
      <w:r>
        <w:rPr>
          <w:color w:val="231F20"/>
          <w:spacing w:val="-6"/>
        </w:rPr>
        <w:t xml:space="preserve"> </w:t>
      </w:r>
      <w:r>
        <w:rPr>
          <w:color w:val="231F20"/>
        </w:rPr>
        <w:t>of</w:t>
      </w:r>
      <w:r>
        <w:rPr>
          <w:color w:val="231F20"/>
          <w:spacing w:val="-9"/>
        </w:rPr>
        <w:t xml:space="preserve"> </w:t>
      </w:r>
      <w:r>
        <w:rPr>
          <w:color w:val="231F20"/>
        </w:rPr>
        <w:t>copper</w:t>
      </w:r>
      <w:r>
        <w:rPr>
          <w:color w:val="231F20"/>
          <w:spacing w:val="-9"/>
        </w:rPr>
        <w:t xml:space="preserve"> </w:t>
      </w:r>
      <w:r>
        <w:rPr>
          <w:color w:val="231F20"/>
        </w:rPr>
        <w:t>until</w:t>
      </w:r>
      <w:r>
        <w:rPr>
          <w:color w:val="231F20"/>
          <w:spacing w:val="-9"/>
        </w:rPr>
        <w:t xml:space="preserve"> </w:t>
      </w:r>
      <w:r>
        <w:rPr>
          <w:color w:val="231F20"/>
        </w:rPr>
        <w:t>its</w:t>
      </w:r>
      <w:r>
        <w:rPr>
          <w:color w:val="231F20"/>
          <w:spacing w:val="-10"/>
        </w:rPr>
        <w:t xml:space="preserve"> </w:t>
      </w:r>
      <w:r>
        <w:rPr>
          <w:color w:val="231F20"/>
        </w:rPr>
        <w:t>closure</w:t>
      </w:r>
      <w:r>
        <w:rPr>
          <w:color w:val="231F20"/>
          <w:spacing w:val="-9"/>
        </w:rPr>
        <w:t xml:space="preserve"> </w:t>
      </w:r>
      <w:r>
        <w:rPr>
          <w:color w:val="231F20"/>
        </w:rPr>
        <w:t>in</w:t>
      </w:r>
      <w:r>
        <w:rPr>
          <w:color w:val="231F20"/>
          <w:spacing w:val="-9"/>
        </w:rPr>
        <w:t xml:space="preserve"> </w:t>
      </w:r>
      <w:r>
        <w:rPr>
          <w:color w:val="231F20"/>
        </w:rPr>
        <w:t>1974</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proofErr w:type="spellStart"/>
      <w:r>
        <w:rPr>
          <w:color w:val="231F20"/>
        </w:rPr>
        <w:t>Skouriotissa</w:t>
      </w:r>
      <w:proofErr w:type="spellEnd"/>
      <w:r>
        <w:rPr>
          <w:color w:val="231F20"/>
          <w:spacing w:val="-8"/>
        </w:rPr>
        <w:t xml:space="preserve"> </w:t>
      </w:r>
      <w:r>
        <w:rPr>
          <w:color w:val="231F20"/>
        </w:rPr>
        <w:t>mine,</w:t>
      </w:r>
      <w:r>
        <w:rPr>
          <w:color w:val="231F20"/>
          <w:spacing w:val="-6"/>
        </w:rPr>
        <w:t xml:space="preserve"> </w:t>
      </w:r>
      <w:r>
        <w:rPr>
          <w:color w:val="231F20"/>
        </w:rPr>
        <w:t>which</w:t>
      </w:r>
      <w:r>
        <w:rPr>
          <w:color w:val="231F20"/>
          <w:spacing w:val="-6"/>
        </w:rPr>
        <w:t xml:space="preserve"> </w:t>
      </w:r>
      <w:r>
        <w:rPr>
          <w:color w:val="231F20"/>
        </w:rPr>
        <w:t>has</w:t>
      </w:r>
      <w:r>
        <w:rPr>
          <w:color w:val="231F20"/>
          <w:spacing w:val="-8"/>
        </w:rPr>
        <w:t xml:space="preserve"> </w:t>
      </w:r>
      <w:r>
        <w:rPr>
          <w:color w:val="231F20"/>
        </w:rPr>
        <w:t>produced</w:t>
      </w:r>
      <w:r>
        <w:rPr>
          <w:color w:val="231F20"/>
          <w:spacing w:val="-6"/>
        </w:rPr>
        <w:t xml:space="preserve"> </w:t>
      </w:r>
      <w:r>
        <w:rPr>
          <w:color w:val="231F20"/>
        </w:rPr>
        <w:t>294kt</w:t>
      </w:r>
      <w:r>
        <w:rPr>
          <w:color w:val="231F20"/>
          <w:spacing w:val="-9"/>
        </w:rPr>
        <w:t xml:space="preserve"> </w:t>
      </w:r>
      <w:r>
        <w:rPr>
          <w:color w:val="231F20"/>
        </w:rPr>
        <w:t>of</w:t>
      </w:r>
      <w:r>
        <w:rPr>
          <w:color w:val="231F20"/>
          <w:spacing w:val="-9"/>
        </w:rPr>
        <w:t xml:space="preserve"> </w:t>
      </w:r>
      <w:r>
        <w:rPr>
          <w:color w:val="231F20"/>
        </w:rPr>
        <w:t>copper</w:t>
      </w:r>
      <w:r>
        <w:rPr>
          <w:color w:val="231F20"/>
          <w:spacing w:val="-9"/>
        </w:rPr>
        <w:t xml:space="preserve"> </w:t>
      </w:r>
      <w:r>
        <w:rPr>
          <w:color w:val="231F20"/>
        </w:rPr>
        <w:t>and is</w:t>
      </w:r>
      <w:r>
        <w:rPr>
          <w:color w:val="231F20"/>
          <w:spacing w:val="-12"/>
        </w:rPr>
        <w:t xml:space="preserve"> </w:t>
      </w:r>
      <w:r>
        <w:rPr>
          <w:color w:val="231F20"/>
        </w:rPr>
        <w:t>still</w:t>
      </w:r>
      <w:r>
        <w:rPr>
          <w:color w:val="231F20"/>
          <w:spacing w:val="-12"/>
        </w:rPr>
        <w:t xml:space="preserve"> </w:t>
      </w:r>
      <w:r>
        <w:rPr>
          <w:color w:val="231F20"/>
        </w:rPr>
        <w:t>producing.</w:t>
      </w:r>
      <w:r>
        <w:rPr>
          <w:color w:val="231F20"/>
          <w:spacing w:val="-11"/>
        </w:rPr>
        <w:t xml:space="preserve"> </w:t>
      </w:r>
      <w:r>
        <w:rPr>
          <w:color w:val="231F20"/>
        </w:rPr>
        <w:t>The</w:t>
      </w:r>
      <w:r>
        <w:rPr>
          <w:color w:val="231F20"/>
          <w:spacing w:val="-12"/>
        </w:rPr>
        <w:t xml:space="preserve"> </w:t>
      </w:r>
      <w:r>
        <w:rPr>
          <w:color w:val="231F20"/>
        </w:rPr>
        <w:t>Group’s</w:t>
      </w:r>
      <w:r>
        <w:rPr>
          <w:color w:val="231F20"/>
          <w:spacing w:val="-14"/>
        </w:rPr>
        <w:t xml:space="preserve"> </w:t>
      </w:r>
      <w:r>
        <w:rPr>
          <w:color w:val="231F20"/>
        </w:rPr>
        <w:t>Granted</w:t>
      </w:r>
      <w:r>
        <w:rPr>
          <w:color w:val="231F20"/>
          <w:spacing w:val="-12"/>
        </w:rPr>
        <w:t xml:space="preserve"> </w:t>
      </w:r>
      <w:r>
        <w:rPr>
          <w:color w:val="231F20"/>
        </w:rPr>
        <w:t>Prospecting</w:t>
      </w:r>
      <w:r>
        <w:rPr>
          <w:color w:val="231F20"/>
          <w:spacing w:val="-11"/>
        </w:rPr>
        <w:t xml:space="preserve"> </w:t>
      </w:r>
      <w:r>
        <w:rPr>
          <w:color w:val="231F20"/>
        </w:rPr>
        <w:t>Permits</w:t>
      </w:r>
      <w:r>
        <w:rPr>
          <w:color w:val="231F20"/>
          <w:spacing w:val="-11"/>
        </w:rPr>
        <w:t xml:space="preserve"> </w:t>
      </w:r>
      <w:r>
        <w:rPr>
          <w:color w:val="231F20"/>
        </w:rPr>
        <w:t>at</w:t>
      </w:r>
      <w:r>
        <w:rPr>
          <w:color w:val="231F20"/>
          <w:spacing w:val="-10"/>
        </w:rPr>
        <w:t xml:space="preserve"> </w:t>
      </w:r>
      <w:r>
        <w:rPr>
          <w:color w:val="231F20"/>
        </w:rPr>
        <w:t>Troodos</w:t>
      </w:r>
      <w:r>
        <w:rPr>
          <w:color w:val="231F20"/>
          <w:spacing w:val="-9"/>
        </w:rPr>
        <w:t xml:space="preserve"> </w:t>
      </w:r>
      <w:r>
        <w:rPr>
          <w:color w:val="231F20"/>
        </w:rPr>
        <w:t>North</w:t>
      </w:r>
      <w:r>
        <w:rPr>
          <w:color w:val="231F20"/>
          <w:spacing w:val="-12"/>
        </w:rPr>
        <w:t xml:space="preserve"> </w:t>
      </w:r>
      <w:r>
        <w:rPr>
          <w:color w:val="231F20"/>
        </w:rPr>
        <w:t>include</w:t>
      </w:r>
      <w:r>
        <w:rPr>
          <w:color w:val="231F20"/>
          <w:spacing w:val="-13"/>
        </w:rPr>
        <w:t xml:space="preserve"> </w:t>
      </w:r>
      <w:r>
        <w:rPr>
          <w:color w:val="231F20"/>
        </w:rPr>
        <w:t>prospective</w:t>
      </w:r>
      <w:r>
        <w:rPr>
          <w:color w:val="231F20"/>
          <w:spacing w:val="-12"/>
        </w:rPr>
        <w:t xml:space="preserve"> </w:t>
      </w:r>
      <w:r>
        <w:rPr>
          <w:color w:val="231F20"/>
        </w:rPr>
        <w:t>ground</w:t>
      </w:r>
      <w:r>
        <w:rPr>
          <w:color w:val="231F20"/>
          <w:spacing w:val="-12"/>
        </w:rPr>
        <w:t xml:space="preserve"> </w:t>
      </w:r>
      <w:r>
        <w:rPr>
          <w:color w:val="231F20"/>
        </w:rPr>
        <w:t xml:space="preserve">bordering both the </w:t>
      </w:r>
      <w:proofErr w:type="spellStart"/>
      <w:r>
        <w:rPr>
          <w:color w:val="231F20"/>
        </w:rPr>
        <w:t>Skouriotissa</w:t>
      </w:r>
      <w:proofErr w:type="spellEnd"/>
      <w:r>
        <w:rPr>
          <w:color w:val="231F20"/>
        </w:rPr>
        <w:t xml:space="preserve"> and </w:t>
      </w:r>
      <w:proofErr w:type="spellStart"/>
      <w:r>
        <w:rPr>
          <w:color w:val="231F20"/>
        </w:rPr>
        <w:t>Mavrovouni</w:t>
      </w:r>
      <w:proofErr w:type="spellEnd"/>
      <w:r>
        <w:rPr>
          <w:color w:val="231F20"/>
        </w:rPr>
        <w:t xml:space="preserve"> mines, which the Directors believe is an encouraging sign for the Group’s activities at Troodos</w:t>
      </w:r>
      <w:r>
        <w:rPr>
          <w:color w:val="231F20"/>
          <w:spacing w:val="-1"/>
        </w:rPr>
        <w:t xml:space="preserve"> </w:t>
      </w:r>
      <w:r>
        <w:rPr>
          <w:color w:val="231F20"/>
        </w:rPr>
        <w:t>North.</w:t>
      </w:r>
    </w:p>
    <w:p w14:paraId="65D2B523" w14:textId="77777777" w:rsidR="00783288" w:rsidRDefault="00783288">
      <w:pPr>
        <w:pStyle w:val="BodyText"/>
        <w:kinsoku w:val="0"/>
        <w:overflowPunct w:val="0"/>
      </w:pPr>
    </w:p>
    <w:p w14:paraId="5F7BEAC9" w14:textId="5B22B50A" w:rsidR="00783288" w:rsidRDefault="00E31420">
      <w:pPr>
        <w:pStyle w:val="BodyText"/>
        <w:kinsoku w:val="0"/>
        <w:overflowPunct w:val="0"/>
        <w:ind w:left="300" w:right="1191"/>
        <w:jc w:val="both"/>
        <w:rPr>
          <w:color w:val="231F20"/>
        </w:rPr>
      </w:pPr>
      <w:bookmarkStart w:id="9" w:name="_Hlk74312441"/>
      <w:r>
        <w:rPr>
          <w:color w:val="231F20"/>
        </w:rPr>
        <w:t xml:space="preserve">The Group has recently run an AMT geophysics survey at a target area called </w:t>
      </w:r>
      <w:proofErr w:type="spellStart"/>
      <w:r>
        <w:rPr>
          <w:color w:val="231F20"/>
        </w:rPr>
        <w:t>Agrokipia</w:t>
      </w:r>
      <w:proofErr w:type="spellEnd"/>
      <w:r>
        <w:rPr>
          <w:color w:val="231F20"/>
        </w:rPr>
        <w:t xml:space="preserve"> at Troodos North with encouraging</w:t>
      </w:r>
      <w:r>
        <w:rPr>
          <w:color w:val="231F20"/>
          <w:spacing w:val="-7"/>
        </w:rPr>
        <w:t xml:space="preserve"> </w:t>
      </w:r>
      <w:r>
        <w:rPr>
          <w:color w:val="231F20"/>
        </w:rPr>
        <w:t>results.</w:t>
      </w:r>
      <w:r>
        <w:rPr>
          <w:color w:val="231F20"/>
          <w:spacing w:val="-6"/>
        </w:rPr>
        <w:t xml:space="preserve"> </w:t>
      </w:r>
      <w:r>
        <w:rPr>
          <w:color w:val="231F20"/>
        </w:rPr>
        <w:t>The</w:t>
      </w:r>
      <w:r>
        <w:rPr>
          <w:color w:val="231F20"/>
          <w:spacing w:val="-7"/>
        </w:rPr>
        <w:t xml:space="preserve"> </w:t>
      </w:r>
      <w:r>
        <w:rPr>
          <w:color w:val="231F20"/>
        </w:rPr>
        <w:t>area</w:t>
      </w:r>
      <w:r>
        <w:rPr>
          <w:color w:val="231F20"/>
          <w:spacing w:val="-9"/>
        </w:rPr>
        <w:t xml:space="preserve"> </w:t>
      </w:r>
      <w:r>
        <w:rPr>
          <w:color w:val="231F20"/>
        </w:rPr>
        <w:t>contains</w:t>
      </w:r>
      <w:r>
        <w:rPr>
          <w:color w:val="231F20"/>
          <w:spacing w:val="-7"/>
        </w:rPr>
        <w:t xml:space="preserve"> </w:t>
      </w:r>
      <w:r>
        <w:rPr>
          <w:color w:val="231F20"/>
        </w:rPr>
        <w:t>an</w:t>
      </w:r>
      <w:r>
        <w:rPr>
          <w:color w:val="231F20"/>
          <w:spacing w:val="-9"/>
        </w:rPr>
        <w:t xml:space="preserve"> </w:t>
      </w:r>
      <w:r>
        <w:rPr>
          <w:color w:val="231F20"/>
        </w:rPr>
        <w:t>historic</w:t>
      </w:r>
      <w:r>
        <w:rPr>
          <w:color w:val="231F20"/>
          <w:spacing w:val="-8"/>
        </w:rPr>
        <w:t xml:space="preserve"> </w:t>
      </w:r>
      <w:r>
        <w:rPr>
          <w:color w:val="231F20"/>
        </w:rPr>
        <w:t>mine</w:t>
      </w:r>
      <w:r>
        <w:rPr>
          <w:color w:val="231F20"/>
          <w:spacing w:val="-7"/>
        </w:rPr>
        <w:t xml:space="preserve"> </w:t>
      </w:r>
      <w:r>
        <w:rPr>
          <w:color w:val="231F20"/>
        </w:rPr>
        <w:t>with</w:t>
      </w:r>
      <w:r>
        <w:rPr>
          <w:color w:val="231F20"/>
          <w:spacing w:val="-6"/>
        </w:rPr>
        <w:t xml:space="preserve"> </w:t>
      </w:r>
      <w:r>
        <w:rPr>
          <w:color w:val="231F20"/>
        </w:rPr>
        <w:t>recoded</w:t>
      </w:r>
      <w:r>
        <w:rPr>
          <w:color w:val="231F20"/>
          <w:spacing w:val="-7"/>
        </w:rPr>
        <w:t xml:space="preserve"> </w:t>
      </w:r>
      <w:r>
        <w:rPr>
          <w:color w:val="231F20"/>
        </w:rPr>
        <w:t>high</w:t>
      </w:r>
      <w:r>
        <w:rPr>
          <w:color w:val="231F20"/>
          <w:spacing w:val="-9"/>
        </w:rPr>
        <w:t xml:space="preserve"> </w:t>
      </w:r>
      <w:r>
        <w:rPr>
          <w:color w:val="231F20"/>
        </w:rPr>
        <w:t>grades</w:t>
      </w:r>
      <w:r>
        <w:rPr>
          <w:color w:val="231F20"/>
          <w:spacing w:val="-8"/>
        </w:rPr>
        <w:t xml:space="preserve"> </w:t>
      </w:r>
      <w:r>
        <w:rPr>
          <w:color w:val="231F20"/>
        </w:rPr>
        <w:t>of</w:t>
      </w:r>
      <w:r>
        <w:rPr>
          <w:color w:val="231F20"/>
          <w:spacing w:val="-9"/>
        </w:rPr>
        <w:t xml:space="preserve"> </w:t>
      </w:r>
      <w:r>
        <w:rPr>
          <w:color w:val="231F20"/>
        </w:rPr>
        <w:t>copper,</w:t>
      </w:r>
      <w:r>
        <w:rPr>
          <w:color w:val="231F20"/>
          <w:spacing w:val="-10"/>
        </w:rPr>
        <w:t xml:space="preserve"> </w:t>
      </w:r>
      <w:r>
        <w:rPr>
          <w:color w:val="231F20"/>
        </w:rPr>
        <w:t>as</w:t>
      </w:r>
      <w:r>
        <w:rPr>
          <w:color w:val="231F20"/>
          <w:spacing w:val="-6"/>
        </w:rPr>
        <w:t xml:space="preserve"> </w:t>
      </w:r>
      <w:r>
        <w:rPr>
          <w:color w:val="231F20"/>
        </w:rPr>
        <w:t>well</w:t>
      </w:r>
      <w:r>
        <w:rPr>
          <w:color w:val="231F20"/>
          <w:spacing w:val="-7"/>
        </w:rPr>
        <w:t xml:space="preserve"> </w:t>
      </w:r>
      <w:r>
        <w:rPr>
          <w:color w:val="231F20"/>
        </w:rPr>
        <w:t>as</w:t>
      </w:r>
      <w:r>
        <w:rPr>
          <w:color w:val="231F20"/>
          <w:spacing w:val="-6"/>
        </w:rPr>
        <w:t xml:space="preserve"> </w:t>
      </w:r>
      <w:r>
        <w:rPr>
          <w:color w:val="231F20"/>
        </w:rPr>
        <w:t>zinc.</w:t>
      </w:r>
      <w:r>
        <w:rPr>
          <w:color w:val="231F20"/>
          <w:spacing w:val="-7"/>
        </w:rPr>
        <w:t xml:space="preserve"> </w:t>
      </w:r>
      <w:r>
        <w:rPr>
          <w:color w:val="231F20"/>
        </w:rPr>
        <w:t>There is</w:t>
      </w:r>
      <w:r>
        <w:rPr>
          <w:color w:val="231F20"/>
          <w:spacing w:val="-3"/>
        </w:rPr>
        <w:t xml:space="preserve"> </w:t>
      </w:r>
      <w:r>
        <w:rPr>
          <w:color w:val="231F20"/>
        </w:rPr>
        <w:t>also</w:t>
      </w:r>
      <w:r>
        <w:rPr>
          <w:color w:val="231F20"/>
          <w:spacing w:val="-2"/>
        </w:rPr>
        <w:t xml:space="preserve"> </w:t>
      </w:r>
      <w:r>
        <w:rPr>
          <w:color w:val="231F20"/>
        </w:rPr>
        <w:t>a</w:t>
      </w:r>
      <w:r>
        <w:rPr>
          <w:color w:val="231F20"/>
          <w:spacing w:val="-5"/>
        </w:rPr>
        <w:t xml:space="preserve"> </w:t>
      </w:r>
      <w:proofErr w:type="spellStart"/>
      <w:r>
        <w:rPr>
          <w:color w:val="231F20"/>
        </w:rPr>
        <w:t>signiciant</w:t>
      </w:r>
      <w:proofErr w:type="spellEnd"/>
      <w:r>
        <w:rPr>
          <w:color w:val="231F20"/>
          <w:spacing w:val="-4"/>
        </w:rPr>
        <w:t xml:space="preserve"> </w:t>
      </w:r>
      <w:r>
        <w:rPr>
          <w:color w:val="231F20"/>
        </w:rPr>
        <w:t>amount</w:t>
      </w:r>
      <w:r>
        <w:rPr>
          <w:color w:val="231F20"/>
          <w:spacing w:val="-5"/>
        </w:rPr>
        <w:t xml:space="preserve"> </w:t>
      </w:r>
      <w:r>
        <w:rPr>
          <w:color w:val="231F20"/>
        </w:rPr>
        <w:t>of</w:t>
      </w:r>
      <w:r>
        <w:rPr>
          <w:color w:val="231F20"/>
          <w:spacing w:val="-5"/>
        </w:rPr>
        <w:t xml:space="preserve"> </w:t>
      </w:r>
      <w:r>
        <w:rPr>
          <w:color w:val="231F20"/>
        </w:rPr>
        <w:t>historic</w:t>
      </w:r>
      <w:r>
        <w:rPr>
          <w:color w:val="231F20"/>
          <w:spacing w:val="-4"/>
        </w:rPr>
        <w:t xml:space="preserve"> </w:t>
      </w:r>
      <w:r>
        <w:rPr>
          <w:color w:val="231F20"/>
        </w:rPr>
        <w:t>drilling</w:t>
      </w:r>
      <w:r>
        <w:rPr>
          <w:color w:val="231F20"/>
          <w:spacing w:val="-5"/>
        </w:rPr>
        <w:t xml:space="preserve"> </w:t>
      </w:r>
      <w:r>
        <w:rPr>
          <w:color w:val="231F20"/>
        </w:rPr>
        <w:t>at</w:t>
      </w:r>
      <w:r>
        <w:rPr>
          <w:color w:val="231F20"/>
          <w:spacing w:val="-4"/>
        </w:rPr>
        <w:t xml:space="preserve"> </w:t>
      </w:r>
      <w:proofErr w:type="spellStart"/>
      <w:r>
        <w:rPr>
          <w:color w:val="231F20"/>
        </w:rPr>
        <w:t>Agrokipia</w:t>
      </w:r>
      <w:proofErr w:type="spellEnd"/>
      <w:r>
        <w:rPr>
          <w:color w:val="231F20"/>
        </w:rPr>
        <w:t>,</w:t>
      </w:r>
      <w:r>
        <w:rPr>
          <w:color w:val="231F20"/>
          <w:spacing w:val="-1"/>
        </w:rPr>
        <w:t xml:space="preserve"> </w:t>
      </w:r>
      <w:r>
        <w:rPr>
          <w:color w:val="231F20"/>
        </w:rPr>
        <w:t>including</w:t>
      </w:r>
      <w:r>
        <w:rPr>
          <w:color w:val="231F20"/>
          <w:spacing w:val="-5"/>
        </w:rPr>
        <w:t xml:space="preserve"> </w:t>
      </w:r>
      <w:r>
        <w:rPr>
          <w:color w:val="231F20"/>
        </w:rPr>
        <w:t>two</w:t>
      </w:r>
      <w:r>
        <w:rPr>
          <w:color w:val="231F20"/>
          <w:spacing w:val="-3"/>
        </w:rPr>
        <w:t xml:space="preserve"> </w:t>
      </w:r>
      <w:r>
        <w:rPr>
          <w:color w:val="231F20"/>
        </w:rPr>
        <w:t>historic</w:t>
      </w:r>
      <w:r>
        <w:rPr>
          <w:color w:val="231F20"/>
          <w:spacing w:val="-2"/>
        </w:rPr>
        <w:t xml:space="preserve"> </w:t>
      </w:r>
      <w:r>
        <w:rPr>
          <w:color w:val="231F20"/>
        </w:rPr>
        <w:t>non-compliant</w:t>
      </w:r>
      <w:r>
        <w:rPr>
          <w:color w:val="231F20"/>
          <w:spacing w:val="-3"/>
        </w:rPr>
        <w:t xml:space="preserve"> </w:t>
      </w:r>
      <w:r>
        <w:rPr>
          <w:color w:val="231F20"/>
        </w:rPr>
        <w:t>resources</w:t>
      </w:r>
      <w:r>
        <w:rPr>
          <w:color w:val="231F20"/>
          <w:spacing w:val="-3"/>
        </w:rPr>
        <w:t xml:space="preserve"> </w:t>
      </w:r>
      <w:r>
        <w:rPr>
          <w:color w:val="231F20"/>
        </w:rPr>
        <w:t>of</w:t>
      </w:r>
      <w:r>
        <w:rPr>
          <w:color w:val="231F20"/>
          <w:spacing w:val="-3"/>
        </w:rPr>
        <w:t xml:space="preserve"> </w:t>
      </w:r>
      <w:r>
        <w:rPr>
          <w:color w:val="231F20"/>
        </w:rPr>
        <w:t>0.8</w:t>
      </w:r>
      <w:r>
        <w:rPr>
          <w:color w:val="231F20"/>
          <w:spacing w:val="-2"/>
        </w:rPr>
        <w:t xml:space="preserve"> </w:t>
      </w:r>
      <w:r>
        <w:rPr>
          <w:color w:val="231F20"/>
        </w:rPr>
        <w:t>Mt of 1.5% Cu and 0.8% Zn and 4.5 Mt of 0.4% Cu and 0.6% Zn. The company is planning to review a considerable body</w:t>
      </w:r>
      <w:r>
        <w:rPr>
          <w:color w:val="231F20"/>
          <w:spacing w:val="-7"/>
        </w:rPr>
        <w:t xml:space="preserve"> </w:t>
      </w:r>
      <w:r>
        <w:rPr>
          <w:color w:val="231F20"/>
        </w:rPr>
        <w:t>of</w:t>
      </w:r>
      <w:r>
        <w:rPr>
          <w:color w:val="231F20"/>
          <w:spacing w:val="-6"/>
        </w:rPr>
        <w:t xml:space="preserve"> </w:t>
      </w:r>
      <w:r w:rsidR="00636678">
        <w:rPr>
          <w:color w:val="231F20"/>
          <w:spacing w:val="-6"/>
        </w:rPr>
        <w:t xml:space="preserve">historic </w:t>
      </w:r>
      <w:r>
        <w:rPr>
          <w:color w:val="231F20"/>
        </w:rPr>
        <w:t>data</w:t>
      </w:r>
      <w:r>
        <w:rPr>
          <w:color w:val="231F20"/>
          <w:spacing w:val="-4"/>
        </w:rPr>
        <w:t xml:space="preserve"> </w:t>
      </w:r>
      <w:r>
        <w:rPr>
          <w:color w:val="231F20"/>
        </w:rPr>
        <w:t>at</w:t>
      </w:r>
      <w:r>
        <w:rPr>
          <w:color w:val="231F20"/>
          <w:spacing w:val="-6"/>
        </w:rPr>
        <w:t xml:space="preserve"> </w:t>
      </w:r>
      <w:r>
        <w:rPr>
          <w:color w:val="231F20"/>
        </w:rPr>
        <w:t>this</w:t>
      </w:r>
      <w:r>
        <w:rPr>
          <w:color w:val="231F20"/>
          <w:spacing w:val="-6"/>
        </w:rPr>
        <w:t xml:space="preserve"> </w:t>
      </w:r>
      <w:r>
        <w:rPr>
          <w:color w:val="231F20"/>
        </w:rPr>
        <w:t>target</w:t>
      </w:r>
      <w:r>
        <w:rPr>
          <w:color w:val="231F20"/>
          <w:spacing w:val="-4"/>
        </w:rPr>
        <w:t xml:space="preserve"> </w:t>
      </w:r>
      <w:r>
        <w:rPr>
          <w:color w:val="231F20"/>
        </w:rPr>
        <w:t>area,</w:t>
      </w:r>
      <w:r>
        <w:rPr>
          <w:color w:val="231F20"/>
          <w:spacing w:val="-4"/>
        </w:rPr>
        <w:t xml:space="preserve"> </w:t>
      </w:r>
      <w:r>
        <w:rPr>
          <w:color w:val="231F20"/>
        </w:rPr>
        <w:t>as</w:t>
      </w:r>
      <w:r>
        <w:rPr>
          <w:color w:val="231F20"/>
          <w:spacing w:val="-6"/>
        </w:rPr>
        <w:t xml:space="preserve"> </w:t>
      </w:r>
      <w:r>
        <w:rPr>
          <w:color w:val="231F20"/>
        </w:rPr>
        <w:t>it</w:t>
      </w:r>
      <w:r>
        <w:rPr>
          <w:color w:val="231F20"/>
          <w:spacing w:val="-6"/>
        </w:rPr>
        <w:t xml:space="preserve"> </w:t>
      </w:r>
      <w:r>
        <w:rPr>
          <w:color w:val="231F20"/>
        </w:rPr>
        <w:t>believes</w:t>
      </w:r>
      <w:r>
        <w:rPr>
          <w:color w:val="231F20"/>
          <w:spacing w:val="-6"/>
        </w:rPr>
        <w:t xml:space="preserve"> </w:t>
      </w:r>
      <w:r>
        <w:rPr>
          <w:color w:val="231F20"/>
        </w:rPr>
        <w:t>there</w:t>
      </w:r>
      <w:r>
        <w:rPr>
          <w:color w:val="231F20"/>
          <w:spacing w:val="-4"/>
        </w:rPr>
        <w:t xml:space="preserve"> </w:t>
      </w:r>
      <w:r>
        <w:rPr>
          <w:color w:val="231F20"/>
        </w:rPr>
        <w:t>is</w:t>
      </w:r>
      <w:r>
        <w:rPr>
          <w:color w:val="231F20"/>
          <w:spacing w:val="-3"/>
        </w:rPr>
        <w:t xml:space="preserve"> </w:t>
      </w:r>
      <w:r>
        <w:rPr>
          <w:color w:val="231F20"/>
        </w:rPr>
        <w:t>the</w:t>
      </w:r>
      <w:r>
        <w:rPr>
          <w:color w:val="231F20"/>
          <w:spacing w:val="-6"/>
        </w:rPr>
        <w:t xml:space="preserve"> </w:t>
      </w:r>
      <w:r>
        <w:rPr>
          <w:color w:val="231F20"/>
        </w:rPr>
        <w:t>potential</w:t>
      </w:r>
      <w:r w:rsidR="00636678">
        <w:rPr>
          <w:color w:val="231F20"/>
        </w:rPr>
        <w:t xml:space="preserve">, in combination with further </w:t>
      </w:r>
      <w:proofErr w:type="gramStart"/>
      <w:r w:rsidR="00636678">
        <w:rPr>
          <w:color w:val="231F20"/>
        </w:rPr>
        <w:t xml:space="preserve">drilling, </w:t>
      </w:r>
      <w:r>
        <w:rPr>
          <w:color w:val="231F20"/>
          <w:spacing w:val="-5"/>
        </w:rPr>
        <w:t xml:space="preserve"> </w:t>
      </w:r>
      <w:r>
        <w:rPr>
          <w:color w:val="231F20"/>
        </w:rPr>
        <w:t>to</w:t>
      </w:r>
      <w:proofErr w:type="gramEnd"/>
      <w:r>
        <w:rPr>
          <w:color w:val="231F20"/>
          <w:spacing w:val="-6"/>
        </w:rPr>
        <w:t xml:space="preserve"> </w:t>
      </w:r>
      <w:r>
        <w:rPr>
          <w:color w:val="231F20"/>
        </w:rPr>
        <w:t>estimate</w:t>
      </w:r>
      <w:r>
        <w:rPr>
          <w:color w:val="231F20"/>
          <w:spacing w:val="-6"/>
        </w:rPr>
        <w:t xml:space="preserve"> </w:t>
      </w:r>
      <w:r>
        <w:rPr>
          <w:color w:val="231F20"/>
        </w:rPr>
        <w:t>a</w:t>
      </w:r>
      <w:r>
        <w:rPr>
          <w:color w:val="231F20"/>
          <w:spacing w:val="-6"/>
        </w:rPr>
        <w:t xml:space="preserve"> </w:t>
      </w:r>
      <w:r>
        <w:rPr>
          <w:color w:val="231F20"/>
        </w:rPr>
        <w:t>JORC</w:t>
      </w:r>
      <w:r>
        <w:rPr>
          <w:color w:val="231F20"/>
          <w:spacing w:val="-5"/>
        </w:rPr>
        <w:t xml:space="preserve"> </w:t>
      </w:r>
      <w:r>
        <w:rPr>
          <w:color w:val="231F20"/>
        </w:rPr>
        <w:t>compliant</w:t>
      </w:r>
      <w:r>
        <w:rPr>
          <w:color w:val="231F20"/>
          <w:spacing w:val="-6"/>
        </w:rPr>
        <w:t xml:space="preserve"> </w:t>
      </w:r>
      <w:r>
        <w:rPr>
          <w:color w:val="231F20"/>
        </w:rPr>
        <w:t>mineral</w:t>
      </w:r>
      <w:r>
        <w:rPr>
          <w:color w:val="231F20"/>
          <w:spacing w:val="-6"/>
        </w:rPr>
        <w:t xml:space="preserve"> </w:t>
      </w:r>
      <w:r>
        <w:rPr>
          <w:color w:val="231F20"/>
        </w:rPr>
        <w:t>resource in the future at this</w:t>
      </w:r>
      <w:r>
        <w:rPr>
          <w:color w:val="231F20"/>
          <w:spacing w:val="1"/>
        </w:rPr>
        <w:t xml:space="preserve"> </w:t>
      </w:r>
      <w:r>
        <w:rPr>
          <w:color w:val="231F20"/>
        </w:rPr>
        <w:t>area.</w:t>
      </w:r>
    </w:p>
    <w:bookmarkEnd w:id="9"/>
    <w:p w14:paraId="5D8826AF" w14:textId="77777777" w:rsidR="00C81EF5" w:rsidRDefault="00C81EF5">
      <w:pPr>
        <w:pStyle w:val="BodyText"/>
        <w:kinsoku w:val="0"/>
        <w:overflowPunct w:val="0"/>
        <w:ind w:left="300" w:right="1191"/>
        <w:jc w:val="both"/>
        <w:rPr>
          <w:color w:val="231F20"/>
        </w:rPr>
      </w:pPr>
    </w:p>
    <w:p w14:paraId="1018FA79" w14:textId="1559170F" w:rsidR="00C81EF5" w:rsidRDefault="00C81EF5" w:rsidP="009A2801">
      <w:pPr>
        <w:pStyle w:val="Heading1"/>
        <w:keepNext/>
        <w:keepLines/>
        <w:tabs>
          <w:tab w:val="left" w:pos="1740"/>
        </w:tabs>
        <w:kinsoku w:val="0"/>
        <w:overflowPunct w:val="0"/>
        <w:ind w:left="1739" w:hanging="1455"/>
        <w:rPr>
          <w:color w:val="231F20"/>
        </w:rPr>
      </w:pPr>
      <w:r>
        <w:rPr>
          <w:color w:val="231F20"/>
        </w:rPr>
        <w:t>3.10.4 Labrador</w:t>
      </w:r>
    </w:p>
    <w:p w14:paraId="15D65904" w14:textId="5B21BBA1" w:rsidR="00C81EF5" w:rsidRDefault="00C81EF5" w:rsidP="009A2801">
      <w:pPr>
        <w:keepNext/>
        <w:keepLines/>
      </w:pPr>
    </w:p>
    <w:p w14:paraId="7530D3A4" w14:textId="4D089EE1" w:rsidR="00C81EF5" w:rsidRDefault="00C81EF5" w:rsidP="009A2801">
      <w:pPr>
        <w:pStyle w:val="BodyText"/>
        <w:keepNext/>
        <w:keepLines/>
        <w:kinsoku w:val="0"/>
        <w:overflowPunct w:val="0"/>
        <w:ind w:left="300" w:right="1191"/>
        <w:jc w:val="both"/>
        <w:rPr>
          <w:color w:val="231F20"/>
        </w:rPr>
      </w:pPr>
      <w:r>
        <w:rPr>
          <w:color w:val="231F20"/>
        </w:rPr>
        <w:t>In Labrador, a programme comprising 8-10 weeks of core re-logging or sampling, boat and helicopter supported detailed mapping, prospecting, rock sampling and geochemical surveys (soil sampling) is p</w:t>
      </w:r>
      <w:r w:rsidR="0034706A">
        <w:rPr>
          <w:color w:val="231F20"/>
        </w:rPr>
        <w:t>lanned</w:t>
      </w:r>
      <w:r>
        <w:rPr>
          <w:color w:val="231F20"/>
        </w:rPr>
        <w:t xml:space="preserve">, with a crew of 6 persons working from the community of Happy Valley Goose Bay or from small, temporary campsites. The primary objective of the programme will be evaluating the four priority target areas to identify drill targets for future testing. </w:t>
      </w:r>
    </w:p>
    <w:p w14:paraId="2FEB1084" w14:textId="77777777" w:rsidR="00783288" w:rsidRDefault="00783288">
      <w:pPr>
        <w:pStyle w:val="BodyText"/>
        <w:kinsoku w:val="0"/>
        <w:overflowPunct w:val="0"/>
        <w:spacing w:before="5"/>
        <w:rPr>
          <w:sz w:val="17"/>
          <w:szCs w:val="17"/>
        </w:rPr>
      </w:pPr>
    </w:p>
    <w:p w14:paraId="67E55637" w14:textId="77777777" w:rsidR="00783288" w:rsidRDefault="00E31420">
      <w:pPr>
        <w:pStyle w:val="Heading1"/>
        <w:kinsoku w:val="0"/>
        <w:overflowPunct w:val="0"/>
        <w:jc w:val="both"/>
        <w:rPr>
          <w:color w:val="231F20"/>
        </w:rPr>
      </w:pPr>
      <w:r>
        <w:rPr>
          <w:color w:val="231F20"/>
        </w:rPr>
        <w:t>Objectives and Future Plans</w:t>
      </w:r>
    </w:p>
    <w:p w14:paraId="64297A02" w14:textId="77777777" w:rsidR="00783288" w:rsidRDefault="00783288">
      <w:pPr>
        <w:pStyle w:val="BodyText"/>
        <w:kinsoku w:val="0"/>
        <w:overflowPunct w:val="0"/>
        <w:spacing w:before="6"/>
        <w:rPr>
          <w:b/>
          <w:bCs/>
        </w:rPr>
      </w:pPr>
    </w:p>
    <w:p w14:paraId="263A8C80" w14:textId="77777777" w:rsidR="00636678" w:rsidRDefault="00E31420">
      <w:pPr>
        <w:pStyle w:val="BodyText"/>
        <w:kinsoku w:val="0"/>
        <w:overflowPunct w:val="0"/>
        <w:ind w:left="300" w:right="1192"/>
        <w:jc w:val="both"/>
        <w:rPr>
          <w:color w:val="231F20"/>
        </w:rPr>
      </w:pPr>
      <w:r>
        <w:rPr>
          <w:color w:val="231F20"/>
        </w:rPr>
        <w:t xml:space="preserve">The primary objective of the Group is to generate value for shareholders by progressing its ongoing copper </w:t>
      </w:r>
      <w:r>
        <w:rPr>
          <w:color w:val="231F20"/>
          <w:spacing w:val="-2"/>
        </w:rPr>
        <w:t xml:space="preserve">and </w:t>
      </w:r>
      <w:r>
        <w:rPr>
          <w:color w:val="231F20"/>
        </w:rPr>
        <w:t xml:space="preserve">gold exploration projects to identify a commercially mineable resource and to generate revenues by executing a trade sale (or partial trade sale), joint venture or strategic partnership in respect of its Portfolio. </w:t>
      </w:r>
    </w:p>
    <w:p w14:paraId="2F2CC1F3" w14:textId="77777777" w:rsidR="00636678" w:rsidRDefault="00636678">
      <w:pPr>
        <w:pStyle w:val="BodyText"/>
        <w:kinsoku w:val="0"/>
        <w:overflowPunct w:val="0"/>
        <w:ind w:left="300" w:right="1192"/>
        <w:jc w:val="both"/>
        <w:rPr>
          <w:color w:val="231F20"/>
        </w:rPr>
      </w:pPr>
    </w:p>
    <w:p w14:paraId="158575DA" w14:textId="2666B55F" w:rsidR="00EA5AF3" w:rsidRDefault="00636678">
      <w:pPr>
        <w:pStyle w:val="BodyText"/>
        <w:kinsoku w:val="0"/>
        <w:overflowPunct w:val="0"/>
        <w:ind w:left="300" w:right="1192"/>
        <w:jc w:val="both"/>
        <w:rPr>
          <w:b/>
          <w:color w:val="231F20"/>
          <w:highlight w:val="yellow"/>
        </w:rPr>
      </w:pPr>
      <w:r>
        <w:rPr>
          <w:color w:val="231F20"/>
        </w:rPr>
        <w:t xml:space="preserve">After encouraging results from its late 2020 geophysics, percussion and </w:t>
      </w:r>
      <w:r w:rsidR="00497D65">
        <w:rPr>
          <w:color w:val="231F20"/>
        </w:rPr>
        <w:t>D</w:t>
      </w:r>
      <w:r>
        <w:rPr>
          <w:color w:val="231F20"/>
        </w:rPr>
        <w:t xml:space="preserve">iamond </w:t>
      </w:r>
      <w:r w:rsidR="00497D65">
        <w:rPr>
          <w:color w:val="231F20"/>
        </w:rPr>
        <w:t>D</w:t>
      </w:r>
      <w:r>
        <w:rPr>
          <w:color w:val="231F20"/>
        </w:rPr>
        <w:t>rilling campaign, the Group</w:t>
      </w:r>
      <w:r w:rsidR="00EA5AF3" w:rsidRPr="00EA5AF3">
        <w:rPr>
          <w:color w:val="231F20"/>
        </w:rPr>
        <w:t xml:space="preserve">’s 2021 exploration campaign in Cyprus is running on schedule, with the Group’s first phase AMT and gravity geophysics surveys, together with its Percussion Drilling programme of 14 holes, now completed. The gravity geophysics survey conducted in the area to the west of target Hillside highlighted a large new high-priority target named “Olive”, which is a compelling North-South trending structure, manifesting as a residual gravity high. This anomaly extends 1km in length and up to 300m in width and may be indicative of a type of early-forming subsidiary basin that often host VMS deposits. The next phase of geophysics can now </w:t>
      </w:r>
      <w:proofErr w:type="gramStart"/>
      <w:r w:rsidR="00EA5AF3" w:rsidRPr="00EA5AF3">
        <w:rPr>
          <w:color w:val="231F20"/>
        </w:rPr>
        <w:t>commence</w:t>
      </w:r>
      <w:proofErr w:type="gramEnd"/>
      <w:r w:rsidR="00EA5AF3" w:rsidRPr="00EA5AF3">
        <w:rPr>
          <w:color w:val="231F20"/>
        </w:rPr>
        <w:t xml:space="preserve"> and a specialised team is due to conduct a down-hole EM programme shortly. Diamond Drilling is commence</w:t>
      </w:r>
      <w:r w:rsidR="008761DD">
        <w:rPr>
          <w:color w:val="231F20"/>
        </w:rPr>
        <w:t>d</w:t>
      </w:r>
      <w:r w:rsidR="00EA5AF3" w:rsidRPr="00EA5AF3">
        <w:rPr>
          <w:color w:val="231F20"/>
        </w:rPr>
        <w:t xml:space="preserve"> </w:t>
      </w:r>
      <w:r w:rsidR="00D720EB">
        <w:rPr>
          <w:color w:val="231F20"/>
        </w:rPr>
        <w:t xml:space="preserve">at the </w:t>
      </w:r>
      <w:r w:rsidR="008761DD">
        <w:rPr>
          <w:color w:val="231F20"/>
        </w:rPr>
        <w:t>start of</w:t>
      </w:r>
      <w:r w:rsidR="00D720EB">
        <w:rPr>
          <w:color w:val="231F20"/>
        </w:rPr>
        <w:t xml:space="preserve"> </w:t>
      </w:r>
      <w:r w:rsidR="00B8098E">
        <w:rPr>
          <w:color w:val="231F20"/>
        </w:rPr>
        <w:t>Ju</w:t>
      </w:r>
      <w:r w:rsidR="008761DD">
        <w:rPr>
          <w:color w:val="231F20"/>
        </w:rPr>
        <w:t>ly</w:t>
      </w:r>
      <w:r w:rsidR="00EA5AF3" w:rsidRPr="00EA5AF3">
        <w:rPr>
          <w:color w:val="231F20"/>
        </w:rPr>
        <w:t xml:space="preserve"> 2021, in an expanded works programme. As well as focusing on its primary </w:t>
      </w:r>
      <w:r w:rsidR="00EA5AF3" w:rsidRPr="00B8098E">
        <w:rPr>
          <w:color w:val="231F20"/>
        </w:rPr>
        <w:t xml:space="preserve">target area of Troodos West, the Group </w:t>
      </w:r>
      <w:r w:rsidR="008761DD">
        <w:rPr>
          <w:color w:val="231F20"/>
        </w:rPr>
        <w:t>anticipates</w:t>
      </w:r>
      <w:r w:rsidR="00EA5AF3" w:rsidRPr="00B8098E">
        <w:rPr>
          <w:color w:val="231F20"/>
        </w:rPr>
        <w:t xml:space="preserve"> exploratory work on its Troodos North and Discovery South licence areas</w:t>
      </w:r>
      <w:r w:rsidR="00EA5AF3" w:rsidRPr="00B8098E">
        <w:rPr>
          <w:b/>
          <w:i/>
          <w:color w:val="231F20"/>
        </w:rPr>
        <w:t xml:space="preserve">. </w:t>
      </w:r>
    </w:p>
    <w:p w14:paraId="72E44B6F" w14:textId="77777777" w:rsidR="00EA5AF3" w:rsidRDefault="00EA5AF3">
      <w:pPr>
        <w:pStyle w:val="BodyText"/>
        <w:kinsoku w:val="0"/>
        <w:overflowPunct w:val="0"/>
        <w:ind w:left="300" w:right="1192"/>
        <w:jc w:val="both"/>
        <w:rPr>
          <w:color w:val="231F20"/>
        </w:rPr>
      </w:pPr>
    </w:p>
    <w:p w14:paraId="63194AA3" w14:textId="3C06FB52" w:rsidR="00636678" w:rsidRDefault="00636678">
      <w:pPr>
        <w:pStyle w:val="BodyText"/>
        <w:kinsoku w:val="0"/>
        <w:overflowPunct w:val="0"/>
        <w:ind w:left="300" w:right="1192"/>
        <w:jc w:val="both"/>
        <w:rPr>
          <w:color w:val="231F20"/>
        </w:rPr>
      </w:pPr>
      <w:r>
        <w:rPr>
          <w:color w:val="231F20"/>
        </w:rPr>
        <w:t xml:space="preserve">Such discoveries will require infill drilling and further exploration to define or enlarge resources to create value for the Group’s shareholders. The Group considers it prudent to now raise necessary funding in advance of such work to provide investors with confidence that the Group is </w:t>
      </w:r>
      <w:proofErr w:type="gramStart"/>
      <w:r>
        <w:rPr>
          <w:color w:val="231F20"/>
        </w:rPr>
        <w:t>in a position</w:t>
      </w:r>
      <w:proofErr w:type="gramEnd"/>
      <w:r>
        <w:rPr>
          <w:color w:val="231F20"/>
        </w:rPr>
        <w:t xml:space="preserve"> to advance its project next year free of financing risk. </w:t>
      </w:r>
    </w:p>
    <w:p w14:paraId="5C51345E" w14:textId="77777777" w:rsidR="00636678" w:rsidRDefault="00636678">
      <w:pPr>
        <w:pStyle w:val="BodyText"/>
        <w:kinsoku w:val="0"/>
        <w:overflowPunct w:val="0"/>
        <w:ind w:left="300" w:right="1192"/>
        <w:jc w:val="both"/>
        <w:rPr>
          <w:color w:val="231F20"/>
        </w:rPr>
      </w:pPr>
    </w:p>
    <w:p w14:paraId="3252DC3B" w14:textId="6F068C2F" w:rsidR="00783288" w:rsidRDefault="00E31420">
      <w:pPr>
        <w:pStyle w:val="BodyText"/>
        <w:kinsoku w:val="0"/>
        <w:overflowPunct w:val="0"/>
        <w:ind w:left="300" w:right="1192"/>
        <w:jc w:val="both"/>
        <w:rPr>
          <w:color w:val="231F20"/>
        </w:rPr>
      </w:pPr>
      <w:r>
        <w:rPr>
          <w:color w:val="231F20"/>
        </w:rPr>
        <w:t>In addition, the Group also intends to continue exploring for new prospective locations for Exchange Traded Non-Ferrous Metals and to obtain further mineral exploration licences or permits, whether identified directly by the Group or through further acquisitions and whether in Cyprus</w:t>
      </w:r>
      <w:r w:rsidR="002E1CC5">
        <w:rPr>
          <w:color w:val="231F20"/>
        </w:rPr>
        <w:t>, Canada</w:t>
      </w:r>
      <w:r>
        <w:rPr>
          <w:color w:val="231F20"/>
        </w:rPr>
        <w:t xml:space="preserve"> or </w:t>
      </w:r>
      <w:r w:rsidR="002E1CC5">
        <w:rPr>
          <w:color w:val="231F20"/>
        </w:rPr>
        <w:t>further afield</w:t>
      </w:r>
      <w:r>
        <w:rPr>
          <w:color w:val="231F20"/>
        </w:rPr>
        <w:t xml:space="preserve">, with a view to executing a similar exit event </w:t>
      </w:r>
      <w:r>
        <w:rPr>
          <w:color w:val="231F20"/>
          <w:spacing w:val="-3"/>
        </w:rPr>
        <w:t xml:space="preserve">in </w:t>
      </w:r>
      <w:r>
        <w:rPr>
          <w:color w:val="231F20"/>
        </w:rPr>
        <w:t>the future. In parallel with developing its Portfolio in Cyprus, the Group will continue to seek acquisition and joint venture</w:t>
      </w:r>
      <w:r>
        <w:rPr>
          <w:color w:val="231F20"/>
          <w:spacing w:val="-10"/>
        </w:rPr>
        <w:t xml:space="preserve"> </w:t>
      </w:r>
      <w:r>
        <w:rPr>
          <w:color w:val="231F20"/>
        </w:rPr>
        <w:t>opportunities</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natural</w:t>
      </w:r>
      <w:r>
        <w:rPr>
          <w:color w:val="231F20"/>
          <w:spacing w:val="-9"/>
        </w:rPr>
        <w:t xml:space="preserve"> </w:t>
      </w:r>
      <w:r>
        <w:rPr>
          <w:color w:val="231F20"/>
        </w:rPr>
        <w:t>resources</w:t>
      </w:r>
      <w:r>
        <w:rPr>
          <w:color w:val="231F20"/>
          <w:spacing w:val="-11"/>
        </w:rPr>
        <w:t xml:space="preserve"> </w:t>
      </w:r>
      <w:r>
        <w:rPr>
          <w:color w:val="231F20"/>
        </w:rPr>
        <w:t>sector,</w:t>
      </w:r>
      <w:r>
        <w:rPr>
          <w:color w:val="231F20"/>
          <w:spacing w:val="-11"/>
        </w:rPr>
        <w:t xml:space="preserve"> </w:t>
      </w:r>
      <w:r>
        <w:rPr>
          <w:color w:val="231F20"/>
        </w:rPr>
        <w:t>maintaining</w:t>
      </w:r>
      <w:r>
        <w:rPr>
          <w:color w:val="231F20"/>
          <w:spacing w:val="-10"/>
        </w:rPr>
        <w:t xml:space="preserve"> </w:t>
      </w:r>
      <w:r>
        <w:rPr>
          <w:color w:val="231F20"/>
        </w:rPr>
        <w:t>a</w:t>
      </w:r>
      <w:r>
        <w:rPr>
          <w:color w:val="231F20"/>
          <w:spacing w:val="-10"/>
        </w:rPr>
        <w:t xml:space="preserve"> </w:t>
      </w:r>
      <w:r>
        <w:rPr>
          <w:color w:val="231F20"/>
        </w:rPr>
        <w:t>focus</w:t>
      </w:r>
      <w:r>
        <w:rPr>
          <w:color w:val="231F20"/>
          <w:spacing w:val="-8"/>
        </w:rPr>
        <w:t xml:space="preserve"> </w:t>
      </w:r>
      <w:r>
        <w:rPr>
          <w:color w:val="231F20"/>
        </w:rPr>
        <w:t>on</w:t>
      </w:r>
      <w:r>
        <w:rPr>
          <w:color w:val="231F20"/>
          <w:spacing w:val="-12"/>
        </w:rPr>
        <w:t xml:space="preserve"> </w:t>
      </w:r>
      <w:r>
        <w:rPr>
          <w:color w:val="231F20"/>
        </w:rPr>
        <w:t>companies,</w:t>
      </w:r>
      <w:r>
        <w:rPr>
          <w:color w:val="231F20"/>
          <w:spacing w:val="-11"/>
        </w:rPr>
        <w:t xml:space="preserve"> </w:t>
      </w:r>
      <w:r>
        <w:rPr>
          <w:color w:val="231F20"/>
        </w:rPr>
        <w:t>businesses</w:t>
      </w:r>
      <w:r>
        <w:rPr>
          <w:color w:val="231F20"/>
          <w:spacing w:val="-11"/>
        </w:rPr>
        <w:t xml:space="preserve"> </w:t>
      </w:r>
      <w:r>
        <w:rPr>
          <w:color w:val="231F20"/>
        </w:rPr>
        <w:t>or</w:t>
      </w:r>
      <w:r>
        <w:rPr>
          <w:color w:val="231F20"/>
          <w:spacing w:val="-9"/>
        </w:rPr>
        <w:t xml:space="preserve"> </w:t>
      </w:r>
      <w:r>
        <w:rPr>
          <w:color w:val="231F20"/>
        </w:rPr>
        <w:t>assets</w:t>
      </w:r>
      <w:r>
        <w:rPr>
          <w:color w:val="231F20"/>
          <w:spacing w:val="-9"/>
        </w:rPr>
        <w:t xml:space="preserve"> </w:t>
      </w:r>
      <w:r>
        <w:rPr>
          <w:color w:val="231F20"/>
        </w:rPr>
        <w:t>with operations in the Exchange Traded Non-Ferrous Metals mining segment with the European geographic region, although the Group will consider opportunities focused on other commodities and/or in other</w:t>
      </w:r>
      <w:r>
        <w:rPr>
          <w:color w:val="231F20"/>
          <w:spacing w:val="-19"/>
        </w:rPr>
        <w:t xml:space="preserve"> </w:t>
      </w:r>
      <w:r>
        <w:rPr>
          <w:color w:val="231F20"/>
        </w:rPr>
        <w:t>locations</w:t>
      </w:r>
      <w:r w:rsidR="002E1CC5">
        <w:rPr>
          <w:color w:val="231F20"/>
        </w:rPr>
        <w:t>, as evidenced by the Labrador Acquisition</w:t>
      </w:r>
      <w:r w:rsidR="00EA5AF3" w:rsidRPr="00EA5AF3">
        <w:rPr>
          <w:color w:val="231F20"/>
        </w:rPr>
        <w:t xml:space="preserve"> </w:t>
      </w:r>
      <w:r w:rsidR="00EA5AF3">
        <w:rPr>
          <w:color w:val="231F20"/>
        </w:rPr>
        <w:t>to acquire the Adeline Copper Project in central Labrador, Newfoundland and Labrador, Canada</w:t>
      </w:r>
      <w:r>
        <w:rPr>
          <w:color w:val="231F20"/>
        </w:rPr>
        <w:t>.</w:t>
      </w:r>
    </w:p>
    <w:p w14:paraId="6B5F5BFC" w14:textId="26B6EAE2" w:rsidR="00925932" w:rsidRDefault="00925932" w:rsidP="00925932">
      <w:pPr>
        <w:pStyle w:val="BodyText"/>
        <w:kinsoku w:val="0"/>
        <w:overflowPunct w:val="0"/>
        <w:ind w:left="300" w:right="1192"/>
        <w:jc w:val="both"/>
        <w:rPr>
          <w:color w:val="231F20"/>
        </w:rPr>
      </w:pPr>
    </w:p>
    <w:p w14:paraId="3E15F4DB" w14:textId="0ECAA9D3" w:rsidR="00925932" w:rsidRDefault="00EA5AF3">
      <w:pPr>
        <w:pStyle w:val="BodyText"/>
        <w:kinsoku w:val="0"/>
        <w:overflowPunct w:val="0"/>
        <w:ind w:left="300" w:right="1192"/>
        <w:jc w:val="both"/>
        <w:rPr>
          <w:color w:val="231F20"/>
        </w:rPr>
      </w:pPr>
      <w:r w:rsidRPr="00EA5AF3">
        <w:rPr>
          <w:color w:val="231F20"/>
        </w:rPr>
        <w:t xml:space="preserve">Following completion of the Labrador Acquisition, the Group shall have a 100% interest in </w:t>
      </w:r>
      <w:r w:rsidR="006A64C9">
        <w:rPr>
          <w:color w:val="231F20"/>
        </w:rPr>
        <w:t>10</w:t>
      </w:r>
      <w:r w:rsidRPr="00EA5AF3">
        <w:rPr>
          <w:color w:val="231F20"/>
        </w:rPr>
        <w:t xml:space="preserve"> Granted Map-Staked Mineral Licences (covering </w:t>
      </w:r>
      <w:r w:rsidR="006A64C9">
        <w:rPr>
          <w:color w:val="231F20"/>
        </w:rPr>
        <w:t>297</w:t>
      </w:r>
      <w:r w:rsidRPr="00EA5AF3">
        <w:rPr>
          <w:color w:val="231F20"/>
        </w:rPr>
        <w:t>.25 square kilometres) in proximity to the Central Mineral Belt of Labrador, Newfoundland and Labrador, Canada, on which it intends to explore primarily for copper.</w:t>
      </w:r>
    </w:p>
    <w:p w14:paraId="07BA7DDA" w14:textId="77777777" w:rsidR="00783288" w:rsidRDefault="00783288">
      <w:pPr>
        <w:pStyle w:val="BodyText"/>
        <w:kinsoku w:val="0"/>
        <w:overflowPunct w:val="0"/>
        <w:spacing w:before="7"/>
        <w:rPr>
          <w:sz w:val="17"/>
          <w:szCs w:val="17"/>
        </w:rPr>
      </w:pPr>
    </w:p>
    <w:p w14:paraId="187AB5FE" w14:textId="61BE3213" w:rsidR="00783288" w:rsidRDefault="00E31420" w:rsidP="00512495">
      <w:pPr>
        <w:pStyle w:val="Heading1"/>
        <w:numPr>
          <w:ilvl w:val="0"/>
          <w:numId w:val="20"/>
        </w:numPr>
        <w:tabs>
          <w:tab w:val="left" w:pos="660"/>
        </w:tabs>
        <w:kinsoku w:val="0"/>
        <w:overflowPunct w:val="0"/>
        <w:spacing w:before="1"/>
        <w:rPr>
          <w:color w:val="231F20"/>
        </w:rPr>
      </w:pPr>
      <w:r>
        <w:rPr>
          <w:color w:val="231F20"/>
        </w:rPr>
        <w:t>Prospects of the</w:t>
      </w:r>
      <w:r>
        <w:rPr>
          <w:color w:val="231F20"/>
          <w:spacing w:val="-2"/>
        </w:rPr>
        <w:t xml:space="preserve"> </w:t>
      </w:r>
      <w:r>
        <w:rPr>
          <w:color w:val="231F20"/>
        </w:rPr>
        <w:t>Group</w:t>
      </w:r>
    </w:p>
    <w:p w14:paraId="36A481AE" w14:textId="77777777" w:rsidR="00783288" w:rsidRDefault="00783288">
      <w:pPr>
        <w:pStyle w:val="BodyText"/>
        <w:kinsoku w:val="0"/>
        <w:overflowPunct w:val="0"/>
        <w:spacing w:before="3"/>
        <w:rPr>
          <w:b/>
          <w:bCs/>
        </w:rPr>
      </w:pPr>
    </w:p>
    <w:p w14:paraId="600FB0B9" w14:textId="77777777" w:rsidR="00783288" w:rsidRDefault="00E31420">
      <w:pPr>
        <w:pStyle w:val="BodyText"/>
        <w:kinsoku w:val="0"/>
        <w:overflowPunct w:val="0"/>
        <w:ind w:left="300" w:right="1190"/>
        <w:jc w:val="both"/>
        <w:rPr>
          <w:color w:val="232224"/>
        </w:rPr>
      </w:pPr>
      <w:r>
        <w:rPr>
          <w:color w:val="0C0D0D"/>
        </w:rPr>
        <w:t>The</w:t>
      </w:r>
      <w:r>
        <w:rPr>
          <w:color w:val="0C0D0D"/>
          <w:spacing w:val="-5"/>
        </w:rPr>
        <w:t xml:space="preserve"> </w:t>
      </w:r>
      <w:r>
        <w:rPr>
          <w:color w:val="0C0D0D"/>
        </w:rPr>
        <w:t>market</w:t>
      </w:r>
      <w:r>
        <w:rPr>
          <w:color w:val="0C0D0D"/>
          <w:spacing w:val="-6"/>
        </w:rPr>
        <w:t xml:space="preserve"> </w:t>
      </w:r>
      <w:r>
        <w:rPr>
          <w:color w:val="0C0D0D"/>
        </w:rPr>
        <w:t>in</w:t>
      </w:r>
      <w:r>
        <w:rPr>
          <w:color w:val="0C0D0D"/>
          <w:spacing w:val="-5"/>
        </w:rPr>
        <w:t xml:space="preserve"> </w:t>
      </w:r>
      <w:r>
        <w:rPr>
          <w:color w:val="0C0D0D"/>
        </w:rPr>
        <w:t>which</w:t>
      </w:r>
      <w:r>
        <w:rPr>
          <w:color w:val="0C0D0D"/>
          <w:spacing w:val="-6"/>
        </w:rPr>
        <w:t xml:space="preserve"> </w:t>
      </w:r>
      <w:r>
        <w:rPr>
          <w:color w:val="0C0D0D"/>
        </w:rPr>
        <w:t>the</w:t>
      </w:r>
      <w:r>
        <w:rPr>
          <w:color w:val="0C0D0D"/>
          <w:spacing w:val="-6"/>
        </w:rPr>
        <w:t xml:space="preserve"> </w:t>
      </w:r>
      <w:r>
        <w:rPr>
          <w:color w:val="0C0D0D"/>
        </w:rPr>
        <w:t>Group</w:t>
      </w:r>
      <w:r>
        <w:rPr>
          <w:color w:val="0C0D0D"/>
          <w:spacing w:val="-7"/>
        </w:rPr>
        <w:t xml:space="preserve"> </w:t>
      </w:r>
      <w:r>
        <w:rPr>
          <w:color w:val="0C0D0D"/>
        </w:rPr>
        <w:t>operates</w:t>
      </w:r>
      <w:r>
        <w:rPr>
          <w:color w:val="0C0D0D"/>
          <w:spacing w:val="-6"/>
        </w:rPr>
        <w:t xml:space="preserve"> </w:t>
      </w:r>
      <w:r>
        <w:rPr>
          <w:color w:val="0C0D0D"/>
        </w:rPr>
        <w:t>is</w:t>
      </w:r>
      <w:r>
        <w:rPr>
          <w:color w:val="0C0D0D"/>
          <w:spacing w:val="-3"/>
        </w:rPr>
        <w:t xml:space="preserve"> </w:t>
      </w:r>
      <w:r>
        <w:rPr>
          <w:color w:val="0C0D0D"/>
        </w:rPr>
        <w:t>global</w:t>
      </w:r>
      <w:r>
        <w:rPr>
          <w:color w:val="0C0D0D"/>
          <w:spacing w:val="-5"/>
        </w:rPr>
        <w:t xml:space="preserve"> </w:t>
      </w:r>
      <w:r>
        <w:rPr>
          <w:color w:val="0C0D0D"/>
        </w:rPr>
        <w:t>with</w:t>
      </w:r>
      <w:r>
        <w:rPr>
          <w:color w:val="0C0D0D"/>
          <w:spacing w:val="-4"/>
        </w:rPr>
        <w:t xml:space="preserve"> </w:t>
      </w:r>
      <w:r>
        <w:rPr>
          <w:color w:val="0C0D0D"/>
        </w:rPr>
        <w:t>participants</w:t>
      </w:r>
      <w:r>
        <w:rPr>
          <w:color w:val="0C0D0D"/>
          <w:spacing w:val="-7"/>
        </w:rPr>
        <w:t xml:space="preserve"> </w:t>
      </w:r>
      <w:r>
        <w:rPr>
          <w:color w:val="0C0D0D"/>
        </w:rPr>
        <w:t>in</w:t>
      </w:r>
      <w:r>
        <w:rPr>
          <w:color w:val="0C0D0D"/>
          <w:spacing w:val="-6"/>
        </w:rPr>
        <w:t xml:space="preserve"> </w:t>
      </w:r>
      <w:r>
        <w:rPr>
          <w:color w:val="0C0D0D"/>
        </w:rPr>
        <w:t>the</w:t>
      </w:r>
      <w:r>
        <w:rPr>
          <w:color w:val="0C0D0D"/>
          <w:spacing w:val="-6"/>
        </w:rPr>
        <w:t xml:space="preserve"> </w:t>
      </w:r>
      <w:r>
        <w:rPr>
          <w:color w:val="0C0D0D"/>
        </w:rPr>
        <w:t>market</w:t>
      </w:r>
      <w:r>
        <w:rPr>
          <w:color w:val="0C0D0D"/>
          <w:spacing w:val="-7"/>
        </w:rPr>
        <w:t xml:space="preserve"> </w:t>
      </w:r>
      <w:r>
        <w:rPr>
          <w:color w:val="0C0D0D"/>
        </w:rPr>
        <w:t>ranging</w:t>
      </w:r>
      <w:r>
        <w:rPr>
          <w:color w:val="0C0D0D"/>
          <w:spacing w:val="-6"/>
        </w:rPr>
        <w:t xml:space="preserve"> </w:t>
      </w:r>
      <w:r>
        <w:rPr>
          <w:color w:val="0C0D0D"/>
        </w:rPr>
        <w:t>from</w:t>
      </w:r>
      <w:r>
        <w:rPr>
          <w:color w:val="0C0D0D"/>
          <w:spacing w:val="-3"/>
        </w:rPr>
        <w:t xml:space="preserve"> </w:t>
      </w:r>
      <w:r>
        <w:rPr>
          <w:color w:val="0C0D0D"/>
        </w:rPr>
        <w:t>large</w:t>
      </w:r>
      <w:r>
        <w:rPr>
          <w:color w:val="0C0D0D"/>
          <w:spacing w:val="-7"/>
        </w:rPr>
        <w:t xml:space="preserve"> </w:t>
      </w:r>
      <w:r>
        <w:rPr>
          <w:color w:val="0C0D0D"/>
        </w:rPr>
        <w:t>multi-nationals to small private exploration businesses. Th</w:t>
      </w:r>
      <w:r>
        <w:rPr>
          <w:color w:val="232224"/>
        </w:rPr>
        <w:t xml:space="preserve">e </w:t>
      </w:r>
      <w:r>
        <w:rPr>
          <w:color w:val="0C0D0D"/>
        </w:rPr>
        <w:t>Di</w:t>
      </w:r>
      <w:r>
        <w:rPr>
          <w:color w:val="232224"/>
        </w:rPr>
        <w:t>r</w:t>
      </w:r>
      <w:r>
        <w:rPr>
          <w:color w:val="0C0D0D"/>
        </w:rPr>
        <w:t>e</w:t>
      </w:r>
      <w:r>
        <w:rPr>
          <w:color w:val="232224"/>
        </w:rPr>
        <w:t>c</w:t>
      </w:r>
      <w:r>
        <w:rPr>
          <w:color w:val="0C0D0D"/>
        </w:rPr>
        <w:t>tors believ</w:t>
      </w:r>
      <w:r>
        <w:rPr>
          <w:color w:val="232224"/>
        </w:rPr>
        <w:t xml:space="preserve">e </w:t>
      </w:r>
      <w:r>
        <w:rPr>
          <w:color w:val="0C0D0D"/>
        </w:rPr>
        <w:t>th</w:t>
      </w:r>
      <w:r>
        <w:rPr>
          <w:color w:val="232224"/>
        </w:rPr>
        <w:t>a</w:t>
      </w:r>
      <w:r>
        <w:rPr>
          <w:color w:val="0C0D0D"/>
        </w:rPr>
        <w:t>t th</w:t>
      </w:r>
      <w:r>
        <w:rPr>
          <w:color w:val="232224"/>
        </w:rPr>
        <w:t xml:space="preserve">e Group </w:t>
      </w:r>
      <w:r>
        <w:rPr>
          <w:color w:val="0C0D0D"/>
        </w:rPr>
        <w:t xml:space="preserve">is </w:t>
      </w:r>
      <w:r>
        <w:rPr>
          <w:color w:val="232224"/>
        </w:rPr>
        <w:t>w</w:t>
      </w:r>
      <w:r>
        <w:rPr>
          <w:color w:val="0C0D0D"/>
        </w:rPr>
        <w:t>ell placed to c</w:t>
      </w:r>
      <w:r>
        <w:rPr>
          <w:color w:val="232224"/>
        </w:rPr>
        <w:t>o</w:t>
      </w:r>
      <w:r>
        <w:rPr>
          <w:color w:val="0C0D0D"/>
        </w:rPr>
        <w:t>mp</w:t>
      </w:r>
      <w:r>
        <w:rPr>
          <w:color w:val="232224"/>
        </w:rPr>
        <w:t>e</w:t>
      </w:r>
      <w:r>
        <w:rPr>
          <w:color w:val="0C0D0D"/>
        </w:rPr>
        <w:t>t</w:t>
      </w:r>
      <w:r>
        <w:rPr>
          <w:color w:val="232224"/>
        </w:rPr>
        <w:t>e aga</w:t>
      </w:r>
      <w:r>
        <w:rPr>
          <w:color w:val="0C0D0D"/>
        </w:rPr>
        <w:t>in</w:t>
      </w:r>
      <w:r>
        <w:rPr>
          <w:color w:val="232224"/>
        </w:rPr>
        <w:t>s</w:t>
      </w:r>
      <w:r>
        <w:rPr>
          <w:color w:val="0C0D0D"/>
        </w:rPr>
        <w:t xml:space="preserve">t </w:t>
      </w:r>
      <w:r>
        <w:rPr>
          <w:color w:val="232224"/>
        </w:rPr>
        <w:t>o</w:t>
      </w:r>
      <w:r>
        <w:rPr>
          <w:color w:val="0C0D0D"/>
        </w:rPr>
        <w:t>th</w:t>
      </w:r>
      <w:r>
        <w:rPr>
          <w:color w:val="232224"/>
        </w:rPr>
        <w:t>e</w:t>
      </w:r>
      <w:r>
        <w:rPr>
          <w:color w:val="0C0D0D"/>
        </w:rPr>
        <w:t>r m</w:t>
      </w:r>
      <w:r>
        <w:rPr>
          <w:color w:val="232224"/>
        </w:rPr>
        <w:t>a</w:t>
      </w:r>
      <w:r>
        <w:rPr>
          <w:color w:val="0C0D0D"/>
        </w:rPr>
        <w:t>r</w:t>
      </w:r>
      <w:r>
        <w:rPr>
          <w:color w:val="232224"/>
        </w:rPr>
        <w:t>ke</w:t>
      </w:r>
      <w:r>
        <w:rPr>
          <w:color w:val="0C0D0D"/>
        </w:rPr>
        <w:t>t particip</w:t>
      </w:r>
      <w:r>
        <w:rPr>
          <w:color w:val="232224"/>
        </w:rPr>
        <w:t>a</w:t>
      </w:r>
      <w:r>
        <w:rPr>
          <w:color w:val="0C0D0D"/>
        </w:rPr>
        <w:t xml:space="preserve">nts and generate revenues in the medium to long term </w:t>
      </w:r>
      <w:r>
        <w:rPr>
          <w:color w:val="232224"/>
        </w:rPr>
        <w:t>for the following</w:t>
      </w:r>
      <w:r>
        <w:rPr>
          <w:color w:val="232224"/>
          <w:spacing w:val="-23"/>
        </w:rPr>
        <w:t xml:space="preserve"> </w:t>
      </w:r>
      <w:r>
        <w:rPr>
          <w:color w:val="232224"/>
        </w:rPr>
        <w:t>reasons:</w:t>
      </w:r>
    </w:p>
    <w:p w14:paraId="54FB921B" w14:textId="77777777" w:rsidR="00783288" w:rsidRDefault="00783288">
      <w:pPr>
        <w:pStyle w:val="BodyText"/>
        <w:kinsoku w:val="0"/>
        <w:overflowPunct w:val="0"/>
      </w:pPr>
    </w:p>
    <w:p w14:paraId="5220FB09" w14:textId="77777777" w:rsidR="00783288" w:rsidRDefault="00E31420" w:rsidP="00512495">
      <w:pPr>
        <w:pStyle w:val="ListParagraph"/>
        <w:numPr>
          <w:ilvl w:val="0"/>
          <w:numId w:val="22"/>
        </w:numPr>
        <w:tabs>
          <w:tab w:val="left" w:pos="867"/>
        </w:tabs>
        <w:kinsoku w:val="0"/>
        <w:overflowPunct w:val="0"/>
        <w:spacing w:line="219" w:lineRule="exact"/>
        <w:rPr>
          <w:rFonts w:ascii="Symbol" w:hAnsi="Symbol" w:cs="Symbol"/>
          <w:color w:val="231F20"/>
          <w:sz w:val="18"/>
          <w:szCs w:val="18"/>
        </w:rPr>
      </w:pPr>
      <w:r>
        <w:rPr>
          <w:color w:val="231F20"/>
          <w:sz w:val="18"/>
          <w:szCs w:val="18"/>
        </w:rPr>
        <w:t>the Portfolio is prospective for copper and gold, two of the most actively traded metals</w:t>
      </w:r>
      <w:r>
        <w:rPr>
          <w:color w:val="231F20"/>
          <w:spacing w:val="-12"/>
          <w:sz w:val="18"/>
          <w:szCs w:val="18"/>
        </w:rPr>
        <w:t xml:space="preserve"> </w:t>
      </w:r>
      <w:proofErr w:type="gramStart"/>
      <w:r>
        <w:rPr>
          <w:color w:val="231F20"/>
          <w:sz w:val="18"/>
          <w:szCs w:val="18"/>
        </w:rPr>
        <w:t>globally;</w:t>
      </w:r>
      <w:proofErr w:type="gramEnd"/>
    </w:p>
    <w:p w14:paraId="564B7151" w14:textId="55F42C1B" w:rsidR="00783288" w:rsidRDefault="00E31420" w:rsidP="00512495">
      <w:pPr>
        <w:pStyle w:val="ListParagraph"/>
        <w:numPr>
          <w:ilvl w:val="0"/>
          <w:numId w:val="22"/>
        </w:numPr>
        <w:tabs>
          <w:tab w:val="left" w:pos="867"/>
        </w:tabs>
        <w:kinsoku w:val="0"/>
        <w:overflowPunct w:val="0"/>
        <w:ind w:right="1187"/>
        <w:rPr>
          <w:rFonts w:ascii="Symbol" w:hAnsi="Symbol" w:cs="Symbol"/>
          <w:color w:val="231F20"/>
          <w:sz w:val="18"/>
          <w:szCs w:val="18"/>
        </w:rPr>
      </w:pPr>
      <w:r>
        <w:rPr>
          <w:color w:val="231F20"/>
          <w:sz w:val="18"/>
          <w:szCs w:val="18"/>
        </w:rPr>
        <w:t>a number of the areas covered by the Granted Prospecting Permits</w:t>
      </w:r>
      <w:r w:rsidR="0070175D">
        <w:rPr>
          <w:color w:val="231F20"/>
          <w:sz w:val="18"/>
          <w:szCs w:val="18"/>
        </w:rPr>
        <w:t xml:space="preserve"> and the Granted Map-Staked Mineral Licences</w:t>
      </w:r>
      <w:r>
        <w:rPr>
          <w:color w:val="231F20"/>
          <w:sz w:val="18"/>
          <w:szCs w:val="18"/>
        </w:rPr>
        <w:t xml:space="preserve"> have a history of gold and copper </w:t>
      </w:r>
      <w:proofErr w:type="gramStart"/>
      <w:r>
        <w:rPr>
          <w:color w:val="231F20"/>
          <w:sz w:val="18"/>
          <w:szCs w:val="18"/>
        </w:rPr>
        <w:t>extraction;</w:t>
      </w:r>
      <w:proofErr w:type="gramEnd"/>
    </w:p>
    <w:p w14:paraId="27472398" w14:textId="77777777" w:rsidR="00783288" w:rsidRDefault="00E31420" w:rsidP="00512495">
      <w:pPr>
        <w:pStyle w:val="ListParagraph"/>
        <w:numPr>
          <w:ilvl w:val="0"/>
          <w:numId w:val="22"/>
        </w:numPr>
        <w:tabs>
          <w:tab w:val="left" w:pos="867"/>
        </w:tabs>
        <w:kinsoku w:val="0"/>
        <w:overflowPunct w:val="0"/>
        <w:spacing w:line="237" w:lineRule="auto"/>
        <w:ind w:right="1192"/>
        <w:rPr>
          <w:rFonts w:ascii="Symbol" w:hAnsi="Symbol" w:cs="Symbol"/>
          <w:color w:val="231F20"/>
          <w:sz w:val="18"/>
          <w:szCs w:val="18"/>
        </w:rPr>
      </w:pPr>
      <w:r>
        <w:rPr>
          <w:color w:val="231F20"/>
          <w:sz w:val="18"/>
          <w:szCs w:val="18"/>
        </w:rPr>
        <w:t xml:space="preserve">the Group’s personnel are highly skilled and experienced in the mineral exploration and natural resources </w:t>
      </w:r>
      <w:proofErr w:type="gramStart"/>
      <w:r>
        <w:rPr>
          <w:color w:val="231F20"/>
          <w:sz w:val="18"/>
          <w:szCs w:val="18"/>
        </w:rPr>
        <w:t>sector;</w:t>
      </w:r>
      <w:proofErr w:type="gramEnd"/>
    </w:p>
    <w:p w14:paraId="07DE0A74" w14:textId="7EAFD965" w:rsidR="0070175D" w:rsidRPr="00062F2D" w:rsidRDefault="00E31420" w:rsidP="00512495">
      <w:pPr>
        <w:pStyle w:val="ListParagraph"/>
        <w:numPr>
          <w:ilvl w:val="0"/>
          <w:numId w:val="22"/>
        </w:numPr>
        <w:tabs>
          <w:tab w:val="left" w:pos="867"/>
        </w:tabs>
        <w:kinsoku w:val="0"/>
        <w:overflowPunct w:val="0"/>
        <w:ind w:right="1191"/>
        <w:rPr>
          <w:rFonts w:ascii="Symbol" w:hAnsi="Symbol" w:cs="Symbol"/>
          <w:color w:val="231F20"/>
          <w:sz w:val="18"/>
          <w:szCs w:val="18"/>
        </w:rPr>
      </w:pPr>
      <w:r>
        <w:rPr>
          <w:color w:val="231F20"/>
          <w:sz w:val="18"/>
          <w:szCs w:val="18"/>
        </w:rPr>
        <w:t>Cyprus</w:t>
      </w:r>
      <w:r>
        <w:rPr>
          <w:color w:val="231F20"/>
          <w:spacing w:val="-4"/>
          <w:sz w:val="18"/>
          <w:szCs w:val="18"/>
        </w:rPr>
        <w:t xml:space="preserve"> </w:t>
      </w:r>
      <w:r>
        <w:rPr>
          <w:color w:val="231F20"/>
          <w:sz w:val="18"/>
          <w:szCs w:val="18"/>
        </w:rPr>
        <w:t>has</w:t>
      </w:r>
      <w:r>
        <w:rPr>
          <w:color w:val="231F20"/>
          <w:spacing w:val="-7"/>
          <w:sz w:val="18"/>
          <w:szCs w:val="18"/>
        </w:rPr>
        <w:t xml:space="preserve"> </w:t>
      </w:r>
      <w:r>
        <w:rPr>
          <w:color w:val="231F20"/>
          <w:sz w:val="18"/>
          <w:szCs w:val="18"/>
        </w:rPr>
        <w:t>a</w:t>
      </w:r>
      <w:r>
        <w:rPr>
          <w:color w:val="231F20"/>
          <w:spacing w:val="-5"/>
          <w:sz w:val="18"/>
          <w:szCs w:val="18"/>
        </w:rPr>
        <w:t xml:space="preserve"> </w:t>
      </w:r>
      <w:r>
        <w:rPr>
          <w:color w:val="231F20"/>
          <w:sz w:val="18"/>
          <w:szCs w:val="18"/>
        </w:rPr>
        <w:t>rich</w:t>
      </w:r>
      <w:r>
        <w:rPr>
          <w:color w:val="231F20"/>
          <w:spacing w:val="-7"/>
          <w:sz w:val="18"/>
          <w:szCs w:val="18"/>
        </w:rPr>
        <w:t xml:space="preserve"> </w:t>
      </w:r>
      <w:r>
        <w:rPr>
          <w:color w:val="231F20"/>
          <w:sz w:val="18"/>
          <w:szCs w:val="18"/>
        </w:rPr>
        <w:t>heritage</w:t>
      </w:r>
      <w:r>
        <w:rPr>
          <w:color w:val="231F20"/>
          <w:spacing w:val="-5"/>
          <w:sz w:val="18"/>
          <w:szCs w:val="18"/>
        </w:rPr>
        <w:t xml:space="preserve"> </w:t>
      </w:r>
      <w:r>
        <w:rPr>
          <w:color w:val="231F20"/>
          <w:sz w:val="18"/>
          <w:szCs w:val="18"/>
        </w:rPr>
        <w:t>in</w:t>
      </w:r>
      <w:r>
        <w:rPr>
          <w:color w:val="231F20"/>
          <w:spacing w:val="-7"/>
          <w:sz w:val="18"/>
          <w:szCs w:val="18"/>
        </w:rPr>
        <w:t xml:space="preserve"> </w:t>
      </w:r>
      <w:r>
        <w:rPr>
          <w:color w:val="231F20"/>
          <w:sz w:val="18"/>
          <w:szCs w:val="18"/>
        </w:rPr>
        <w:t>mining</w:t>
      </w:r>
      <w:r>
        <w:rPr>
          <w:color w:val="231F20"/>
          <w:spacing w:val="-4"/>
          <w:sz w:val="18"/>
          <w:szCs w:val="18"/>
        </w:rPr>
        <w:t xml:space="preserve"> </w:t>
      </w:r>
      <w:r>
        <w:rPr>
          <w:color w:val="231F20"/>
          <w:sz w:val="18"/>
          <w:szCs w:val="18"/>
        </w:rPr>
        <w:t>(and</w:t>
      </w:r>
      <w:r>
        <w:rPr>
          <w:color w:val="231F20"/>
          <w:spacing w:val="-7"/>
          <w:sz w:val="18"/>
          <w:szCs w:val="18"/>
        </w:rPr>
        <w:t xml:space="preserve"> </w:t>
      </w:r>
      <w:r>
        <w:rPr>
          <w:color w:val="231F20"/>
          <w:sz w:val="18"/>
          <w:szCs w:val="18"/>
        </w:rPr>
        <w:t>particularly</w:t>
      </w:r>
      <w:r>
        <w:rPr>
          <w:color w:val="231F20"/>
          <w:spacing w:val="-7"/>
          <w:sz w:val="18"/>
          <w:szCs w:val="18"/>
        </w:rPr>
        <w:t xml:space="preserve"> </w:t>
      </w:r>
      <w:r>
        <w:rPr>
          <w:color w:val="231F20"/>
          <w:sz w:val="18"/>
          <w:szCs w:val="18"/>
        </w:rPr>
        <w:t>mining</w:t>
      </w:r>
      <w:r>
        <w:rPr>
          <w:color w:val="231F20"/>
          <w:spacing w:val="-6"/>
          <w:sz w:val="18"/>
          <w:szCs w:val="18"/>
        </w:rPr>
        <w:t xml:space="preserve"> </w:t>
      </w:r>
      <w:r>
        <w:rPr>
          <w:color w:val="231F20"/>
          <w:sz w:val="18"/>
          <w:szCs w:val="18"/>
        </w:rPr>
        <w:t>Copper,</w:t>
      </w:r>
      <w:r>
        <w:rPr>
          <w:color w:val="231F20"/>
          <w:spacing w:val="-5"/>
          <w:sz w:val="18"/>
          <w:szCs w:val="18"/>
        </w:rPr>
        <w:t xml:space="preserve"> </w:t>
      </w:r>
      <w:r>
        <w:rPr>
          <w:color w:val="231F20"/>
          <w:sz w:val="18"/>
          <w:szCs w:val="18"/>
        </w:rPr>
        <w:t>from</w:t>
      </w:r>
      <w:r>
        <w:rPr>
          <w:color w:val="231F20"/>
          <w:spacing w:val="-4"/>
          <w:sz w:val="18"/>
          <w:szCs w:val="18"/>
        </w:rPr>
        <w:t xml:space="preserve"> </w:t>
      </w:r>
      <w:r>
        <w:rPr>
          <w:color w:val="231F20"/>
          <w:sz w:val="18"/>
          <w:szCs w:val="18"/>
        </w:rPr>
        <w:t>which</w:t>
      </w:r>
      <w:r>
        <w:rPr>
          <w:color w:val="231F20"/>
          <w:spacing w:val="-5"/>
          <w:sz w:val="18"/>
          <w:szCs w:val="18"/>
        </w:rPr>
        <w:t xml:space="preserve"> </w:t>
      </w:r>
      <w:r>
        <w:rPr>
          <w:color w:val="231F20"/>
          <w:sz w:val="18"/>
          <w:szCs w:val="18"/>
        </w:rPr>
        <w:t>the</w:t>
      </w:r>
      <w:r>
        <w:rPr>
          <w:color w:val="231F20"/>
          <w:spacing w:val="-4"/>
          <w:sz w:val="18"/>
          <w:szCs w:val="18"/>
        </w:rPr>
        <w:t xml:space="preserve"> </w:t>
      </w:r>
      <w:r>
        <w:rPr>
          <w:color w:val="231F20"/>
          <w:sz w:val="18"/>
          <w:szCs w:val="18"/>
        </w:rPr>
        <w:t>name</w:t>
      </w:r>
      <w:r>
        <w:rPr>
          <w:color w:val="231F20"/>
          <w:spacing w:val="-7"/>
          <w:sz w:val="18"/>
          <w:szCs w:val="18"/>
        </w:rPr>
        <w:t xml:space="preserve"> </w:t>
      </w:r>
      <w:r>
        <w:rPr>
          <w:color w:val="231F20"/>
          <w:sz w:val="18"/>
          <w:szCs w:val="18"/>
        </w:rPr>
        <w:t>of</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country</w:t>
      </w:r>
      <w:r>
        <w:rPr>
          <w:color w:val="231F20"/>
          <w:spacing w:val="-7"/>
          <w:sz w:val="18"/>
          <w:szCs w:val="18"/>
        </w:rPr>
        <w:t xml:space="preserve"> </w:t>
      </w:r>
      <w:r>
        <w:rPr>
          <w:color w:val="231F20"/>
          <w:sz w:val="18"/>
          <w:szCs w:val="18"/>
        </w:rPr>
        <w:t>is derived), dating back to the Bronze Age, and the style of mineralisation is relatively well</w:t>
      </w:r>
      <w:r>
        <w:rPr>
          <w:color w:val="231F20"/>
          <w:spacing w:val="-31"/>
          <w:sz w:val="18"/>
          <w:szCs w:val="18"/>
        </w:rPr>
        <w:t xml:space="preserve"> </w:t>
      </w:r>
      <w:proofErr w:type="gramStart"/>
      <w:r>
        <w:rPr>
          <w:color w:val="231F20"/>
          <w:sz w:val="18"/>
          <w:szCs w:val="18"/>
        </w:rPr>
        <w:t>understood;</w:t>
      </w:r>
      <w:proofErr w:type="gramEnd"/>
    </w:p>
    <w:p w14:paraId="3B33F08D" w14:textId="32830546" w:rsidR="0070175D" w:rsidRPr="00062F2D" w:rsidRDefault="0070175D" w:rsidP="00512495">
      <w:pPr>
        <w:pStyle w:val="ListParagraph"/>
        <w:numPr>
          <w:ilvl w:val="0"/>
          <w:numId w:val="22"/>
        </w:numPr>
        <w:tabs>
          <w:tab w:val="left" w:pos="867"/>
        </w:tabs>
        <w:kinsoku w:val="0"/>
        <w:overflowPunct w:val="0"/>
        <w:ind w:right="1191"/>
        <w:rPr>
          <w:rFonts w:ascii="Symbol" w:hAnsi="Symbol" w:cs="Symbol"/>
          <w:color w:val="231F20"/>
          <w:sz w:val="18"/>
          <w:szCs w:val="18"/>
        </w:rPr>
      </w:pPr>
      <w:r>
        <w:rPr>
          <w:color w:val="231F20"/>
          <w:sz w:val="18"/>
          <w:szCs w:val="18"/>
        </w:rPr>
        <w:t>Labrador</w:t>
      </w:r>
      <w:r>
        <w:rPr>
          <w:color w:val="231F20"/>
          <w:spacing w:val="-4"/>
          <w:sz w:val="18"/>
          <w:szCs w:val="18"/>
        </w:rPr>
        <w:t xml:space="preserve"> </w:t>
      </w:r>
      <w:r>
        <w:rPr>
          <w:color w:val="231F20"/>
          <w:sz w:val="18"/>
          <w:szCs w:val="18"/>
        </w:rPr>
        <w:t xml:space="preserve">clearly demonstrates the potential for sediment-hosted copper (SSC) mineralisation as reduced grey beds of the Adeline Island Formation host significant copper concentrations and historic exploration campaigns at Seal Lake sought small, very high grade copper deposit models as shown by the programmes of shallow drilling and short step outs, with more recent programmes lacking sustained effort or focus; </w:t>
      </w:r>
    </w:p>
    <w:p w14:paraId="34E39F4F" w14:textId="0FE1BB67" w:rsidR="00783288" w:rsidRDefault="00E31420" w:rsidP="00512495">
      <w:pPr>
        <w:pStyle w:val="ListParagraph"/>
        <w:numPr>
          <w:ilvl w:val="0"/>
          <w:numId w:val="22"/>
        </w:numPr>
        <w:tabs>
          <w:tab w:val="left" w:pos="867"/>
        </w:tabs>
        <w:kinsoku w:val="0"/>
        <w:overflowPunct w:val="0"/>
        <w:spacing w:line="219" w:lineRule="exact"/>
        <w:ind w:right="1022"/>
        <w:rPr>
          <w:rFonts w:ascii="Symbol" w:hAnsi="Symbol" w:cs="Symbol"/>
          <w:color w:val="231F20"/>
          <w:sz w:val="18"/>
          <w:szCs w:val="18"/>
        </w:rPr>
      </w:pPr>
      <w:r>
        <w:rPr>
          <w:color w:val="231F20"/>
          <w:sz w:val="18"/>
          <w:szCs w:val="18"/>
        </w:rPr>
        <w:t>the Group has 100 per cent. interests in all the Granted Prospecting Permits</w:t>
      </w:r>
      <w:r w:rsidR="0070175D">
        <w:rPr>
          <w:color w:val="231F20"/>
          <w:sz w:val="18"/>
          <w:szCs w:val="18"/>
        </w:rPr>
        <w:t xml:space="preserve"> and the Granted Map-Staked Mineral Licences</w:t>
      </w:r>
      <w:r w:rsidR="00EA5AF3">
        <w:rPr>
          <w:color w:val="231F20"/>
          <w:sz w:val="18"/>
          <w:szCs w:val="18"/>
        </w:rPr>
        <w:t xml:space="preserve"> </w:t>
      </w:r>
      <w:r>
        <w:rPr>
          <w:color w:val="231F20"/>
          <w:sz w:val="18"/>
          <w:szCs w:val="18"/>
        </w:rPr>
        <w:t>in the</w:t>
      </w:r>
      <w:r>
        <w:rPr>
          <w:color w:val="231F20"/>
          <w:spacing w:val="-4"/>
          <w:sz w:val="18"/>
          <w:szCs w:val="18"/>
        </w:rPr>
        <w:t xml:space="preserve"> </w:t>
      </w:r>
      <w:proofErr w:type="gramStart"/>
      <w:r>
        <w:rPr>
          <w:color w:val="231F20"/>
          <w:sz w:val="18"/>
          <w:szCs w:val="18"/>
        </w:rPr>
        <w:t>Portfolio;</w:t>
      </w:r>
      <w:proofErr w:type="gramEnd"/>
    </w:p>
    <w:p w14:paraId="1B63738A" w14:textId="77777777" w:rsidR="00783288" w:rsidRDefault="00E31420" w:rsidP="00512495">
      <w:pPr>
        <w:pStyle w:val="ListParagraph"/>
        <w:numPr>
          <w:ilvl w:val="0"/>
          <w:numId w:val="22"/>
        </w:numPr>
        <w:tabs>
          <w:tab w:val="left" w:pos="867"/>
        </w:tabs>
        <w:kinsoku w:val="0"/>
        <w:overflowPunct w:val="0"/>
        <w:ind w:right="1190"/>
        <w:jc w:val="both"/>
        <w:rPr>
          <w:rFonts w:ascii="Symbol" w:hAnsi="Symbol" w:cs="Symbol"/>
          <w:color w:val="231F20"/>
          <w:sz w:val="18"/>
          <w:szCs w:val="18"/>
        </w:rPr>
      </w:pPr>
      <w:r>
        <w:rPr>
          <w:color w:val="231F20"/>
          <w:sz w:val="18"/>
          <w:szCs w:val="18"/>
        </w:rPr>
        <w:t>Cyprus is an EU member with close ties to the UK, whose legal system is based on English common law, and</w:t>
      </w:r>
      <w:r>
        <w:rPr>
          <w:color w:val="231F20"/>
          <w:spacing w:val="-7"/>
          <w:sz w:val="18"/>
          <w:szCs w:val="18"/>
        </w:rPr>
        <w:t xml:space="preserve"> </w:t>
      </w:r>
      <w:r>
        <w:rPr>
          <w:color w:val="231F20"/>
          <w:sz w:val="18"/>
          <w:szCs w:val="18"/>
        </w:rPr>
        <w:t>is</w:t>
      </w:r>
      <w:r>
        <w:rPr>
          <w:color w:val="231F20"/>
          <w:spacing w:val="-4"/>
          <w:sz w:val="18"/>
          <w:szCs w:val="18"/>
        </w:rPr>
        <w:t xml:space="preserve"> </w:t>
      </w:r>
      <w:r>
        <w:rPr>
          <w:color w:val="231F20"/>
          <w:sz w:val="18"/>
          <w:szCs w:val="18"/>
        </w:rPr>
        <w:t>well-ranked</w:t>
      </w:r>
      <w:r>
        <w:rPr>
          <w:color w:val="231F20"/>
          <w:spacing w:val="-6"/>
          <w:sz w:val="18"/>
          <w:szCs w:val="18"/>
        </w:rPr>
        <w:t xml:space="preserve"> </w:t>
      </w:r>
      <w:r>
        <w:rPr>
          <w:color w:val="231F20"/>
          <w:sz w:val="18"/>
          <w:szCs w:val="18"/>
        </w:rPr>
        <w:t>in</w:t>
      </w:r>
      <w:r>
        <w:rPr>
          <w:color w:val="231F20"/>
          <w:spacing w:val="-6"/>
          <w:sz w:val="18"/>
          <w:szCs w:val="18"/>
        </w:rPr>
        <w:t xml:space="preserve"> </w:t>
      </w:r>
      <w:r>
        <w:rPr>
          <w:color w:val="231F20"/>
          <w:sz w:val="18"/>
          <w:szCs w:val="18"/>
        </w:rPr>
        <w:t>terms</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ease</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doing</w:t>
      </w:r>
      <w:r>
        <w:rPr>
          <w:color w:val="231F20"/>
          <w:spacing w:val="-6"/>
          <w:sz w:val="18"/>
          <w:szCs w:val="18"/>
        </w:rPr>
        <w:t xml:space="preserve"> </w:t>
      </w:r>
      <w:r>
        <w:rPr>
          <w:color w:val="231F20"/>
          <w:sz w:val="18"/>
          <w:szCs w:val="18"/>
        </w:rPr>
        <w:t>business</w:t>
      </w:r>
      <w:r>
        <w:rPr>
          <w:color w:val="231F20"/>
          <w:spacing w:val="-7"/>
          <w:sz w:val="18"/>
          <w:szCs w:val="18"/>
        </w:rPr>
        <w:t xml:space="preserve"> </w:t>
      </w:r>
      <w:r>
        <w:rPr>
          <w:color w:val="231F20"/>
          <w:sz w:val="18"/>
          <w:szCs w:val="18"/>
        </w:rPr>
        <w:t>and</w:t>
      </w:r>
      <w:r>
        <w:rPr>
          <w:color w:val="231F20"/>
          <w:spacing w:val="-6"/>
          <w:sz w:val="18"/>
          <w:szCs w:val="18"/>
        </w:rPr>
        <w:t xml:space="preserve"> </w:t>
      </w:r>
      <w:r>
        <w:rPr>
          <w:color w:val="231F20"/>
          <w:sz w:val="18"/>
          <w:szCs w:val="18"/>
        </w:rPr>
        <w:t>corruption</w:t>
      </w:r>
      <w:r>
        <w:rPr>
          <w:color w:val="231F20"/>
          <w:spacing w:val="-5"/>
          <w:sz w:val="18"/>
          <w:szCs w:val="18"/>
        </w:rPr>
        <w:t xml:space="preserve"> </w:t>
      </w:r>
      <w:r>
        <w:rPr>
          <w:color w:val="231F20"/>
          <w:sz w:val="18"/>
          <w:szCs w:val="18"/>
        </w:rPr>
        <w:t>perception,</w:t>
      </w:r>
      <w:r>
        <w:rPr>
          <w:color w:val="231F20"/>
          <w:spacing w:val="-4"/>
          <w:sz w:val="18"/>
          <w:szCs w:val="18"/>
        </w:rPr>
        <w:t xml:space="preserve"> </w:t>
      </w:r>
      <w:r>
        <w:rPr>
          <w:color w:val="231F20"/>
          <w:sz w:val="18"/>
          <w:szCs w:val="18"/>
        </w:rPr>
        <w:t>representing</w:t>
      </w:r>
      <w:r>
        <w:rPr>
          <w:color w:val="231F20"/>
          <w:spacing w:val="-5"/>
          <w:sz w:val="18"/>
          <w:szCs w:val="18"/>
        </w:rPr>
        <w:t xml:space="preserve"> </w:t>
      </w:r>
      <w:r>
        <w:rPr>
          <w:color w:val="231F20"/>
          <w:sz w:val="18"/>
          <w:szCs w:val="18"/>
        </w:rPr>
        <w:t>relatively</w:t>
      </w:r>
      <w:r>
        <w:rPr>
          <w:color w:val="231F20"/>
          <w:spacing w:val="-6"/>
          <w:sz w:val="18"/>
          <w:szCs w:val="18"/>
        </w:rPr>
        <w:t xml:space="preserve"> </w:t>
      </w:r>
      <w:r>
        <w:rPr>
          <w:color w:val="231F20"/>
          <w:sz w:val="18"/>
          <w:szCs w:val="18"/>
        </w:rPr>
        <w:t>low country</w:t>
      </w:r>
      <w:r>
        <w:rPr>
          <w:color w:val="231F20"/>
          <w:spacing w:val="-2"/>
          <w:sz w:val="18"/>
          <w:szCs w:val="18"/>
        </w:rPr>
        <w:t xml:space="preserve"> </w:t>
      </w:r>
      <w:proofErr w:type="gramStart"/>
      <w:r>
        <w:rPr>
          <w:color w:val="231F20"/>
          <w:sz w:val="18"/>
          <w:szCs w:val="18"/>
        </w:rPr>
        <w:t>risk;</w:t>
      </w:r>
      <w:proofErr w:type="gramEnd"/>
    </w:p>
    <w:p w14:paraId="515446CE" w14:textId="77777777" w:rsidR="00783288" w:rsidRDefault="00E31420" w:rsidP="00512495">
      <w:pPr>
        <w:pStyle w:val="ListParagraph"/>
        <w:numPr>
          <w:ilvl w:val="0"/>
          <w:numId w:val="22"/>
        </w:numPr>
        <w:tabs>
          <w:tab w:val="left" w:pos="867"/>
        </w:tabs>
        <w:kinsoku w:val="0"/>
        <w:overflowPunct w:val="0"/>
        <w:spacing w:line="219" w:lineRule="exact"/>
        <w:jc w:val="both"/>
        <w:rPr>
          <w:rFonts w:ascii="Symbol" w:hAnsi="Symbol" w:cs="Symbol"/>
          <w:color w:val="231F20"/>
          <w:sz w:val="18"/>
          <w:szCs w:val="18"/>
        </w:rPr>
      </w:pPr>
      <w:r>
        <w:rPr>
          <w:color w:val="231F20"/>
          <w:sz w:val="18"/>
          <w:szCs w:val="18"/>
        </w:rPr>
        <w:t>the climate in Cyprus allows for virtually year-round exploration and mining</w:t>
      </w:r>
      <w:r>
        <w:rPr>
          <w:color w:val="231F20"/>
          <w:spacing w:val="-5"/>
          <w:sz w:val="18"/>
          <w:szCs w:val="18"/>
        </w:rPr>
        <w:t xml:space="preserve"> </w:t>
      </w:r>
      <w:proofErr w:type="gramStart"/>
      <w:r>
        <w:rPr>
          <w:color w:val="231F20"/>
          <w:sz w:val="18"/>
          <w:szCs w:val="18"/>
        </w:rPr>
        <w:t>operations;</w:t>
      </w:r>
      <w:proofErr w:type="gramEnd"/>
    </w:p>
    <w:p w14:paraId="2A650287" w14:textId="70A3998E" w:rsidR="0070175D" w:rsidRPr="00062F2D" w:rsidRDefault="00E31420" w:rsidP="00512495">
      <w:pPr>
        <w:pStyle w:val="ListParagraph"/>
        <w:numPr>
          <w:ilvl w:val="0"/>
          <w:numId w:val="22"/>
        </w:numPr>
        <w:tabs>
          <w:tab w:val="left" w:pos="867"/>
        </w:tabs>
        <w:kinsoku w:val="0"/>
        <w:overflowPunct w:val="0"/>
        <w:ind w:right="1190"/>
        <w:jc w:val="both"/>
        <w:rPr>
          <w:rFonts w:ascii="Symbol" w:hAnsi="Symbol" w:cs="Symbol"/>
          <w:color w:val="231F20"/>
          <w:sz w:val="18"/>
          <w:szCs w:val="18"/>
        </w:rPr>
      </w:pPr>
      <w:r>
        <w:rPr>
          <w:color w:val="231F20"/>
          <w:sz w:val="18"/>
          <w:szCs w:val="18"/>
        </w:rPr>
        <w:t>Cyprus has good infrastructure, such as road networks, mobile phone coverage, electricity and water supply, international airports and sea</w:t>
      </w:r>
      <w:r>
        <w:rPr>
          <w:color w:val="231F20"/>
          <w:spacing w:val="3"/>
          <w:sz w:val="18"/>
          <w:szCs w:val="18"/>
        </w:rPr>
        <w:t xml:space="preserve"> </w:t>
      </w:r>
      <w:proofErr w:type="gramStart"/>
      <w:r>
        <w:rPr>
          <w:color w:val="231F20"/>
          <w:sz w:val="18"/>
          <w:szCs w:val="18"/>
        </w:rPr>
        <w:t>ports;</w:t>
      </w:r>
      <w:proofErr w:type="gramEnd"/>
    </w:p>
    <w:p w14:paraId="0AEB1B1C" w14:textId="77777777" w:rsidR="008E2C43" w:rsidRPr="00062F2D" w:rsidRDefault="0070175D" w:rsidP="00512495">
      <w:pPr>
        <w:pStyle w:val="ListParagraph"/>
        <w:numPr>
          <w:ilvl w:val="0"/>
          <w:numId w:val="22"/>
        </w:numPr>
        <w:tabs>
          <w:tab w:val="left" w:pos="867"/>
        </w:tabs>
        <w:kinsoku w:val="0"/>
        <w:overflowPunct w:val="0"/>
        <w:ind w:right="1190"/>
        <w:jc w:val="both"/>
        <w:rPr>
          <w:rFonts w:ascii="Symbol" w:hAnsi="Symbol" w:cs="Symbol"/>
          <w:color w:val="231F20"/>
          <w:sz w:val="18"/>
          <w:szCs w:val="18"/>
        </w:rPr>
      </w:pPr>
      <w:r>
        <w:rPr>
          <w:color w:val="231F20"/>
          <w:sz w:val="18"/>
          <w:szCs w:val="18"/>
        </w:rPr>
        <w:t xml:space="preserve">Canada is highly developed country with one of the world’s strongest economies which, like Cyprus, has close ties to the UK, and has a legal system which is based on English common </w:t>
      </w:r>
      <w:proofErr w:type="gramStart"/>
      <w:r>
        <w:rPr>
          <w:color w:val="231F20"/>
          <w:sz w:val="18"/>
          <w:szCs w:val="18"/>
        </w:rPr>
        <w:t>law</w:t>
      </w:r>
      <w:r w:rsidR="008E2C43">
        <w:rPr>
          <w:color w:val="231F20"/>
          <w:sz w:val="18"/>
          <w:szCs w:val="18"/>
        </w:rPr>
        <w:t>;</w:t>
      </w:r>
      <w:proofErr w:type="gramEnd"/>
    </w:p>
    <w:p w14:paraId="78C923F0" w14:textId="4C719152" w:rsidR="008E2C43" w:rsidRPr="00062F2D" w:rsidRDefault="008E2C43" w:rsidP="00512495">
      <w:pPr>
        <w:pStyle w:val="ListParagraph"/>
        <w:numPr>
          <w:ilvl w:val="0"/>
          <w:numId w:val="22"/>
        </w:numPr>
        <w:tabs>
          <w:tab w:val="left" w:pos="867"/>
        </w:tabs>
        <w:kinsoku w:val="0"/>
        <w:overflowPunct w:val="0"/>
        <w:ind w:right="1190"/>
        <w:jc w:val="both"/>
        <w:rPr>
          <w:rFonts w:ascii="Symbol" w:hAnsi="Symbol" w:cs="Symbol"/>
          <w:color w:val="231F20"/>
          <w:sz w:val="18"/>
          <w:szCs w:val="18"/>
        </w:rPr>
      </w:pPr>
      <w:r>
        <w:rPr>
          <w:color w:val="231F20"/>
          <w:sz w:val="18"/>
          <w:szCs w:val="18"/>
        </w:rPr>
        <w:t>Canada is very</w:t>
      </w:r>
      <w:r w:rsidR="0070175D">
        <w:rPr>
          <w:color w:val="231F20"/>
          <w:spacing w:val="-4"/>
          <w:sz w:val="18"/>
          <w:szCs w:val="18"/>
        </w:rPr>
        <w:t xml:space="preserve"> </w:t>
      </w:r>
      <w:r w:rsidR="0070175D">
        <w:rPr>
          <w:color w:val="231F20"/>
          <w:sz w:val="18"/>
          <w:szCs w:val="18"/>
        </w:rPr>
        <w:t>well-ranked</w:t>
      </w:r>
      <w:r w:rsidR="0070175D">
        <w:rPr>
          <w:color w:val="231F20"/>
          <w:spacing w:val="-6"/>
          <w:sz w:val="18"/>
          <w:szCs w:val="18"/>
        </w:rPr>
        <w:t xml:space="preserve"> </w:t>
      </w:r>
      <w:r w:rsidR="0070175D">
        <w:rPr>
          <w:color w:val="231F20"/>
          <w:sz w:val="18"/>
          <w:szCs w:val="18"/>
        </w:rPr>
        <w:t>in</w:t>
      </w:r>
      <w:r w:rsidR="0070175D">
        <w:rPr>
          <w:color w:val="231F20"/>
          <w:spacing w:val="-6"/>
          <w:sz w:val="18"/>
          <w:szCs w:val="18"/>
        </w:rPr>
        <w:t xml:space="preserve"> </w:t>
      </w:r>
      <w:r w:rsidR="0070175D">
        <w:rPr>
          <w:color w:val="231F20"/>
          <w:sz w:val="18"/>
          <w:szCs w:val="18"/>
        </w:rPr>
        <w:t>terms</w:t>
      </w:r>
      <w:r w:rsidR="0070175D">
        <w:rPr>
          <w:color w:val="231F20"/>
          <w:spacing w:val="-7"/>
          <w:sz w:val="18"/>
          <w:szCs w:val="18"/>
        </w:rPr>
        <w:t xml:space="preserve"> </w:t>
      </w:r>
      <w:r w:rsidR="0070175D">
        <w:rPr>
          <w:color w:val="231F20"/>
          <w:sz w:val="18"/>
          <w:szCs w:val="18"/>
        </w:rPr>
        <w:t>of</w:t>
      </w:r>
      <w:r w:rsidR="0070175D">
        <w:rPr>
          <w:color w:val="231F20"/>
          <w:spacing w:val="-6"/>
          <w:sz w:val="18"/>
          <w:szCs w:val="18"/>
        </w:rPr>
        <w:t xml:space="preserve"> </w:t>
      </w:r>
      <w:r w:rsidR="0070175D">
        <w:rPr>
          <w:color w:val="231F20"/>
          <w:sz w:val="18"/>
          <w:szCs w:val="18"/>
        </w:rPr>
        <w:t>ease</w:t>
      </w:r>
      <w:r w:rsidR="0070175D">
        <w:rPr>
          <w:color w:val="231F20"/>
          <w:spacing w:val="-7"/>
          <w:sz w:val="18"/>
          <w:szCs w:val="18"/>
        </w:rPr>
        <w:t xml:space="preserve"> </w:t>
      </w:r>
      <w:r w:rsidR="0070175D">
        <w:rPr>
          <w:color w:val="231F20"/>
          <w:sz w:val="18"/>
          <w:szCs w:val="18"/>
        </w:rPr>
        <w:t>of</w:t>
      </w:r>
      <w:r w:rsidR="0070175D">
        <w:rPr>
          <w:color w:val="231F20"/>
          <w:spacing w:val="-6"/>
          <w:sz w:val="18"/>
          <w:szCs w:val="18"/>
        </w:rPr>
        <w:t xml:space="preserve"> </w:t>
      </w:r>
      <w:r w:rsidR="0070175D">
        <w:rPr>
          <w:color w:val="231F20"/>
          <w:sz w:val="18"/>
          <w:szCs w:val="18"/>
        </w:rPr>
        <w:t>doing</w:t>
      </w:r>
      <w:r w:rsidR="0070175D">
        <w:rPr>
          <w:color w:val="231F20"/>
          <w:spacing w:val="-6"/>
          <w:sz w:val="18"/>
          <w:szCs w:val="18"/>
        </w:rPr>
        <w:t xml:space="preserve"> </w:t>
      </w:r>
      <w:r w:rsidR="0070175D">
        <w:rPr>
          <w:color w:val="231F20"/>
          <w:sz w:val="18"/>
          <w:szCs w:val="18"/>
        </w:rPr>
        <w:t>business</w:t>
      </w:r>
      <w:r w:rsidR="0070175D">
        <w:rPr>
          <w:color w:val="231F20"/>
          <w:spacing w:val="-7"/>
          <w:sz w:val="18"/>
          <w:szCs w:val="18"/>
        </w:rPr>
        <w:t xml:space="preserve"> </w:t>
      </w:r>
      <w:r w:rsidR="0070175D">
        <w:rPr>
          <w:color w:val="231F20"/>
          <w:sz w:val="18"/>
          <w:szCs w:val="18"/>
        </w:rPr>
        <w:t>and</w:t>
      </w:r>
      <w:r w:rsidR="0070175D">
        <w:rPr>
          <w:color w:val="231F20"/>
          <w:spacing w:val="-6"/>
          <w:sz w:val="18"/>
          <w:szCs w:val="18"/>
        </w:rPr>
        <w:t xml:space="preserve"> </w:t>
      </w:r>
      <w:r w:rsidR="0070175D">
        <w:rPr>
          <w:color w:val="231F20"/>
          <w:sz w:val="18"/>
          <w:szCs w:val="18"/>
        </w:rPr>
        <w:t>corruption</w:t>
      </w:r>
      <w:r w:rsidR="0070175D">
        <w:rPr>
          <w:color w:val="231F20"/>
          <w:spacing w:val="-5"/>
          <w:sz w:val="18"/>
          <w:szCs w:val="18"/>
        </w:rPr>
        <w:t xml:space="preserve"> </w:t>
      </w:r>
      <w:r w:rsidR="0070175D">
        <w:rPr>
          <w:color w:val="231F20"/>
          <w:sz w:val="18"/>
          <w:szCs w:val="18"/>
        </w:rPr>
        <w:t>perception,</w:t>
      </w:r>
      <w:r w:rsidR="0070175D">
        <w:rPr>
          <w:color w:val="231F20"/>
          <w:spacing w:val="-4"/>
          <w:sz w:val="18"/>
          <w:szCs w:val="18"/>
        </w:rPr>
        <w:t xml:space="preserve"> </w:t>
      </w:r>
      <w:r w:rsidR="0070175D">
        <w:rPr>
          <w:color w:val="231F20"/>
          <w:sz w:val="18"/>
          <w:szCs w:val="18"/>
        </w:rPr>
        <w:t>representing</w:t>
      </w:r>
      <w:r w:rsidR="0070175D">
        <w:rPr>
          <w:color w:val="231F20"/>
          <w:spacing w:val="-6"/>
          <w:sz w:val="18"/>
          <w:szCs w:val="18"/>
        </w:rPr>
        <w:t xml:space="preserve"> </w:t>
      </w:r>
      <w:r w:rsidR="0070175D">
        <w:rPr>
          <w:color w:val="231F20"/>
          <w:sz w:val="18"/>
          <w:szCs w:val="18"/>
        </w:rPr>
        <w:t>low country</w:t>
      </w:r>
      <w:r w:rsidR="0070175D">
        <w:rPr>
          <w:color w:val="231F20"/>
          <w:spacing w:val="-2"/>
          <w:sz w:val="18"/>
          <w:szCs w:val="18"/>
        </w:rPr>
        <w:t xml:space="preserve"> </w:t>
      </w:r>
      <w:proofErr w:type="gramStart"/>
      <w:r w:rsidR="0070175D">
        <w:rPr>
          <w:color w:val="231F20"/>
          <w:sz w:val="18"/>
          <w:szCs w:val="18"/>
        </w:rPr>
        <w:t>risk;</w:t>
      </w:r>
      <w:proofErr w:type="gramEnd"/>
    </w:p>
    <w:p w14:paraId="3BE0DC64" w14:textId="5D5FC895" w:rsidR="008E2C43" w:rsidRPr="00062F2D" w:rsidRDefault="008E2C43" w:rsidP="00512495">
      <w:pPr>
        <w:pStyle w:val="ListParagraph"/>
        <w:numPr>
          <w:ilvl w:val="0"/>
          <w:numId w:val="22"/>
        </w:numPr>
        <w:tabs>
          <w:tab w:val="left" w:pos="867"/>
        </w:tabs>
        <w:kinsoku w:val="0"/>
        <w:overflowPunct w:val="0"/>
        <w:ind w:right="1190"/>
        <w:jc w:val="both"/>
        <w:rPr>
          <w:rFonts w:ascii="Symbol" w:hAnsi="Symbol" w:cs="Symbol"/>
          <w:color w:val="231F20"/>
          <w:sz w:val="18"/>
          <w:szCs w:val="18"/>
        </w:rPr>
      </w:pPr>
      <w:r>
        <w:rPr>
          <w:color w:val="231F20"/>
          <w:sz w:val="18"/>
          <w:szCs w:val="18"/>
        </w:rPr>
        <w:t>the community of Happy Valley-Goose Bay, which is located approximately 145km to the southeast of the Adeline Copper Project is a major regional service centre and a full</w:t>
      </w:r>
      <w:r w:rsidR="009E7D65">
        <w:rPr>
          <w:color w:val="231F20"/>
          <w:sz w:val="18"/>
          <w:szCs w:val="18"/>
        </w:rPr>
        <w:t>-</w:t>
      </w:r>
      <w:r>
        <w:rPr>
          <w:color w:val="231F20"/>
          <w:sz w:val="18"/>
          <w:szCs w:val="18"/>
        </w:rPr>
        <w:t xml:space="preserve">service community with a government-serviced airport with air traffic control to facilitate exploration and mining operations via helicopter and small </w:t>
      </w:r>
      <w:r>
        <w:rPr>
          <w:color w:val="231F20"/>
          <w:sz w:val="18"/>
          <w:szCs w:val="18"/>
        </w:rPr>
        <w:lastRenderedPageBreak/>
        <w:t>boat-supported ground traversing;</w:t>
      </w:r>
    </w:p>
    <w:p w14:paraId="44204D4C" w14:textId="2754AE19" w:rsidR="00783288" w:rsidRDefault="00E31420" w:rsidP="00512495">
      <w:pPr>
        <w:pStyle w:val="ListParagraph"/>
        <w:numPr>
          <w:ilvl w:val="0"/>
          <w:numId w:val="22"/>
        </w:numPr>
        <w:tabs>
          <w:tab w:val="left" w:pos="867"/>
        </w:tabs>
        <w:kinsoku w:val="0"/>
        <w:overflowPunct w:val="0"/>
        <w:ind w:right="1191"/>
        <w:jc w:val="both"/>
        <w:rPr>
          <w:rFonts w:ascii="Symbol" w:hAnsi="Symbol" w:cs="Symbol"/>
          <w:color w:val="231F20"/>
          <w:sz w:val="18"/>
          <w:szCs w:val="18"/>
        </w:rPr>
      </w:pPr>
      <w:r>
        <w:rPr>
          <w:color w:val="231F20"/>
          <w:sz w:val="18"/>
          <w:szCs w:val="18"/>
        </w:rPr>
        <w:t>commodity prices have generally been robust since 2016, save for a short-term declines in copper prices during the peak of the COVID 19 pandemic and both copper and gold have recovered strongly from the COVID 19 related downturns and the prospects for both metals are generally considered by the Directors to be positive in the near</w:t>
      </w:r>
      <w:r>
        <w:rPr>
          <w:color w:val="231F20"/>
          <w:spacing w:val="-2"/>
          <w:sz w:val="18"/>
          <w:szCs w:val="18"/>
        </w:rPr>
        <w:t xml:space="preserve"> </w:t>
      </w:r>
      <w:r w:rsidR="00636678">
        <w:rPr>
          <w:color w:val="231F20"/>
          <w:spacing w:val="-2"/>
          <w:sz w:val="18"/>
          <w:szCs w:val="18"/>
        </w:rPr>
        <w:t xml:space="preserve">and medium </w:t>
      </w:r>
      <w:r>
        <w:rPr>
          <w:color w:val="231F20"/>
          <w:sz w:val="18"/>
          <w:szCs w:val="18"/>
        </w:rPr>
        <w:t>term</w:t>
      </w:r>
      <w:r w:rsidR="00D33056">
        <w:rPr>
          <w:color w:val="231F20"/>
          <w:sz w:val="18"/>
          <w:szCs w:val="18"/>
        </w:rPr>
        <w:t xml:space="preserve"> </w:t>
      </w:r>
      <w:r w:rsidR="00046867">
        <w:rPr>
          <w:i/>
          <w:color w:val="231F20"/>
          <w:sz w:val="18"/>
          <w:szCs w:val="18"/>
        </w:rPr>
        <w:t>(</w:t>
      </w:r>
      <w:r w:rsidR="00D33056" w:rsidRPr="00D33056">
        <w:rPr>
          <w:i/>
          <w:color w:val="231F20"/>
          <w:sz w:val="18"/>
          <w:szCs w:val="18"/>
        </w:rPr>
        <w:t>Source: London Metal Exchan</w:t>
      </w:r>
      <w:r w:rsidR="00D33056" w:rsidRPr="009C1D2E">
        <w:rPr>
          <w:i/>
          <w:color w:val="231F20"/>
          <w:sz w:val="18"/>
          <w:szCs w:val="18"/>
        </w:rPr>
        <w:t>ge,</w:t>
      </w:r>
      <w:hyperlink r:id="rId20" w:history="1">
        <w:r w:rsidR="009C1D2E" w:rsidRPr="00EF2315">
          <w:rPr>
            <w:rStyle w:val="Hyperlink"/>
            <w:i/>
            <w:sz w:val="18"/>
            <w:szCs w:val="18"/>
          </w:rPr>
          <w:t>www.lme.com/Metals</w:t>
        </w:r>
      </w:hyperlink>
      <w:r w:rsidR="009C1D2E">
        <w:rPr>
          <w:i/>
          <w:color w:val="231F20"/>
          <w:sz w:val="18"/>
          <w:szCs w:val="18"/>
        </w:rPr>
        <w:t xml:space="preserve"> </w:t>
      </w:r>
      <w:r w:rsidR="004402C1">
        <w:rPr>
          <w:i/>
          <w:sz w:val="18"/>
          <w:szCs w:val="18"/>
        </w:rPr>
        <w:t>0</w:t>
      </w:r>
      <w:r w:rsidR="00117CD0">
        <w:rPr>
          <w:i/>
          <w:sz w:val="18"/>
          <w:szCs w:val="18"/>
        </w:rPr>
        <w:t>1</w:t>
      </w:r>
      <w:r w:rsidR="004402C1">
        <w:rPr>
          <w:i/>
          <w:sz w:val="18"/>
          <w:szCs w:val="18"/>
        </w:rPr>
        <w:t>.07.21</w:t>
      </w:r>
      <w:r w:rsidR="00046867">
        <w:rPr>
          <w:i/>
          <w:color w:val="231F20"/>
          <w:sz w:val="18"/>
          <w:szCs w:val="18"/>
        </w:rPr>
        <w:t>)</w:t>
      </w:r>
      <w:r w:rsidRPr="009C1D2E">
        <w:rPr>
          <w:i/>
          <w:color w:val="231F20"/>
          <w:sz w:val="18"/>
          <w:szCs w:val="18"/>
        </w:rPr>
        <w:t>;</w:t>
      </w:r>
    </w:p>
    <w:p w14:paraId="50809BD2" w14:textId="5C56F071" w:rsidR="00453E3B" w:rsidRPr="00FE358B" w:rsidRDefault="00E31420" w:rsidP="00512495">
      <w:pPr>
        <w:pStyle w:val="ListParagraph"/>
        <w:numPr>
          <w:ilvl w:val="0"/>
          <w:numId w:val="22"/>
        </w:numPr>
        <w:tabs>
          <w:tab w:val="left" w:pos="867"/>
        </w:tabs>
        <w:kinsoku w:val="0"/>
        <w:overflowPunct w:val="0"/>
        <w:spacing w:before="79"/>
        <w:ind w:right="1190"/>
        <w:jc w:val="both"/>
        <w:rPr>
          <w:rFonts w:ascii="Symbol" w:hAnsi="Symbol" w:cs="Symbol"/>
          <w:color w:val="231F20"/>
          <w:sz w:val="18"/>
          <w:szCs w:val="18"/>
        </w:rPr>
      </w:pPr>
      <w:r w:rsidRPr="00B62B5D">
        <w:rPr>
          <w:color w:val="231F20"/>
          <w:sz w:val="18"/>
          <w:szCs w:val="18"/>
        </w:rPr>
        <w:t>the Group has the largest portfolio of prospecting permits in Cyprus;</w:t>
      </w:r>
      <w:r w:rsidRPr="00453E3B">
        <w:rPr>
          <w:color w:val="231F20"/>
          <w:spacing w:val="-7"/>
          <w:sz w:val="18"/>
          <w:szCs w:val="18"/>
        </w:rPr>
        <w:t xml:space="preserve"> </w:t>
      </w:r>
      <w:r w:rsidRPr="00453E3B">
        <w:rPr>
          <w:color w:val="231F20"/>
          <w:sz w:val="18"/>
          <w:szCs w:val="18"/>
        </w:rPr>
        <w:t>and</w:t>
      </w:r>
      <w:r w:rsidR="00453E3B">
        <w:rPr>
          <w:color w:val="231F20"/>
          <w:sz w:val="18"/>
          <w:szCs w:val="18"/>
        </w:rPr>
        <w:t xml:space="preserve"> </w:t>
      </w:r>
    </w:p>
    <w:p w14:paraId="251B70B9" w14:textId="6BDE43A1" w:rsidR="00783288" w:rsidRPr="00062F2D" w:rsidRDefault="00E31420" w:rsidP="00512495">
      <w:pPr>
        <w:pStyle w:val="ListParagraph"/>
        <w:numPr>
          <w:ilvl w:val="0"/>
          <w:numId w:val="22"/>
        </w:numPr>
        <w:tabs>
          <w:tab w:val="left" w:pos="867"/>
        </w:tabs>
        <w:kinsoku w:val="0"/>
        <w:overflowPunct w:val="0"/>
        <w:spacing w:before="79"/>
        <w:ind w:right="1190"/>
        <w:jc w:val="both"/>
        <w:rPr>
          <w:rFonts w:ascii="Symbol" w:hAnsi="Symbol" w:cs="Symbol"/>
          <w:color w:val="231F20"/>
          <w:sz w:val="18"/>
          <w:szCs w:val="18"/>
        </w:rPr>
      </w:pPr>
      <w:r>
        <w:rPr>
          <w:color w:val="231F20"/>
          <w:sz w:val="18"/>
          <w:szCs w:val="18"/>
        </w:rPr>
        <w:t>Cyprus</w:t>
      </w:r>
      <w:r>
        <w:rPr>
          <w:color w:val="231F20"/>
          <w:spacing w:val="-12"/>
          <w:sz w:val="18"/>
          <w:szCs w:val="18"/>
        </w:rPr>
        <w:t xml:space="preserve"> </w:t>
      </w:r>
      <w:r>
        <w:rPr>
          <w:color w:val="231F20"/>
          <w:sz w:val="18"/>
          <w:szCs w:val="18"/>
        </w:rPr>
        <w:t>provides</w:t>
      </w:r>
      <w:r>
        <w:rPr>
          <w:color w:val="231F20"/>
          <w:spacing w:val="-11"/>
          <w:sz w:val="18"/>
          <w:szCs w:val="18"/>
        </w:rPr>
        <w:t xml:space="preserve"> </w:t>
      </w:r>
      <w:r>
        <w:rPr>
          <w:color w:val="231F20"/>
          <w:sz w:val="18"/>
          <w:szCs w:val="18"/>
        </w:rPr>
        <w:t>a</w:t>
      </w:r>
      <w:r>
        <w:rPr>
          <w:color w:val="231F20"/>
          <w:spacing w:val="-12"/>
          <w:sz w:val="18"/>
          <w:szCs w:val="18"/>
        </w:rPr>
        <w:t xml:space="preserve"> </w:t>
      </w:r>
      <w:r>
        <w:rPr>
          <w:color w:val="231F20"/>
          <w:sz w:val="18"/>
          <w:szCs w:val="18"/>
        </w:rPr>
        <w:t>comparatively</w:t>
      </w:r>
      <w:r>
        <w:rPr>
          <w:color w:val="231F20"/>
          <w:spacing w:val="-14"/>
          <w:sz w:val="18"/>
          <w:szCs w:val="18"/>
        </w:rPr>
        <w:t xml:space="preserve"> </w:t>
      </w:r>
      <w:r>
        <w:rPr>
          <w:color w:val="231F20"/>
          <w:sz w:val="18"/>
          <w:szCs w:val="18"/>
        </w:rPr>
        <w:t>attractive</w:t>
      </w:r>
      <w:r>
        <w:rPr>
          <w:color w:val="231F20"/>
          <w:spacing w:val="-12"/>
          <w:sz w:val="18"/>
          <w:szCs w:val="18"/>
        </w:rPr>
        <w:t xml:space="preserve"> </w:t>
      </w:r>
      <w:r>
        <w:rPr>
          <w:color w:val="231F20"/>
          <w:sz w:val="18"/>
          <w:szCs w:val="18"/>
        </w:rPr>
        <w:t>corporate</w:t>
      </w:r>
      <w:r>
        <w:rPr>
          <w:color w:val="231F20"/>
          <w:spacing w:val="-12"/>
          <w:sz w:val="18"/>
          <w:szCs w:val="18"/>
        </w:rPr>
        <w:t xml:space="preserve"> </w:t>
      </w:r>
      <w:r>
        <w:rPr>
          <w:color w:val="231F20"/>
          <w:sz w:val="18"/>
          <w:szCs w:val="18"/>
        </w:rPr>
        <w:t>environment</w:t>
      </w:r>
      <w:r>
        <w:rPr>
          <w:color w:val="231F20"/>
          <w:spacing w:val="-13"/>
          <w:sz w:val="18"/>
          <w:szCs w:val="18"/>
        </w:rPr>
        <w:t xml:space="preserve"> </w:t>
      </w:r>
      <w:r>
        <w:rPr>
          <w:color w:val="231F20"/>
          <w:sz w:val="18"/>
          <w:szCs w:val="18"/>
        </w:rPr>
        <w:t>for</w:t>
      </w:r>
      <w:r>
        <w:rPr>
          <w:color w:val="231F20"/>
          <w:spacing w:val="-13"/>
          <w:sz w:val="18"/>
          <w:szCs w:val="18"/>
        </w:rPr>
        <w:t xml:space="preserve"> </w:t>
      </w:r>
      <w:r>
        <w:rPr>
          <w:color w:val="231F20"/>
          <w:sz w:val="18"/>
          <w:szCs w:val="18"/>
        </w:rPr>
        <w:t>the</w:t>
      </w:r>
      <w:r>
        <w:rPr>
          <w:color w:val="231F20"/>
          <w:spacing w:val="-12"/>
          <w:sz w:val="18"/>
          <w:szCs w:val="18"/>
        </w:rPr>
        <w:t xml:space="preserve"> </w:t>
      </w:r>
      <w:r>
        <w:rPr>
          <w:color w:val="231F20"/>
          <w:sz w:val="18"/>
          <w:szCs w:val="18"/>
        </w:rPr>
        <w:t>Group’s</w:t>
      </w:r>
      <w:r>
        <w:rPr>
          <w:color w:val="231F20"/>
          <w:spacing w:val="-11"/>
          <w:sz w:val="18"/>
          <w:szCs w:val="18"/>
        </w:rPr>
        <w:t xml:space="preserve"> </w:t>
      </w:r>
      <w:r>
        <w:rPr>
          <w:color w:val="231F20"/>
          <w:sz w:val="18"/>
          <w:szCs w:val="18"/>
        </w:rPr>
        <w:t>natural</w:t>
      </w:r>
      <w:r>
        <w:rPr>
          <w:color w:val="231F20"/>
          <w:spacing w:val="-12"/>
          <w:sz w:val="18"/>
          <w:szCs w:val="18"/>
        </w:rPr>
        <w:t xml:space="preserve"> </w:t>
      </w:r>
      <w:r>
        <w:rPr>
          <w:color w:val="231F20"/>
          <w:sz w:val="18"/>
          <w:szCs w:val="18"/>
        </w:rPr>
        <w:t>resource</w:t>
      </w:r>
      <w:r>
        <w:rPr>
          <w:color w:val="231F20"/>
          <w:spacing w:val="-12"/>
          <w:sz w:val="18"/>
          <w:szCs w:val="18"/>
        </w:rPr>
        <w:t xml:space="preserve"> </w:t>
      </w:r>
      <w:r>
        <w:rPr>
          <w:color w:val="231F20"/>
          <w:sz w:val="18"/>
          <w:szCs w:val="18"/>
        </w:rPr>
        <w:t>projects. In</w:t>
      </w:r>
      <w:r>
        <w:rPr>
          <w:color w:val="231F20"/>
          <w:spacing w:val="-13"/>
          <w:sz w:val="18"/>
          <w:szCs w:val="18"/>
        </w:rPr>
        <w:t xml:space="preserve"> </w:t>
      </w:r>
      <w:r>
        <w:rPr>
          <w:color w:val="231F20"/>
          <w:sz w:val="18"/>
          <w:szCs w:val="18"/>
        </w:rPr>
        <w:t>particular,</w:t>
      </w:r>
      <w:r>
        <w:rPr>
          <w:color w:val="231F20"/>
          <w:spacing w:val="-13"/>
          <w:sz w:val="18"/>
          <w:szCs w:val="18"/>
        </w:rPr>
        <w:t xml:space="preserve"> </w:t>
      </w:r>
      <w:r>
        <w:rPr>
          <w:color w:val="231F20"/>
          <w:sz w:val="18"/>
          <w:szCs w:val="18"/>
        </w:rPr>
        <w:t>the</w:t>
      </w:r>
      <w:r>
        <w:rPr>
          <w:color w:val="231F20"/>
          <w:spacing w:val="-15"/>
          <w:sz w:val="18"/>
          <w:szCs w:val="18"/>
        </w:rPr>
        <w:t xml:space="preserve"> </w:t>
      </w:r>
      <w:r>
        <w:rPr>
          <w:color w:val="231F20"/>
          <w:sz w:val="18"/>
          <w:szCs w:val="18"/>
        </w:rPr>
        <w:t>current</w:t>
      </w:r>
      <w:r>
        <w:rPr>
          <w:color w:val="231F20"/>
          <w:spacing w:val="-13"/>
          <w:sz w:val="18"/>
          <w:szCs w:val="18"/>
        </w:rPr>
        <w:t xml:space="preserve"> </w:t>
      </w:r>
      <w:r>
        <w:rPr>
          <w:color w:val="231F20"/>
          <w:sz w:val="18"/>
          <w:szCs w:val="18"/>
        </w:rPr>
        <w:t>government</w:t>
      </w:r>
      <w:r>
        <w:rPr>
          <w:color w:val="231F20"/>
          <w:spacing w:val="-13"/>
          <w:sz w:val="18"/>
          <w:szCs w:val="18"/>
        </w:rPr>
        <w:t xml:space="preserve"> </w:t>
      </w:r>
      <w:r>
        <w:rPr>
          <w:color w:val="231F20"/>
          <w:sz w:val="18"/>
          <w:szCs w:val="18"/>
        </w:rPr>
        <w:t>royalties</w:t>
      </w:r>
      <w:r>
        <w:rPr>
          <w:color w:val="231F20"/>
          <w:spacing w:val="-12"/>
          <w:sz w:val="18"/>
          <w:szCs w:val="18"/>
        </w:rPr>
        <w:t xml:space="preserve"> </w:t>
      </w:r>
      <w:r>
        <w:rPr>
          <w:color w:val="231F20"/>
          <w:sz w:val="18"/>
          <w:szCs w:val="18"/>
        </w:rPr>
        <w:t>for</w:t>
      </w:r>
      <w:r>
        <w:rPr>
          <w:color w:val="231F20"/>
          <w:spacing w:val="-15"/>
          <w:sz w:val="18"/>
          <w:szCs w:val="18"/>
        </w:rPr>
        <w:t xml:space="preserve"> </w:t>
      </w:r>
      <w:r>
        <w:rPr>
          <w:color w:val="231F20"/>
          <w:sz w:val="18"/>
          <w:szCs w:val="18"/>
        </w:rPr>
        <w:t>mineral</w:t>
      </w:r>
      <w:r>
        <w:rPr>
          <w:color w:val="231F20"/>
          <w:spacing w:val="-15"/>
          <w:sz w:val="18"/>
          <w:szCs w:val="18"/>
        </w:rPr>
        <w:t xml:space="preserve"> </w:t>
      </w:r>
      <w:r>
        <w:rPr>
          <w:color w:val="231F20"/>
          <w:sz w:val="18"/>
          <w:szCs w:val="18"/>
        </w:rPr>
        <w:t>resources</w:t>
      </w:r>
      <w:r>
        <w:rPr>
          <w:color w:val="231F20"/>
          <w:spacing w:val="-12"/>
          <w:sz w:val="18"/>
          <w:szCs w:val="18"/>
        </w:rPr>
        <w:t xml:space="preserve"> </w:t>
      </w:r>
      <w:r>
        <w:rPr>
          <w:color w:val="231F20"/>
          <w:sz w:val="18"/>
          <w:szCs w:val="18"/>
        </w:rPr>
        <w:t>(calculated</w:t>
      </w:r>
      <w:r>
        <w:rPr>
          <w:color w:val="231F20"/>
          <w:spacing w:val="-13"/>
          <w:sz w:val="18"/>
          <w:szCs w:val="18"/>
        </w:rPr>
        <w:t xml:space="preserve"> </w:t>
      </w:r>
      <w:r>
        <w:rPr>
          <w:color w:val="231F20"/>
          <w:sz w:val="18"/>
          <w:szCs w:val="18"/>
        </w:rPr>
        <w:t>on</w:t>
      </w:r>
      <w:r>
        <w:rPr>
          <w:color w:val="231F20"/>
          <w:spacing w:val="-13"/>
          <w:sz w:val="18"/>
          <w:szCs w:val="18"/>
        </w:rPr>
        <w:t xml:space="preserve"> </w:t>
      </w:r>
      <w:r>
        <w:rPr>
          <w:color w:val="231F20"/>
          <w:sz w:val="18"/>
          <w:szCs w:val="18"/>
        </w:rPr>
        <w:t>the</w:t>
      </w:r>
      <w:r>
        <w:rPr>
          <w:color w:val="231F20"/>
          <w:spacing w:val="-13"/>
          <w:sz w:val="18"/>
          <w:szCs w:val="18"/>
        </w:rPr>
        <w:t xml:space="preserve"> </w:t>
      </w:r>
      <w:r>
        <w:rPr>
          <w:color w:val="231F20"/>
          <w:sz w:val="18"/>
          <w:szCs w:val="18"/>
        </w:rPr>
        <w:t>Free-On-Board</w:t>
      </w:r>
      <w:r>
        <w:rPr>
          <w:color w:val="231F20"/>
          <w:spacing w:val="-14"/>
          <w:sz w:val="18"/>
          <w:szCs w:val="18"/>
        </w:rPr>
        <w:t xml:space="preserve"> </w:t>
      </w:r>
      <w:r>
        <w:rPr>
          <w:color w:val="231F20"/>
          <w:sz w:val="18"/>
          <w:szCs w:val="18"/>
        </w:rPr>
        <w:t>price) are</w:t>
      </w:r>
      <w:r>
        <w:rPr>
          <w:color w:val="231F20"/>
          <w:spacing w:val="-7"/>
          <w:sz w:val="18"/>
          <w:szCs w:val="18"/>
        </w:rPr>
        <w:t xml:space="preserve"> </w:t>
      </w:r>
      <w:r>
        <w:rPr>
          <w:color w:val="231F20"/>
          <w:sz w:val="18"/>
          <w:szCs w:val="18"/>
        </w:rPr>
        <w:t>relatively</w:t>
      </w:r>
      <w:r>
        <w:rPr>
          <w:color w:val="231F20"/>
          <w:spacing w:val="-7"/>
          <w:sz w:val="18"/>
          <w:szCs w:val="18"/>
        </w:rPr>
        <w:t xml:space="preserve"> </w:t>
      </w:r>
      <w:r>
        <w:rPr>
          <w:color w:val="231F20"/>
          <w:sz w:val="18"/>
          <w:szCs w:val="18"/>
        </w:rPr>
        <w:t>low</w:t>
      </w:r>
      <w:r>
        <w:rPr>
          <w:color w:val="231F20"/>
          <w:spacing w:val="-10"/>
          <w:sz w:val="18"/>
          <w:szCs w:val="18"/>
        </w:rPr>
        <w:t xml:space="preserve"> </w:t>
      </w:r>
      <w:r>
        <w:rPr>
          <w:color w:val="231F20"/>
          <w:sz w:val="18"/>
          <w:szCs w:val="18"/>
        </w:rPr>
        <w:t>(being</w:t>
      </w:r>
      <w:r>
        <w:rPr>
          <w:color w:val="231F20"/>
          <w:spacing w:val="-6"/>
          <w:sz w:val="18"/>
          <w:szCs w:val="18"/>
        </w:rPr>
        <w:t xml:space="preserve"> </w:t>
      </w:r>
      <w:r>
        <w:rPr>
          <w:color w:val="231F20"/>
          <w:sz w:val="18"/>
          <w:szCs w:val="18"/>
        </w:rPr>
        <w:t>1</w:t>
      </w:r>
      <w:r>
        <w:rPr>
          <w:color w:val="231F20"/>
          <w:spacing w:val="-6"/>
          <w:sz w:val="18"/>
          <w:szCs w:val="18"/>
        </w:rPr>
        <w:t xml:space="preserve"> </w:t>
      </w:r>
      <w:r>
        <w:rPr>
          <w:color w:val="231F20"/>
          <w:sz w:val="18"/>
          <w:szCs w:val="18"/>
        </w:rPr>
        <w:t>per</w:t>
      </w:r>
      <w:r>
        <w:rPr>
          <w:color w:val="231F20"/>
          <w:spacing w:val="-9"/>
          <w:sz w:val="18"/>
          <w:szCs w:val="18"/>
        </w:rPr>
        <w:t xml:space="preserve"> </w:t>
      </w:r>
      <w:r>
        <w:rPr>
          <w:color w:val="231F20"/>
          <w:sz w:val="18"/>
          <w:szCs w:val="18"/>
        </w:rPr>
        <w:t>cent</w:t>
      </w:r>
      <w:r>
        <w:rPr>
          <w:color w:val="231F20"/>
          <w:spacing w:val="-6"/>
          <w:sz w:val="18"/>
          <w:szCs w:val="18"/>
        </w:rPr>
        <w:t xml:space="preserve"> </w:t>
      </w:r>
      <w:r>
        <w:rPr>
          <w:color w:val="231F20"/>
          <w:sz w:val="18"/>
          <w:szCs w:val="18"/>
        </w:rPr>
        <w:t>for</w:t>
      </w:r>
      <w:r>
        <w:rPr>
          <w:color w:val="231F20"/>
          <w:spacing w:val="-7"/>
          <w:sz w:val="18"/>
          <w:szCs w:val="18"/>
        </w:rPr>
        <w:t xml:space="preserve"> </w:t>
      </w:r>
      <w:r>
        <w:rPr>
          <w:color w:val="231F20"/>
          <w:sz w:val="18"/>
          <w:szCs w:val="18"/>
        </w:rPr>
        <w:t>metals</w:t>
      </w:r>
      <w:r>
        <w:rPr>
          <w:color w:val="231F20"/>
          <w:spacing w:val="-6"/>
          <w:sz w:val="18"/>
          <w:szCs w:val="18"/>
        </w:rPr>
        <w:t xml:space="preserve"> </w:t>
      </w:r>
      <w:r>
        <w:rPr>
          <w:color w:val="231F20"/>
          <w:sz w:val="18"/>
          <w:szCs w:val="18"/>
        </w:rPr>
        <w:t>and</w:t>
      </w:r>
      <w:r>
        <w:rPr>
          <w:color w:val="231F20"/>
          <w:spacing w:val="-6"/>
          <w:sz w:val="18"/>
          <w:szCs w:val="18"/>
        </w:rPr>
        <w:t xml:space="preserve"> </w:t>
      </w:r>
      <w:r>
        <w:rPr>
          <w:color w:val="231F20"/>
          <w:sz w:val="18"/>
          <w:szCs w:val="18"/>
        </w:rPr>
        <w:t>alloys)</w:t>
      </w:r>
      <w:r>
        <w:rPr>
          <w:color w:val="231F20"/>
          <w:spacing w:val="-7"/>
          <w:sz w:val="18"/>
          <w:szCs w:val="18"/>
        </w:rPr>
        <w:t xml:space="preserve"> </w:t>
      </w:r>
      <w:r>
        <w:rPr>
          <w:color w:val="231F20"/>
          <w:sz w:val="18"/>
          <w:szCs w:val="18"/>
        </w:rPr>
        <w:t>and</w:t>
      </w:r>
      <w:r>
        <w:rPr>
          <w:color w:val="231F20"/>
          <w:spacing w:val="-7"/>
          <w:sz w:val="18"/>
          <w:szCs w:val="18"/>
        </w:rPr>
        <w:t xml:space="preserve"> </w:t>
      </w:r>
      <w:r>
        <w:rPr>
          <w:color w:val="231F20"/>
          <w:sz w:val="18"/>
          <w:szCs w:val="18"/>
        </w:rPr>
        <w:t>the</w:t>
      </w:r>
      <w:r>
        <w:rPr>
          <w:color w:val="231F20"/>
          <w:spacing w:val="-7"/>
          <w:sz w:val="18"/>
          <w:szCs w:val="18"/>
        </w:rPr>
        <w:t xml:space="preserve"> </w:t>
      </w:r>
      <w:r>
        <w:rPr>
          <w:color w:val="231F20"/>
          <w:sz w:val="18"/>
          <w:szCs w:val="18"/>
        </w:rPr>
        <w:t>corporate</w:t>
      </w:r>
      <w:r>
        <w:rPr>
          <w:color w:val="231F20"/>
          <w:spacing w:val="-6"/>
          <w:sz w:val="18"/>
          <w:szCs w:val="18"/>
        </w:rPr>
        <w:t xml:space="preserve"> </w:t>
      </w:r>
      <w:r>
        <w:rPr>
          <w:color w:val="231F20"/>
          <w:sz w:val="18"/>
          <w:szCs w:val="18"/>
        </w:rPr>
        <w:t>tax</w:t>
      </w:r>
      <w:r>
        <w:rPr>
          <w:color w:val="231F20"/>
          <w:spacing w:val="-9"/>
          <w:sz w:val="18"/>
          <w:szCs w:val="18"/>
        </w:rPr>
        <w:t xml:space="preserve"> </w:t>
      </w:r>
      <w:r>
        <w:rPr>
          <w:color w:val="231F20"/>
          <w:sz w:val="18"/>
          <w:szCs w:val="18"/>
        </w:rPr>
        <w:t>rate</w:t>
      </w:r>
      <w:r>
        <w:rPr>
          <w:color w:val="231F20"/>
          <w:spacing w:val="-6"/>
          <w:sz w:val="18"/>
          <w:szCs w:val="18"/>
        </w:rPr>
        <w:t xml:space="preserve"> </w:t>
      </w:r>
      <w:r>
        <w:rPr>
          <w:color w:val="231F20"/>
          <w:sz w:val="18"/>
          <w:szCs w:val="18"/>
        </w:rPr>
        <w:t>in</w:t>
      </w:r>
      <w:r>
        <w:rPr>
          <w:color w:val="231F20"/>
          <w:spacing w:val="-7"/>
          <w:sz w:val="18"/>
          <w:szCs w:val="18"/>
        </w:rPr>
        <w:t xml:space="preserve"> </w:t>
      </w:r>
      <w:r>
        <w:rPr>
          <w:color w:val="231F20"/>
          <w:sz w:val="18"/>
          <w:szCs w:val="18"/>
        </w:rPr>
        <w:t>Cyprus</w:t>
      </w:r>
      <w:r>
        <w:rPr>
          <w:color w:val="231F20"/>
          <w:spacing w:val="-6"/>
          <w:sz w:val="18"/>
          <w:szCs w:val="18"/>
        </w:rPr>
        <w:t xml:space="preserve"> </w:t>
      </w:r>
      <w:r>
        <w:rPr>
          <w:color w:val="231F20"/>
          <w:sz w:val="18"/>
          <w:szCs w:val="18"/>
        </w:rPr>
        <w:t>is</w:t>
      </w:r>
      <w:r>
        <w:rPr>
          <w:color w:val="231F20"/>
          <w:spacing w:val="-6"/>
          <w:sz w:val="18"/>
          <w:szCs w:val="18"/>
        </w:rPr>
        <w:t xml:space="preserve"> </w:t>
      </w:r>
      <w:r>
        <w:rPr>
          <w:color w:val="231F20"/>
          <w:sz w:val="18"/>
          <w:szCs w:val="18"/>
        </w:rPr>
        <w:t>reasonable (12.5 per cent)</w:t>
      </w:r>
      <w:r w:rsidR="00D33056">
        <w:rPr>
          <w:color w:val="231F20"/>
          <w:sz w:val="18"/>
          <w:szCs w:val="18"/>
        </w:rPr>
        <w:t xml:space="preserve"> </w:t>
      </w:r>
      <w:r w:rsidR="00046867">
        <w:rPr>
          <w:i/>
          <w:color w:val="231F20"/>
          <w:sz w:val="18"/>
          <w:szCs w:val="18"/>
        </w:rPr>
        <w:t>(</w:t>
      </w:r>
      <w:r w:rsidR="00D33056" w:rsidRPr="00D33056">
        <w:rPr>
          <w:i/>
          <w:color w:val="231F20"/>
          <w:sz w:val="18"/>
          <w:szCs w:val="18"/>
        </w:rPr>
        <w:t>Source: PWC,</w:t>
      </w:r>
      <w:r w:rsidR="00D40097">
        <w:rPr>
          <w:i/>
          <w:color w:val="231F20"/>
          <w:sz w:val="18"/>
          <w:szCs w:val="18"/>
        </w:rPr>
        <w:t xml:space="preserve"> “Corporate – Taxes on corporate income”,</w:t>
      </w:r>
      <w:r w:rsidR="00D33056" w:rsidRPr="00D33056">
        <w:rPr>
          <w:i/>
          <w:color w:val="231F20"/>
          <w:sz w:val="18"/>
          <w:szCs w:val="18"/>
        </w:rPr>
        <w:t xml:space="preserve"> 21.12.20</w:t>
      </w:r>
      <w:r w:rsidR="00046867">
        <w:rPr>
          <w:i/>
          <w:color w:val="231F20"/>
          <w:sz w:val="18"/>
          <w:szCs w:val="18"/>
        </w:rPr>
        <w:t>)</w:t>
      </w:r>
      <w:r w:rsidRPr="00D33056">
        <w:rPr>
          <w:i/>
          <w:color w:val="231F20"/>
          <w:sz w:val="18"/>
          <w:szCs w:val="18"/>
        </w:rPr>
        <w:t>.</w:t>
      </w:r>
    </w:p>
    <w:p w14:paraId="3F08E6E3" w14:textId="045AE569" w:rsidR="00925932" w:rsidRPr="00062F2D" w:rsidRDefault="008E2C43" w:rsidP="00512495">
      <w:pPr>
        <w:pStyle w:val="ListParagraph"/>
        <w:numPr>
          <w:ilvl w:val="0"/>
          <w:numId w:val="22"/>
        </w:numPr>
        <w:tabs>
          <w:tab w:val="left" w:pos="867"/>
        </w:tabs>
        <w:kinsoku w:val="0"/>
        <w:overflowPunct w:val="0"/>
        <w:spacing w:before="79"/>
        <w:ind w:right="1190"/>
        <w:jc w:val="both"/>
        <w:rPr>
          <w:rFonts w:ascii="Symbol" w:hAnsi="Symbol" w:cs="Symbol"/>
          <w:color w:val="231F20"/>
          <w:sz w:val="18"/>
          <w:szCs w:val="18"/>
        </w:rPr>
      </w:pPr>
      <w:r>
        <w:rPr>
          <w:color w:val="231F20"/>
          <w:sz w:val="18"/>
          <w:szCs w:val="18"/>
        </w:rPr>
        <w:t xml:space="preserve">Canada additionally </w:t>
      </w:r>
      <w:r w:rsidRPr="00062F2D">
        <w:rPr>
          <w:color w:val="231F20"/>
          <w:sz w:val="18"/>
          <w:szCs w:val="18"/>
        </w:rPr>
        <w:t>provides</w:t>
      </w:r>
      <w:r w:rsidRPr="00062F2D">
        <w:rPr>
          <w:color w:val="231F20"/>
          <w:spacing w:val="-11"/>
          <w:sz w:val="18"/>
          <w:szCs w:val="18"/>
        </w:rPr>
        <w:t xml:space="preserve"> </w:t>
      </w:r>
      <w:r>
        <w:rPr>
          <w:color w:val="231F20"/>
          <w:sz w:val="18"/>
          <w:szCs w:val="18"/>
        </w:rPr>
        <w:t>an appealing corporate environment for the Group’s natural resource projects.</w:t>
      </w:r>
      <w:r w:rsidR="000A2226">
        <w:rPr>
          <w:color w:val="231F20"/>
          <w:sz w:val="18"/>
          <w:szCs w:val="18"/>
        </w:rPr>
        <w:t xml:space="preserve"> About half of the world’s publicly listed mining and exploration companies are listed on </w:t>
      </w:r>
      <w:r w:rsidR="00F07B09">
        <w:rPr>
          <w:color w:val="231F20"/>
          <w:sz w:val="18"/>
          <w:szCs w:val="18"/>
        </w:rPr>
        <w:t>the Toronto Stock Exchange</w:t>
      </w:r>
      <w:r w:rsidR="000A2226">
        <w:rPr>
          <w:color w:val="231F20"/>
          <w:sz w:val="18"/>
          <w:szCs w:val="18"/>
        </w:rPr>
        <w:t xml:space="preserve"> and </w:t>
      </w:r>
      <w:r w:rsidR="00F07B09">
        <w:rPr>
          <w:color w:val="231F20"/>
          <w:sz w:val="18"/>
          <w:szCs w:val="18"/>
        </w:rPr>
        <w:t>TSX Venture Exchange</w:t>
      </w:r>
      <w:r w:rsidR="00BF7697">
        <w:rPr>
          <w:color w:val="231F20"/>
          <w:sz w:val="18"/>
          <w:szCs w:val="18"/>
        </w:rPr>
        <w:t xml:space="preserve"> </w:t>
      </w:r>
      <w:r w:rsidR="00046867">
        <w:rPr>
          <w:i/>
          <w:color w:val="231F20"/>
          <w:sz w:val="18"/>
          <w:szCs w:val="18"/>
        </w:rPr>
        <w:t>(</w:t>
      </w:r>
      <w:r w:rsidR="00BF7697" w:rsidRPr="00BF7697">
        <w:rPr>
          <w:i/>
          <w:color w:val="231F20"/>
          <w:sz w:val="18"/>
          <w:szCs w:val="18"/>
        </w:rPr>
        <w:t xml:space="preserve">Source: Government of Canada, </w:t>
      </w:r>
      <w:r w:rsidR="00D40097">
        <w:rPr>
          <w:i/>
          <w:color w:val="231F20"/>
          <w:sz w:val="18"/>
          <w:szCs w:val="18"/>
        </w:rPr>
        <w:t xml:space="preserve">“Canadian Mining Assets Information Bulletin”, </w:t>
      </w:r>
      <w:r w:rsidR="00BF7697" w:rsidRPr="00BF7697">
        <w:rPr>
          <w:i/>
          <w:color w:val="231F20"/>
          <w:sz w:val="18"/>
          <w:szCs w:val="18"/>
        </w:rPr>
        <w:t>08.02.21</w:t>
      </w:r>
      <w:r w:rsidR="00046867">
        <w:rPr>
          <w:i/>
          <w:color w:val="231F20"/>
          <w:sz w:val="18"/>
          <w:szCs w:val="18"/>
        </w:rPr>
        <w:t>)</w:t>
      </w:r>
      <w:r w:rsidR="000A2226">
        <w:rPr>
          <w:color w:val="231F20"/>
          <w:sz w:val="18"/>
          <w:szCs w:val="18"/>
        </w:rPr>
        <w:t>. Canada’s marginal effective tax rate (which takes into account local, as well as federal, taxes) averages 13.7% (2019), which is the lowest in G7 and below the average of OECD</w:t>
      </w:r>
      <w:r w:rsidR="00BF7697">
        <w:rPr>
          <w:color w:val="231F20"/>
          <w:sz w:val="18"/>
          <w:szCs w:val="18"/>
        </w:rPr>
        <w:t xml:space="preserve"> </w:t>
      </w:r>
      <w:r w:rsidR="00046867">
        <w:rPr>
          <w:i/>
          <w:color w:val="231F20"/>
          <w:sz w:val="18"/>
          <w:szCs w:val="18"/>
        </w:rPr>
        <w:t>(</w:t>
      </w:r>
      <w:r w:rsidR="00BF7697" w:rsidRPr="00BF7697">
        <w:rPr>
          <w:i/>
          <w:color w:val="231F20"/>
          <w:sz w:val="18"/>
          <w:szCs w:val="18"/>
        </w:rPr>
        <w:t>Source: Government of Canada,</w:t>
      </w:r>
      <w:r w:rsidR="00D40097">
        <w:rPr>
          <w:i/>
          <w:color w:val="231F20"/>
          <w:sz w:val="18"/>
          <w:szCs w:val="18"/>
        </w:rPr>
        <w:t xml:space="preserve"> "</w:t>
      </w:r>
      <w:r w:rsidR="00F1059C">
        <w:rPr>
          <w:i/>
          <w:color w:val="231F20"/>
          <w:sz w:val="18"/>
          <w:szCs w:val="18"/>
        </w:rPr>
        <w:t>Invest in Canada FDI Report”,</w:t>
      </w:r>
      <w:r w:rsidR="00BF7697" w:rsidRPr="00BF7697">
        <w:rPr>
          <w:i/>
          <w:color w:val="231F20"/>
          <w:sz w:val="18"/>
          <w:szCs w:val="18"/>
        </w:rPr>
        <w:t xml:space="preserve"> 18.07.2019</w:t>
      </w:r>
      <w:r w:rsidR="00046867">
        <w:rPr>
          <w:i/>
          <w:color w:val="231F20"/>
          <w:sz w:val="18"/>
          <w:szCs w:val="18"/>
        </w:rPr>
        <w:t>)</w:t>
      </w:r>
      <w:r w:rsidR="000A2226">
        <w:rPr>
          <w:color w:val="231F20"/>
          <w:sz w:val="18"/>
          <w:szCs w:val="18"/>
        </w:rPr>
        <w:t>. Mining taxes and royalties paid to a province or territory with respect to income from a mineral resource are fully deductible when computing income for federal income tax purposes</w:t>
      </w:r>
      <w:r w:rsidR="00BF7697">
        <w:rPr>
          <w:color w:val="231F20"/>
          <w:sz w:val="18"/>
          <w:szCs w:val="18"/>
        </w:rPr>
        <w:t xml:space="preserve"> </w:t>
      </w:r>
      <w:r w:rsidR="00046867">
        <w:rPr>
          <w:i/>
          <w:color w:val="231F20"/>
          <w:sz w:val="18"/>
          <w:szCs w:val="18"/>
        </w:rPr>
        <w:t>(</w:t>
      </w:r>
      <w:r w:rsidR="00BF7697" w:rsidRPr="00BF7697">
        <w:rPr>
          <w:i/>
          <w:color w:val="231F20"/>
          <w:sz w:val="18"/>
          <w:szCs w:val="18"/>
        </w:rPr>
        <w:t xml:space="preserve">Source: </w:t>
      </w:r>
      <w:proofErr w:type="spellStart"/>
      <w:r w:rsidR="00BF7697" w:rsidRPr="00BF7697">
        <w:rPr>
          <w:i/>
          <w:color w:val="231F20"/>
          <w:sz w:val="18"/>
          <w:szCs w:val="18"/>
        </w:rPr>
        <w:t>Lexology</w:t>
      </w:r>
      <w:proofErr w:type="spellEnd"/>
      <w:r w:rsidR="00BF7697" w:rsidRPr="00BF7697">
        <w:rPr>
          <w:i/>
          <w:color w:val="231F20"/>
          <w:sz w:val="18"/>
          <w:szCs w:val="18"/>
        </w:rPr>
        <w:t>,</w:t>
      </w:r>
      <w:r w:rsidR="00F1059C">
        <w:rPr>
          <w:i/>
          <w:color w:val="231F20"/>
          <w:sz w:val="18"/>
          <w:szCs w:val="18"/>
        </w:rPr>
        <w:t xml:space="preserve"> “At a glance: mining duties, royalties and taxes in Canada”,</w:t>
      </w:r>
      <w:r w:rsidR="00BF7697" w:rsidRPr="00BF7697">
        <w:rPr>
          <w:i/>
          <w:color w:val="231F20"/>
          <w:sz w:val="18"/>
          <w:szCs w:val="18"/>
        </w:rPr>
        <w:t xml:space="preserve"> 27.05.21</w:t>
      </w:r>
      <w:r w:rsidR="00046867">
        <w:rPr>
          <w:i/>
          <w:color w:val="231F20"/>
          <w:sz w:val="18"/>
          <w:szCs w:val="18"/>
        </w:rPr>
        <w:t>)</w:t>
      </w:r>
      <w:r w:rsidR="000A2226">
        <w:rPr>
          <w:color w:val="231F20"/>
          <w:sz w:val="18"/>
          <w:szCs w:val="18"/>
        </w:rPr>
        <w:t xml:space="preserve">. </w:t>
      </w:r>
    </w:p>
    <w:p w14:paraId="28C03DBA" w14:textId="77777777" w:rsidR="00783288" w:rsidRDefault="00783288">
      <w:pPr>
        <w:pStyle w:val="BodyText"/>
        <w:kinsoku w:val="0"/>
        <w:overflowPunct w:val="0"/>
        <w:spacing w:before="4"/>
        <w:rPr>
          <w:sz w:val="17"/>
          <w:szCs w:val="17"/>
        </w:rPr>
      </w:pPr>
    </w:p>
    <w:p w14:paraId="720CDE36" w14:textId="77777777" w:rsidR="00783288" w:rsidRDefault="00E31420">
      <w:pPr>
        <w:pStyle w:val="Heading1"/>
        <w:kinsoku w:val="0"/>
        <w:overflowPunct w:val="0"/>
        <w:jc w:val="both"/>
        <w:rPr>
          <w:color w:val="231F20"/>
        </w:rPr>
      </w:pPr>
      <w:r>
        <w:rPr>
          <w:color w:val="231F20"/>
        </w:rPr>
        <w:t>Commodity Prices</w:t>
      </w:r>
    </w:p>
    <w:p w14:paraId="72B5AF0E" w14:textId="77777777" w:rsidR="00783288" w:rsidRDefault="00783288">
      <w:pPr>
        <w:pStyle w:val="BodyText"/>
        <w:kinsoku w:val="0"/>
        <w:overflowPunct w:val="0"/>
        <w:spacing w:before="6"/>
        <w:rPr>
          <w:b/>
          <w:bCs/>
        </w:rPr>
      </w:pPr>
    </w:p>
    <w:p w14:paraId="3F09AC97" w14:textId="77777777" w:rsidR="00783288" w:rsidRDefault="00E31420">
      <w:pPr>
        <w:pStyle w:val="BodyText"/>
        <w:kinsoku w:val="0"/>
        <w:overflowPunct w:val="0"/>
        <w:ind w:left="300" w:right="1190"/>
        <w:jc w:val="both"/>
        <w:rPr>
          <w:color w:val="231F20"/>
        </w:rPr>
      </w:pPr>
      <w:r>
        <w:rPr>
          <w:color w:val="231F20"/>
        </w:rPr>
        <w:t>The Group is unlikely to carry out mining activities on its own account in the foreseeable future as it intends to generate</w:t>
      </w:r>
      <w:r>
        <w:rPr>
          <w:color w:val="231F20"/>
          <w:spacing w:val="-7"/>
        </w:rPr>
        <w:t xml:space="preserve"> </w:t>
      </w:r>
      <w:r>
        <w:rPr>
          <w:color w:val="231F20"/>
        </w:rPr>
        <w:t>revenues</w:t>
      </w:r>
      <w:r>
        <w:rPr>
          <w:color w:val="231F20"/>
          <w:spacing w:val="-7"/>
        </w:rPr>
        <w:t xml:space="preserve"> </w:t>
      </w:r>
      <w:r>
        <w:rPr>
          <w:color w:val="231F20"/>
        </w:rPr>
        <w:t>by</w:t>
      </w:r>
      <w:r>
        <w:rPr>
          <w:color w:val="231F20"/>
          <w:spacing w:val="-8"/>
        </w:rPr>
        <w:t xml:space="preserve"> </w:t>
      </w:r>
      <w:r>
        <w:rPr>
          <w:color w:val="231F20"/>
        </w:rPr>
        <w:t>eventually</w:t>
      </w:r>
      <w:r>
        <w:rPr>
          <w:color w:val="231F20"/>
          <w:spacing w:val="-9"/>
        </w:rPr>
        <w:t xml:space="preserve"> </w:t>
      </w:r>
      <w:r>
        <w:rPr>
          <w:color w:val="231F20"/>
        </w:rPr>
        <w:t>executing</w:t>
      </w:r>
      <w:r>
        <w:rPr>
          <w:color w:val="231F20"/>
          <w:spacing w:val="-6"/>
        </w:rPr>
        <w:t xml:space="preserve"> </w:t>
      </w:r>
      <w:r>
        <w:rPr>
          <w:color w:val="231F20"/>
        </w:rPr>
        <w:t>a</w:t>
      </w:r>
      <w:r>
        <w:rPr>
          <w:color w:val="231F20"/>
          <w:spacing w:val="-10"/>
        </w:rPr>
        <w:t xml:space="preserve"> </w:t>
      </w:r>
      <w:r>
        <w:rPr>
          <w:color w:val="231F20"/>
        </w:rPr>
        <w:t>joint</w:t>
      </w:r>
      <w:r>
        <w:rPr>
          <w:color w:val="231F20"/>
          <w:spacing w:val="-6"/>
        </w:rPr>
        <w:t xml:space="preserve"> </w:t>
      </w:r>
      <w:r>
        <w:rPr>
          <w:color w:val="231F20"/>
        </w:rPr>
        <w:t>venture,</w:t>
      </w:r>
      <w:r>
        <w:rPr>
          <w:color w:val="231F20"/>
          <w:spacing w:val="-10"/>
        </w:rPr>
        <w:t xml:space="preserve"> </w:t>
      </w:r>
      <w:r>
        <w:rPr>
          <w:color w:val="231F20"/>
        </w:rPr>
        <w:t>strategic</w:t>
      </w:r>
      <w:r>
        <w:rPr>
          <w:color w:val="231F20"/>
          <w:spacing w:val="-6"/>
        </w:rPr>
        <w:t xml:space="preserve"> </w:t>
      </w:r>
      <w:r>
        <w:rPr>
          <w:color w:val="231F20"/>
        </w:rPr>
        <w:t>partnership</w:t>
      </w:r>
      <w:r>
        <w:rPr>
          <w:color w:val="231F20"/>
          <w:spacing w:val="-7"/>
        </w:rPr>
        <w:t xml:space="preserve"> </w:t>
      </w:r>
      <w:r>
        <w:rPr>
          <w:color w:val="231F20"/>
        </w:rPr>
        <w:t>or</w:t>
      </w:r>
      <w:r>
        <w:rPr>
          <w:color w:val="231F20"/>
          <w:spacing w:val="-7"/>
        </w:rPr>
        <w:t xml:space="preserve"> </w:t>
      </w:r>
      <w:r>
        <w:rPr>
          <w:color w:val="231F20"/>
        </w:rPr>
        <w:t>trade</w:t>
      </w:r>
      <w:r>
        <w:rPr>
          <w:color w:val="231F20"/>
          <w:spacing w:val="-7"/>
        </w:rPr>
        <w:t xml:space="preserve"> </w:t>
      </w:r>
      <w:r>
        <w:rPr>
          <w:color w:val="231F20"/>
        </w:rPr>
        <w:t>sale</w:t>
      </w:r>
      <w:r>
        <w:rPr>
          <w:color w:val="231F20"/>
          <w:spacing w:val="-7"/>
        </w:rPr>
        <w:t xml:space="preserve"> </w:t>
      </w:r>
      <w:r>
        <w:rPr>
          <w:color w:val="231F20"/>
        </w:rPr>
        <w:t>(or</w:t>
      </w:r>
      <w:r>
        <w:rPr>
          <w:color w:val="231F20"/>
          <w:spacing w:val="-7"/>
        </w:rPr>
        <w:t xml:space="preserve"> </w:t>
      </w:r>
      <w:r>
        <w:rPr>
          <w:color w:val="231F20"/>
        </w:rPr>
        <w:t>partial</w:t>
      </w:r>
      <w:r>
        <w:rPr>
          <w:color w:val="231F20"/>
          <w:spacing w:val="-7"/>
        </w:rPr>
        <w:t xml:space="preserve"> </w:t>
      </w:r>
      <w:r>
        <w:rPr>
          <w:color w:val="231F20"/>
        </w:rPr>
        <w:t>trade</w:t>
      </w:r>
      <w:r>
        <w:rPr>
          <w:color w:val="231F20"/>
          <w:spacing w:val="-9"/>
        </w:rPr>
        <w:t xml:space="preserve"> </w:t>
      </w:r>
      <w:r>
        <w:rPr>
          <w:color w:val="231F20"/>
        </w:rPr>
        <w:t>sale) in relation to its mineral resource assets before they reach the stage of commercial extraction. The attractiveness of the Group’s mineral resource assets to potential acquirers or joint venture/strategic partners will be highly dependent on the medium to long term outlook and overarching trends associated with the revenue metals contained within them, notably copper and gold in the case of the Portfolio. Short term fluctuations and volatility in the price of these commodities will have a comparatively immaterial impact on the Group’s prospects from this perspective, although the Group’s share price can be influenced by sentiment in this</w:t>
      </w:r>
      <w:r>
        <w:rPr>
          <w:color w:val="231F20"/>
          <w:spacing w:val="-9"/>
        </w:rPr>
        <w:t xml:space="preserve"> </w:t>
      </w:r>
      <w:r>
        <w:rPr>
          <w:color w:val="231F20"/>
        </w:rPr>
        <w:t>regard.</w:t>
      </w:r>
    </w:p>
    <w:p w14:paraId="712EE41C" w14:textId="77777777" w:rsidR="00783288" w:rsidRDefault="00783288">
      <w:pPr>
        <w:pStyle w:val="BodyText"/>
        <w:kinsoku w:val="0"/>
        <w:overflowPunct w:val="0"/>
        <w:spacing w:before="11"/>
        <w:rPr>
          <w:sz w:val="17"/>
          <w:szCs w:val="17"/>
        </w:rPr>
      </w:pPr>
    </w:p>
    <w:p w14:paraId="2EF1FC69" w14:textId="5A2A4CE0" w:rsidR="00783288" w:rsidRDefault="00E31420">
      <w:pPr>
        <w:pStyle w:val="BodyText"/>
        <w:kinsoku w:val="0"/>
        <w:overflowPunct w:val="0"/>
        <w:ind w:left="300" w:right="1191"/>
        <w:jc w:val="both"/>
        <w:rPr>
          <w:color w:val="231F20"/>
        </w:rPr>
      </w:pPr>
      <w:r>
        <w:rPr>
          <w:color w:val="231F20"/>
        </w:rPr>
        <w:t>Since 2016, commodity prices have generally been robust (with the exception of COVID 19 related downturns in the copper price)</w:t>
      </w:r>
      <w:r w:rsidR="00B56F6B">
        <w:rPr>
          <w:color w:val="231F20"/>
        </w:rPr>
        <w:t xml:space="preserve"> </w:t>
      </w:r>
      <w:r w:rsidR="00046867">
        <w:rPr>
          <w:i/>
          <w:color w:val="231F20"/>
        </w:rPr>
        <w:t>(</w:t>
      </w:r>
      <w:r w:rsidR="00B56F6B" w:rsidRPr="00B56F6B">
        <w:rPr>
          <w:i/>
          <w:color w:val="231F20"/>
        </w:rPr>
        <w:t>Source: London Metal Exchange,</w:t>
      </w:r>
      <w:r w:rsidR="009C1D2E">
        <w:rPr>
          <w:i/>
          <w:color w:val="231F20"/>
        </w:rPr>
        <w:t xml:space="preserve"> </w:t>
      </w:r>
      <w:hyperlink r:id="rId21" w:history="1">
        <w:r w:rsidR="00DB7BF4" w:rsidRPr="00A21B01">
          <w:rPr>
            <w:rStyle w:val="Hyperlink"/>
            <w:i/>
          </w:rPr>
          <w:t>www.lme.com/Metals</w:t>
        </w:r>
      </w:hyperlink>
      <w:r w:rsidR="00DB7BF4">
        <w:rPr>
          <w:i/>
          <w:color w:val="231F20"/>
        </w:rPr>
        <w:t xml:space="preserve"> </w:t>
      </w:r>
      <w:r w:rsidR="000C5E9B">
        <w:rPr>
          <w:i/>
        </w:rPr>
        <w:t>0</w:t>
      </w:r>
      <w:r w:rsidR="00117CD0">
        <w:rPr>
          <w:i/>
        </w:rPr>
        <w:t>1</w:t>
      </w:r>
      <w:r w:rsidR="000C5E9B">
        <w:rPr>
          <w:i/>
        </w:rPr>
        <w:t>.07.21</w:t>
      </w:r>
      <w:r w:rsidR="00046867">
        <w:rPr>
          <w:i/>
          <w:color w:val="231F20"/>
        </w:rPr>
        <w:t>)</w:t>
      </w:r>
      <w:r>
        <w:rPr>
          <w:color w:val="231F20"/>
        </w:rPr>
        <w:t>, which the Directors believe has encouraged investment capital into the sector.</w:t>
      </w:r>
    </w:p>
    <w:p w14:paraId="38AA17E1" w14:textId="77777777" w:rsidR="00B56F6B" w:rsidRDefault="00B56F6B">
      <w:pPr>
        <w:pStyle w:val="BodyText"/>
        <w:kinsoku w:val="0"/>
        <w:overflowPunct w:val="0"/>
        <w:ind w:left="300" w:right="1191"/>
        <w:jc w:val="both"/>
        <w:rPr>
          <w:color w:val="231F20"/>
        </w:rPr>
      </w:pPr>
    </w:p>
    <w:p w14:paraId="146D13E6" w14:textId="77777777" w:rsidR="00783288" w:rsidRDefault="00783288">
      <w:pPr>
        <w:pStyle w:val="BodyText"/>
        <w:kinsoku w:val="0"/>
        <w:overflowPunct w:val="0"/>
        <w:spacing w:before="1" w:after="1"/>
      </w:pPr>
    </w:p>
    <w:p w14:paraId="3CE9844A" w14:textId="19EEF33A" w:rsidR="00783288" w:rsidRDefault="00E31420">
      <w:pPr>
        <w:pStyle w:val="BodyText"/>
        <w:tabs>
          <w:tab w:val="left" w:pos="4917"/>
        </w:tabs>
        <w:kinsoku w:val="0"/>
        <w:overflowPunct w:val="0"/>
        <w:ind w:left="408"/>
        <w:rPr>
          <w:sz w:val="20"/>
          <w:szCs w:val="20"/>
        </w:rPr>
        <w:sectPr w:rsidR="00783288">
          <w:pgSz w:w="11900" w:h="16840"/>
          <w:pgMar w:top="1360" w:right="240" w:bottom="1160" w:left="1140" w:header="0" w:footer="891" w:gutter="0"/>
          <w:cols w:space="720"/>
          <w:noEndnote/>
        </w:sectPr>
      </w:pPr>
      <w:r>
        <w:rPr>
          <w:noProof/>
          <w:position w:val="7"/>
          <w:sz w:val="20"/>
          <w:szCs w:val="20"/>
        </w:rPr>
        <w:drawing>
          <wp:inline distT="0" distB="0" distL="0" distR="0" wp14:anchorId="423E5A34" wp14:editId="6D176411">
            <wp:extent cx="2413000" cy="147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0" cy="1479550"/>
                    </a:xfrm>
                    <a:prstGeom prst="rect">
                      <a:avLst/>
                    </a:prstGeom>
                    <a:noFill/>
                    <a:ln>
                      <a:noFill/>
                    </a:ln>
                  </pic:spPr>
                </pic:pic>
              </a:graphicData>
            </a:graphic>
          </wp:inline>
        </w:drawing>
      </w:r>
      <w:r>
        <w:rPr>
          <w:position w:val="7"/>
          <w:sz w:val="20"/>
          <w:szCs w:val="20"/>
        </w:rPr>
        <w:t xml:space="preserve"> </w:t>
      </w:r>
      <w:r>
        <w:rPr>
          <w:position w:val="7"/>
          <w:sz w:val="20"/>
          <w:szCs w:val="20"/>
        </w:rPr>
        <w:tab/>
      </w:r>
      <w:r>
        <w:rPr>
          <w:noProof/>
          <w:sz w:val="20"/>
          <w:szCs w:val="20"/>
        </w:rPr>
        <w:drawing>
          <wp:inline distT="0" distB="0" distL="0" distR="0" wp14:anchorId="3566BE96" wp14:editId="41AA553C">
            <wp:extent cx="24765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524000"/>
                    </a:xfrm>
                    <a:prstGeom prst="rect">
                      <a:avLst/>
                    </a:prstGeom>
                    <a:noFill/>
                    <a:ln>
                      <a:noFill/>
                    </a:ln>
                  </pic:spPr>
                </pic:pic>
              </a:graphicData>
            </a:graphic>
          </wp:inline>
        </w:drawing>
      </w:r>
    </w:p>
    <w:p w14:paraId="6584DF66" w14:textId="77777777" w:rsidR="00783288" w:rsidRDefault="00E31420">
      <w:pPr>
        <w:pStyle w:val="BodyText"/>
        <w:kinsoku w:val="0"/>
        <w:overflowPunct w:val="0"/>
        <w:ind w:left="588" w:right="21"/>
        <w:rPr>
          <w:color w:val="231F20"/>
        </w:rPr>
      </w:pPr>
      <w:r>
        <w:rPr>
          <w:color w:val="231F20"/>
        </w:rPr>
        <w:t>Copper price (US dollars per pound) Five years Source: tradingeconomics.com</w:t>
      </w:r>
    </w:p>
    <w:p w14:paraId="558858E4" w14:textId="7EF5C1DF" w:rsidR="00783288" w:rsidRDefault="00E31420">
      <w:pPr>
        <w:pStyle w:val="BodyText"/>
        <w:kinsoku w:val="0"/>
        <w:overflowPunct w:val="0"/>
        <w:ind w:left="614" w:right="1825"/>
        <w:rPr>
          <w:color w:val="231F20"/>
        </w:rPr>
        <w:sectPr w:rsidR="00783288">
          <w:type w:val="continuous"/>
          <w:pgSz w:w="11900" w:h="16840"/>
          <w:pgMar w:top="1360" w:right="240" w:bottom="280" w:left="1140" w:header="720" w:footer="720" w:gutter="0"/>
          <w:cols w:num="2" w:space="720" w:equalWidth="0">
            <w:col w:w="4401" w:space="108"/>
            <w:col w:w="6011"/>
          </w:cols>
          <w:noEndnote/>
        </w:sectPr>
      </w:pPr>
      <w:r>
        <w:rPr>
          <w:rFonts w:ascii="Times New Roman" w:hAnsi="Times New Roman" w:cs="Times New Roman"/>
          <w:sz w:val="24"/>
          <w:szCs w:val="24"/>
        </w:rPr>
        <w:br w:type="column"/>
      </w:r>
      <w:r>
        <w:rPr>
          <w:color w:val="231F20"/>
        </w:rPr>
        <w:t>Gold price (US dollars per ounce) Five years Source: tradingeconomics.com</w:t>
      </w:r>
    </w:p>
    <w:p w14:paraId="6AC6FCD1" w14:textId="77777777" w:rsidR="00783288" w:rsidRDefault="00783288">
      <w:pPr>
        <w:pStyle w:val="BodyText"/>
        <w:kinsoku w:val="0"/>
        <w:overflowPunct w:val="0"/>
        <w:spacing w:before="8"/>
        <w:rPr>
          <w:sz w:val="27"/>
          <w:szCs w:val="27"/>
        </w:rPr>
      </w:pPr>
    </w:p>
    <w:p w14:paraId="6EDDBD88" w14:textId="28731153" w:rsidR="00783288" w:rsidRDefault="00E31420">
      <w:pPr>
        <w:pStyle w:val="BodyText"/>
        <w:kinsoku w:val="0"/>
        <w:overflowPunct w:val="0"/>
        <w:spacing w:before="94"/>
        <w:ind w:left="300" w:right="1188"/>
        <w:jc w:val="both"/>
        <w:rPr>
          <w:color w:val="231F20"/>
        </w:rPr>
      </w:pPr>
      <w:r>
        <w:rPr>
          <w:color w:val="231F20"/>
        </w:rPr>
        <w:t>The price of copper has reached a</w:t>
      </w:r>
      <w:r w:rsidR="00853D42">
        <w:rPr>
          <w:color w:val="231F20"/>
        </w:rPr>
        <w:t xml:space="preserve">n eight </w:t>
      </w:r>
      <w:r>
        <w:rPr>
          <w:color w:val="231F20"/>
        </w:rPr>
        <w:t xml:space="preserve">year high to peak in </w:t>
      </w:r>
      <w:r w:rsidR="00853D42">
        <w:rPr>
          <w:color w:val="231F20"/>
        </w:rPr>
        <w:t>February 2021</w:t>
      </w:r>
      <w:r>
        <w:rPr>
          <w:color w:val="231F20"/>
        </w:rPr>
        <w:t xml:space="preserve"> at $</w:t>
      </w:r>
      <w:r w:rsidR="00853D42">
        <w:rPr>
          <w:color w:val="231F20"/>
        </w:rPr>
        <w:t>8,279</w:t>
      </w:r>
      <w:r>
        <w:rPr>
          <w:color w:val="231F20"/>
        </w:rPr>
        <w:t xml:space="preserve"> per ton</w:t>
      </w:r>
      <w:r w:rsidR="00B56F6B">
        <w:rPr>
          <w:color w:val="231F20"/>
        </w:rPr>
        <w:t xml:space="preserve"> </w:t>
      </w:r>
      <w:r w:rsidR="00046867">
        <w:rPr>
          <w:i/>
          <w:color w:val="231F20"/>
        </w:rPr>
        <w:t>(</w:t>
      </w:r>
      <w:r w:rsidR="00B56F6B" w:rsidRPr="00B56F6B">
        <w:rPr>
          <w:i/>
          <w:color w:val="231F20"/>
        </w:rPr>
        <w:t>Source: London Metal Exchange</w:t>
      </w:r>
      <w:r w:rsidR="00B56F6B">
        <w:rPr>
          <w:i/>
          <w:color w:val="231F20"/>
        </w:rPr>
        <w:t xml:space="preserve">, </w:t>
      </w:r>
      <w:hyperlink r:id="rId24" w:anchor="tabIndex=0" w:history="1">
        <w:r w:rsidR="009C1D2E" w:rsidRPr="00EF2315">
          <w:rPr>
            <w:rStyle w:val="Hyperlink"/>
            <w:i/>
          </w:rPr>
          <w:t>www.lme.com/Metals/Non-ferrous/Copper#tabIndex=0</w:t>
        </w:r>
      </w:hyperlink>
      <w:r w:rsidR="009C1D2E">
        <w:rPr>
          <w:i/>
          <w:color w:val="231F20"/>
        </w:rPr>
        <w:t xml:space="preserve">, </w:t>
      </w:r>
      <w:r w:rsidR="004402C1">
        <w:rPr>
          <w:i/>
        </w:rPr>
        <w:t>0</w:t>
      </w:r>
      <w:r w:rsidR="00117CD0">
        <w:rPr>
          <w:i/>
        </w:rPr>
        <w:t>1</w:t>
      </w:r>
      <w:r w:rsidR="004402C1">
        <w:rPr>
          <w:i/>
        </w:rPr>
        <w:t>.07.21</w:t>
      </w:r>
      <w:r w:rsidR="00046867">
        <w:rPr>
          <w:i/>
          <w:color w:val="231F20"/>
        </w:rPr>
        <w:t>)</w:t>
      </w:r>
      <w:r>
        <w:rPr>
          <w:color w:val="231F20"/>
        </w:rPr>
        <w:t>. The copper price has</w:t>
      </w:r>
      <w:r>
        <w:rPr>
          <w:color w:val="231F20"/>
          <w:spacing w:val="-3"/>
        </w:rPr>
        <w:t xml:space="preserve"> </w:t>
      </w:r>
      <w:r>
        <w:rPr>
          <w:color w:val="231F20"/>
        </w:rPr>
        <w:t>strengthened</w:t>
      </w:r>
      <w:r>
        <w:rPr>
          <w:color w:val="231F20"/>
          <w:spacing w:val="-4"/>
        </w:rPr>
        <w:t xml:space="preserve"> </w:t>
      </w:r>
      <w:r>
        <w:rPr>
          <w:color w:val="231F20"/>
        </w:rPr>
        <w:t>by</w:t>
      </w:r>
      <w:r>
        <w:rPr>
          <w:color w:val="231F20"/>
          <w:spacing w:val="-3"/>
        </w:rPr>
        <w:t xml:space="preserve"> </w:t>
      </w:r>
      <w:r w:rsidR="00853D42">
        <w:rPr>
          <w:color w:val="231F20"/>
        </w:rPr>
        <w:t>over 70</w:t>
      </w:r>
      <w:r>
        <w:rPr>
          <w:color w:val="231F20"/>
        </w:rPr>
        <w:t>%</w:t>
      </w:r>
      <w:r>
        <w:rPr>
          <w:color w:val="231F20"/>
          <w:spacing w:val="-1"/>
        </w:rPr>
        <w:t xml:space="preserve"> </w:t>
      </w:r>
      <w:r>
        <w:rPr>
          <w:color w:val="231F20"/>
        </w:rPr>
        <w:t>per</w:t>
      </w:r>
      <w:r>
        <w:rPr>
          <w:color w:val="231F20"/>
          <w:spacing w:val="-4"/>
        </w:rPr>
        <w:t xml:space="preserve"> </w:t>
      </w:r>
      <w:r>
        <w:rPr>
          <w:color w:val="231F20"/>
        </w:rPr>
        <w:t>cent</w:t>
      </w:r>
      <w:r>
        <w:rPr>
          <w:color w:val="231F20"/>
          <w:spacing w:val="-5"/>
        </w:rPr>
        <w:t xml:space="preserve"> </w:t>
      </w:r>
      <w:r>
        <w:rPr>
          <w:color w:val="231F20"/>
        </w:rPr>
        <w:t>since</w:t>
      </w:r>
      <w:r>
        <w:rPr>
          <w:color w:val="231F20"/>
          <w:spacing w:val="-4"/>
        </w:rPr>
        <w:t xml:space="preserve"> </w:t>
      </w:r>
      <w:r>
        <w:rPr>
          <w:color w:val="231F20"/>
        </w:rPr>
        <w:t>the</w:t>
      </w:r>
      <w:r>
        <w:rPr>
          <w:color w:val="231F20"/>
          <w:spacing w:val="-4"/>
        </w:rPr>
        <w:t xml:space="preserve"> </w:t>
      </w:r>
      <w:r>
        <w:rPr>
          <w:color w:val="231F20"/>
        </w:rPr>
        <w:t>COVID</w:t>
      </w:r>
      <w:r>
        <w:rPr>
          <w:color w:val="231F20"/>
          <w:spacing w:val="-4"/>
        </w:rPr>
        <w:t xml:space="preserve"> </w:t>
      </w:r>
      <w:r>
        <w:rPr>
          <w:color w:val="231F20"/>
        </w:rPr>
        <w:t>19</w:t>
      </w:r>
      <w:r>
        <w:rPr>
          <w:color w:val="231F20"/>
          <w:spacing w:val="-1"/>
        </w:rPr>
        <w:t xml:space="preserve"> </w:t>
      </w:r>
      <w:r>
        <w:rPr>
          <w:color w:val="231F20"/>
        </w:rPr>
        <w:t>low</w:t>
      </w:r>
      <w:r>
        <w:rPr>
          <w:color w:val="231F20"/>
          <w:spacing w:val="-4"/>
        </w:rPr>
        <w:t xml:space="preserve"> </w:t>
      </w:r>
      <w:r>
        <w:rPr>
          <w:color w:val="231F20"/>
        </w:rPr>
        <w:t>in</w:t>
      </w:r>
      <w:r>
        <w:rPr>
          <w:color w:val="231F20"/>
          <w:spacing w:val="-1"/>
        </w:rPr>
        <w:t xml:space="preserve"> </w:t>
      </w:r>
      <w:r>
        <w:rPr>
          <w:color w:val="231F20"/>
        </w:rPr>
        <w:t>March</w:t>
      </w:r>
      <w:r>
        <w:rPr>
          <w:color w:val="231F20"/>
          <w:spacing w:val="-3"/>
        </w:rPr>
        <w:t xml:space="preserve"> </w:t>
      </w:r>
      <w:r>
        <w:rPr>
          <w:color w:val="231F20"/>
        </w:rPr>
        <w:t>2020</w:t>
      </w:r>
      <w:r>
        <w:rPr>
          <w:color w:val="231F20"/>
          <w:spacing w:val="-1"/>
        </w:rPr>
        <w:t xml:space="preserve"> </w:t>
      </w:r>
      <w:r>
        <w:rPr>
          <w:color w:val="231F20"/>
        </w:rPr>
        <w:t>of</w:t>
      </w:r>
      <w:r>
        <w:rPr>
          <w:color w:val="231F20"/>
          <w:spacing w:val="-2"/>
        </w:rPr>
        <w:t xml:space="preserve"> </w:t>
      </w:r>
      <w:r>
        <w:rPr>
          <w:color w:val="231F20"/>
        </w:rPr>
        <w:t>$4,617</w:t>
      </w:r>
      <w:r>
        <w:rPr>
          <w:color w:val="231F20"/>
          <w:spacing w:val="-1"/>
        </w:rPr>
        <w:t xml:space="preserve"> </w:t>
      </w:r>
      <w:r>
        <w:rPr>
          <w:color w:val="231F20"/>
        </w:rPr>
        <w:t>per</w:t>
      </w:r>
      <w:r>
        <w:rPr>
          <w:color w:val="231F20"/>
          <w:spacing w:val="-3"/>
        </w:rPr>
        <w:t xml:space="preserve"> </w:t>
      </w:r>
      <w:r>
        <w:rPr>
          <w:color w:val="231F20"/>
        </w:rPr>
        <w:t>ton,</w:t>
      </w:r>
      <w:r>
        <w:rPr>
          <w:color w:val="231F20"/>
          <w:spacing w:val="-4"/>
        </w:rPr>
        <w:t xml:space="preserve"> </w:t>
      </w:r>
      <w:r>
        <w:rPr>
          <w:color w:val="231F20"/>
        </w:rPr>
        <w:t>primarily</w:t>
      </w:r>
      <w:r>
        <w:rPr>
          <w:color w:val="231F20"/>
          <w:spacing w:val="-3"/>
        </w:rPr>
        <w:t xml:space="preserve"> </w:t>
      </w:r>
      <w:r>
        <w:rPr>
          <w:color w:val="231F20"/>
        </w:rPr>
        <w:t>due to strong demand for metal from China and reduced output from Chile and Peru, where the mines have been significantly impacted by COVID 19</w:t>
      </w:r>
      <w:r w:rsidR="00B56F6B">
        <w:rPr>
          <w:color w:val="231F20"/>
        </w:rPr>
        <w:t xml:space="preserve"> </w:t>
      </w:r>
      <w:r w:rsidR="00046867">
        <w:rPr>
          <w:i/>
          <w:color w:val="231F20"/>
        </w:rPr>
        <w:t>(</w:t>
      </w:r>
      <w:r w:rsidR="00B56F6B" w:rsidRPr="00B56F6B">
        <w:rPr>
          <w:i/>
          <w:color w:val="231F20"/>
        </w:rPr>
        <w:t>Source: London Metal Exchange</w:t>
      </w:r>
      <w:r w:rsidR="00B56F6B">
        <w:rPr>
          <w:i/>
          <w:color w:val="231F20"/>
        </w:rPr>
        <w:t>,</w:t>
      </w:r>
      <w:r w:rsidR="00905DD2" w:rsidRPr="00905DD2">
        <w:rPr>
          <w:i/>
          <w:color w:val="231F20"/>
        </w:rPr>
        <w:t xml:space="preserve"> </w:t>
      </w:r>
      <w:hyperlink r:id="rId25" w:anchor="tabIndex=0" w:history="1">
        <w:r w:rsidR="00905DD2" w:rsidRPr="00EF2315">
          <w:rPr>
            <w:rStyle w:val="Hyperlink"/>
            <w:i/>
          </w:rPr>
          <w:t>www.lme.com/Metals/Non-ferrous/Copper#tabIndex=0</w:t>
        </w:r>
      </w:hyperlink>
      <w:r w:rsidR="00905DD2">
        <w:rPr>
          <w:i/>
          <w:color w:val="231F20"/>
        </w:rPr>
        <w:t xml:space="preserve">, </w:t>
      </w:r>
      <w:r w:rsidR="00B56F6B">
        <w:rPr>
          <w:i/>
          <w:color w:val="231F20"/>
        </w:rPr>
        <w:t xml:space="preserve"> </w:t>
      </w:r>
      <w:r w:rsidR="004402C1">
        <w:rPr>
          <w:i/>
        </w:rPr>
        <w:t>0</w:t>
      </w:r>
      <w:r w:rsidR="00117CD0">
        <w:rPr>
          <w:i/>
        </w:rPr>
        <w:t>1</w:t>
      </w:r>
      <w:r w:rsidR="004402C1">
        <w:rPr>
          <w:i/>
        </w:rPr>
        <w:t>.07.21</w:t>
      </w:r>
      <w:r w:rsidR="00046867">
        <w:rPr>
          <w:i/>
          <w:color w:val="231F20"/>
        </w:rPr>
        <w:t>)</w:t>
      </w:r>
      <w:r w:rsidRPr="00B56F6B">
        <w:rPr>
          <w:i/>
          <w:color w:val="231F20"/>
        </w:rPr>
        <w:t>.</w:t>
      </w:r>
      <w:r>
        <w:rPr>
          <w:color w:val="231F20"/>
        </w:rPr>
        <w:t xml:space="preserve"> Scrap copper supply chains have also been impacted by COVID 19, causing a further squeeze on supply. Copper prices </w:t>
      </w:r>
      <w:r w:rsidR="005F5211">
        <w:rPr>
          <w:color w:val="231F20"/>
        </w:rPr>
        <w:t>have</w:t>
      </w:r>
      <w:r>
        <w:rPr>
          <w:color w:val="231F20"/>
        </w:rPr>
        <w:t xml:space="preserve"> experienc</w:t>
      </w:r>
      <w:r w:rsidR="005F5211">
        <w:rPr>
          <w:color w:val="231F20"/>
        </w:rPr>
        <w:t>ed</w:t>
      </w:r>
      <w:r>
        <w:rPr>
          <w:color w:val="231F20"/>
        </w:rPr>
        <w:t xml:space="preserve"> a</w:t>
      </w:r>
      <w:r w:rsidR="005F5211">
        <w:rPr>
          <w:color w:val="231F20"/>
        </w:rPr>
        <w:t xml:space="preserve"> sharp</w:t>
      </w:r>
      <w:r>
        <w:rPr>
          <w:color w:val="231F20"/>
        </w:rPr>
        <w:t xml:space="preserve"> ‘V shaped’ recovery from the COVID 19 </w:t>
      </w:r>
      <w:proofErr w:type="gramStart"/>
      <w:r>
        <w:rPr>
          <w:color w:val="231F20"/>
        </w:rPr>
        <w:t>pandemic</w:t>
      </w:r>
      <w:r w:rsidR="005F5211">
        <w:rPr>
          <w:color w:val="231F20"/>
        </w:rPr>
        <w:t>, and</w:t>
      </w:r>
      <w:proofErr w:type="gramEnd"/>
      <w:r w:rsidR="005F5211">
        <w:rPr>
          <w:color w:val="231F20"/>
        </w:rPr>
        <w:t xml:space="preserve"> have also increased considerably from their pre-epidemic levels</w:t>
      </w:r>
      <w:r>
        <w:rPr>
          <w:color w:val="231F20"/>
          <w:spacing w:val="17"/>
        </w:rPr>
        <w:t xml:space="preserve"> </w:t>
      </w:r>
      <w:r>
        <w:rPr>
          <w:color w:val="231F20"/>
        </w:rPr>
        <w:t>With</w:t>
      </w:r>
      <w:r>
        <w:rPr>
          <w:color w:val="231F20"/>
          <w:spacing w:val="-13"/>
        </w:rPr>
        <w:t xml:space="preserve"> </w:t>
      </w:r>
      <w:r w:rsidR="005F5211">
        <w:rPr>
          <w:color w:val="231F20"/>
        </w:rPr>
        <w:t>the</w:t>
      </w:r>
      <w:r w:rsidR="005F5211">
        <w:rPr>
          <w:color w:val="231F20"/>
          <w:spacing w:val="-13"/>
        </w:rPr>
        <w:t xml:space="preserve"> </w:t>
      </w:r>
      <w:r>
        <w:rPr>
          <w:color w:val="231F20"/>
        </w:rPr>
        <w:t>relief</w:t>
      </w:r>
      <w:r>
        <w:rPr>
          <w:color w:val="231F20"/>
          <w:spacing w:val="-16"/>
        </w:rPr>
        <w:t xml:space="preserve"> </w:t>
      </w:r>
      <w:r>
        <w:rPr>
          <w:color w:val="231F20"/>
        </w:rPr>
        <w:t>of</w:t>
      </w:r>
      <w:r>
        <w:rPr>
          <w:color w:val="231F20"/>
          <w:spacing w:val="-14"/>
        </w:rPr>
        <w:t xml:space="preserve"> </w:t>
      </w:r>
      <w:r>
        <w:rPr>
          <w:color w:val="231F20"/>
        </w:rPr>
        <w:t>vaccines,</w:t>
      </w:r>
      <w:r>
        <w:rPr>
          <w:color w:val="231F20"/>
          <w:spacing w:val="-16"/>
        </w:rPr>
        <w:t xml:space="preserve"> </w:t>
      </w:r>
      <w:r>
        <w:rPr>
          <w:color w:val="231F20"/>
        </w:rPr>
        <w:t>supply</w:t>
      </w:r>
      <w:r>
        <w:rPr>
          <w:color w:val="231F20"/>
          <w:spacing w:val="-15"/>
        </w:rPr>
        <w:t xml:space="preserve"> </w:t>
      </w:r>
      <w:r>
        <w:rPr>
          <w:color w:val="231F20"/>
        </w:rPr>
        <w:t>constraints</w:t>
      </w:r>
      <w:r>
        <w:rPr>
          <w:color w:val="231F20"/>
          <w:spacing w:val="-14"/>
        </w:rPr>
        <w:t xml:space="preserve"> </w:t>
      </w:r>
      <w:r>
        <w:rPr>
          <w:color w:val="231F20"/>
        </w:rPr>
        <w:t>will</w:t>
      </w:r>
      <w:r>
        <w:rPr>
          <w:color w:val="231F20"/>
          <w:spacing w:val="-13"/>
        </w:rPr>
        <w:t xml:space="preserve"> </w:t>
      </w:r>
      <w:r>
        <w:rPr>
          <w:color w:val="231F20"/>
        </w:rPr>
        <w:t>likely</w:t>
      </w:r>
      <w:r>
        <w:rPr>
          <w:color w:val="231F20"/>
          <w:spacing w:val="-15"/>
        </w:rPr>
        <w:t xml:space="preserve"> </w:t>
      </w:r>
      <w:r>
        <w:rPr>
          <w:color w:val="231F20"/>
        </w:rPr>
        <w:t>unravel</w:t>
      </w:r>
      <w:r>
        <w:rPr>
          <w:color w:val="231F20"/>
          <w:spacing w:val="-13"/>
        </w:rPr>
        <w:t xml:space="preserve"> </w:t>
      </w:r>
      <w:r>
        <w:rPr>
          <w:color w:val="231F20"/>
        </w:rPr>
        <w:t>in</w:t>
      </w:r>
      <w:r>
        <w:rPr>
          <w:color w:val="231F20"/>
          <w:spacing w:val="-13"/>
        </w:rPr>
        <w:t xml:space="preserve"> </w:t>
      </w:r>
      <w:r>
        <w:rPr>
          <w:color w:val="231F20"/>
        </w:rPr>
        <w:t>2021.</w:t>
      </w:r>
      <w:r>
        <w:rPr>
          <w:color w:val="231F20"/>
          <w:spacing w:val="19"/>
        </w:rPr>
        <w:t xml:space="preserve"> </w:t>
      </w:r>
      <w:proofErr w:type="gramStart"/>
      <w:r>
        <w:rPr>
          <w:color w:val="231F20"/>
        </w:rPr>
        <w:t>Howeve</w:t>
      </w:r>
      <w:r w:rsidR="005F5211">
        <w:rPr>
          <w:color w:val="231F20"/>
        </w:rPr>
        <w:t>r</w:t>
      </w:r>
      <w:proofErr w:type="gramEnd"/>
      <w:r w:rsidR="005F5211">
        <w:rPr>
          <w:color w:val="231F20"/>
        </w:rPr>
        <w:t xml:space="preserve"> many commodity forecasters </w:t>
      </w:r>
      <w:r>
        <w:rPr>
          <w:color w:val="231F20"/>
        </w:rPr>
        <w:t xml:space="preserve">expect that copper prices will </w:t>
      </w:r>
      <w:r w:rsidR="005F5211">
        <w:rPr>
          <w:color w:val="231F20"/>
        </w:rPr>
        <w:t xml:space="preserve">likely move higher, </w:t>
      </w:r>
      <w:r>
        <w:rPr>
          <w:color w:val="231F20"/>
        </w:rPr>
        <w:t>in the medium to long term as the</w:t>
      </w:r>
      <w:r w:rsidR="005F5211">
        <w:rPr>
          <w:color w:val="231F20"/>
        </w:rPr>
        <w:t xml:space="preserve"> “green</w:t>
      </w:r>
      <w:r>
        <w:rPr>
          <w:color w:val="231F20"/>
        </w:rPr>
        <w:t xml:space="preserve"> economy</w:t>
      </w:r>
      <w:r w:rsidR="005F5211">
        <w:rPr>
          <w:color w:val="231F20"/>
        </w:rPr>
        <w:t>”</w:t>
      </w:r>
      <w:r>
        <w:rPr>
          <w:color w:val="231F20"/>
        </w:rPr>
        <w:t xml:space="preserve"> has a greater requirement for copper due to increased electrification of transport and energy. Demand for copper in China remains particularly strong as it experiences one of the faster economic recoveries following COVID 19 and therefore</w:t>
      </w:r>
      <w:r>
        <w:rPr>
          <w:color w:val="231F20"/>
          <w:spacing w:val="-10"/>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likely</w:t>
      </w:r>
      <w:r>
        <w:rPr>
          <w:color w:val="231F20"/>
          <w:spacing w:val="-10"/>
        </w:rPr>
        <w:t xml:space="preserve"> </w:t>
      </w:r>
      <w:r>
        <w:rPr>
          <w:color w:val="231F20"/>
        </w:rPr>
        <w:t>to</w:t>
      </w:r>
      <w:r>
        <w:rPr>
          <w:color w:val="231F20"/>
          <w:spacing w:val="-10"/>
        </w:rPr>
        <w:t xml:space="preserve"> </w:t>
      </w:r>
      <w:r>
        <w:rPr>
          <w:color w:val="231F20"/>
        </w:rPr>
        <w:t>be</w:t>
      </w:r>
      <w:r>
        <w:rPr>
          <w:color w:val="231F20"/>
          <w:spacing w:val="-9"/>
        </w:rPr>
        <w:t xml:space="preserve"> </w:t>
      </w:r>
      <w:r>
        <w:rPr>
          <w:color w:val="231F20"/>
        </w:rPr>
        <w:t>among</w:t>
      </w:r>
      <w:r>
        <w:rPr>
          <w:color w:val="231F20"/>
          <w:spacing w:val="-10"/>
        </w:rPr>
        <w:t xml:space="preserve"> </w:t>
      </w:r>
      <w:r>
        <w:rPr>
          <w:color w:val="231F20"/>
        </w:rPr>
        <w:t>the</w:t>
      </w:r>
      <w:r>
        <w:rPr>
          <w:color w:val="231F20"/>
          <w:spacing w:val="-9"/>
        </w:rPr>
        <w:t xml:space="preserve"> </w:t>
      </w:r>
      <w:r>
        <w:rPr>
          <w:color w:val="231F20"/>
        </w:rPr>
        <w:t>first</w:t>
      </w:r>
      <w:r>
        <w:rPr>
          <w:color w:val="231F20"/>
          <w:spacing w:val="-10"/>
        </w:rPr>
        <w:t xml:space="preserve"> </w:t>
      </w:r>
      <w:r>
        <w:rPr>
          <w:color w:val="231F20"/>
        </w:rPr>
        <w:t>to</w:t>
      </w:r>
      <w:r>
        <w:rPr>
          <w:color w:val="231F20"/>
          <w:spacing w:val="-9"/>
        </w:rPr>
        <w:t xml:space="preserve"> </w:t>
      </w:r>
      <w:r>
        <w:rPr>
          <w:color w:val="231F20"/>
        </w:rPr>
        <w:t>commence</w:t>
      </w:r>
      <w:r>
        <w:rPr>
          <w:color w:val="231F20"/>
          <w:spacing w:val="-10"/>
        </w:rPr>
        <w:t xml:space="preserve"> </w:t>
      </w:r>
      <w:r>
        <w:rPr>
          <w:color w:val="231F20"/>
        </w:rPr>
        <w:t>metal-intensive</w:t>
      </w:r>
      <w:r>
        <w:rPr>
          <w:color w:val="231F20"/>
          <w:spacing w:val="-9"/>
        </w:rPr>
        <w:t xml:space="preserve"> </w:t>
      </w:r>
      <w:r>
        <w:rPr>
          <w:color w:val="231F20"/>
        </w:rPr>
        <w:t>infrastructure</w:t>
      </w:r>
      <w:r>
        <w:rPr>
          <w:color w:val="231F20"/>
          <w:spacing w:val="-10"/>
        </w:rPr>
        <w:t xml:space="preserve"> </w:t>
      </w:r>
      <w:r>
        <w:rPr>
          <w:color w:val="231F20"/>
        </w:rPr>
        <w:t>programmes</w:t>
      </w:r>
      <w:r w:rsidR="00B56F6B">
        <w:rPr>
          <w:color w:val="231F20"/>
        </w:rPr>
        <w:t xml:space="preserve"> </w:t>
      </w:r>
      <w:r w:rsidR="00046867">
        <w:rPr>
          <w:i/>
          <w:color w:val="070808"/>
        </w:rPr>
        <w:t>(</w:t>
      </w:r>
      <w:r w:rsidR="00B56F6B" w:rsidRPr="00A75B49">
        <w:rPr>
          <w:i/>
          <w:color w:val="070808"/>
        </w:rPr>
        <w:t>Source: Mining Journal,</w:t>
      </w:r>
      <w:r w:rsidR="00244AB9">
        <w:rPr>
          <w:i/>
          <w:color w:val="070808"/>
        </w:rPr>
        <w:t xml:space="preserve"> “</w:t>
      </w:r>
      <w:r w:rsidR="00244AB9" w:rsidRPr="00FB4115">
        <w:rPr>
          <w:i/>
          <w:color w:val="070808"/>
        </w:rPr>
        <w:t xml:space="preserve">Ballooning copper demand in China”, </w:t>
      </w:r>
      <w:r w:rsidR="00B56F6B" w:rsidRPr="00FB4115">
        <w:rPr>
          <w:i/>
          <w:color w:val="070808"/>
        </w:rPr>
        <w:t>19.01.21</w:t>
      </w:r>
      <w:r w:rsidR="00046867">
        <w:rPr>
          <w:i/>
          <w:color w:val="070808"/>
        </w:rPr>
        <w:t>)</w:t>
      </w:r>
      <w:r w:rsidRPr="00FB4115">
        <w:rPr>
          <w:color w:val="231F20"/>
        </w:rPr>
        <w:t>.</w:t>
      </w:r>
      <w:r w:rsidRPr="00FB4115">
        <w:rPr>
          <w:color w:val="231F20"/>
          <w:spacing w:val="31"/>
        </w:rPr>
        <w:t xml:space="preserve"> </w:t>
      </w:r>
      <w:r w:rsidRPr="00FB4115">
        <w:rPr>
          <w:color w:val="231F20"/>
        </w:rPr>
        <w:t>In</w:t>
      </w:r>
      <w:r w:rsidRPr="00FB4115">
        <w:rPr>
          <w:color w:val="231F20"/>
          <w:spacing w:val="-11"/>
        </w:rPr>
        <w:t xml:space="preserve"> </w:t>
      </w:r>
      <w:r w:rsidRPr="00FB4115">
        <w:rPr>
          <w:color w:val="231F20"/>
        </w:rPr>
        <w:t>addition,</w:t>
      </w:r>
      <w:r w:rsidRPr="00FB4115">
        <w:rPr>
          <w:color w:val="231F20"/>
          <w:spacing w:val="-10"/>
        </w:rPr>
        <w:t xml:space="preserve"> </w:t>
      </w:r>
      <w:r w:rsidRPr="00FB4115">
        <w:rPr>
          <w:color w:val="231F20"/>
        </w:rPr>
        <w:t>new stimulus program</w:t>
      </w:r>
      <w:r w:rsidR="00B56F6B" w:rsidRPr="00FB4115">
        <w:rPr>
          <w:color w:val="231F20"/>
        </w:rPr>
        <w:t>m</w:t>
      </w:r>
      <w:r w:rsidRPr="00FB4115">
        <w:rPr>
          <w:color w:val="231F20"/>
        </w:rPr>
        <w:t xml:space="preserve">es are </w:t>
      </w:r>
      <w:r w:rsidR="005F5211" w:rsidRPr="00FB4115">
        <w:rPr>
          <w:color w:val="231F20"/>
        </w:rPr>
        <w:t>being</w:t>
      </w:r>
      <w:r w:rsidRPr="00FB4115">
        <w:rPr>
          <w:color w:val="231F20"/>
        </w:rPr>
        <w:t xml:space="preserve"> initiated in the US and Europe leading to further demand</w:t>
      </w:r>
      <w:r w:rsidR="00B56F6B" w:rsidRPr="00FB4115">
        <w:rPr>
          <w:color w:val="231F20"/>
        </w:rPr>
        <w:t xml:space="preserve"> </w:t>
      </w:r>
      <w:r w:rsidR="00046867">
        <w:rPr>
          <w:i/>
          <w:color w:val="231F20"/>
        </w:rPr>
        <w:t>(</w:t>
      </w:r>
      <w:r w:rsidR="00B56F6B" w:rsidRPr="00FB4115">
        <w:rPr>
          <w:i/>
          <w:color w:val="231F20"/>
        </w:rPr>
        <w:t>Source: Goldman Sachs,</w:t>
      </w:r>
      <w:r w:rsidR="003808EB" w:rsidRPr="00FB4115">
        <w:rPr>
          <w:i/>
          <w:color w:val="231F20"/>
        </w:rPr>
        <w:t xml:space="preserve"> “2021 </w:t>
      </w:r>
      <w:r w:rsidR="00FB4115" w:rsidRPr="00FB4115">
        <w:rPr>
          <w:i/>
          <w:color w:val="231F20"/>
        </w:rPr>
        <w:t xml:space="preserve">Commodity Outlook – </w:t>
      </w:r>
      <w:proofErr w:type="spellStart"/>
      <w:r w:rsidR="00FB4115" w:rsidRPr="00FB4115">
        <w:rPr>
          <w:i/>
          <w:color w:val="231F20"/>
        </w:rPr>
        <w:t>REVing</w:t>
      </w:r>
      <w:proofErr w:type="spellEnd"/>
      <w:r w:rsidR="00FB4115" w:rsidRPr="00FB4115">
        <w:rPr>
          <w:i/>
          <w:color w:val="231F20"/>
        </w:rPr>
        <w:t xml:space="preserve"> up a structural bull market”,</w:t>
      </w:r>
      <w:r w:rsidR="00B56F6B" w:rsidRPr="00FB4115">
        <w:rPr>
          <w:i/>
          <w:color w:val="231F20"/>
        </w:rPr>
        <w:t xml:space="preserve"> </w:t>
      </w:r>
      <w:r w:rsidR="00FB4115" w:rsidRPr="00FB4115">
        <w:rPr>
          <w:i/>
          <w:color w:val="231F20"/>
        </w:rPr>
        <w:t>18</w:t>
      </w:r>
      <w:r w:rsidR="00B56F6B" w:rsidRPr="00FB4115">
        <w:rPr>
          <w:i/>
          <w:color w:val="231F20"/>
        </w:rPr>
        <w:t>.1</w:t>
      </w:r>
      <w:r w:rsidR="00FB4115" w:rsidRPr="00FB4115">
        <w:rPr>
          <w:i/>
          <w:color w:val="231F20"/>
        </w:rPr>
        <w:t>1</w:t>
      </w:r>
      <w:r w:rsidR="00B56F6B" w:rsidRPr="00FB4115">
        <w:rPr>
          <w:i/>
          <w:color w:val="231F20"/>
        </w:rPr>
        <w:t>.20</w:t>
      </w:r>
      <w:r w:rsidR="00046867">
        <w:rPr>
          <w:i/>
          <w:color w:val="231F20"/>
        </w:rPr>
        <w:t>)</w:t>
      </w:r>
      <w:r w:rsidRPr="00FB4115">
        <w:rPr>
          <w:color w:val="231F20"/>
        </w:rPr>
        <w:t>. Th</w:t>
      </w:r>
      <w:r w:rsidR="005F5211" w:rsidRPr="00FB4115">
        <w:rPr>
          <w:color w:val="231F20"/>
        </w:rPr>
        <w:t>e view</w:t>
      </w:r>
      <w:r w:rsidR="005F5211">
        <w:rPr>
          <w:color w:val="231F20"/>
        </w:rPr>
        <w:t xml:space="preserve"> of the Directors is that </w:t>
      </w:r>
      <w:r>
        <w:rPr>
          <w:color w:val="231F20"/>
        </w:rPr>
        <w:t>copper prices will continue to remain robust in the</w:t>
      </w:r>
      <w:r>
        <w:rPr>
          <w:color w:val="231F20"/>
          <w:spacing w:val="-6"/>
        </w:rPr>
        <w:t xml:space="preserve"> </w:t>
      </w:r>
      <w:r w:rsidR="005F5211">
        <w:rPr>
          <w:color w:val="231F20"/>
        </w:rPr>
        <w:t>medium</w:t>
      </w:r>
      <w:r>
        <w:rPr>
          <w:color w:val="231F20"/>
        </w:rPr>
        <w:t>-term.</w:t>
      </w:r>
    </w:p>
    <w:p w14:paraId="4BBD01EB" w14:textId="77777777" w:rsidR="00783288" w:rsidRDefault="00783288">
      <w:pPr>
        <w:pStyle w:val="BodyText"/>
        <w:kinsoku w:val="0"/>
        <w:overflowPunct w:val="0"/>
        <w:spacing w:before="11"/>
        <w:rPr>
          <w:sz w:val="17"/>
          <w:szCs w:val="17"/>
        </w:rPr>
      </w:pPr>
    </w:p>
    <w:p w14:paraId="2CFF636C" w14:textId="7A194A79" w:rsidR="00783288" w:rsidRPr="00B56F6B" w:rsidRDefault="00E31420">
      <w:pPr>
        <w:pStyle w:val="BodyText"/>
        <w:kinsoku w:val="0"/>
        <w:overflowPunct w:val="0"/>
        <w:ind w:left="300" w:right="1190"/>
        <w:jc w:val="both"/>
        <w:rPr>
          <w:b/>
          <w:i/>
          <w:color w:val="231F20"/>
        </w:rPr>
      </w:pPr>
      <w:r>
        <w:rPr>
          <w:color w:val="231F20"/>
        </w:rPr>
        <w:t>The price of gold has continued its steady rise since 2013, recording an all-time high in July 2020 of $2,072 per ounce, and increasing by approximately 74% per cent since a low in October 2018</w:t>
      </w:r>
      <w:r w:rsidR="00B56F6B">
        <w:rPr>
          <w:color w:val="231F20"/>
        </w:rPr>
        <w:t xml:space="preserve"> </w:t>
      </w:r>
      <w:r w:rsidR="00046867">
        <w:rPr>
          <w:i/>
          <w:color w:val="231F20"/>
        </w:rPr>
        <w:t>(</w:t>
      </w:r>
      <w:r w:rsidR="00B56F6B" w:rsidRPr="00B56F6B">
        <w:rPr>
          <w:i/>
          <w:color w:val="231F20"/>
        </w:rPr>
        <w:t xml:space="preserve">Source: London Metal Exchange, </w:t>
      </w:r>
      <w:hyperlink r:id="rId26" w:anchor="tabIndex=0" w:history="1">
        <w:r w:rsidR="00905DD2" w:rsidRPr="00EF2315">
          <w:rPr>
            <w:rStyle w:val="Hyperlink"/>
            <w:i/>
          </w:rPr>
          <w:t>https://www.lme.com/Metals/Precious-metals/LME-Gold#tabIndex=0</w:t>
        </w:r>
      </w:hyperlink>
      <w:r w:rsidR="00905DD2">
        <w:rPr>
          <w:i/>
          <w:color w:val="231F20"/>
        </w:rPr>
        <w:t xml:space="preserve">, </w:t>
      </w:r>
      <w:r w:rsidR="004402C1">
        <w:rPr>
          <w:i/>
        </w:rPr>
        <w:t>0</w:t>
      </w:r>
      <w:r w:rsidR="00117CD0">
        <w:rPr>
          <w:i/>
        </w:rPr>
        <w:t>1</w:t>
      </w:r>
      <w:r w:rsidR="004402C1">
        <w:rPr>
          <w:i/>
        </w:rPr>
        <w:t>.07.21</w:t>
      </w:r>
      <w:r w:rsidR="00046867">
        <w:rPr>
          <w:i/>
          <w:color w:val="231F20"/>
        </w:rPr>
        <w:t>)</w:t>
      </w:r>
      <w:r>
        <w:rPr>
          <w:color w:val="231F20"/>
        </w:rPr>
        <w:t>. Demand for gold is primarily sentiment-driven, with speculators commonly buying through Exchange Traded Funds (ETFs). The metal has benefited</w:t>
      </w:r>
      <w:r>
        <w:rPr>
          <w:color w:val="231F20"/>
          <w:spacing w:val="-14"/>
        </w:rPr>
        <w:t xml:space="preserve"> </w:t>
      </w:r>
      <w:r>
        <w:rPr>
          <w:color w:val="231F20"/>
        </w:rPr>
        <w:t>from</w:t>
      </w:r>
      <w:r>
        <w:rPr>
          <w:color w:val="231F20"/>
          <w:spacing w:val="-13"/>
        </w:rPr>
        <w:t xml:space="preserve"> </w:t>
      </w:r>
      <w:r>
        <w:rPr>
          <w:color w:val="231F20"/>
        </w:rPr>
        <w:t>the</w:t>
      </w:r>
      <w:r>
        <w:rPr>
          <w:color w:val="231F20"/>
          <w:spacing w:val="-12"/>
        </w:rPr>
        <w:t xml:space="preserve"> </w:t>
      </w:r>
      <w:r>
        <w:rPr>
          <w:color w:val="231F20"/>
        </w:rPr>
        <w:t>“fear”</w:t>
      </w:r>
      <w:r>
        <w:rPr>
          <w:color w:val="231F20"/>
          <w:spacing w:val="-12"/>
        </w:rPr>
        <w:t xml:space="preserve"> </w:t>
      </w:r>
      <w:r>
        <w:rPr>
          <w:color w:val="231F20"/>
        </w:rPr>
        <w:t>element</w:t>
      </w:r>
      <w:r>
        <w:rPr>
          <w:color w:val="231F20"/>
          <w:spacing w:val="-12"/>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COVID</w:t>
      </w:r>
      <w:r w:rsidR="00637A80">
        <w:rPr>
          <w:color w:val="231F20"/>
        </w:rPr>
        <w:t xml:space="preserve"> </w:t>
      </w:r>
      <w:r>
        <w:rPr>
          <w:color w:val="231F20"/>
        </w:rPr>
        <w:t>19</w:t>
      </w:r>
      <w:r>
        <w:rPr>
          <w:color w:val="231F20"/>
          <w:spacing w:val="-12"/>
        </w:rPr>
        <w:t xml:space="preserve"> </w:t>
      </w:r>
      <w:r>
        <w:rPr>
          <w:color w:val="231F20"/>
        </w:rPr>
        <w:t>pand</w:t>
      </w:r>
      <w:r w:rsidR="00636678">
        <w:rPr>
          <w:color w:val="231F20"/>
        </w:rPr>
        <w:t>e</w:t>
      </w:r>
      <w:r>
        <w:rPr>
          <w:color w:val="231F20"/>
        </w:rPr>
        <w:t>mic.</w:t>
      </w:r>
      <w:r>
        <w:rPr>
          <w:color w:val="231F20"/>
          <w:spacing w:val="24"/>
        </w:rPr>
        <w:t xml:space="preserve"> </w:t>
      </w:r>
      <w:r>
        <w:rPr>
          <w:color w:val="231F20"/>
        </w:rPr>
        <w:t>Positive</w:t>
      </w:r>
      <w:r>
        <w:rPr>
          <w:color w:val="231F20"/>
          <w:spacing w:val="-11"/>
        </w:rPr>
        <w:t xml:space="preserve"> </w:t>
      </w:r>
      <w:r>
        <w:rPr>
          <w:color w:val="231F20"/>
        </w:rPr>
        <w:t>news</w:t>
      </w:r>
      <w:r>
        <w:rPr>
          <w:color w:val="231F20"/>
          <w:spacing w:val="-11"/>
        </w:rPr>
        <w:t xml:space="preserve"> </w:t>
      </w:r>
      <w:r>
        <w:rPr>
          <w:color w:val="231F20"/>
        </w:rPr>
        <w:t>about</w:t>
      </w:r>
      <w:r>
        <w:rPr>
          <w:color w:val="231F20"/>
          <w:spacing w:val="-11"/>
        </w:rPr>
        <w:t xml:space="preserve"> </w:t>
      </w:r>
      <w:r>
        <w:rPr>
          <w:color w:val="231F20"/>
        </w:rPr>
        <w:t>progress</w:t>
      </w:r>
      <w:r>
        <w:rPr>
          <w:color w:val="231F20"/>
          <w:spacing w:val="-14"/>
        </w:rPr>
        <w:t xml:space="preserve"> </w:t>
      </w:r>
      <w:r>
        <w:rPr>
          <w:color w:val="231F20"/>
        </w:rPr>
        <w:t>of</w:t>
      </w:r>
      <w:r>
        <w:rPr>
          <w:color w:val="231F20"/>
          <w:spacing w:val="-11"/>
        </w:rPr>
        <w:t xml:space="preserve"> </w:t>
      </w:r>
      <w:r>
        <w:rPr>
          <w:color w:val="231F20"/>
        </w:rPr>
        <w:t>COVID</w:t>
      </w:r>
      <w:r w:rsidR="00637A80">
        <w:rPr>
          <w:color w:val="231F20"/>
        </w:rPr>
        <w:t xml:space="preserve"> </w:t>
      </w:r>
      <w:r>
        <w:rPr>
          <w:color w:val="231F20"/>
        </w:rPr>
        <w:t>19</w:t>
      </w:r>
      <w:r>
        <w:rPr>
          <w:color w:val="231F20"/>
          <w:spacing w:val="-12"/>
        </w:rPr>
        <w:t xml:space="preserve"> </w:t>
      </w:r>
      <w:r>
        <w:rPr>
          <w:color w:val="231F20"/>
        </w:rPr>
        <w:t>va</w:t>
      </w:r>
      <w:r w:rsidR="00A808A2">
        <w:rPr>
          <w:color w:val="231F20"/>
        </w:rPr>
        <w:t>c</w:t>
      </w:r>
      <w:r>
        <w:rPr>
          <w:color w:val="231F20"/>
        </w:rPr>
        <w:t xml:space="preserve">cines has caused gold prices to soften recently, although concerns will persist of mounting global debt and the </w:t>
      </w:r>
      <w:r w:rsidR="00636678">
        <w:rPr>
          <w:color w:val="231F20"/>
        </w:rPr>
        <w:t>inflationary consequen</w:t>
      </w:r>
      <w:r w:rsidR="0017121F">
        <w:rPr>
          <w:color w:val="231F20"/>
        </w:rPr>
        <w:t>c</w:t>
      </w:r>
      <w:r w:rsidR="00636678">
        <w:rPr>
          <w:color w:val="231F20"/>
        </w:rPr>
        <w:t xml:space="preserve">es of the </w:t>
      </w:r>
      <w:r>
        <w:rPr>
          <w:color w:val="231F20"/>
        </w:rPr>
        <w:t xml:space="preserve">printing of money. Physical demand for gold comes predominantly from use in jewellery, </w:t>
      </w:r>
      <w:proofErr w:type="gramStart"/>
      <w:r>
        <w:rPr>
          <w:color w:val="231F20"/>
        </w:rPr>
        <w:t>bullion</w:t>
      </w:r>
      <w:proofErr w:type="gramEnd"/>
      <w:r>
        <w:rPr>
          <w:color w:val="231F20"/>
        </w:rPr>
        <w:t xml:space="preserve"> and gold coinage as well as</w:t>
      </w:r>
      <w:r>
        <w:rPr>
          <w:color w:val="231F20"/>
          <w:spacing w:val="-7"/>
        </w:rPr>
        <w:t xml:space="preserve"> </w:t>
      </w:r>
      <w:r>
        <w:rPr>
          <w:color w:val="231F20"/>
        </w:rPr>
        <w:t>various</w:t>
      </w:r>
      <w:r>
        <w:rPr>
          <w:color w:val="231F20"/>
          <w:spacing w:val="-6"/>
        </w:rPr>
        <w:t xml:space="preserve"> </w:t>
      </w:r>
      <w:r>
        <w:rPr>
          <w:color w:val="231F20"/>
        </w:rPr>
        <w:t>industrial</w:t>
      </w:r>
      <w:r>
        <w:rPr>
          <w:color w:val="231F20"/>
          <w:spacing w:val="-9"/>
        </w:rPr>
        <w:t xml:space="preserve"> </w:t>
      </w:r>
      <w:r>
        <w:rPr>
          <w:color w:val="231F20"/>
        </w:rPr>
        <w:t>and</w:t>
      </w:r>
      <w:r>
        <w:rPr>
          <w:color w:val="231F20"/>
          <w:spacing w:val="-6"/>
        </w:rPr>
        <w:t xml:space="preserve"> </w:t>
      </w:r>
      <w:r>
        <w:rPr>
          <w:color w:val="231F20"/>
        </w:rPr>
        <w:t>electronic</w:t>
      </w:r>
      <w:r>
        <w:rPr>
          <w:color w:val="231F20"/>
          <w:spacing w:val="-8"/>
        </w:rPr>
        <w:t xml:space="preserve"> </w:t>
      </w:r>
      <w:r>
        <w:rPr>
          <w:color w:val="231F20"/>
        </w:rPr>
        <w:t>applications.</w:t>
      </w:r>
      <w:r>
        <w:rPr>
          <w:color w:val="231F20"/>
          <w:spacing w:val="-6"/>
        </w:rPr>
        <w:t xml:space="preserve"> </w:t>
      </w:r>
      <w:r>
        <w:rPr>
          <w:color w:val="231F20"/>
        </w:rPr>
        <w:t>The</w:t>
      </w:r>
      <w:r>
        <w:rPr>
          <w:color w:val="231F20"/>
          <w:spacing w:val="-6"/>
        </w:rPr>
        <w:t xml:space="preserve"> </w:t>
      </w:r>
      <w:r>
        <w:rPr>
          <w:color w:val="231F20"/>
        </w:rPr>
        <w:t>supply</w:t>
      </w:r>
      <w:r>
        <w:rPr>
          <w:color w:val="231F20"/>
          <w:spacing w:val="-8"/>
        </w:rPr>
        <w:t xml:space="preserve"> </w:t>
      </w:r>
      <w:r>
        <w:rPr>
          <w:color w:val="231F20"/>
        </w:rPr>
        <w:t>of</w:t>
      </w:r>
      <w:r>
        <w:rPr>
          <w:color w:val="231F20"/>
          <w:spacing w:val="-7"/>
        </w:rPr>
        <w:t xml:space="preserve"> </w:t>
      </w:r>
      <w:r>
        <w:rPr>
          <w:color w:val="231F20"/>
        </w:rPr>
        <w:t>gold</w:t>
      </w:r>
      <w:r>
        <w:rPr>
          <w:color w:val="231F20"/>
          <w:spacing w:val="-6"/>
        </w:rPr>
        <w:t xml:space="preserve"> </w:t>
      </w:r>
      <w:r>
        <w:rPr>
          <w:color w:val="231F20"/>
        </w:rPr>
        <w:t>to</w:t>
      </w:r>
      <w:r>
        <w:rPr>
          <w:color w:val="231F20"/>
          <w:spacing w:val="-9"/>
        </w:rPr>
        <w:t xml:space="preserve"> </w:t>
      </w:r>
      <w:r>
        <w:rPr>
          <w:color w:val="231F20"/>
        </w:rPr>
        <w:t>meet</w:t>
      </w:r>
      <w:r>
        <w:rPr>
          <w:color w:val="231F20"/>
          <w:spacing w:val="-6"/>
        </w:rPr>
        <w:t xml:space="preserve"> </w:t>
      </w:r>
      <w:r>
        <w:rPr>
          <w:color w:val="231F20"/>
        </w:rPr>
        <w:t>this</w:t>
      </w:r>
      <w:r>
        <w:rPr>
          <w:color w:val="231F20"/>
          <w:spacing w:val="-6"/>
        </w:rPr>
        <w:t xml:space="preserve"> </w:t>
      </w:r>
      <w:r>
        <w:rPr>
          <w:color w:val="231F20"/>
        </w:rPr>
        <w:t>demand</w:t>
      </w:r>
      <w:r>
        <w:rPr>
          <w:color w:val="231F20"/>
          <w:spacing w:val="-9"/>
        </w:rPr>
        <w:t xml:space="preserve"> </w:t>
      </w:r>
      <w:r>
        <w:rPr>
          <w:color w:val="231F20"/>
        </w:rPr>
        <w:t>comes</w:t>
      </w:r>
      <w:r>
        <w:rPr>
          <w:color w:val="231F20"/>
          <w:spacing w:val="-6"/>
        </w:rPr>
        <w:t xml:space="preserve"> </w:t>
      </w:r>
      <w:r>
        <w:rPr>
          <w:color w:val="231F20"/>
        </w:rPr>
        <w:t>largely</w:t>
      </w:r>
      <w:r>
        <w:rPr>
          <w:color w:val="231F20"/>
          <w:spacing w:val="-8"/>
        </w:rPr>
        <w:t xml:space="preserve"> </w:t>
      </w:r>
      <w:r>
        <w:rPr>
          <w:color w:val="231F20"/>
        </w:rPr>
        <w:t>from</w:t>
      </w:r>
      <w:r>
        <w:rPr>
          <w:color w:val="231F20"/>
          <w:spacing w:val="-7"/>
        </w:rPr>
        <w:t xml:space="preserve"> </w:t>
      </w:r>
      <w:r>
        <w:rPr>
          <w:color w:val="231F20"/>
        </w:rPr>
        <w:t xml:space="preserve">newly mined gold, but also from recycling. Production of newly mined gold production fell by approximately 1 per cent </w:t>
      </w:r>
      <w:r>
        <w:rPr>
          <w:color w:val="231F20"/>
          <w:spacing w:val="-3"/>
        </w:rPr>
        <w:t xml:space="preserve">to </w:t>
      </w:r>
      <w:r>
        <w:rPr>
          <w:color w:val="231F20"/>
        </w:rPr>
        <w:t>3,464t, during 2019, representing the first year on year decline in output since 2008</w:t>
      </w:r>
      <w:r w:rsidR="00763F03">
        <w:rPr>
          <w:color w:val="231F20"/>
        </w:rPr>
        <w:t xml:space="preserve"> </w:t>
      </w:r>
      <w:r w:rsidR="00046867">
        <w:rPr>
          <w:color w:val="231F20"/>
        </w:rPr>
        <w:t>(</w:t>
      </w:r>
      <w:r w:rsidR="00763F03" w:rsidRPr="00763F03">
        <w:rPr>
          <w:i/>
          <w:color w:val="231F20"/>
        </w:rPr>
        <w:t>Source: London Metal Exchange</w:t>
      </w:r>
      <w:r w:rsidR="00763F03">
        <w:rPr>
          <w:i/>
          <w:color w:val="231F20"/>
        </w:rPr>
        <w:t xml:space="preserve">, </w:t>
      </w:r>
      <w:hyperlink r:id="rId27" w:anchor="tabIndex=0" w:history="1">
        <w:r w:rsidR="00905DD2" w:rsidRPr="00EF2315">
          <w:rPr>
            <w:rStyle w:val="Hyperlink"/>
            <w:i/>
          </w:rPr>
          <w:t>https://www.lme.com/Metals/Precious-metals/LME-Gold#tabIndex=0</w:t>
        </w:r>
      </w:hyperlink>
      <w:r w:rsidR="00DB7BF4">
        <w:rPr>
          <w:rStyle w:val="Hyperlink"/>
          <w:i/>
        </w:rPr>
        <w:t xml:space="preserve"> </w:t>
      </w:r>
      <w:r w:rsidR="00DB7BF4" w:rsidRPr="00DB7BF4">
        <w:rPr>
          <w:i/>
          <w:color w:val="231F20"/>
        </w:rPr>
        <w:t>01.07.21</w:t>
      </w:r>
      <w:r w:rsidR="00DB7BF4">
        <w:rPr>
          <w:color w:val="231F20"/>
        </w:rPr>
        <w:t>)</w:t>
      </w:r>
      <w:r>
        <w:rPr>
          <w:color w:val="231F20"/>
        </w:rPr>
        <w:t>. However, this fall was offset by a material increase in the supply of recycled gold which rose by 11 per cent to 1,304t resulting in an aggregate net</w:t>
      </w:r>
      <w:r>
        <w:rPr>
          <w:color w:val="231F20"/>
          <w:spacing w:val="-11"/>
        </w:rPr>
        <w:t xml:space="preserve"> </w:t>
      </w:r>
      <w:r>
        <w:rPr>
          <w:color w:val="231F20"/>
        </w:rPr>
        <w:t>increase</w:t>
      </w:r>
      <w:r>
        <w:rPr>
          <w:color w:val="231F20"/>
          <w:spacing w:val="-10"/>
        </w:rPr>
        <w:t xml:space="preserve"> </w:t>
      </w:r>
      <w:r>
        <w:rPr>
          <w:color w:val="231F20"/>
        </w:rPr>
        <w:t>of</w:t>
      </w:r>
      <w:r>
        <w:rPr>
          <w:color w:val="231F20"/>
          <w:spacing w:val="-14"/>
        </w:rPr>
        <w:t xml:space="preserve"> </w:t>
      </w:r>
      <w:r>
        <w:rPr>
          <w:color w:val="231F20"/>
        </w:rPr>
        <w:t>total</w:t>
      </w:r>
      <w:r>
        <w:rPr>
          <w:color w:val="231F20"/>
          <w:spacing w:val="-10"/>
        </w:rPr>
        <w:t xml:space="preserve"> </w:t>
      </w:r>
      <w:r>
        <w:rPr>
          <w:color w:val="231F20"/>
        </w:rPr>
        <w:t>gold</w:t>
      </w:r>
      <w:r>
        <w:rPr>
          <w:color w:val="231F20"/>
          <w:spacing w:val="-11"/>
        </w:rPr>
        <w:t xml:space="preserve"> </w:t>
      </w:r>
      <w:r>
        <w:rPr>
          <w:color w:val="231F20"/>
        </w:rPr>
        <w:t>supply</w:t>
      </w:r>
      <w:r>
        <w:rPr>
          <w:color w:val="231F20"/>
          <w:spacing w:val="-12"/>
        </w:rPr>
        <w:t xml:space="preserve"> </w:t>
      </w:r>
      <w:r>
        <w:rPr>
          <w:color w:val="231F20"/>
        </w:rPr>
        <w:t>of</w:t>
      </w:r>
      <w:r>
        <w:rPr>
          <w:color w:val="231F20"/>
          <w:spacing w:val="-11"/>
        </w:rPr>
        <w:t xml:space="preserve"> </w:t>
      </w:r>
      <w:r>
        <w:rPr>
          <w:color w:val="231F20"/>
        </w:rPr>
        <w:t>approximately</w:t>
      </w:r>
      <w:r>
        <w:rPr>
          <w:color w:val="231F20"/>
          <w:spacing w:val="-12"/>
        </w:rPr>
        <w:t xml:space="preserve"> </w:t>
      </w:r>
      <w:r>
        <w:rPr>
          <w:color w:val="231F20"/>
        </w:rPr>
        <w:t>2</w:t>
      </w:r>
      <w:r>
        <w:rPr>
          <w:color w:val="231F20"/>
          <w:spacing w:val="-11"/>
        </w:rPr>
        <w:t xml:space="preserve"> </w:t>
      </w:r>
      <w:r>
        <w:rPr>
          <w:color w:val="231F20"/>
        </w:rPr>
        <w:t>per</w:t>
      </w:r>
      <w:r>
        <w:rPr>
          <w:color w:val="231F20"/>
          <w:spacing w:val="-13"/>
        </w:rPr>
        <w:t xml:space="preserve"> </w:t>
      </w:r>
      <w:r>
        <w:rPr>
          <w:color w:val="231F20"/>
        </w:rPr>
        <w:t>cent</w:t>
      </w:r>
      <w:r>
        <w:rPr>
          <w:color w:val="231F20"/>
          <w:spacing w:val="-11"/>
        </w:rPr>
        <w:t xml:space="preserve"> </w:t>
      </w:r>
      <w:r>
        <w:rPr>
          <w:color w:val="231F20"/>
        </w:rPr>
        <w:t>in</w:t>
      </w:r>
      <w:r>
        <w:rPr>
          <w:color w:val="231F20"/>
          <w:spacing w:val="-12"/>
        </w:rPr>
        <w:t xml:space="preserve"> </w:t>
      </w:r>
      <w:r>
        <w:rPr>
          <w:color w:val="231F20"/>
        </w:rPr>
        <w:t>2019</w:t>
      </w:r>
      <w:r>
        <w:rPr>
          <w:color w:val="231F20"/>
          <w:spacing w:val="-10"/>
        </w:rPr>
        <w:t xml:space="preserve"> </w:t>
      </w:r>
      <w:r>
        <w:rPr>
          <w:color w:val="231F20"/>
        </w:rPr>
        <w:t>as</w:t>
      </w:r>
      <w:r>
        <w:rPr>
          <w:color w:val="231F20"/>
          <w:spacing w:val="-10"/>
        </w:rPr>
        <w:t xml:space="preserve"> </w:t>
      </w:r>
      <w:r>
        <w:rPr>
          <w:color w:val="231F20"/>
        </w:rPr>
        <w:t>compared</w:t>
      </w:r>
      <w:r>
        <w:rPr>
          <w:color w:val="231F20"/>
          <w:spacing w:val="-11"/>
        </w:rPr>
        <w:t xml:space="preserve"> </w:t>
      </w:r>
      <w:r>
        <w:rPr>
          <w:color w:val="231F20"/>
        </w:rPr>
        <w:t>with</w:t>
      </w:r>
      <w:r>
        <w:rPr>
          <w:color w:val="231F20"/>
          <w:spacing w:val="-10"/>
        </w:rPr>
        <w:t xml:space="preserve"> </w:t>
      </w:r>
      <w:r>
        <w:rPr>
          <w:color w:val="231F20"/>
        </w:rPr>
        <w:t>2018</w:t>
      </w:r>
      <w:r w:rsidR="00763F03">
        <w:rPr>
          <w:color w:val="231F20"/>
        </w:rPr>
        <w:t xml:space="preserve"> </w:t>
      </w:r>
      <w:r w:rsidR="00046867">
        <w:rPr>
          <w:color w:val="231F20"/>
        </w:rPr>
        <w:t>(</w:t>
      </w:r>
      <w:r w:rsidR="00763F03" w:rsidRPr="00763F03">
        <w:rPr>
          <w:i/>
          <w:color w:val="231F20"/>
        </w:rPr>
        <w:t>Source: London Metal Exchange</w:t>
      </w:r>
      <w:r w:rsidR="00905DD2">
        <w:rPr>
          <w:i/>
          <w:color w:val="231F20"/>
        </w:rPr>
        <w:t xml:space="preserve">, </w:t>
      </w:r>
      <w:hyperlink r:id="rId28" w:anchor="tabIndex=0" w:history="1">
        <w:r w:rsidR="00905DD2" w:rsidRPr="00EF2315">
          <w:rPr>
            <w:rStyle w:val="Hyperlink"/>
            <w:i/>
          </w:rPr>
          <w:t>https://www.lme.com/Metals/Precious-metals/LME-Gold#tabIndex=0</w:t>
        </w:r>
      </w:hyperlink>
      <w:r w:rsidR="00905DD2">
        <w:rPr>
          <w:i/>
          <w:color w:val="231F20"/>
        </w:rPr>
        <w:t xml:space="preserve"> </w:t>
      </w:r>
      <w:r w:rsidR="00DB7BF4">
        <w:rPr>
          <w:i/>
          <w:color w:val="231F20"/>
        </w:rPr>
        <w:t>01.07.21</w:t>
      </w:r>
      <w:r w:rsidR="00046867">
        <w:rPr>
          <w:color w:val="231F20"/>
        </w:rPr>
        <w:t>)</w:t>
      </w:r>
      <w:r>
        <w:rPr>
          <w:color w:val="231F20"/>
        </w:rPr>
        <w:t>.</w:t>
      </w:r>
      <w:r>
        <w:rPr>
          <w:color w:val="231F20"/>
          <w:spacing w:val="26"/>
        </w:rPr>
        <w:t xml:space="preserve"> </w:t>
      </w:r>
      <w:r>
        <w:rPr>
          <w:color w:val="231F20"/>
        </w:rPr>
        <w:t>As</w:t>
      </w:r>
      <w:r>
        <w:rPr>
          <w:color w:val="231F20"/>
          <w:spacing w:val="-9"/>
        </w:rPr>
        <w:t xml:space="preserve"> </w:t>
      </w:r>
      <w:r>
        <w:rPr>
          <w:color w:val="231F20"/>
        </w:rPr>
        <w:t>such,</w:t>
      </w:r>
      <w:r>
        <w:rPr>
          <w:color w:val="231F20"/>
          <w:spacing w:val="-11"/>
        </w:rPr>
        <w:t xml:space="preserve"> </w:t>
      </w:r>
      <w:r>
        <w:rPr>
          <w:color w:val="231F20"/>
        </w:rPr>
        <w:t>the</w:t>
      </w:r>
      <w:r>
        <w:rPr>
          <w:color w:val="231F20"/>
          <w:spacing w:val="-10"/>
        </w:rPr>
        <w:t xml:space="preserve"> </w:t>
      </w:r>
      <w:r>
        <w:rPr>
          <w:color w:val="231F20"/>
        </w:rPr>
        <w:t>Directors do not expect any significant downturns over the coming</w:t>
      </w:r>
      <w:r>
        <w:rPr>
          <w:color w:val="231F20"/>
          <w:spacing w:val="-7"/>
        </w:rPr>
        <w:t xml:space="preserve"> </w:t>
      </w:r>
      <w:r>
        <w:rPr>
          <w:color w:val="231F20"/>
        </w:rPr>
        <w:t>years.</w:t>
      </w:r>
      <w:r w:rsidR="008B0448">
        <w:rPr>
          <w:color w:val="231F20"/>
        </w:rPr>
        <w:t xml:space="preserve"> </w:t>
      </w:r>
    </w:p>
    <w:p w14:paraId="5C95F1E9" w14:textId="77777777" w:rsidR="00783288" w:rsidRDefault="00783288">
      <w:pPr>
        <w:pStyle w:val="BodyText"/>
        <w:kinsoku w:val="0"/>
        <w:overflowPunct w:val="0"/>
        <w:spacing w:before="11"/>
        <w:rPr>
          <w:sz w:val="17"/>
          <w:szCs w:val="17"/>
        </w:rPr>
      </w:pPr>
    </w:p>
    <w:p w14:paraId="597BDDA6" w14:textId="7527E407" w:rsidR="00783288" w:rsidRDefault="00E31420">
      <w:pPr>
        <w:pStyle w:val="BodyText"/>
        <w:kinsoku w:val="0"/>
        <w:overflowPunct w:val="0"/>
        <w:spacing w:before="79"/>
        <w:ind w:left="300" w:right="1192"/>
        <w:jc w:val="both"/>
        <w:rPr>
          <w:color w:val="231F20"/>
        </w:rPr>
      </w:pPr>
      <w:r>
        <w:rPr>
          <w:color w:val="231F20"/>
        </w:rPr>
        <w:t>The</w:t>
      </w:r>
      <w:r>
        <w:rPr>
          <w:color w:val="231F20"/>
          <w:spacing w:val="-7"/>
        </w:rPr>
        <w:t xml:space="preserve"> </w:t>
      </w:r>
      <w:r>
        <w:rPr>
          <w:color w:val="231F20"/>
        </w:rPr>
        <w:t>Directors</w:t>
      </w:r>
      <w:r>
        <w:rPr>
          <w:color w:val="231F20"/>
          <w:spacing w:val="-6"/>
        </w:rPr>
        <w:t xml:space="preserve"> </w:t>
      </w:r>
      <w:r>
        <w:rPr>
          <w:color w:val="231F20"/>
        </w:rPr>
        <w:t>believe</w:t>
      </w:r>
      <w:r>
        <w:rPr>
          <w:color w:val="231F20"/>
          <w:spacing w:val="-6"/>
        </w:rPr>
        <w:t xml:space="preserve"> </w:t>
      </w:r>
      <w:r>
        <w:rPr>
          <w:color w:val="231F20"/>
        </w:rPr>
        <w:t>that</w:t>
      </w:r>
      <w:r>
        <w:rPr>
          <w:color w:val="231F20"/>
          <w:spacing w:val="-6"/>
        </w:rPr>
        <w:t xml:space="preserve"> </w:t>
      </w:r>
      <w:r>
        <w:rPr>
          <w:color w:val="231F20"/>
        </w:rPr>
        <w:t>the</w:t>
      </w:r>
      <w:r>
        <w:rPr>
          <w:color w:val="231F20"/>
          <w:spacing w:val="-10"/>
        </w:rPr>
        <w:t xml:space="preserve"> </w:t>
      </w:r>
      <w:r>
        <w:rPr>
          <w:color w:val="231F20"/>
        </w:rPr>
        <w:t>medium</w:t>
      </w:r>
      <w:r>
        <w:rPr>
          <w:color w:val="231F20"/>
          <w:spacing w:val="-6"/>
        </w:rPr>
        <w:t xml:space="preserve"> </w:t>
      </w:r>
      <w:r>
        <w:rPr>
          <w:color w:val="231F20"/>
        </w:rPr>
        <w:t>to</w:t>
      </w:r>
      <w:r>
        <w:rPr>
          <w:color w:val="231F20"/>
          <w:spacing w:val="-6"/>
        </w:rPr>
        <w:t xml:space="preserve"> </w:t>
      </w:r>
      <w:r>
        <w:rPr>
          <w:color w:val="231F20"/>
        </w:rPr>
        <w:t>long</w:t>
      </w:r>
      <w:r>
        <w:rPr>
          <w:color w:val="231F20"/>
          <w:spacing w:val="-6"/>
        </w:rPr>
        <w:t xml:space="preserve"> </w:t>
      </w:r>
      <w:r>
        <w:rPr>
          <w:color w:val="231F20"/>
        </w:rPr>
        <w:t>term</w:t>
      </w:r>
      <w:r>
        <w:rPr>
          <w:color w:val="231F20"/>
          <w:spacing w:val="-6"/>
        </w:rPr>
        <w:t xml:space="preserve"> </w:t>
      </w:r>
      <w:r>
        <w:rPr>
          <w:color w:val="231F20"/>
        </w:rPr>
        <w:t>outlook</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price</w:t>
      </w:r>
      <w:r>
        <w:rPr>
          <w:color w:val="231F20"/>
          <w:spacing w:val="-6"/>
        </w:rPr>
        <w:t xml:space="preserve"> </w:t>
      </w:r>
      <w:r>
        <w:rPr>
          <w:color w:val="231F20"/>
        </w:rPr>
        <w:t>of</w:t>
      </w:r>
      <w:r>
        <w:rPr>
          <w:color w:val="231F20"/>
          <w:spacing w:val="-7"/>
        </w:rPr>
        <w:t xml:space="preserve"> </w:t>
      </w:r>
      <w:r>
        <w:rPr>
          <w:color w:val="231F20"/>
        </w:rPr>
        <w:t>copper</w:t>
      </w:r>
      <w:r>
        <w:rPr>
          <w:color w:val="231F20"/>
          <w:spacing w:val="-9"/>
        </w:rPr>
        <w:t xml:space="preserve"> </w:t>
      </w:r>
      <w:r>
        <w:rPr>
          <w:color w:val="231F20"/>
        </w:rPr>
        <w:t>and</w:t>
      </w:r>
      <w:r>
        <w:rPr>
          <w:color w:val="231F20"/>
          <w:spacing w:val="-6"/>
        </w:rPr>
        <w:t xml:space="preserve"> </w:t>
      </w:r>
      <w:r>
        <w:rPr>
          <w:color w:val="231F20"/>
        </w:rPr>
        <w:t>gold</w:t>
      </w:r>
      <w:r>
        <w:rPr>
          <w:color w:val="231F20"/>
          <w:spacing w:val="-9"/>
        </w:rPr>
        <w:t xml:space="preserve"> </w:t>
      </w:r>
      <w:r>
        <w:rPr>
          <w:color w:val="231F20"/>
        </w:rPr>
        <w:t>will</w:t>
      </w:r>
      <w:r>
        <w:rPr>
          <w:color w:val="231F20"/>
          <w:spacing w:val="-6"/>
        </w:rPr>
        <w:t xml:space="preserve"> </w:t>
      </w:r>
      <w:r>
        <w:rPr>
          <w:color w:val="231F20"/>
        </w:rPr>
        <w:t>remain</w:t>
      </w:r>
      <w:r>
        <w:rPr>
          <w:color w:val="231F20"/>
          <w:spacing w:val="-7"/>
        </w:rPr>
        <w:t xml:space="preserve"> </w:t>
      </w:r>
      <w:r w:rsidR="00636678">
        <w:rPr>
          <w:color w:val="231F20"/>
        </w:rPr>
        <w:t>robust</w:t>
      </w:r>
      <w:r>
        <w:rPr>
          <w:color w:val="231F20"/>
          <w:spacing w:val="-9"/>
        </w:rPr>
        <w:t xml:space="preserve"> </w:t>
      </w:r>
      <w:r>
        <w:rPr>
          <w:color w:val="231F20"/>
        </w:rPr>
        <w:t>into the future. In light of this, the Directors believe that there will be interest from potential acquirers or joint venture/strategic partners in relation to its Portfolio (particularly considering the importance of copper to the electrification</w:t>
      </w:r>
      <w:r>
        <w:rPr>
          <w:color w:val="231F20"/>
          <w:spacing w:val="-9"/>
        </w:rPr>
        <w:t xml:space="preserve"> </w:t>
      </w:r>
      <w:r>
        <w:rPr>
          <w:color w:val="231F20"/>
        </w:rPr>
        <w:t>of</w:t>
      </w:r>
      <w:r>
        <w:rPr>
          <w:color w:val="231F20"/>
          <w:spacing w:val="-6"/>
        </w:rPr>
        <w:t xml:space="preserve"> </w:t>
      </w:r>
      <w:r>
        <w:rPr>
          <w:color w:val="231F20"/>
        </w:rPr>
        <w:t>transport</w:t>
      </w:r>
      <w:r>
        <w:rPr>
          <w:color w:val="231F20"/>
          <w:spacing w:val="-7"/>
        </w:rPr>
        <w:t xml:space="preserve"> </w:t>
      </w:r>
      <w:r>
        <w:rPr>
          <w:color w:val="231F20"/>
        </w:rPr>
        <w:t>and</w:t>
      </w:r>
      <w:r>
        <w:rPr>
          <w:color w:val="231F20"/>
          <w:spacing w:val="-9"/>
        </w:rPr>
        <w:t xml:space="preserve"> </w:t>
      </w:r>
      <w:r>
        <w:rPr>
          <w:color w:val="231F20"/>
        </w:rPr>
        <w:t>energy)</w:t>
      </w:r>
      <w:r>
        <w:rPr>
          <w:color w:val="231F20"/>
          <w:spacing w:val="-7"/>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it</w:t>
      </w:r>
      <w:r>
        <w:rPr>
          <w:color w:val="231F20"/>
          <w:spacing w:val="-9"/>
        </w:rPr>
        <w:t xml:space="preserve"> </w:t>
      </w:r>
      <w:r>
        <w:rPr>
          <w:color w:val="231F20"/>
        </w:rPr>
        <w:t>could</w:t>
      </w:r>
      <w:r>
        <w:rPr>
          <w:color w:val="231F20"/>
          <w:spacing w:val="-6"/>
        </w:rPr>
        <w:t xml:space="preserve"> </w:t>
      </w:r>
      <w:r>
        <w:rPr>
          <w:color w:val="231F20"/>
        </w:rPr>
        <w:t>enter</w:t>
      </w:r>
      <w:r>
        <w:rPr>
          <w:color w:val="231F20"/>
          <w:spacing w:val="-9"/>
        </w:rPr>
        <w:t xml:space="preserve"> </w:t>
      </w:r>
      <w:r>
        <w:rPr>
          <w:color w:val="231F20"/>
        </w:rPr>
        <w:t>into</w:t>
      </w:r>
      <w:r>
        <w:rPr>
          <w:color w:val="231F20"/>
          <w:spacing w:val="-6"/>
        </w:rPr>
        <w:t xml:space="preserve"> </w:t>
      </w:r>
      <w:r>
        <w:rPr>
          <w:color w:val="231F20"/>
        </w:rPr>
        <w:t>an</w:t>
      </w:r>
      <w:r>
        <w:rPr>
          <w:color w:val="231F20"/>
          <w:spacing w:val="-9"/>
        </w:rPr>
        <w:t xml:space="preserve"> </w:t>
      </w:r>
      <w:r>
        <w:rPr>
          <w:color w:val="231F20"/>
        </w:rPr>
        <w:t>agreement</w:t>
      </w:r>
      <w:r>
        <w:rPr>
          <w:color w:val="231F20"/>
          <w:spacing w:val="-6"/>
        </w:rPr>
        <w:t xml:space="preserve"> </w:t>
      </w:r>
      <w:r>
        <w:rPr>
          <w:color w:val="231F20"/>
        </w:rPr>
        <w:t>for</w:t>
      </w:r>
      <w:r>
        <w:rPr>
          <w:color w:val="231F20"/>
          <w:spacing w:val="-9"/>
        </w:rPr>
        <w:t xml:space="preserve"> </w:t>
      </w:r>
      <w:r>
        <w:rPr>
          <w:color w:val="231F20"/>
        </w:rPr>
        <w:t>a</w:t>
      </w:r>
      <w:r>
        <w:rPr>
          <w:color w:val="231F20"/>
          <w:spacing w:val="-6"/>
        </w:rPr>
        <w:t xml:space="preserve"> </w:t>
      </w:r>
      <w:r>
        <w:rPr>
          <w:color w:val="231F20"/>
        </w:rPr>
        <w:t>sale,</w:t>
      </w:r>
      <w:r>
        <w:rPr>
          <w:color w:val="231F20"/>
          <w:spacing w:val="-6"/>
        </w:rPr>
        <w:t xml:space="preserve"> </w:t>
      </w:r>
      <w:r>
        <w:rPr>
          <w:color w:val="231F20"/>
        </w:rPr>
        <w:t>joint</w:t>
      </w:r>
      <w:r>
        <w:rPr>
          <w:color w:val="231F20"/>
          <w:spacing w:val="-6"/>
        </w:rPr>
        <w:t xml:space="preserve"> </w:t>
      </w:r>
      <w:r>
        <w:rPr>
          <w:color w:val="231F20"/>
        </w:rPr>
        <w:t>venture</w:t>
      </w:r>
      <w:r>
        <w:rPr>
          <w:color w:val="231F20"/>
          <w:spacing w:val="-9"/>
        </w:rPr>
        <w:t xml:space="preserve"> </w:t>
      </w:r>
      <w:r>
        <w:rPr>
          <w:color w:val="231F20"/>
        </w:rPr>
        <w:t>or</w:t>
      </w:r>
      <w:r>
        <w:rPr>
          <w:color w:val="231F20"/>
          <w:spacing w:val="-7"/>
        </w:rPr>
        <w:t xml:space="preserve"> </w:t>
      </w:r>
      <w:r>
        <w:rPr>
          <w:color w:val="231F20"/>
        </w:rPr>
        <w:t>strategic partnership in relation to its Portfolio in Cyprus on favourable commercial terms in the medium to long term. However</w:t>
      </w:r>
      <w:r w:rsidR="00EA5AF3">
        <w:rPr>
          <w:color w:val="231F20"/>
        </w:rPr>
        <w:t>,</w:t>
      </w:r>
      <w:r>
        <w:rPr>
          <w:color w:val="231F20"/>
          <w:spacing w:val="12"/>
        </w:rPr>
        <w:t xml:space="preserve"> </w:t>
      </w:r>
      <w:r>
        <w:rPr>
          <w:color w:val="231F20"/>
        </w:rPr>
        <w:t>the</w:t>
      </w:r>
      <w:r>
        <w:rPr>
          <w:color w:val="231F20"/>
          <w:spacing w:val="13"/>
        </w:rPr>
        <w:t xml:space="preserve"> </w:t>
      </w:r>
      <w:r w:rsidR="00EA5AF3">
        <w:rPr>
          <w:color w:val="231F20"/>
          <w:spacing w:val="13"/>
        </w:rPr>
        <w:t xml:space="preserve">time frame for this is uncertain as </w:t>
      </w:r>
      <w:r>
        <w:rPr>
          <w:color w:val="231F20"/>
        </w:rPr>
        <w:t>the</w:t>
      </w:r>
      <w:r w:rsidR="00B62B5D">
        <w:rPr>
          <w:color w:val="231F20"/>
        </w:rPr>
        <w:t xml:space="preserve"> </w:t>
      </w:r>
      <w:r>
        <w:rPr>
          <w:color w:val="231F20"/>
        </w:rPr>
        <w:t>Portfolio</w:t>
      </w:r>
      <w:r>
        <w:rPr>
          <w:color w:val="231F20"/>
          <w:spacing w:val="-3"/>
        </w:rPr>
        <w:t xml:space="preserve"> </w:t>
      </w:r>
      <w:r>
        <w:rPr>
          <w:color w:val="231F20"/>
        </w:rPr>
        <w:t>requires</w:t>
      </w:r>
      <w:r>
        <w:rPr>
          <w:color w:val="231F20"/>
          <w:spacing w:val="-4"/>
        </w:rPr>
        <w:t xml:space="preserve"> </w:t>
      </w:r>
      <w:r>
        <w:rPr>
          <w:color w:val="231F20"/>
        </w:rPr>
        <w:t>further</w:t>
      </w:r>
      <w:r>
        <w:rPr>
          <w:color w:val="231F20"/>
          <w:spacing w:val="-6"/>
        </w:rPr>
        <w:t xml:space="preserve"> </w:t>
      </w:r>
      <w:r>
        <w:rPr>
          <w:color w:val="231F20"/>
        </w:rPr>
        <w:t>development</w:t>
      </w:r>
      <w:r>
        <w:rPr>
          <w:color w:val="231F20"/>
          <w:spacing w:val="-3"/>
        </w:rPr>
        <w:t xml:space="preserve"> </w:t>
      </w:r>
      <w:r>
        <w:rPr>
          <w:color w:val="231F20"/>
        </w:rPr>
        <w:t>to</w:t>
      </w:r>
      <w:r>
        <w:rPr>
          <w:color w:val="231F20"/>
          <w:spacing w:val="-3"/>
        </w:rPr>
        <w:t xml:space="preserve"> </w:t>
      </w:r>
      <w:r>
        <w:rPr>
          <w:color w:val="231F20"/>
        </w:rPr>
        <w:t>establish</w:t>
      </w:r>
      <w:r>
        <w:rPr>
          <w:color w:val="231F20"/>
          <w:spacing w:val="-5"/>
        </w:rPr>
        <w:t xml:space="preserve"> </w:t>
      </w:r>
      <w:r>
        <w:rPr>
          <w:color w:val="231F20"/>
        </w:rPr>
        <w:t>conclusive</w:t>
      </w:r>
      <w:r>
        <w:rPr>
          <w:color w:val="231F20"/>
          <w:spacing w:val="-4"/>
        </w:rPr>
        <w:t xml:space="preserve"> </w:t>
      </w:r>
      <w:r>
        <w:rPr>
          <w:color w:val="231F20"/>
        </w:rPr>
        <w:t>mineral</w:t>
      </w:r>
      <w:r>
        <w:rPr>
          <w:color w:val="231F20"/>
          <w:spacing w:val="-5"/>
        </w:rPr>
        <w:t xml:space="preserve"> </w:t>
      </w:r>
      <w:r>
        <w:rPr>
          <w:color w:val="231F20"/>
        </w:rPr>
        <w:t>resource</w:t>
      </w:r>
      <w:r>
        <w:rPr>
          <w:color w:val="231F20"/>
          <w:spacing w:val="-5"/>
        </w:rPr>
        <w:t xml:space="preserve"> </w:t>
      </w:r>
      <w:r>
        <w:rPr>
          <w:color w:val="231F20"/>
        </w:rPr>
        <w:t>estimates</w:t>
      </w:r>
      <w:r>
        <w:rPr>
          <w:color w:val="231F20"/>
          <w:spacing w:val="-5"/>
        </w:rPr>
        <w:t xml:space="preserve"> </w:t>
      </w:r>
      <w:r>
        <w:rPr>
          <w:color w:val="231F20"/>
        </w:rPr>
        <w:t>and</w:t>
      </w:r>
      <w:r>
        <w:rPr>
          <w:color w:val="231F20"/>
          <w:spacing w:val="-2"/>
        </w:rPr>
        <w:t xml:space="preserve"> </w:t>
      </w:r>
      <w:r>
        <w:rPr>
          <w:color w:val="231F20"/>
        </w:rPr>
        <w:t>these</w:t>
      </w:r>
      <w:r>
        <w:rPr>
          <w:color w:val="231F20"/>
          <w:spacing w:val="-5"/>
        </w:rPr>
        <w:t xml:space="preserve"> </w:t>
      </w:r>
      <w:r>
        <w:rPr>
          <w:color w:val="231F20"/>
        </w:rPr>
        <w:t>estimates</w:t>
      </w:r>
      <w:r>
        <w:rPr>
          <w:color w:val="231F20"/>
          <w:spacing w:val="-3"/>
        </w:rPr>
        <w:t xml:space="preserve"> </w:t>
      </w:r>
      <w:r>
        <w:rPr>
          <w:color w:val="231F20"/>
        </w:rPr>
        <w:t>will factor into placing an appropriate valuation on the</w:t>
      </w:r>
      <w:r>
        <w:rPr>
          <w:color w:val="231F20"/>
          <w:spacing w:val="-4"/>
        </w:rPr>
        <w:t xml:space="preserve"> </w:t>
      </w:r>
      <w:r>
        <w:rPr>
          <w:color w:val="231F20"/>
        </w:rPr>
        <w:t>Portfolio.</w:t>
      </w:r>
    </w:p>
    <w:p w14:paraId="7FF30277" w14:textId="77777777" w:rsidR="00783288" w:rsidRDefault="00783288">
      <w:pPr>
        <w:pStyle w:val="BodyText"/>
        <w:kinsoku w:val="0"/>
        <w:overflowPunct w:val="0"/>
        <w:spacing w:before="7"/>
        <w:rPr>
          <w:sz w:val="17"/>
          <w:szCs w:val="17"/>
        </w:rPr>
      </w:pPr>
    </w:p>
    <w:p w14:paraId="28B29547" w14:textId="77777777" w:rsidR="00783288" w:rsidRDefault="00E31420" w:rsidP="00512495">
      <w:pPr>
        <w:pStyle w:val="Heading1"/>
        <w:numPr>
          <w:ilvl w:val="0"/>
          <w:numId w:val="20"/>
        </w:numPr>
        <w:tabs>
          <w:tab w:val="left" w:pos="660"/>
        </w:tabs>
        <w:kinsoku w:val="0"/>
        <w:overflowPunct w:val="0"/>
        <w:rPr>
          <w:color w:val="231F20"/>
        </w:rPr>
      </w:pPr>
      <w:r>
        <w:rPr>
          <w:color w:val="231F20"/>
        </w:rPr>
        <w:t>Significant Developments, Uncertainties and</w:t>
      </w:r>
      <w:r>
        <w:rPr>
          <w:color w:val="231F20"/>
          <w:spacing w:val="2"/>
        </w:rPr>
        <w:t xml:space="preserve"> </w:t>
      </w:r>
      <w:r>
        <w:rPr>
          <w:color w:val="231F20"/>
        </w:rPr>
        <w:t>Trends</w:t>
      </w:r>
    </w:p>
    <w:p w14:paraId="66159CFB" w14:textId="77777777" w:rsidR="00783288" w:rsidRDefault="00783288">
      <w:pPr>
        <w:pStyle w:val="BodyText"/>
        <w:kinsoku w:val="0"/>
        <w:overflowPunct w:val="0"/>
        <w:spacing w:before="3"/>
        <w:rPr>
          <w:b/>
          <w:bCs/>
        </w:rPr>
      </w:pPr>
    </w:p>
    <w:p w14:paraId="6634415E" w14:textId="090117D1" w:rsidR="00783288" w:rsidRDefault="00E31420">
      <w:pPr>
        <w:pStyle w:val="BodyText"/>
        <w:kinsoku w:val="0"/>
        <w:overflowPunct w:val="0"/>
        <w:spacing w:before="1"/>
        <w:ind w:left="300" w:right="1191"/>
        <w:jc w:val="both"/>
        <w:rPr>
          <w:color w:val="231F20"/>
        </w:rPr>
      </w:pPr>
      <w:r>
        <w:rPr>
          <w:color w:val="231F20"/>
        </w:rPr>
        <w:t>The most significant developments to the Group’s business since the date of RTO Admission has been the identification of further copper</w:t>
      </w:r>
      <w:r w:rsidR="00636678">
        <w:rPr>
          <w:color w:val="231F20"/>
        </w:rPr>
        <w:t>,</w:t>
      </w:r>
      <w:r>
        <w:rPr>
          <w:color w:val="231F20"/>
        </w:rPr>
        <w:t xml:space="preserve"> gold</w:t>
      </w:r>
      <w:r w:rsidR="00636678">
        <w:rPr>
          <w:color w:val="231F20"/>
        </w:rPr>
        <w:t xml:space="preserve">, zinc and silver </w:t>
      </w:r>
      <w:r>
        <w:rPr>
          <w:color w:val="231F20"/>
        </w:rPr>
        <w:t>mineralisation on its Troodos West licence area and the com</w:t>
      </w:r>
      <w:r w:rsidR="00636678">
        <w:rPr>
          <w:color w:val="231F20"/>
        </w:rPr>
        <w:t>pletion</w:t>
      </w:r>
      <w:r>
        <w:rPr>
          <w:color w:val="231F20"/>
        </w:rPr>
        <w:t xml:space="preserve"> of</w:t>
      </w:r>
      <w:r>
        <w:rPr>
          <w:color w:val="231F20"/>
          <w:spacing w:val="-6"/>
        </w:rPr>
        <w:t xml:space="preserve"> </w:t>
      </w:r>
      <w:r>
        <w:rPr>
          <w:color w:val="231F20"/>
        </w:rPr>
        <w:t>a</w:t>
      </w:r>
      <w:r>
        <w:rPr>
          <w:color w:val="231F20"/>
          <w:spacing w:val="-6"/>
        </w:rPr>
        <w:t xml:space="preserve"> </w:t>
      </w:r>
      <w:r>
        <w:rPr>
          <w:color w:val="231F20"/>
        </w:rPr>
        <w:t>2,000</w:t>
      </w:r>
      <w:r>
        <w:rPr>
          <w:color w:val="231F20"/>
          <w:spacing w:val="-8"/>
        </w:rPr>
        <w:t xml:space="preserve"> </w:t>
      </w:r>
      <w:r>
        <w:rPr>
          <w:color w:val="231F20"/>
        </w:rPr>
        <w:t>metre</w:t>
      </w:r>
      <w:r>
        <w:rPr>
          <w:color w:val="231F20"/>
          <w:spacing w:val="-6"/>
        </w:rPr>
        <w:t xml:space="preserve"> </w:t>
      </w:r>
      <w:r w:rsidR="00497D65">
        <w:rPr>
          <w:color w:val="231F20"/>
        </w:rPr>
        <w:t>D</w:t>
      </w:r>
      <w:r>
        <w:rPr>
          <w:color w:val="231F20"/>
        </w:rPr>
        <w:t>iamond</w:t>
      </w:r>
      <w:r>
        <w:rPr>
          <w:color w:val="231F20"/>
          <w:spacing w:val="-6"/>
        </w:rPr>
        <w:t xml:space="preserve"> </w:t>
      </w:r>
      <w:r w:rsidR="00497D65">
        <w:rPr>
          <w:color w:val="231F20"/>
        </w:rPr>
        <w:t>D</w:t>
      </w:r>
      <w:r>
        <w:rPr>
          <w:color w:val="231F20"/>
        </w:rPr>
        <w:t>rilling</w:t>
      </w:r>
      <w:r>
        <w:rPr>
          <w:color w:val="231F20"/>
          <w:spacing w:val="-6"/>
        </w:rPr>
        <w:t xml:space="preserve"> </w:t>
      </w:r>
      <w:r>
        <w:rPr>
          <w:color w:val="231F20"/>
        </w:rPr>
        <w:t>programme</w:t>
      </w:r>
      <w:r>
        <w:rPr>
          <w:color w:val="231F20"/>
          <w:spacing w:val="-5"/>
        </w:rPr>
        <w:t xml:space="preserve"> </w:t>
      </w:r>
      <w:r>
        <w:rPr>
          <w:color w:val="231F20"/>
        </w:rPr>
        <w:t>at</w:t>
      </w:r>
      <w:r>
        <w:rPr>
          <w:color w:val="231F20"/>
          <w:spacing w:val="-6"/>
        </w:rPr>
        <w:t xml:space="preserve"> </w:t>
      </w:r>
      <w:r>
        <w:rPr>
          <w:color w:val="231F20"/>
        </w:rPr>
        <w:t>this</w:t>
      </w:r>
      <w:r>
        <w:rPr>
          <w:color w:val="231F20"/>
          <w:spacing w:val="-6"/>
        </w:rPr>
        <w:t xml:space="preserve"> </w:t>
      </w:r>
      <w:r>
        <w:rPr>
          <w:color w:val="231F20"/>
        </w:rPr>
        <w:t>location.</w:t>
      </w:r>
      <w:r>
        <w:rPr>
          <w:color w:val="231F20"/>
          <w:spacing w:val="-8"/>
        </w:rPr>
        <w:t xml:space="preserve"> </w:t>
      </w:r>
      <w:r>
        <w:rPr>
          <w:color w:val="231F20"/>
        </w:rPr>
        <w:t>In</w:t>
      </w:r>
      <w:r>
        <w:rPr>
          <w:color w:val="231F20"/>
          <w:spacing w:val="-6"/>
        </w:rPr>
        <w:t xml:space="preserve"> </w:t>
      </w:r>
      <w:r>
        <w:rPr>
          <w:color w:val="231F20"/>
        </w:rPr>
        <w:t>addition,</w:t>
      </w:r>
      <w:r>
        <w:rPr>
          <w:color w:val="231F20"/>
          <w:spacing w:val="-6"/>
        </w:rPr>
        <w:t xml:space="preserve"> </w:t>
      </w:r>
      <w:r>
        <w:rPr>
          <w:color w:val="231F20"/>
        </w:rPr>
        <w:t>in</w:t>
      </w:r>
      <w:r>
        <w:rPr>
          <w:color w:val="231F20"/>
          <w:spacing w:val="-5"/>
        </w:rPr>
        <w:t xml:space="preserve"> </w:t>
      </w:r>
      <w:r>
        <w:rPr>
          <w:color w:val="231F20"/>
        </w:rPr>
        <w:t>2020</w:t>
      </w:r>
      <w:r>
        <w:rPr>
          <w:color w:val="231F20"/>
          <w:spacing w:val="-6"/>
        </w:rPr>
        <w:t xml:space="preserve"> </w:t>
      </w:r>
      <w:r>
        <w:rPr>
          <w:color w:val="231F20"/>
        </w:rPr>
        <w:t>the</w:t>
      </w:r>
      <w:r>
        <w:rPr>
          <w:color w:val="231F20"/>
          <w:spacing w:val="-6"/>
        </w:rPr>
        <w:t xml:space="preserve"> </w:t>
      </w:r>
      <w:r>
        <w:rPr>
          <w:color w:val="231F20"/>
        </w:rPr>
        <w:t>Group</w:t>
      </w:r>
      <w:r>
        <w:rPr>
          <w:color w:val="231F20"/>
          <w:spacing w:val="-8"/>
        </w:rPr>
        <w:t xml:space="preserve"> </w:t>
      </w:r>
      <w:r>
        <w:rPr>
          <w:color w:val="231F20"/>
        </w:rPr>
        <w:t>has</w:t>
      </w:r>
      <w:r>
        <w:rPr>
          <w:color w:val="231F20"/>
          <w:spacing w:val="-6"/>
        </w:rPr>
        <w:t xml:space="preserve"> </w:t>
      </w:r>
      <w:r>
        <w:rPr>
          <w:color w:val="231F20"/>
        </w:rPr>
        <w:t>also</w:t>
      </w:r>
      <w:r>
        <w:rPr>
          <w:color w:val="231F20"/>
          <w:spacing w:val="-6"/>
        </w:rPr>
        <w:t xml:space="preserve"> </w:t>
      </w:r>
      <w:r>
        <w:rPr>
          <w:color w:val="231F20"/>
        </w:rPr>
        <w:t>been</w:t>
      </w:r>
      <w:r>
        <w:rPr>
          <w:color w:val="231F20"/>
          <w:spacing w:val="-5"/>
        </w:rPr>
        <w:t xml:space="preserve"> </w:t>
      </w:r>
      <w:r>
        <w:rPr>
          <w:color w:val="231F20"/>
        </w:rPr>
        <w:t>granted three</w:t>
      </w:r>
      <w:r>
        <w:rPr>
          <w:color w:val="231F20"/>
          <w:spacing w:val="-13"/>
        </w:rPr>
        <w:t xml:space="preserve"> </w:t>
      </w:r>
      <w:r>
        <w:rPr>
          <w:color w:val="231F20"/>
        </w:rPr>
        <w:t>new</w:t>
      </w:r>
      <w:r>
        <w:rPr>
          <w:color w:val="231F20"/>
          <w:spacing w:val="-17"/>
        </w:rPr>
        <w:t xml:space="preserve"> </w:t>
      </w:r>
      <w:r>
        <w:rPr>
          <w:color w:val="231F20"/>
        </w:rPr>
        <w:t>Prospecting</w:t>
      </w:r>
      <w:r>
        <w:rPr>
          <w:color w:val="231F20"/>
          <w:spacing w:val="-13"/>
        </w:rPr>
        <w:t xml:space="preserve"> </w:t>
      </w:r>
      <w:r>
        <w:rPr>
          <w:color w:val="231F20"/>
        </w:rPr>
        <w:t>Permits</w:t>
      </w:r>
      <w:r>
        <w:rPr>
          <w:color w:val="231F20"/>
          <w:spacing w:val="-15"/>
        </w:rPr>
        <w:t xml:space="preserve"> </w:t>
      </w:r>
      <w:r>
        <w:rPr>
          <w:color w:val="231F20"/>
        </w:rPr>
        <w:t>at</w:t>
      </w:r>
      <w:r>
        <w:rPr>
          <w:color w:val="231F20"/>
          <w:spacing w:val="-14"/>
        </w:rPr>
        <w:t xml:space="preserve"> </w:t>
      </w:r>
      <w:r>
        <w:rPr>
          <w:color w:val="231F20"/>
        </w:rPr>
        <w:t>its</w:t>
      </w:r>
      <w:r>
        <w:rPr>
          <w:color w:val="231F20"/>
          <w:spacing w:val="-13"/>
        </w:rPr>
        <w:t xml:space="preserve"> </w:t>
      </w:r>
      <w:r>
        <w:rPr>
          <w:color w:val="231F20"/>
        </w:rPr>
        <w:t>Discovery</w:t>
      </w:r>
      <w:r>
        <w:rPr>
          <w:color w:val="231F20"/>
          <w:spacing w:val="-14"/>
        </w:rPr>
        <w:t xml:space="preserve"> </w:t>
      </w:r>
      <w:r>
        <w:rPr>
          <w:color w:val="231F20"/>
        </w:rPr>
        <w:t>South</w:t>
      </w:r>
      <w:r>
        <w:rPr>
          <w:color w:val="231F20"/>
          <w:spacing w:val="-16"/>
        </w:rPr>
        <w:t xml:space="preserve"> </w:t>
      </w:r>
      <w:r>
        <w:rPr>
          <w:color w:val="231F20"/>
        </w:rPr>
        <w:t>location</w:t>
      </w:r>
      <w:r>
        <w:rPr>
          <w:color w:val="231F20"/>
          <w:spacing w:val="-16"/>
        </w:rPr>
        <w:t xml:space="preserve"> </w:t>
      </w:r>
      <w:r>
        <w:rPr>
          <w:color w:val="231F20"/>
        </w:rPr>
        <w:t>and</w:t>
      </w:r>
      <w:r>
        <w:rPr>
          <w:color w:val="231F20"/>
          <w:spacing w:val="-13"/>
        </w:rPr>
        <w:t xml:space="preserve"> </w:t>
      </w:r>
      <w:r>
        <w:rPr>
          <w:color w:val="231F20"/>
        </w:rPr>
        <w:t>made</w:t>
      </w:r>
      <w:r>
        <w:rPr>
          <w:color w:val="231F20"/>
          <w:spacing w:val="-13"/>
        </w:rPr>
        <w:t xml:space="preserve"> </w:t>
      </w:r>
      <w:r>
        <w:rPr>
          <w:color w:val="231F20"/>
        </w:rPr>
        <w:t>three</w:t>
      </w:r>
      <w:r>
        <w:rPr>
          <w:color w:val="231F20"/>
          <w:spacing w:val="-13"/>
        </w:rPr>
        <w:t xml:space="preserve"> </w:t>
      </w:r>
      <w:r>
        <w:rPr>
          <w:color w:val="231F20"/>
        </w:rPr>
        <w:t>new</w:t>
      </w:r>
      <w:r>
        <w:rPr>
          <w:color w:val="231F20"/>
          <w:spacing w:val="-16"/>
        </w:rPr>
        <w:t xml:space="preserve"> </w:t>
      </w:r>
      <w:r w:rsidR="00D3036A">
        <w:rPr>
          <w:color w:val="231F20"/>
        </w:rPr>
        <w:t>p</w:t>
      </w:r>
      <w:r>
        <w:rPr>
          <w:color w:val="231F20"/>
        </w:rPr>
        <w:t>rospecting</w:t>
      </w:r>
      <w:r>
        <w:rPr>
          <w:color w:val="231F20"/>
          <w:spacing w:val="-13"/>
        </w:rPr>
        <w:t xml:space="preserve"> </w:t>
      </w:r>
      <w:r w:rsidR="00D3036A">
        <w:rPr>
          <w:color w:val="231F20"/>
        </w:rPr>
        <w:t>p</w:t>
      </w:r>
      <w:r>
        <w:rPr>
          <w:color w:val="231F20"/>
        </w:rPr>
        <w:t>ermit</w:t>
      </w:r>
      <w:r>
        <w:rPr>
          <w:color w:val="231F20"/>
          <w:spacing w:val="-14"/>
        </w:rPr>
        <w:t xml:space="preserve"> </w:t>
      </w:r>
      <w:r w:rsidR="00D3036A">
        <w:rPr>
          <w:color w:val="231F20"/>
        </w:rPr>
        <w:t>a</w:t>
      </w:r>
      <w:r>
        <w:rPr>
          <w:color w:val="231F20"/>
        </w:rPr>
        <w:t>pplications at Troodos West (two in June 2020</w:t>
      </w:r>
      <w:r w:rsidR="00D3036A">
        <w:rPr>
          <w:color w:val="231F20"/>
        </w:rPr>
        <w:t xml:space="preserve"> and one in October 2020</w:t>
      </w:r>
      <w:r>
        <w:rPr>
          <w:color w:val="231F20"/>
        </w:rPr>
        <w:t>, which have now been granted).</w:t>
      </w:r>
    </w:p>
    <w:p w14:paraId="7DBC9A79" w14:textId="77777777" w:rsidR="00783288" w:rsidRDefault="00783288">
      <w:pPr>
        <w:pStyle w:val="BodyText"/>
        <w:kinsoku w:val="0"/>
        <w:overflowPunct w:val="0"/>
        <w:spacing w:before="1"/>
      </w:pPr>
    </w:p>
    <w:p w14:paraId="477F004E" w14:textId="75F26FE2" w:rsidR="00783288" w:rsidRDefault="00E31420">
      <w:pPr>
        <w:pStyle w:val="BodyText"/>
        <w:kinsoku w:val="0"/>
        <w:overflowPunct w:val="0"/>
        <w:ind w:left="300" w:right="1191"/>
        <w:jc w:val="both"/>
        <w:rPr>
          <w:color w:val="231F20"/>
        </w:rPr>
      </w:pPr>
      <w:r>
        <w:rPr>
          <w:color w:val="231F20"/>
        </w:rPr>
        <w:t>A</w:t>
      </w:r>
      <w:r>
        <w:rPr>
          <w:color w:val="231F20"/>
          <w:spacing w:val="-13"/>
        </w:rPr>
        <w:t xml:space="preserve"> </w:t>
      </w:r>
      <w:r>
        <w:rPr>
          <w:color w:val="231F20"/>
        </w:rPr>
        <w:t>significant</w:t>
      </w:r>
      <w:r>
        <w:rPr>
          <w:color w:val="231F20"/>
          <w:spacing w:val="-11"/>
        </w:rPr>
        <w:t xml:space="preserve"> </w:t>
      </w:r>
      <w:r>
        <w:rPr>
          <w:color w:val="231F20"/>
        </w:rPr>
        <w:t>trend</w:t>
      </w:r>
      <w:r>
        <w:rPr>
          <w:color w:val="231F20"/>
          <w:spacing w:val="-12"/>
        </w:rPr>
        <w:t xml:space="preserve"> </w:t>
      </w:r>
      <w:r>
        <w:rPr>
          <w:color w:val="231F20"/>
        </w:rPr>
        <w:t>affecting</w:t>
      </w:r>
      <w:r>
        <w:rPr>
          <w:color w:val="231F20"/>
          <w:spacing w:val="-11"/>
        </w:rPr>
        <w:t xml:space="preserve"> </w:t>
      </w:r>
      <w:r>
        <w:rPr>
          <w:color w:val="231F20"/>
        </w:rPr>
        <w:t>the</w:t>
      </w:r>
      <w:r>
        <w:rPr>
          <w:color w:val="231F20"/>
          <w:spacing w:val="-13"/>
        </w:rPr>
        <w:t xml:space="preserve"> </w:t>
      </w:r>
      <w:r>
        <w:rPr>
          <w:color w:val="231F20"/>
        </w:rPr>
        <w:t>Group</w:t>
      </w:r>
      <w:r>
        <w:rPr>
          <w:color w:val="231F20"/>
          <w:spacing w:val="-12"/>
        </w:rPr>
        <w:t xml:space="preserve"> </w:t>
      </w:r>
      <w:r>
        <w:rPr>
          <w:color w:val="231F20"/>
        </w:rPr>
        <w:t>is</w:t>
      </w:r>
      <w:r>
        <w:rPr>
          <w:color w:val="231F20"/>
          <w:spacing w:val="-10"/>
        </w:rPr>
        <w:t xml:space="preserve"> </w:t>
      </w:r>
      <w:r>
        <w:rPr>
          <w:color w:val="231F20"/>
        </w:rPr>
        <w:t>its</w:t>
      </w:r>
      <w:r>
        <w:rPr>
          <w:color w:val="231F20"/>
          <w:spacing w:val="-11"/>
        </w:rPr>
        <w:t xml:space="preserve"> </w:t>
      </w:r>
      <w:r>
        <w:rPr>
          <w:color w:val="231F20"/>
        </w:rPr>
        <w:t>increased</w:t>
      </w:r>
      <w:r>
        <w:rPr>
          <w:color w:val="231F20"/>
          <w:spacing w:val="-11"/>
        </w:rPr>
        <w:t xml:space="preserve"> </w:t>
      </w:r>
      <w:r>
        <w:rPr>
          <w:color w:val="231F20"/>
        </w:rPr>
        <w:t>focus</w:t>
      </w:r>
      <w:r>
        <w:rPr>
          <w:color w:val="231F20"/>
          <w:spacing w:val="-10"/>
        </w:rPr>
        <w:t xml:space="preserve"> </w:t>
      </w:r>
      <w:r>
        <w:rPr>
          <w:color w:val="231F20"/>
        </w:rPr>
        <w:t>on</w:t>
      </w:r>
      <w:r>
        <w:rPr>
          <w:color w:val="231F20"/>
          <w:spacing w:val="-11"/>
        </w:rPr>
        <w:t xml:space="preserve"> </w:t>
      </w:r>
      <w:r>
        <w:rPr>
          <w:color w:val="231F20"/>
        </w:rPr>
        <w:t>gold</w:t>
      </w:r>
      <w:r>
        <w:rPr>
          <w:color w:val="231F20"/>
          <w:spacing w:val="-11"/>
        </w:rPr>
        <w:t xml:space="preserve"> </w:t>
      </w:r>
      <w:r>
        <w:rPr>
          <w:color w:val="231F20"/>
        </w:rPr>
        <w:t>exploration</w:t>
      </w:r>
      <w:r>
        <w:rPr>
          <w:color w:val="231F20"/>
          <w:spacing w:val="-12"/>
        </w:rPr>
        <w:t xml:space="preserve"> </w:t>
      </w:r>
      <w:r>
        <w:rPr>
          <w:color w:val="231F20"/>
        </w:rPr>
        <w:t>and</w:t>
      </w:r>
      <w:r>
        <w:rPr>
          <w:color w:val="231F20"/>
          <w:spacing w:val="-11"/>
        </w:rPr>
        <w:t xml:space="preserve"> </w:t>
      </w:r>
      <w:r>
        <w:rPr>
          <w:color w:val="231F20"/>
        </w:rPr>
        <w:t>extraction,</w:t>
      </w:r>
      <w:r>
        <w:rPr>
          <w:color w:val="231F20"/>
          <w:spacing w:val="-12"/>
        </w:rPr>
        <w:t xml:space="preserve"> </w:t>
      </w:r>
      <w:r>
        <w:rPr>
          <w:color w:val="231F20"/>
        </w:rPr>
        <w:t>which</w:t>
      </w:r>
      <w:r>
        <w:rPr>
          <w:color w:val="231F20"/>
          <w:spacing w:val="-11"/>
        </w:rPr>
        <w:t xml:space="preserve"> </w:t>
      </w:r>
      <w:r>
        <w:rPr>
          <w:color w:val="231F20"/>
        </w:rPr>
        <w:t>has</w:t>
      </w:r>
      <w:r>
        <w:rPr>
          <w:color w:val="231F20"/>
          <w:spacing w:val="-10"/>
        </w:rPr>
        <w:t xml:space="preserve"> </w:t>
      </w:r>
      <w:r>
        <w:rPr>
          <w:color w:val="231F20"/>
        </w:rPr>
        <w:t>stemmed from an approximately 40 per cent appreciation in the price of gold over the last 2 years</w:t>
      </w:r>
      <w:r w:rsidR="00B56F6B">
        <w:rPr>
          <w:color w:val="231F20"/>
        </w:rPr>
        <w:t xml:space="preserve"> </w:t>
      </w:r>
      <w:r w:rsidR="00046867">
        <w:rPr>
          <w:i/>
          <w:color w:val="231F20"/>
        </w:rPr>
        <w:t>(</w:t>
      </w:r>
      <w:r w:rsidR="00B56F6B" w:rsidRPr="00B56F6B">
        <w:rPr>
          <w:i/>
          <w:color w:val="231F20"/>
        </w:rPr>
        <w:t>Source: London Metal Exchange,</w:t>
      </w:r>
      <w:r w:rsidR="00905DD2">
        <w:rPr>
          <w:i/>
          <w:color w:val="231F20"/>
        </w:rPr>
        <w:t xml:space="preserve"> </w:t>
      </w:r>
      <w:hyperlink r:id="rId29" w:anchor="tabIndex=0" w:history="1">
        <w:r w:rsidR="00905DD2" w:rsidRPr="00EF2315">
          <w:rPr>
            <w:rStyle w:val="Hyperlink"/>
            <w:i/>
          </w:rPr>
          <w:t>https://www.lme.com/Metals/Precious-metals/LME-Gold#tabIndex=0</w:t>
        </w:r>
      </w:hyperlink>
      <w:r w:rsidR="00905DD2">
        <w:rPr>
          <w:i/>
          <w:color w:val="231F20"/>
        </w:rPr>
        <w:t xml:space="preserve"> </w:t>
      </w:r>
      <w:r w:rsidR="004402C1">
        <w:rPr>
          <w:i/>
        </w:rPr>
        <w:t>0</w:t>
      </w:r>
      <w:r w:rsidR="00117CD0">
        <w:rPr>
          <w:i/>
        </w:rPr>
        <w:t>1</w:t>
      </w:r>
      <w:r w:rsidR="004402C1">
        <w:rPr>
          <w:i/>
        </w:rPr>
        <w:t>.07.21</w:t>
      </w:r>
      <w:r w:rsidR="00046867">
        <w:rPr>
          <w:i/>
          <w:color w:val="231F20"/>
        </w:rPr>
        <w:t>)</w:t>
      </w:r>
      <w:r>
        <w:rPr>
          <w:color w:val="231F20"/>
        </w:rPr>
        <w:t>. More generally, the Group’s activities will be affected by medium to long term trends and fluctuations in the prices of copper, gold and other minerals, which may become relevant to the Group as discussed above, as this will be directly linked to the value of the</w:t>
      </w:r>
      <w:r>
        <w:rPr>
          <w:color w:val="231F20"/>
          <w:spacing w:val="-1"/>
        </w:rPr>
        <w:t xml:space="preserve"> </w:t>
      </w:r>
      <w:r>
        <w:rPr>
          <w:color w:val="231F20"/>
        </w:rPr>
        <w:t>Portfolio.</w:t>
      </w:r>
    </w:p>
    <w:p w14:paraId="6E3B7CFC" w14:textId="77777777" w:rsidR="00783288" w:rsidRDefault="00783288">
      <w:pPr>
        <w:pStyle w:val="BodyText"/>
        <w:kinsoku w:val="0"/>
        <w:overflowPunct w:val="0"/>
        <w:spacing w:before="10"/>
        <w:rPr>
          <w:sz w:val="17"/>
          <w:szCs w:val="17"/>
        </w:rPr>
      </w:pPr>
    </w:p>
    <w:p w14:paraId="7B36C8C7" w14:textId="59CF5575" w:rsidR="00783288" w:rsidRDefault="00E31420">
      <w:pPr>
        <w:pStyle w:val="BodyText"/>
        <w:kinsoku w:val="0"/>
        <w:overflowPunct w:val="0"/>
        <w:ind w:left="300" w:right="1189"/>
        <w:jc w:val="both"/>
        <w:rPr>
          <w:color w:val="231F20"/>
        </w:rPr>
      </w:pPr>
      <w:r>
        <w:rPr>
          <w:color w:val="231F20"/>
        </w:rPr>
        <w:t>COVID</w:t>
      </w:r>
      <w:r>
        <w:rPr>
          <w:color w:val="231F20"/>
          <w:spacing w:val="-2"/>
        </w:rPr>
        <w:t xml:space="preserve"> </w:t>
      </w:r>
      <w:r>
        <w:rPr>
          <w:color w:val="231F20"/>
        </w:rPr>
        <w:t>19</w:t>
      </w:r>
      <w:r>
        <w:rPr>
          <w:color w:val="231F20"/>
          <w:spacing w:val="-1"/>
        </w:rPr>
        <w:t xml:space="preserve"> </w:t>
      </w:r>
      <w:r>
        <w:rPr>
          <w:color w:val="231F20"/>
        </w:rPr>
        <w:t>is</w:t>
      </w:r>
      <w:r>
        <w:rPr>
          <w:color w:val="231F20"/>
          <w:spacing w:val="-1"/>
        </w:rPr>
        <w:t xml:space="preserve"> </w:t>
      </w:r>
      <w:r>
        <w:rPr>
          <w:color w:val="231F20"/>
        </w:rPr>
        <w:t>an</w:t>
      </w:r>
      <w:r>
        <w:rPr>
          <w:color w:val="231F20"/>
          <w:spacing w:val="-3"/>
        </w:rPr>
        <w:t xml:space="preserve"> </w:t>
      </w:r>
      <w:r>
        <w:rPr>
          <w:color w:val="231F20"/>
        </w:rPr>
        <w:t>uncertainty</w:t>
      </w:r>
      <w:r>
        <w:rPr>
          <w:color w:val="231F20"/>
          <w:spacing w:val="-3"/>
        </w:rPr>
        <w:t xml:space="preserve"> </w:t>
      </w:r>
      <w:r>
        <w:rPr>
          <w:color w:val="231F20"/>
        </w:rPr>
        <w:t>which</w:t>
      </w:r>
      <w:r>
        <w:rPr>
          <w:color w:val="231F20"/>
          <w:spacing w:val="-4"/>
        </w:rPr>
        <w:t xml:space="preserve"> </w:t>
      </w:r>
      <w:r>
        <w:rPr>
          <w:color w:val="231F20"/>
        </w:rPr>
        <w:t>has had</w:t>
      </w:r>
      <w:r>
        <w:rPr>
          <w:color w:val="231F20"/>
          <w:spacing w:val="-4"/>
        </w:rPr>
        <w:t xml:space="preserve"> </w:t>
      </w:r>
      <w:r>
        <w:rPr>
          <w:color w:val="231F20"/>
        </w:rPr>
        <w:t>an</w:t>
      </w:r>
      <w:r>
        <w:rPr>
          <w:color w:val="231F20"/>
          <w:spacing w:val="-4"/>
        </w:rPr>
        <w:t xml:space="preserve"> </w:t>
      </w:r>
      <w:r>
        <w:rPr>
          <w:color w:val="231F20"/>
        </w:rPr>
        <w:t>impact</w:t>
      </w:r>
      <w:r>
        <w:rPr>
          <w:color w:val="231F20"/>
          <w:spacing w:val="-3"/>
        </w:rPr>
        <w:t xml:space="preserve"> </w:t>
      </w:r>
      <w:r>
        <w:rPr>
          <w:color w:val="231F20"/>
        </w:rPr>
        <w:t>on</w:t>
      </w:r>
      <w:r>
        <w:rPr>
          <w:color w:val="231F20"/>
          <w:spacing w:val="-4"/>
        </w:rPr>
        <w:t xml:space="preserve"> </w:t>
      </w:r>
      <w:r>
        <w:rPr>
          <w:color w:val="231F20"/>
        </w:rPr>
        <w:t>the</w:t>
      </w:r>
      <w:r>
        <w:rPr>
          <w:color w:val="231F20"/>
          <w:spacing w:val="-6"/>
        </w:rPr>
        <w:t xml:space="preserve"> </w:t>
      </w:r>
      <w:r>
        <w:rPr>
          <w:color w:val="231F20"/>
        </w:rPr>
        <w:t>Group</w:t>
      </w:r>
      <w:r>
        <w:rPr>
          <w:color w:val="231F20"/>
          <w:spacing w:val="1"/>
        </w:rPr>
        <w:t xml:space="preserve"> </w:t>
      </w:r>
      <w:r>
        <w:rPr>
          <w:color w:val="231F20"/>
        </w:rPr>
        <w:t>in</w:t>
      </w:r>
      <w:r>
        <w:rPr>
          <w:color w:val="231F20"/>
          <w:spacing w:val="-1"/>
        </w:rPr>
        <w:t xml:space="preserve"> </w:t>
      </w:r>
      <w:r>
        <w:rPr>
          <w:color w:val="231F20"/>
        </w:rPr>
        <w:t>2020</w:t>
      </w:r>
      <w:r>
        <w:rPr>
          <w:color w:val="231F20"/>
          <w:spacing w:val="-4"/>
        </w:rPr>
        <w:t xml:space="preserve"> </w:t>
      </w:r>
      <w:r>
        <w:rPr>
          <w:color w:val="231F20"/>
        </w:rPr>
        <w:t>including</w:t>
      </w:r>
      <w:r>
        <w:rPr>
          <w:color w:val="231F20"/>
          <w:spacing w:val="-4"/>
        </w:rPr>
        <w:t xml:space="preserve"> </w:t>
      </w:r>
      <w:r>
        <w:rPr>
          <w:color w:val="231F20"/>
        </w:rPr>
        <w:t>the</w:t>
      </w:r>
      <w:r>
        <w:rPr>
          <w:color w:val="231F20"/>
          <w:spacing w:val="-3"/>
        </w:rPr>
        <w:t xml:space="preserve"> </w:t>
      </w:r>
      <w:r>
        <w:rPr>
          <w:color w:val="231F20"/>
        </w:rPr>
        <w:t>postponement</w:t>
      </w:r>
      <w:r>
        <w:rPr>
          <w:color w:val="231F20"/>
          <w:spacing w:val="-4"/>
        </w:rPr>
        <w:t xml:space="preserve"> </w:t>
      </w:r>
      <w:r>
        <w:rPr>
          <w:color w:val="231F20"/>
        </w:rPr>
        <w:t>and</w:t>
      </w:r>
      <w:r>
        <w:rPr>
          <w:color w:val="231F20"/>
          <w:spacing w:val="-3"/>
        </w:rPr>
        <w:t xml:space="preserve"> </w:t>
      </w:r>
      <w:r>
        <w:rPr>
          <w:color w:val="231F20"/>
        </w:rPr>
        <w:t xml:space="preserve">delay of percussion and </w:t>
      </w:r>
      <w:r w:rsidR="00497D65">
        <w:rPr>
          <w:color w:val="231F20"/>
        </w:rPr>
        <w:t>D</w:t>
      </w:r>
      <w:r>
        <w:rPr>
          <w:color w:val="231F20"/>
        </w:rPr>
        <w:t xml:space="preserve">iamond </w:t>
      </w:r>
      <w:r w:rsidR="00497D65">
        <w:rPr>
          <w:color w:val="231F20"/>
        </w:rPr>
        <w:t>D</w:t>
      </w:r>
      <w:r>
        <w:rPr>
          <w:color w:val="231F20"/>
        </w:rPr>
        <w:t xml:space="preserve">rilling programmes at Troodos West. </w:t>
      </w:r>
      <w:r w:rsidR="00636678">
        <w:rPr>
          <w:color w:val="231F20"/>
        </w:rPr>
        <w:t xml:space="preserve">The recent </w:t>
      </w:r>
      <w:r>
        <w:rPr>
          <w:color w:val="231F20"/>
        </w:rPr>
        <w:t xml:space="preserve">second spike in the number of cases in Cyprus and associated government restrictions could have a further impact on the Group’s operations. However, </w:t>
      </w:r>
      <w:r>
        <w:rPr>
          <w:color w:val="040505"/>
        </w:rPr>
        <w:t xml:space="preserve">the situation in Cyprus </w:t>
      </w:r>
      <w:r>
        <w:rPr>
          <w:color w:val="231F20"/>
        </w:rPr>
        <w:t>is relatively controlled, with</w:t>
      </w:r>
      <w:r w:rsidR="00636678">
        <w:rPr>
          <w:color w:val="231F20"/>
        </w:rPr>
        <w:t xml:space="preserve"> </w:t>
      </w:r>
      <w:r w:rsidR="00224FB0">
        <w:rPr>
          <w:color w:val="231F20"/>
        </w:rPr>
        <w:t>fewer</w:t>
      </w:r>
      <w:r w:rsidR="00636678">
        <w:rPr>
          <w:color w:val="231F20"/>
        </w:rPr>
        <w:t xml:space="preserve"> than </w:t>
      </w:r>
      <w:r w:rsidR="00B56F6B">
        <w:rPr>
          <w:color w:val="231F20"/>
        </w:rPr>
        <w:t>400</w:t>
      </w:r>
      <w:r w:rsidR="00636678">
        <w:rPr>
          <w:color w:val="231F20"/>
        </w:rPr>
        <w:t xml:space="preserve"> </w:t>
      </w:r>
      <w:r w:rsidR="00772705">
        <w:rPr>
          <w:color w:val="231F20"/>
        </w:rPr>
        <w:t>COVID 19</w:t>
      </w:r>
      <w:r w:rsidR="00636678">
        <w:rPr>
          <w:color w:val="231F20"/>
        </w:rPr>
        <w:t xml:space="preserve"> related deaths to date</w:t>
      </w:r>
      <w:r>
        <w:rPr>
          <w:color w:val="231F20"/>
        </w:rPr>
        <w:t>, a comparatively low number in the context of the rest of Europe</w:t>
      </w:r>
      <w:r w:rsidR="00B56F6B">
        <w:rPr>
          <w:color w:val="231F20"/>
        </w:rPr>
        <w:t xml:space="preserve"> </w:t>
      </w:r>
      <w:r w:rsidR="00046867">
        <w:rPr>
          <w:i/>
          <w:color w:val="231F20"/>
        </w:rPr>
        <w:t>(</w:t>
      </w:r>
      <w:r w:rsidR="00B56F6B" w:rsidRPr="00B56F6B">
        <w:rPr>
          <w:i/>
          <w:color w:val="231F20"/>
        </w:rPr>
        <w:t xml:space="preserve">Source: Reuters Covid-19 Tracker, </w:t>
      </w:r>
      <w:r w:rsidR="00F23DDE">
        <w:rPr>
          <w:i/>
        </w:rPr>
        <w:t>0</w:t>
      </w:r>
      <w:r w:rsidR="00117CD0">
        <w:rPr>
          <w:i/>
        </w:rPr>
        <w:t>1</w:t>
      </w:r>
      <w:r w:rsidR="00F23DDE">
        <w:rPr>
          <w:i/>
        </w:rPr>
        <w:t>.07.21</w:t>
      </w:r>
      <w:r w:rsidR="00046867">
        <w:rPr>
          <w:i/>
          <w:color w:val="231F20"/>
        </w:rPr>
        <w:t>)</w:t>
      </w:r>
      <w:r>
        <w:rPr>
          <w:color w:val="231F20"/>
        </w:rPr>
        <w:t>. As such, the Directors remain confident that the impact of COVID 19 on its business will be relatively immaterial. The most significant impacts of COVID 19 on the Group’s</w:t>
      </w:r>
      <w:r>
        <w:rPr>
          <w:color w:val="231F20"/>
          <w:spacing w:val="-6"/>
        </w:rPr>
        <w:t xml:space="preserve"> </w:t>
      </w:r>
      <w:r>
        <w:rPr>
          <w:color w:val="231F20"/>
        </w:rPr>
        <w:t>activities,</w:t>
      </w:r>
      <w:r>
        <w:rPr>
          <w:color w:val="231F20"/>
          <w:spacing w:val="-6"/>
        </w:rPr>
        <w:t xml:space="preserve"> </w:t>
      </w:r>
      <w:r>
        <w:rPr>
          <w:color w:val="231F20"/>
        </w:rPr>
        <w:t>is</w:t>
      </w:r>
      <w:r>
        <w:rPr>
          <w:color w:val="231F20"/>
          <w:spacing w:val="-6"/>
        </w:rPr>
        <w:t xml:space="preserve"> </w:t>
      </w:r>
      <w:r>
        <w:rPr>
          <w:color w:val="231F20"/>
        </w:rPr>
        <w:t>expected</w:t>
      </w:r>
      <w:r>
        <w:rPr>
          <w:color w:val="231F20"/>
          <w:spacing w:val="-9"/>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the</w:t>
      </w:r>
      <w:r>
        <w:rPr>
          <w:color w:val="231F20"/>
          <w:spacing w:val="-6"/>
        </w:rPr>
        <w:t xml:space="preserve"> </w:t>
      </w:r>
      <w:r>
        <w:rPr>
          <w:color w:val="231F20"/>
        </w:rPr>
        <w:t>difficulty</w:t>
      </w:r>
      <w:r>
        <w:rPr>
          <w:color w:val="231F20"/>
          <w:spacing w:val="-7"/>
        </w:rPr>
        <w:t xml:space="preserve"> </w:t>
      </w:r>
      <w:r>
        <w:rPr>
          <w:color w:val="231F20"/>
        </w:rPr>
        <w:t>moving</w:t>
      </w:r>
      <w:r>
        <w:rPr>
          <w:color w:val="231F20"/>
          <w:spacing w:val="-6"/>
        </w:rPr>
        <w:t xml:space="preserve"> </w:t>
      </w:r>
      <w:r>
        <w:rPr>
          <w:color w:val="231F20"/>
        </w:rPr>
        <w:t>personnel</w:t>
      </w:r>
      <w:r>
        <w:rPr>
          <w:color w:val="231F20"/>
          <w:spacing w:val="-6"/>
        </w:rPr>
        <w:t xml:space="preserve"> </w:t>
      </w:r>
      <w:r>
        <w:rPr>
          <w:color w:val="231F20"/>
        </w:rPr>
        <w:t>in</w:t>
      </w:r>
      <w:r>
        <w:rPr>
          <w:color w:val="231F20"/>
          <w:spacing w:val="-6"/>
        </w:rPr>
        <w:t xml:space="preserve"> </w:t>
      </w:r>
      <w:r>
        <w:rPr>
          <w:color w:val="231F20"/>
        </w:rPr>
        <w:t>and</w:t>
      </w:r>
      <w:r>
        <w:rPr>
          <w:color w:val="231F20"/>
          <w:spacing w:val="-6"/>
        </w:rPr>
        <w:t xml:space="preserve"> </w:t>
      </w:r>
      <w:r>
        <w:rPr>
          <w:color w:val="231F20"/>
        </w:rPr>
        <w:t>out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7"/>
        </w:rPr>
        <w:t xml:space="preserve"> </w:t>
      </w:r>
      <w:r>
        <w:rPr>
          <w:color w:val="231F20"/>
        </w:rPr>
        <w:t>to</w:t>
      </w:r>
      <w:r>
        <w:rPr>
          <w:color w:val="231F20"/>
          <w:spacing w:val="-4"/>
        </w:rPr>
        <w:t xml:space="preserve"> </w:t>
      </w:r>
      <w:r>
        <w:rPr>
          <w:color w:val="231F20"/>
        </w:rPr>
        <w:t>work</w:t>
      </w:r>
      <w:r>
        <w:rPr>
          <w:color w:val="231F20"/>
          <w:spacing w:val="-6"/>
        </w:rPr>
        <w:t xml:space="preserve"> </w:t>
      </w:r>
      <w:r>
        <w:rPr>
          <w:color w:val="231F20"/>
        </w:rPr>
        <w:t>carry</w:t>
      </w:r>
      <w:r>
        <w:rPr>
          <w:color w:val="231F20"/>
          <w:spacing w:val="-6"/>
        </w:rPr>
        <w:t xml:space="preserve"> </w:t>
      </w:r>
      <w:r>
        <w:rPr>
          <w:color w:val="231F20"/>
        </w:rPr>
        <w:t>out</w:t>
      </w:r>
      <w:r>
        <w:rPr>
          <w:color w:val="231F20"/>
          <w:spacing w:val="-4"/>
        </w:rPr>
        <w:t xml:space="preserve"> </w:t>
      </w:r>
      <w:r>
        <w:rPr>
          <w:color w:val="231F20"/>
        </w:rPr>
        <w:t xml:space="preserve">work in relation to the Portfolio and potential volatility and downward trends on </w:t>
      </w:r>
      <w:r>
        <w:rPr>
          <w:color w:val="231F20"/>
        </w:rPr>
        <w:lastRenderedPageBreak/>
        <w:t>the stock markets, which may affect the Company, the valuation of its share price and therefore its attractiveness to potential</w:t>
      </w:r>
      <w:r>
        <w:rPr>
          <w:color w:val="231F20"/>
          <w:spacing w:val="-11"/>
        </w:rPr>
        <w:t xml:space="preserve"> </w:t>
      </w:r>
      <w:r>
        <w:rPr>
          <w:color w:val="231F20"/>
        </w:rPr>
        <w:t>investors.</w:t>
      </w:r>
      <w:r w:rsidR="008B0448">
        <w:rPr>
          <w:color w:val="231F20"/>
        </w:rPr>
        <w:t xml:space="preserve"> </w:t>
      </w:r>
    </w:p>
    <w:p w14:paraId="7FC17698" w14:textId="77777777" w:rsidR="00783288" w:rsidRDefault="00783288">
      <w:pPr>
        <w:pStyle w:val="BodyText"/>
        <w:kinsoku w:val="0"/>
        <w:overflowPunct w:val="0"/>
        <w:spacing w:before="1"/>
      </w:pPr>
    </w:p>
    <w:p w14:paraId="3BEFB29C" w14:textId="214F888A" w:rsidR="00783288" w:rsidRDefault="00E31420">
      <w:pPr>
        <w:pStyle w:val="BodyText"/>
        <w:kinsoku w:val="0"/>
        <w:overflowPunct w:val="0"/>
        <w:ind w:left="300" w:right="1191"/>
        <w:jc w:val="both"/>
        <w:rPr>
          <w:color w:val="231F20"/>
        </w:rPr>
      </w:pPr>
      <w:r>
        <w:rPr>
          <w:color w:val="231F20"/>
        </w:rPr>
        <w:t>There</w:t>
      </w:r>
      <w:r>
        <w:rPr>
          <w:color w:val="231F20"/>
          <w:spacing w:val="-2"/>
        </w:rPr>
        <w:t xml:space="preserve"> </w:t>
      </w:r>
      <w:r>
        <w:rPr>
          <w:color w:val="231F20"/>
        </w:rPr>
        <w:t>have</w:t>
      </w:r>
      <w:r>
        <w:rPr>
          <w:color w:val="231F20"/>
          <w:spacing w:val="-2"/>
        </w:rPr>
        <w:t xml:space="preserve"> </w:t>
      </w:r>
      <w:r>
        <w:rPr>
          <w:color w:val="231F20"/>
        </w:rPr>
        <w:t>been</w:t>
      </w:r>
      <w:r>
        <w:rPr>
          <w:color w:val="231F20"/>
          <w:spacing w:val="-5"/>
        </w:rPr>
        <w:t xml:space="preserve"> </w:t>
      </w:r>
      <w:r>
        <w:rPr>
          <w:color w:val="231F20"/>
        </w:rPr>
        <w:t>no</w:t>
      </w:r>
      <w:r>
        <w:rPr>
          <w:color w:val="231F20"/>
          <w:spacing w:val="-4"/>
        </w:rPr>
        <w:t xml:space="preserve"> </w:t>
      </w:r>
      <w:r>
        <w:rPr>
          <w:color w:val="231F20"/>
        </w:rPr>
        <w:t>material</w:t>
      </w:r>
      <w:r>
        <w:rPr>
          <w:color w:val="231F20"/>
          <w:spacing w:val="-5"/>
        </w:rPr>
        <w:t xml:space="preserve"> </w:t>
      </w:r>
      <w:r>
        <w:rPr>
          <w:color w:val="231F20"/>
        </w:rPr>
        <w:t>changes</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regulatory</w:t>
      </w:r>
      <w:r>
        <w:rPr>
          <w:color w:val="231F20"/>
          <w:spacing w:val="-3"/>
        </w:rPr>
        <w:t xml:space="preserve"> </w:t>
      </w:r>
      <w:r>
        <w:rPr>
          <w:color w:val="231F20"/>
        </w:rPr>
        <w:t>environment</w:t>
      </w:r>
      <w:r>
        <w:rPr>
          <w:color w:val="231F20"/>
          <w:spacing w:val="-5"/>
        </w:rPr>
        <w:t xml:space="preserve"> </w:t>
      </w:r>
      <w:r>
        <w:rPr>
          <w:color w:val="231F20"/>
        </w:rPr>
        <w:t>in</w:t>
      </w:r>
      <w:r>
        <w:rPr>
          <w:color w:val="231F20"/>
          <w:spacing w:val="-2"/>
        </w:rPr>
        <w:t xml:space="preserve"> </w:t>
      </w:r>
      <w:r>
        <w:rPr>
          <w:color w:val="231F20"/>
        </w:rPr>
        <w:t>which</w:t>
      </w:r>
      <w:r>
        <w:rPr>
          <w:color w:val="231F20"/>
          <w:spacing w:val="-4"/>
        </w:rPr>
        <w:t xml:space="preserve"> </w:t>
      </w:r>
      <w:r>
        <w:rPr>
          <w:color w:val="231F20"/>
        </w:rPr>
        <w:t>the</w:t>
      </w:r>
      <w:r>
        <w:rPr>
          <w:color w:val="231F20"/>
          <w:spacing w:val="-2"/>
        </w:rPr>
        <w:t xml:space="preserve"> </w:t>
      </w:r>
      <w:r>
        <w:rPr>
          <w:color w:val="231F20"/>
        </w:rPr>
        <w:t>Group</w:t>
      </w:r>
      <w:r>
        <w:rPr>
          <w:color w:val="231F20"/>
          <w:spacing w:val="-5"/>
        </w:rPr>
        <w:t xml:space="preserve"> </w:t>
      </w:r>
      <w:r>
        <w:rPr>
          <w:color w:val="231F20"/>
        </w:rPr>
        <w:t>operates</w:t>
      </w:r>
      <w:r>
        <w:rPr>
          <w:color w:val="231F20"/>
          <w:spacing w:val="-1"/>
        </w:rPr>
        <w:t xml:space="preserve"> </w:t>
      </w:r>
      <w:r>
        <w:rPr>
          <w:color w:val="231F20"/>
        </w:rPr>
        <w:t>since</w:t>
      </w:r>
      <w:r>
        <w:rPr>
          <w:color w:val="231F20"/>
          <w:spacing w:val="-2"/>
        </w:rPr>
        <w:t xml:space="preserve"> </w:t>
      </w:r>
      <w:r>
        <w:rPr>
          <w:color w:val="231F20"/>
        </w:rPr>
        <w:t>the</w:t>
      </w:r>
      <w:r>
        <w:rPr>
          <w:color w:val="231F20"/>
          <w:spacing w:val="-5"/>
        </w:rPr>
        <w:t xml:space="preserve"> </w:t>
      </w:r>
      <w:r>
        <w:rPr>
          <w:color w:val="231F20"/>
        </w:rPr>
        <w:t>period covered by the latest published audited financial</w:t>
      </w:r>
      <w:r>
        <w:rPr>
          <w:color w:val="231F20"/>
          <w:spacing w:val="-7"/>
        </w:rPr>
        <w:t xml:space="preserve"> </w:t>
      </w:r>
      <w:r>
        <w:rPr>
          <w:color w:val="231F20"/>
        </w:rPr>
        <w:t>information.</w:t>
      </w:r>
    </w:p>
    <w:p w14:paraId="25C5BABA" w14:textId="77777777" w:rsidR="002D4CD0" w:rsidRDefault="002D4CD0" w:rsidP="001052A0">
      <w:pPr>
        <w:pStyle w:val="BodyText"/>
        <w:kinsoku w:val="0"/>
        <w:overflowPunct w:val="0"/>
        <w:ind w:right="1191"/>
        <w:jc w:val="both"/>
        <w:rPr>
          <w:color w:val="231F20"/>
        </w:rPr>
      </w:pPr>
    </w:p>
    <w:p w14:paraId="75A3DB38" w14:textId="77777777" w:rsidR="00783288" w:rsidRPr="00E25727" w:rsidRDefault="00783288">
      <w:pPr>
        <w:pStyle w:val="BodyText"/>
        <w:kinsoku w:val="0"/>
        <w:overflowPunct w:val="0"/>
        <w:spacing w:before="5"/>
        <w:rPr>
          <w:b/>
          <w:sz w:val="17"/>
          <w:szCs w:val="17"/>
        </w:rPr>
      </w:pPr>
    </w:p>
    <w:p w14:paraId="55D96470" w14:textId="215952EC" w:rsidR="00783288" w:rsidRPr="00E25727" w:rsidRDefault="00E31420" w:rsidP="00512495">
      <w:pPr>
        <w:pStyle w:val="BodyText"/>
        <w:numPr>
          <w:ilvl w:val="0"/>
          <w:numId w:val="20"/>
        </w:numPr>
        <w:kinsoku w:val="0"/>
        <w:overflowPunct w:val="0"/>
        <w:spacing w:before="6"/>
        <w:rPr>
          <w:b/>
          <w:color w:val="231F20"/>
        </w:rPr>
      </w:pPr>
      <w:r w:rsidRPr="00E25727">
        <w:rPr>
          <w:b/>
          <w:color w:val="231F20"/>
        </w:rPr>
        <w:t xml:space="preserve">The </w:t>
      </w:r>
      <w:r w:rsidR="00E700B8" w:rsidRPr="00E25727">
        <w:rPr>
          <w:b/>
          <w:color w:val="231F20"/>
        </w:rPr>
        <w:t xml:space="preserve">Placing </w:t>
      </w:r>
      <w:r w:rsidRPr="00E25727">
        <w:rPr>
          <w:b/>
          <w:color w:val="231F20"/>
        </w:rPr>
        <w:t>and Use of Proceeds</w:t>
      </w:r>
    </w:p>
    <w:p w14:paraId="4E7E7B49" w14:textId="77777777" w:rsidR="000B2F1C" w:rsidRDefault="000B2F1C" w:rsidP="000B2F1C">
      <w:pPr>
        <w:pStyle w:val="BodyText"/>
        <w:kinsoku w:val="0"/>
        <w:overflowPunct w:val="0"/>
        <w:spacing w:before="6"/>
        <w:ind w:left="284"/>
        <w:rPr>
          <w:b/>
          <w:bCs/>
        </w:rPr>
      </w:pPr>
    </w:p>
    <w:p w14:paraId="2B00EE4A" w14:textId="4B9D2AD8" w:rsidR="00783288" w:rsidRDefault="00E31420">
      <w:pPr>
        <w:pStyle w:val="BodyText"/>
        <w:kinsoku w:val="0"/>
        <w:overflowPunct w:val="0"/>
        <w:ind w:left="300" w:right="1188"/>
        <w:jc w:val="both"/>
        <w:rPr>
          <w:color w:val="0C0D0D"/>
        </w:rPr>
      </w:pPr>
      <w:r>
        <w:rPr>
          <w:color w:val="231F20"/>
        </w:rPr>
        <w:t>Th</w:t>
      </w:r>
      <w:r>
        <w:rPr>
          <w:color w:val="1D1C1E"/>
        </w:rPr>
        <w:t>e</w:t>
      </w:r>
      <w:r>
        <w:rPr>
          <w:color w:val="1D1C1E"/>
          <w:spacing w:val="-10"/>
        </w:rPr>
        <w:t xml:space="preserve"> </w:t>
      </w:r>
      <w:r>
        <w:rPr>
          <w:color w:val="231F20"/>
        </w:rPr>
        <w:t>Group</w:t>
      </w:r>
      <w:r>
        <w:rPr>
          <w:color w:val="231F20"/>
          <w:spacing w:val="-10"/>
        </w:rPr>
        <w:t xml:space="preserve"> </w:t>
      </w:r>
      <w:r>
        <w:rPr>
          <w:color w:val="231F20"/>
        </w:rPr>
        <w:t>h</w:t>
      </w:r>
      <w:r>
        <w:rPr>
          <w:color w:val="1D1C1E"/>
        </w:rPr>
        <w:t>a</w:t>
      </w:r>
      <w:r>
        <w:rPr>
          <w:color w:val="231F20"/>
        </w:rPr>
        <w:t>s</w:t>
      </w:r>
      <w:r>
        <w:rPr>
          <w:color w:val="231F20"/>
          <w:spacing w:val="-9"/>
        </w:rPr>
        <w:t xml:space="preserve"> </w:t>
      </w:r>
      <w:r>
        <w:rPr>
          <w:color w:val="231F20"/>
        </w:rPr>
        <w:t>raised</w:t>
      </w:r>
      <w:r>
        <w:rPr>
          <w:color w:val="231F20"/>
          <w:spacing w:val="-9"/>
        </w:rPr>
        <w:t xml:space="preserve"> </w:t>
      </w:r>
      <w:r>
        <w:rPr>
          <w:color w:val="231F20"/>
        </w:rPr>
        <w:t>gross</w:t>
      </w:r>
      <w:r>
        <w:rPr>
          <w:color w:val="231F20"/>
          <w:spacing w:val="-11"/>
        </w:rPr>
        <w:t xml:space="preserve"> </w:t>
      </w:r>
      <w:r>
        <w:rPr>
          <w:color w:val="231F20"/>
        </w:rPr>
        <w:t>proceeds</w:t>
      </w:r>
      <w:r>
        <w:rPr>
          <w:color w:val="231F20"/>
          <w:spacing w:val="-10"/>
        </w:rPr>
        <w:t xml:space="preserve"> </w:t>
      </w:r>
      <w:r>
        <w:rPr>
          <w:color w:val="231F20"/>
        </w:rPr>
        <w:t>of</w:t>
      </w:r>
      <w:r>
        <w:rPr>
          <w:color w:val="231F20"/>
          <w:spacing w:val="-10"/>
        </w:rPr>
        <w:t xml:space="preserve"> </w:t>
      </w:r>
      <w:r>
        <w:rPr>
          <w:color w:val="231F20"/>
        </w:rPr>
        <w:t>£</w:t>
      </w:r>
      <w:r w:rsidR="00340CAA">
        <w:t>800,000</w:t>
      </w:r>
      <w:r w:rsidR="006211BA">
        <w:t xml:space="preserve"> </w:t>
      </w:r>
      <w:r>
        <w:rPr>
          <w:color w:val="231F20"/>
        </w:rPr>
        <w:t>through</w:t>
      </w:r>
      <w:r>
        <w:rPr>
          <w:color w:val="231F20"/>
          <w:spacing w:val="-10"/>
        </w:rPr>
        <w:t xml:space="preserve"> </w:t>
      </w:r>
      <w:r>
        <w:rPr>
          <w:color w:val="1D1C1E"/>
        </w:rPr>
        <w:t>t</w:t>
      </w:r>
      <w:r>
        <w:rPr>
          <w:color w:val="231F20"/>
        </w:rPr>
        <w:t>he</w:t>
      </w:r>
      <w:r>
        <w:rPr>
          <w:color w:val="231F20"/>
          <w:spacing w:val="-10"/>
        </w:rPr>
        <w:t xml:space="preserve"> </w:t>
      </w:r>
      <w:r w:rsidR="00B27A2B">
        <w:rPr>
          <w:color w:val="231F20"/>
        </w:rPr>
        <w:t>Placing</w:t>
      </w:r>
      <w:r>
        <w:rPr>
          <w:color w:val="1D1C1E"/>
        </w:rPr>
        <w:t>,</w:t>
      </w:r>
      <w:r>
        <w:rPr>
          <w:color w:val="1D1C1E"/>
          <w:spacing w:val="-10"/>
        </w:rPr>
        <w:t xml:space="preserve"> </w:t>
      </w:r>
      <w:r>
        <w:rPr>
          <w:color w:val="1D1C1E"/>
        </w:rPr>
        <w:t>conditional</w:t>
      </w:r>
      <w:r>
        <w:rPr>
          <w:color w:val="1D1C1E"/>
          <w:spacing w:val="-11"/>
        </w:rPr>
        <w:t xml:space="preserve"> </w:t>
      </w:r>
      <w:r>
        <w:rPr>
          <w:color w:val="1D1C1E"/>
        </w:rPr>
        <w:t>only</w:t>
      </w:r>
      <w:r>
        <w:rPr>
          <w:color w:val="1D1C1E"/>
          <w:spacing w:val="-14"/>
        </w:rPr>
        <w:t xml:space="preserve"> </w:t>
      </w:r>
      <w:r>
        <w:rPr>
          <w:color w:val="1D1C1E"/>
        </w:rPr>
        <w:t>on</w:t>
      </w:r>
      <w:r>
        <w:rPr>
          <w:color w:val="1D1C1E"/>
          <w:spacing w:val="-9"/>
        </w:rPr>
        <w:t xml:space="preserve"> </w:t>
      </w:r>
      <w:r>
        <w:rPr>
          <w:color w:val="1D1C1E"/>
        </w:rPr>
        <w:t>Admission.</w:t>
      </w:r>
      <w:r>
        <w:rPr>
          <w:color w:val="1D1C1E"/>
          <w:spacing w:val="-10"/>
        </w:rPr>
        <w:t xml:space="preserve"> </w:t>
      </w:r>
      <w:r>
        <w:rPr>
          <w:color w:val="1D1C1E"/>
        </w:rPr>
        <w:t xml:space="preserve">Further details of the </w:t>
      </w:r>
      <w:r w:rsidR="00B27A2B">
        <w:rPr>
          <w:color w:val="1D1C1E"/>
        </w:rPr>
        <w:t xml:space="preserve">Placing </w:t>
      </w:r>
      <w:r>
        <w:rPr>
          <w:color w:val="1D1C1E"/>
        </w:rPr>
        <w:t xml:space="preserve">are set out in Part III of this Document. </w:t>
      </w:r>
      <w:r>
        <w:rPr>
          <w:color w:val="0C0D0D"/>
        </w:rPr>
        <w:t xml:space="preserve">After deduction of the estimated expenses of the </w:t>
      </w:r>
      <w:r w:rsidR="00B27A2B">
        <w:rPr>
          <w:color w:val="0C0D0D"/>
        </w:rPr>
        <w:t xml:space="preserve">Placing </w:t>
      </w:r>
      <w:r>
        <w:rPr>
          <w:color w:val="0C0D0D"/>
        </w:rPr>
        <w:t>and Admission, amounting to approximately £</w:t>
      </w:r>
      <w:r w:rsidR="007375BD">
        <w:t>100,000</w:t>
      </w:r>
      <w:r>
        <w:rPr>
          <w:color w:val="0C0D0D"/>
        </w:rPr>
        <w:t>, the Net Proceeds are estimated to be approximately</w:t>
      </w:r>
      <w:r>
        <w:rPr>
          <w:color w:val="0C0D0D"/>
          <w:spacing w:val="-2"/>
        </w:rPr>
        <w:t xml:space="preserve"> </w:t>
      </w:r>
      <w:r>
        <w:rPr>
          <w:color w:val="0C0D0D"/>
        </w:rPr>
        <w:t>£</w:t>
      </w:r>
      <w:r w:rsidR="007375BD">
        <w:t>700,000</w:t>
      </w:r>
      <w:r>
        <w:rPr>
          <w:color w:val="0C0D0D"/>
        </w:rPr>
        <w:t>.</w:t>
      </w:r>
    </w:p>
    <w:p w14:paraId="5DC2649F" w14:textId="77777777" w:rsidR="00783288" w:rsidRDefault="00783288">
      <w:pPr>
        <w:pStyle w:val="BodyText"/>
        <w:kinsoku w:val="0"/>
        <w:overflowPunct w:val="0"/>
        <w:spacing w:before="11"/>
        <w:rPr>
          <w:sz w:val="17"/>
          <w:szCs w:val="17"/>
        </w:rPr>
      </w:pPr>
    </w:p>
    <w:p w14:paraId="059B1C81" w14:textId="7576613E" w:rsidR="00783288" w:rsidRDefault="00E31420">
      <w:pPr>
        <w:pStyle w:val="BodyText"/>
        <w:kinsoku w:val="0"/>
        <w:overflowPunct w:val="0"/>
        <w:spacing w:line="259" w:lineRule="auto"/>
        <w:ind w:left="300" w:right="1190"/>
        <w:jc w:val="both"/>
        <w:rPr>
          <w:color w:val="231F20"/>
        </w:rPr>
      </w:pPr>
      <w:r>
        <w:rPr>
          <w:color w:val="231F20"/>
        </w:rPr>
        <w:t xml:space="preserve">In the </w:t>
      </w:r>
      <w:r w:rsidR="00636678">
        <w:rPr>
          <w:color w:val="231F20"/>
        </w:rPr>
        <w:t>20</w:t>
      </w:r>
      <w:r>
        <w:rPr>
          <w:color w:val="231F20"/>
        </w:rPr>
        <w:t xml:space="preserve"> months following Admission, the Group currently intends to use the Net Proceeds to carry out further resource</w:t>
      </w:r>
      <w:r>
        <w:rPr>
          <w:color w:val="231F20"/>
          <w:spacing w:val="-12"/>
        </w:rPr>
        <w:t xml:space="preserve"> </w:t>
      </w:r>
      <w:r>
        <w:rPr>
          <w:color w:val="231F20"/>
        </w:rPr>
        <w:t>exploration</w:t>
      </w:r>
      <w:r>
        <w:rPr>
          <w:color w:val="231F20"/>
          <w:spacing w:val="-11"/>
        </w:rPr>
        <w:t xml:space="preserve"> </w:t>
      </w:r>
      <w:r>
        <w:rPr>
          <w:color w:val="231F20"/>
        </w:rPr>
        <w:t>work</w:t>
      </w:r>
      <w:r>
        <w:rPr>
          <w:color w:val="231F20"/>
          <w:spacing w:val="-9"/>
        </w:rPr>
        <w:t xml:space="preserve"> </w:t>
      </w:r>
      <w:r>
        <w:rPr>
          <w:color w:val="231F20"/>
        </w:rPr>
        <w:t>for</w:t>
      </w:r>
      <w:r>
        <w:rPr>
          <w:color w:val="231F20"/>
          <w:spacing w:val="-10"/>
        </w:rPr>
        <w:t xml:space="preserve"> </w:t>
      </w:r>
      <w:r>
        <w:rPr>
          <w:color w:val="231F20"/>
        </w:rPr>
        <w:t>general</w:t>
      </w:r>
      <w:r>
        <w:rPr>
          <w:color w:val="231F20"/>
          <w:spacing w:val="-11"/>
        </w:rPr>
        <w:t xml:space="preserve"> </w:t>
      </w:r>
      <w:r>
        <w:rPr>
          <w:color w:val="231F20"/>
        </w:rPr>
        <w:t>working</w:t>
      </w:r>
      <w:r>
        <w:rPr>
          <w:color w:val="231F20"/>
          <w:spacing w:val="-11"/>
        </w:rPr>
        <w:t xml:space="preserve"> </w:t>
      </w:r>
      <w:r>
        <w:rPr>
          <w:color w:val="231F20"/>
        </w:rPr>
        <w:t>capital</w:t>
      </w:r>
      <w:r>
        <w:rPr>
          <w:color w:val="231F20"/>
          <w:spacing w:val="-10"/>
        </w:rPr>
        <w:t xml:space="preserve"> </w:t>
      </w:r>
      <w:r>
        <w:rPr>
          <w:color w:val="231F20"/>
        </w:rPr>
        <w:t>and</w:t>
      </w:r>
      <w:r>
        <w:rPr>
          <w:color w:val="231F20"/>
          <w:spacing w:val="-10"/>
        </w:rPr>
        <w:t xml:space="preserve"> </w:t>
      </w:r>
      <w:r>
        <w:rPr>
          <w:color w:val="231F20"/>
        </w:rPr>
        <w:t>operational</w:t>
      </w:r>
      <w:r>
        <w:rPr>
          <w:color w:val="231F20"/>
          <w:spacing w:val="-9"/>
        </w:rPr>
        <w:t xml:space="preserve"> </w:t>
      </w:r>
      <w:r>
        <w:rPr>
          <w:color w:val="231F20"/>
        </w:rPr>
        <w:t>expenditure</w:t>
      </w:r>
      <w:r>
        <w:rPr>
          <w:color w:val="231F20"/>
          <w:spacing w:val="-12"/>
        </w:rPr>
        <w:t xml:space="preserve"> </w:t>
      </w:r>
      <w:r>
        <w:rPr>
          <w:color w:val="231F20"/>
        </w:rPr>
        <w:t>purposes,</w:t>
      </w:r>
      <w:r>
        <w:rPr>
          <w:color w:val="231F20"/>
          <w:spacing w:val="-11"/>
        </w:rPr>
        <w:t xml:space="preserve"> </w:t>
      </w:r>
      <w:r>
        <w:rPr>
          <w:color w:val="231F20"/>
        </w:rPr>
        <w:t>and</w:t>
      </w:r>
      <w:r>
        <w:rPr>
          <w:color w:val="231F20"/>
          <w:spacing w:val="-13"/>
        </w:rPr>
        <w:t xml:space="preserve"> </w:t>
      </w:r>
      <w:r>
        <w:rPr>
          <w:color w:val="231F20"/>
        </w:rPr>
        <w:t>in</w:t>
      </w:r>
      <w:r>
        <w:rPr>
          <w:color w:val="231F20"/>
          <w:spacing w:val="-13"/>
        </w:rPr>
        <w:t xml:space="preserve"> </w:t>
      </w:r>
      <w:r>
        <w:rPr>
          <w:color w:val="231F20"/>
        </w:rPr>
        <w:t>order</w:t>
      </w:r>
      <w:r>
        <w:rPr>
          <w:color w:val="231F20"/>
          <w:spacing w:val="-14"/>
        </w:rPr>
        <w:t xml:space="preserve"> </w:t>
      </w:r>
      <w:r>
        <w:rPr>
          <w:color w:val="231F20"/>
        </w:rPr>
        <w:t>to</w:t>
      </w:r>
      <w:r>
        <w:rPr>
          <w:color w:val="231F20"/>
          <w:spacing w:val="-14"/>
        </w:rPr>
        <w:t xml:space="preserve"> </w:t>
      </w:r>
      <w:r>
        <w:rPr>
          <w:color w:val="231F20"/>
        </w:rPr>
        <w:t>carry</w:t>
      </w:r>
      <w:r>
        <w:rPr>
          <w:color w:val="231F20"/>
          <w:spacing w:val="-15"/>
        </w:rPr>
        <w:t xml:space="preserve"> </w:t>
      </w:r>
      <w:r>
        <w:rPr>
          <w:color w:val="231F20"/>
        </w:rPr>
        <w:t>out</w:t>
      </w:r>
      <w:r>
        <w:rPr>
          <w:color w:val="231F20"/>
          <w:spacing w:val="-14"/>
        </w:rPr>
        <w:t xml:space="preserve"> </w:t>
      </w:r>
      <w:r>
        <w:rPr>
          <w:color w:val="231F20"/>
        </w:rPr>
        <w:t>potential</w:t>
      </w:r>
      <w:r>
        <w:rPr>
          <w:color w:val="231F20"/>
          <w:spacing w:val="-13"/>
        </w:rPr>
        <w:t xml:space="preserve"> </w:t>
      </w:r>
      <w:r>
        <w:rPr>
          <w:color w:val="231F20"/>
        </w:rPr>
        <w:t>future</w:t>
      </w:r>
      <w:r>
        <w:rPr>
          <w:color w:val="231F20"/>
          <w:spacing w:val="-13"/>
        </w:rPr>
        <w:t xml:space="preserve"> </w:t>
      </w:r>
      <w:r>
        <w:rPr>
          <w:color w:val="231F20"/>
        </w:rPr>
        <w:t>corporate</w:t>
      </w:r>
      <w:r>
        <w:rPr>
          <w:color w:val="231F20"/>
          <w:spacing w:val="-14"/>
        </w:rPr>
        <w:t xml:space="preserve"> </w:t>
      </w:r>
      <w:r>
        <w:rPr>
          <w:color w:val="231F20"/>
        </w:rPr>
        <w:t>activities</w:t>
      </w:r>
      <w:r>
        <w:rPr>
          <w:color w:val="231F20"/>
          <w:spacing w:val="-10"/>
        </w:rPr>
        <w:t xml:space="preserve"> </w:t>
      </w:r>
      <w:r>
        <w:rPr>
          <w:color w:val="231F20"/>
        </w:rPr>
        <w:t>(such</w:t>
      </w:r>
      <w:r>
        <w:rPr>
          <w:color w:val="231F20"/>
          <w:spacing w:val="-13"/>
        </w:rPr>
        <w:t xml:space="preserve"> </w:t>
      </w:r>
      <w:r>
        <w:rPr>
          <w:color w:val="231F20"/>
        </w:rPr>
        <w:t>as</w:t>
      </w:r>
      <w:r>
        <w:rPr>
          <w:color w:val="231F20"/>
          <w:spacing w:val="-14"/>
        </w:rPr>
        <w:t xml:space="preserve"> </w:t>
      </w:r>
      <w:r>
        <w:rPr>
          <w:color w:val="231F20"/>
        </w:rPr>
        <w:t>acquisitions</w:t>
      </w:r>
      <w:r>
        <w:rPr>
          <w:color w:val="231F20"/>
          <w:spacing w:val="-13"/>
        </w:rPr>
        <w:t xml:space="preserve"> </w:t>
      </w:r>
      <w:r>
        <w:rPr>
          <w:color w:val="231F20"/>
        </w:rPr>
        <w:t>or</w:t>
      </w:r>
      <w:r>
        <w:rPr>
          <w:color w:val="231F20"/>
          <w:spacing w:val="-14"/>
        </w:rPr>
        <w:t xml:space="preserve"> </w:t>
      </w:r>
      <w:r>
        <w:rPr>
          <w:color w:val="231F20"/>
        </w:rPr>
        <w:t>joint</w:t>
      </w:r>
      <w:r>
        <w:rPr>
          <w:color w:val="231F20"/>
          <w:spacing w:val="-11"/>
        </w:rPr>
        <w:t xml:space="preserve"> </w:t>
      </w:r>
      <w:r>
        <w:rPr>
          <w:color w:val="231F20"/>
        </w:rPr>
        <w:t>ventures).</w:t>
      </w:r>
    </w:p>
    <w:p w14:paraId="2AA13431" w14:textId="09E6FF5A" w:rsidR="00783288" w:rsidRDefault="00E31420">
      <w:pPr>
        <w:pStyle w:val="BodyText"/>
        <w:kinsoku w:val="0"/>
        <w:overflowPunct w:val="0"/>
        <w:spacing w:before="160" w:line="259" w:lineRule="auto"/>
        <w:ind w:left="300" w:right="1191"/>
        <w:jc w:val="both"/>
        <w:rPr>
          <w:color w:val="231F20"/>
        </w:rPr>
      </w:pPr>
      <w:r>
        <w:rPr>
          <w:color w:val="231F20"/>
        </w:rPr>
        <w:t>The</w:t>
      </w:r>
      <w:r>
        <w:rPr>
          <w:color w:val="231F20"/>
          <w:spacing w:val="-10"/>
        </w:rPr>
        <w:t xml:space="preserve"> </w:t>
      </w:r>
      <w:r>
        <w:rPr>
          <w:color w:val="231F20"/>
        </w:rPr>
        <w:t>Group</w:t>
      </w:r>
      <w:r>
        <w:rPr>
          <w:color w:val="231F20"/>
          <w:spacing w:val="-9"/>
        </w:rPr>
        <w:t xml:space="preserve"> </w:t>
      </w:r>
      <w:r>
        <w:rPr>
          <w:color w:val="231F20"/>
        </w:rPr>
        <w:t>currently</w:t>
      </w:r>
      <w:r>
        <w:rPr>
          <w:color w:val="231F20"/>
          <w:spacing w:val="-10"/>
        </w:rPr>
        <w:t xml:space="preserve"> </w:t>
      </w:r>
      <w:r>
        <w:rPr>
          <w:color w:val="231F20"/>
        </w:rPr>
        <w:t>intends</w:t>
      </w:r>
      <w:r>
        <w:rPr>
          <w:color w:val="231F20"/>
          <w:spacing w:val="-9"/>
        </w:rPr>
        <w:t xml:space="preserve"> </w:t>
      </w:r>
      <w:r>
        <w:rPr>
          <w:color w:val="231F20"/>
        </w:rPr>
        <w:t>to</w:t>
      </w:r>
      <w:r>
        <w:rPr>
          <w:color w:val="231F20"/>
          <w:spacing w:val="-13"/>
        </w:rPr>
        <w:t xml:space="preserve"> </w:t>
      </w:r>
      <w:r>
        <w:rPr>
          <w:color w:val="231F20"/>
        </w:rPr>
        <w:t>use</w:t>
      </w:r>
      <w:r>
        <w:rPr>
          <w:color w:val="231F20"/>
          <w:spacing w:val="-11"/>
        </w:rPr>
        <w:t xml:space="preserve"> </w:t>
      </w:r>
      <w:r>
        <w:rPr>
          <w:color w:val="231F20"/>
        </w:rPr>
        <w:t>approximately</w:t>
      </w:r>
      <w:r>
        <w:rPr>
          <w:color w:val="231F20"/>
          <w:spacing w:val="-10"/>
        </w:rPr>
        <w:t xml:space="preserve"> </w:t>
      </w:r>
      <w:r w:rsidR="00E964FE">
        <w:rPr>
          <w:color w:val="231F20"/>
          <w:spacing w:val="-10"/>
        </w:rPr>
        <w:t xml:space="preserve">sixty per cent </w:t>
      </w:r>
      <w:r>
        <w:rPr>
          <w:color w:val="231F20"/>
        </w:rPr>
        <w:t>of</w:t>
      </w:r>
      <w:r>
        <w:rPr>
          <w:color w:val="231F20"/>
          <w:spacing w:val="-10"/>
        </w:rPr>
        <w:t xml:space="preserve"> </w:t>
      </w:r>
      <w:r>
        <w:rPr>
          <w:color w:val="231F20"/>
        </w:rPr>
        <w:t>the</w:t>
      </w:r>
      <w:r>
        <w:rPr>
          <w:color w:val="231F20"/>
          <w:spacing w:val="-9"/>
        </w:rPr>
        <w:t xml:space="preserve"> </w:t>
      </w:r>
      <w:r>
        <w:rPr>
          <w:color w:val="231F20"/>
        </w:rPr>
        <w:t>Net</w:t>
      </w:r>
      <w:r>
        <w:rPr>
          <w:color w:val="231F20"/>
          <w:spacing w:val="-10"/>
        </w:rPr>
        <w:t xml:space="preserve"> </w:t>
      </w:r>
      <w:r>
        <w:rPr>
          <w:color w:val="231F20"/>
        </w:rPr>
        <w:t>Proceeds</w:t>
      </w:r>
      <w:r>
        <w:rPr>
          <w:color w:val="231F20"/>
          <w:spacing w:val="-10"/>
        </w:rPr>
        <w:t xml:space="preserve"> </w:t>
      </w:r>
      <w:r w:rsidR="00636678">
        <w:rPr>
          <w:color w:val="231F20"/>
        </w:rPr>
        <w:t>on operations and new business development work</w:t>
      </w:r>
      <w:r w:rsidR="00E964FE">
        <w:rPr>
          <w:color w:val="231F20"/>
        </w:rPr>
        <w:t xml:space="preserve"> in Cyprus and Labrador</w:t>
      </w:r>
      <w:r>
        <w:rPr>
          <w:color w:val="231F20"/>
        </w:rPr>
        <w:t>. The Directors currently intend to allocate this portion of the Net Proceeds will be allocated approximately in accordance with the table set out</w:t>
      </w:r>
      <w:r>
        <w:rPr>
          <w:color w:val="231F20"/>
          <w:spacing w:val="-2"/>
        </w:rPr>
        <w:t xml:space="preserve"> </w:t>
      </w:r>
      <w:r>
        <w:rPr>
          <w:color w:val="231F20"/>
        </w:rPr>
        <w:t>below.</w:t>
      </w:r>
    </w:p>
    <w:p w14:paraId="055BFF8A" w14:textId="667DC5FE" w:rsidR="00783288" w:rsidRDefault="00E31420">
      <w:pPr>
        <w:pStyle w:val="BodyText"/>
        <w:kinsoku w:val="0"/>
        <w:overflowPunct w:val="0"/>
        <w:spacing w:before="159" w:line="259" w:lineRule="auto"/>
        <w:ind w:left="300" w:right="1190"/>
        <w:jc w:val="both"/>
        <w:rPr>
          <w:color w:val="231F20"/>
        </w:rPr>
      </w:pPr>
      <w:r>
        <w:rPr>
          <w:color w:val="231F20"/>
        </w:rPr>
        <w:t xml:space="preserve">The Group currently intends to use the remaining </w:t>
      </w:r>
      <w:r w:rsidR="00E964FE">
        <w:rPr>
          <w:color w:val="231F20"/>
        </w:rPr>
        <w:t>forty per cent</w:t>
      </w:r>
      <w:r>
        <w:rPr>
          <w:color w:val="231F20"/>
        </w:rPr>
        <w:t xml:space="preserve"> of the Net Proceeds for general working capital and operational expenditure, to assess new mineral prospecting opportunities</w:t>
      </w:r>
      <w:r w:rsidR="00E964FE">
        <w:rPr>
          <w:color w:val="231F20"/>
        </w:rPr>
        <w:t xml:space="preserve"> </w:t>
      </w:r>
      <w:r>
        <w:rPr>
          <w:color w:val="231F20"/>
        </w:rPr>
        <w:t>and to potentially carry out further acquisitions or joint ventures. The Directors currently intend to allocate this portion of the Net Proceeds approximately in accordance with the table set out below.</w:t>
      </w:r>
    </w:p>
    <w:p w14:paraId="35670C67" w14:textId="77777777" w:rsidR="00783288" w:rsidRDefault="00783288">
      <w:pPr>
        <w:pStyle w:val="BodyText"/>
        <w:kinsoku w:val="0"/>
        <w:overflowPunct w:val="0"/>
        <w:spacing w:before="7"/>
        <w:rPr>
          <w:sz w:val="15"/>
          <w:szCs w:val="15"/>
        </w:rPr>
      </w:pPr>
    </w:p>
    <w:tbl>
      <w:tblPr>
        <w:tblW w:w="0" w:type="auto"/>
        <w:tblInd w:w="358" w:type="dxa"/>
        <w:tblLayout w:type="fixed"/>
        <w:tblCellMar>
          <w:left w:w="0" w:type="dxa"/>
          <w:right w:w="0" w:type="dxa"/>
        </w:tblCellMar>
        <w:tblLook w:val="0000" w:firstRow="0" w:lastRow="0" w:firstColumn="0" w:lastColumn="0" w:noHBand="0" w:noVBand="0"/>
      </w:tblPr>
      <w:tblGrid>
        <w:gridCol w:w="4907"/>
        <w:gridCol w:w="467"/>
        <w:gridCol w:w="3444"/>
        <w:gridCol w:w="123"/>
      </w:tblGrid>
      <w:tr w:rsidR="00783288" w14:paraId="505EC7BC" w14:textId="77777777">
        <w:trPr>
          <w:gridAfter w:val="1"/>
          <w:wAfter w:w="123" w:type="dxa"/>
          <w:trHeight w:val="202"/>
        </w:trPr>
        <w:tc>
          <w:tcPr>
            <w:tcW w:w="4907" w:type="dxa"/>
            <w:tcBorders>
              <w:top w:val="none" w:sz="6" w:space="0" w:color="auto"/>
              <w:left w:val="none" w:sz="6" w:space="0" w:color="auto"/>
              <w:bottom w:val="none" w:sz="6" w:space="0" w:color="auto"/>
              <w:right w:val="none" w:sz="6" w:space="0" w:color="auto"/>
            </w:tcBorders>
          </w:tcPr>
          <w:p w14:paraId="4D5398E5" w14:textId="654C8E30" w:rsidR="00783288" w:rsidRDefault="00E31420">
            <w:pPr>
              <w:pStyle w:val="TableParagraph"/>
              <w:kinsoku w:val="0"/>
              <w:overflowPunct w:val="0"/>
              <w:spacing w:line="179" w:lineRule="exact"/>
              <w:ind w:left="50"/>
              <w:rPr>
                <w:b/>
                <w:bCs/>
                <w:color w:val="231F20"/>
                <w:sz w:val="16"/>
                <w:szCs w:val="16"/>
              </w:rPr>
            </w:pPr>
            <w:r>
              <w:rPr>
                <w:b/>
                <w:bCs/>
                <w:color w:val="231F20"/>
                <w:sz w:val="16"/>
                <w:szCs w:val="16"/>
                <w:u w:val="single"/>
              </w:rPr>
              <w:t>Proposed Use</w:t>
            </w:r>
          </w:p>
        </w:tc>
        <w:tc>
          <w:tcPr>
            <w:tcW w:w="3911" w:type="dxa"/>
            <w:gridSpan w:val="2"/>
            <w:tcBorders>
              <w:top w:val="none" w:sz="6" w:space="0" w:color="auto"/>
              <w:left w:val="none" w:sz="6" w:space="0" w:color="auto"/>
              <w:bottom w:val="none" w:sz="6" w:space="0" w:color="auto"/>
              <w:right w:val="none" w:sz="6" w:space="0" w:color="auto"/>
            </w:tcBorders>
          </w:tcPr>
          <w:p w14:paraId="1B1D5BFD" w14:textId="77777777" w:rsidR="00783288" w:rsidRDefault="00E31420">
            <w:pPr>
              <w:pStyle w:val="TableParagraph"/>
              <w:kinsoku w:val="0"/>
              <w:overflowPunct w:val="0"/>
              <w:spacing w:line="179" w:lineRule="exact"/>
              <w:ind w:right="46"/>
              <w:jc w:val="right"/>
              <w:rPr>
                <w:b/>
                <w:bCs/>
                <w:color w:val="231F20"/>
                <w:sz w:val="16"/>
                <w:szCs w:val="16"/>
              </w:rPr>
            </w:pPr>
            <w:r>
              <w:rPr>
                <w:b/>
                <w:bCs/>
                <w:color w:val="231F20"/>
                <w:sz w:val="16"/>
                <w:szCs w:val="16"/>
                <w:u w:val="single"/>
              </w:rPr>
              <w:t>Estimated Expenditure</w:t>
            </w:r>
          </w:p>
        </w:tc>
      </w:tr>
      <w:tr w:rsidR="00783288" w14:paraId="4C1B4B8B" w14:textId="77777777">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5F21546E" w14:textId="0221968A" w:rsidR="00783288" w:rsidRDefault="00E31420">
            <w:pPr>
              <w:pStyle w:val="TableParagraph"/>
              <w:kinsoku w:val="0"/>
              <w:overflowPunct w:val="0"/>
              <w:spacing w:before="18"/>
              <w:ind w:left="50"/>
              <w:rPr>
                <w:b/>
                <w:bCs/>
                <w:color w:val="231F20"/>
                <w:sz w:val="16"/>
                <w:szCs w:val="16"/>
              </w:rPr>
            </w:pPr>
            <w:r>
              <w:rPr>
                <w:b/>
                <w:bCs/>
                <w:color w:val="231F20"/>
                <w:sz w:val="16"/>
                <w:szCs w:val="16"/>
                <w:u w:val="single"/>
              </w:rPr>
              <w:t xml:space="preserve">Exploration </w:t>
            </w:r>
            <w:r w:rsidR="00772705">
              <w:rPr>
                <w:b/>
                <w:bCs/>
                <w:color w:val="231F20"/>
                <w:sz w:val="16"/>
                <w:szCs w:val="16"/>
                <w:u w:val="single"/>
              </w:rPr>
              <w:t>and project expansion</w:t>
            </w:r>
          </w:p>
        </w:tc>
        <w:tc>
          <w:tcPr>
            <w:tcW w:w="3911" w:type="dxa"/>
            <w:gridSpan w:val="2"/>
            <w:tcBorders>
              <w:top w:val="none" w:sz="6" w:space="0" w:color="auto"/>
              <w:left w:val="none" w:sz="6" w:space="0" w:color="auto"/>
              <w:bottom w:val="none" w:sz="6" w:space="0" w:color="auto"/>
              <w:right w:val="none" w:sz="6" w:space="0" w:color="auto"/>
            </w:tcBorders>
          </w:tcPr>
          <w:p w14:paraId="1CB0F7B3" w14:textId="77777777" w:rsidR="00783288" w:rsidRDefault="00783288">
            <w:pPr>
              <w:pStyle w:val="TableParagraph"/>
              <w:kinsoku w:val="0"/>
              <w:overflowPunct w:val="0"/>
              <w:rPr>
                <w:rFonts w:ascii="Times New Roman" w:hAnsi="Times New Roman" w:cs="Times New Roman"/>
                <w:sz w:val="16"/>
                <w:szCs w:val="16"/>
              </w:rPr>
            </w:pPr>
          </w:p>
        </w:tc>
      </w:tr>
      <w:tr w:rsidR="006A753B" w14:paraId="4513A6A6" w14:textId="77777777">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5A873742" w14:textId="77777777" w:rsidR="006A753B" w:rsidRDefault="006A753B">
            <w:pPr>
              <w:pStyle w:val="TableParagraph"/>
              <w:kinsoku w:val="0"/>
              <w:overflowPunct w:val="0"/>
              <w:spacing w:before="21"/>
              <w:ind w:left="50"/>
              <w:rPr>
                <w:color w:val="231F20"/>
                <w:sz w:val="16"/>
                <w:szCs w:val="16"/>
              </w:rPr>
            </w:pPr>
          </w:p>
        </w:tc>
        <w:tc>
          <w:tcPr>
            <w:tcW w:w="3911" w:type="dxa"/>
            <w:gridSpan w:val="2"/>
            <w:tcBorders>
              <w:top w:val="none" w:sz="6" w:space="0" w:color="auto"/>
              <w:left w:val="none" w:sz="6" w:space="0" w:color="auto"/>
              <w:bottom w:val="none" w:sz="6" w:space="0" w:color="auto"/>
              <w:right w:val="none" w:sz="6" w:space="0" w:color="auto"/>
            </w:tcBorders>
          </w:tcPr>
          <w:p w14:paraId="105FC4F5" w14:textId="77777777" w:rsidR="006A753B" w:rsidRDefault="006A753B">
            <w:pPr>
              <w:pStyle w:val="TableParagraph"/>
              <w:kinsoku w:val="0"/>
              <w:overflowPunct w:val="0"/>
              <w:spacing w:before="21"/>
              <w:ind w:right="50"/>
              <w:jc w:val="right"/>
              <w:rPr>
                <w:color w:val="231F20"/>
                <w:sz w:val="16"/>
                <w:szCs w:val="16"/>
              </w:rPr>
            </w:pPr>
          </w:p>
        </w:tc>
      </w:tr>
      <w:tr w:rsidR="006A753B" w14:paraId="6DDAC9E0" w14:textId="77777777">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3465969E" w14:textId="3FAB13C4" w:rsidR="006A753B" w:rsidRPr="003566E4" w:rsidRDefault="006A753B">
            <w:pPr>
              <w:pStyle w:val="TableParagraph"/>
              <w:kinsoku w:val="0"/>
              <w:overflowPunct w:val="0"/>
              <w:spacing w:before="21"/>
              <w:ind w:left="50"/>
              <w:rPr>
                <w:b/>
                <w:color w:val="231F20"/>
                <w:sz w:val="16"/>
                <w:szCs w:val="16"/>
              </w:rPr>
            </w:pPr>
            <w:r w:rsidRPr="003566E4">
              <w:rPr>
                <w:b/>
                <w:color w:val="231F20"/>
                <w:sz w:val="16"/>
                <w:szCs w:val="16"/>
              </w:rPr>
              <w:t>Canada</w:t>
            </w:r>
            <w:r w:rsidR="007375BD">
              <w:rPr>
                <w:b/>
                <w:color w:val="231F20"/>
                <w:sz w:val="16"/>
                <w:szCs w:val="16"/>
              </w:rPr>
              <w:t xml:space="preserve"> – Initial Programme</w:t>
            </w:r>
          </w:p>
        </w:tc>
        <w:tc>
          <w:tcPr>
            <w:tcW w:w="3911" w:type="dxa"/>
            <w:gridSpan w:val="2"/>
            <w:tcBorders>
              <w:top w:val="none" w:sz="6" w:space="0" w:color="auto"/>
              <w:left w:val="none" w:sz="6" w:space="0" w:color="auto"/>
              <w:bottom w:val="none" w:sz="6" w:space="0" w:color="auto"/>
              <w:right w:val="none" w:sz="6" w:space="0" w:color="auto"/>
            </w:tcBorders>
          </w:tcPr>
          <w:p w14:paraId="384FF0EF" w14:textId="77777777" w:rsidR="006A753B" w:rsidRDefault="006A753B">
            <w:pPr>
              <w:pStyle w:val="TableParagraph"/>
              <w:kinsoku w:val="0"/>
              <w:overflowPunct w:val="0"/>
              <w:spacing w:before="21"/>
              <w:ind w:right="50"/>
              <w:jc w:val="right"/>
              <w:rPr>
                <w:color w:val="231F20"/>
                <w:sz w:val="16"/>
                <w:szCs w:val="16"/>
              </w:rPr>
            </w:pPr>
          </w:p>
        </w:tc>
      </w:tr>
      <w:tr w:rsidR="006A753B" w14:paraId="04999EC7" w14:textId="77777777" w:rsidTr="00D818EC">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0F6466F0" w14:textId="14A995BA" w:rsidR="006A753B" w:rsidRDefault="006A753B" w:rsidP="00D818EC">
            <w:pPr>
              <w:pStyle w:val="TableParagraph"/>
              <w:kinsoku w:val="0"/>
              <w:overflowPunct w:val="0"/>
              <w:spacing w:before="21"/>
              <w:ind w:left="50"/>
              <w:rPr>
                <w:color w:val="231F20"/>
                <w:sz w:val="16"/>
                <w:szCs w:val="16"/>
              </w:rPr>
            </w:pPr>
            <w:r>
              <w:rPr>
                <w:color w:val="231F20"/>
                <w:sz w:val="16"/>
                <w:szCs w:val="16"/>
              </w:rPr>
              <w:t>Airfares/charter</w:t>
            </w:r>
          </w:p>
        </w:tc>
        <w:tc>
          <w:tcPr>
            <w:tcW w:w="3911" w:type="dxa"/>
            <w:gridSpan w:val="2"/>
            <w:tcBorders>
              <w:top w:val="none" w:sz="6" w:space="0" w:color="auto"/>
              <w:left w:val="none" w:sz="6" w:space="0" w:color="auto"/>
              <w:bottom w:val="none" w:sz="6" w:space="0" w:color="auto"/>
              <w:right w:val="none" w:sz="6" w:space="0" w:color="auto"/>
            </w:tcBorders>
          </w:tcPr>
          <w:p w14:paraId="19CDBB5D" w14:textId="36A2E6F0" w:rsidR="006A753B" w:rsidRDefault="006A753B" w:rsidP="00D818EC">
            <w:pPr>
              <w:pStyle w:val="TableParagraph"/>
              <w:kinsoku w:val="0"/>
              <w:overflowPunct w:val="0"/>
              <w:spacing w:before="21"/>
              <w:ind w:right="50"/>
              <w:jc w:val="right"/>
              <w:rPr>
                <w:color w:val="231F20"/>
                <w:sz w:val="16"/>
                <w:szCs w:val="16"/>
              </w:rPr>
            </w:pPr>
            <w:r>
              <w:rPr>
                <w:color w:val="231F20"/>
                <w:sz w:val="16"/>
                <w:szCs w:val="16"/>
              </w:rPr>
              <w:t>£163,000</w:t>
            </w:r>
          </w:p>
        </w:tc>
      </w:tr>
      <w:tr w:rsidR="006A753B" w14:paraId="3F72C0C5" w14:textId="77777777" w:rsidTr="00D818EC">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146CF06B" w14:textId="63B65781" w:rsidR="006A753B" w:rsidRDefault="00B96D4B" w:rsidP="00D818EC">
            <w:pPr>
              <w:pStyle w:val="TableParagraph"/>
              <w:kinsoku w:val="0"/>
              <w:overflowPunct w:val="0"/>
              <w:spacing w:before="21"/>
              <w:ind w:left="50"/>
              <w:rPr>
                <w:color w:val="231F20"/>
                <w:sz w:val="16"/>
                <w:szCs w:val="16"/>
              </w:rPr>
            </w:pPr>
            <w:r>
              <w:rPr>
                <w:color w:val="231F20"/>
                <w:sz w:val="16"/>
                <w:szCs w:val="16"/>
              </w:rPr>
              <w:t>Accommodation</w:t>
            </w:r>
          </w:p>
        </w:tc>
        <w:tc>
          <w:tcPr>
            <w:tcW w:w="3911" w:type="dxa"/>
            <w:gridSpan w:val="2"/>
            <w:tcBorders>
              <w:top w:val="none" w:sz="6" w:space="0" w:color="auto"/>
              <w:left w:val="none" w:sz="6" w:space="0" w:color="auto"/>
              <w:bottom w:val="none" w:sz="6" w:space="0" w:color="auto"/>
              <w:right w:val="none" w:sz="6" w:space="0" w:color="auto"/>
            </w:tcBorders>
          </w:tcPr>
          <w:p w14:paraId="324FEE39" w14:textId="700CB2EF" w:rsidR="006A753B" w:rsidRDefault="00B96D4B" w:rsidP="003566E4">
            <w:pPr>
              <w:pStyle w:val="TableParagraph"/>
              <w:kinsoku w:val="0"/>
              <w:overflowPunct w:val="0"/>
              <w:spacing w:before="21"/>
              <w:ind w:right="50"/>
              <w:jc w:val="center"/>
              <w:rPr>
                <w:color w:val="231F20"/>
                <w:sz w:val="16"/>
                <w:szCs w:val="16"/>
              </w:rPr>
            </w:pPr>
            <w:r>
              <w:rPr>
                <w:color w:val="231F20"/>
                <w:sz w:val="16"/>
                <w:szCs w:val="16"/>
              </w:rPr>
              <w:t xml:space="preserve">                                                                         £33,000</w:t>
            </w:r>
          </w:p>
        </w:tc>
      </w:tr>
      <w:tr w:rsidR="006A753B" w14:paraId="11011A96" w14:textId="77777777" w:rsidTr="00D818EC">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305A2B05" w14:textId="22548D32" w:rsidR="006A753B" w:rsidRDefault="00B96D4B" w:rsidP="00D818EC">
            <w:pPr>
              <w:pStyle w:val="TableParagraph"/>
              <w:kinsoku w:val="0"/>
              <w:overflowPunct w:val="0"/>
              <w:spacing w:before="21"/>
              <w:ind w:left="50"/>
              <w:rPr>
                <w:color w:val="231F20"/>
                <w:sz w:val="16"/>
                <w:szCs w:val="16"/>
              </w:rPr>
            </w:pPr>
            <w:r>
              <w:rPr>
                <w:color w:val="231F20"/>
                <w:sz w:val="16"/>
                <w:szCs w:val="16"/>
              </w:rPr>
              <w:t>Wages</w:t>
            </w:r>
          </w:p>
        </w:tc>
        <w:tc>
          <w:tcPr>
            <w:tcW w:w="3911" w:type="dxa"/>
            <w:gridSpan w:val="2"/>
            <w:tcBorders>
              <w:top w:val="none" w:sz="6" w:space="0" w:color="auto"/>
              <w:left w:val="none" w:sz="6" w:space="0" w:color="auto"/>
              <w:bottom w:val="none" w:sz="6" w:space="0" w:color="auto"/>
              <w:right w:val="none" w:sz="6" w:space="0" w:color="auto"/>
            </w:tcBorders>
          </w:tcPr>
          <w:p w14:paraId="0E313669" w14:textId="0A12D1BB" w:rsidR="006A753B" w:rsidRDefault="006A753B" w:rsidP="00D818EC">
            <w:pPr>
              <w:pStyle w:val="TableParagraph"/>
              <w:kinsoku w:val="0"/>
              <w:overflowPunct w:val="0"/>
              <w:spacing w:before="21"/>
              <w:ind w:right="50"/>
              <w:jc w:val="right"/>
              <w:rPr>
                <w:color w:val="231F20"/>
                <w:sz w:val="16"/>
                <w:szCs w:val="16"/>
              </w:rPr>
            </w:pPr>
            <w:r>
              <w:rPr>
                <w:color w:val="231F20"/>
                <w:sz w:val="16"/>
                <w:szCs w:val="16"/>
              </w:rPr>
              <w:t>£</w:t>
            </w:r>
            <w:r w:rsidR="00B96D4B">
              <w:rPr>
                <w:color w:val="231F20"/>
                <w:sz w:val="16"/>
                <w:szCs w:val="16"/>
              </w:rPr>
              <w:t>26</w:t>
            </w:r>
            <w:r>
              <w:rPr>
                <w:color w:val="231F20"/>
                <w:sz w:val="16"/>
                <w:szCs w:val="16"/>
              </w:rPr>
              <w:t>,000</w:t>
            </w:r>
          </w:p>
        </w:tc>
      </w:tr>
      <w:tr w:rsidR="006A753B" w14:paraId="6675EAEF" w14:textId="77777777" w:rsidTr="00D818EC">
        <w:trPr>
          <w:gridAfter w:val="1"/>
          <w:wAfter w:w="123" w:type="dxa"/>
          <w:trHeight w:val="225"/>
        </w:trPr>
        <w:tc>
          <w:tcPr>
            <w:tcW w:w="4907" w:type="dxa"/>
            <w:tcBorders>
              <w:top w:val="none" w:sz="6" w:space="0" w:color="auto"/>
              <w:left w:val="none" w:sz="6" w:space="0" w:color="auto"/>
              <w:bottom w:val="none" w:sz="6" w:space="0" w:color="auto"/>
              <w:right w:val="none" w:sz="6" w:space="0" w:color="auto"/>
            </w:tcBorders>
          </w:tcPr>
          <w:p w14:paraId="7265A80F" w14:textId="28F57F41" w:rsidR="006A753B" w:rsidRDefault="00B96D4B" w:rsidP="00D818EC">
            <w:pPr>
              <w:pStyle w:val="TableParagraph"/>
              <w:kinsoku w:val="0"/>
              <w:overflowPunct w:val="0"/>
              <w:spacing w:before="18"/>
              <w:ind w:left="50"/>
              <w:rPr>
                <w:color w:val="231F20"/>
                <w:sz w:val="16"/>
                <w:szCs w:val="16"/>
              </w:rPr>
            </w:pPr>
            <w:r>
              <w:rPr>
                <w:color w:val="231F20"/>
                <w:sz w:val="16"/>
                <w:szCs w:val="16"/>
              </w:rPr>
              <w:t>Consultants and costs</w:t>
            </w:r>
          </w:p>
        </w:tc>
        <w:tc>
          <w:tcPr>
            <w:tcW w:w="3911" w:type="dxa"/>
            <w:gridSpan w:val="2"/>
            <w:tcBorders>
              <w:top w:val="none" w:sz="6" w:space="0" w:color="auto"/>
              <w:left w:val="none" w:sz="6" w:space="0" w:color="auto"/>
              <w:bottom w:val="none" w:sz="6" w:space="0" w:color="auto"/>
              <w:right w:val="none" w:sz="6" w:space="0" w:color="auto"/>
            </w:tcBorders>
          </w:tcPr>
          <w:p w14:paraId="40ED30CC" w14:textId="519E0D4D" w:rsidR="006A753B" w:rsidRDefault="006A753B" w:rsidP="00D818EC">
            <w:pPr>
              <w:pStyle w:val="TableParagraph"/>
              <w:kinsoku w:val="0"/>
              <w:overflowPunct w:val="0"/>
              <w:spacing w:before="18"/>
              <w:ind w:right="50"/>
              <w:jc w:val="right"/>
              <w:rPr>
                <w:color w:val="231F20"/>
                <w:sz w:val="16"/>
                <w:szCs w:val="16"/>
              </w:rPr>
            </w:pPr>
            <w:r>
              <w:rPr>
                <w:color w:val="231F20"/>
                <w:sz w:val="16"/>
                <w:szCs w:val="16"/>
              </w:rPr>
              <w:t>£</w:t>
            </w:r>
            <w:r w:rsidR="00B96D4B">
              <w:rPr>
                <w:color w:val="231F20"/>
                <w:sz w:val="16"/>
                <w:szCs w:val="16"/>
              </w:rPr>
              <w:t>101</w:t>
            </w:r>
            <w:r>
              <w:rPr>
                <w:color w:val="231F20"/>
                <w:sz w:val="16"/>
                <w:szCs w:val="16"/>
              </w:rPr>
              <w:t>,</w:t>
            </w:r>
            <w:r w:rsidR="00B96D4B">
              <w:rPr>
                <w:color w:val="231F20"/>
                <w:sz w:val="16"/>
                <w:szCs w:val="16"/>
              </w:rPr>
              <w:t>5</w:t>
            </w:r>
            <w:r>
              <w:rPr>
                <w:color w:val="231F20"/>
                <w:sz w:val="16"/>
                <w:szCs w:val="16"/>
              </w:rPr>
              <w:t>00</w:t>
            </w:r>
          </w:p>
        </w:tc>
      </w:tr>
      <w:tr w:rsidR="006A753B" w14:paraId="2B3807E7" w14:textId="77777777" w:rsidTr="00D818EC">
        <w:trPr>
          <w:gridAfter w:val="1"/>
          <w:wAfter w:w="123" w:type="dxa"/>
          <w:trHeight w:val="225"/>
        </w:trPr>
        <w:tc>
          <w:tcPr>
            <w:tcW w:w="4907" w:type="dxa"/>
            <w:tcBorders>
              <w:top w:val="none" w:sz="6" w:space="0" w:color="auto"/>
              <w:left w:val="none" w:sz="6" w:space="0" w:color="auto"/>
              <w:bottom w:val="none" w:sz="6" w:space="0" w:color="auto"/>
              <w:right w:val="none" w:sz="6" w:space="0" w:color="auto"/>
            </w:tcBorders>
          </w:tcPr>
          <w:p w14:paraId="54C2B115" w14:textId="698BB117" w:rsidR="006A753B" w:rsidRDefault="00B96D4B" w:rsidP="00D818EC">
            <w:pPr>
              <w:pStyle w:val="TableParagraph"/>
              <w:kinsoku w:val="0"/>
              <w:overflowPunct w:val="0"/>
              <w:spacing w:before="18"/>
              <w:ind w:left="50"/>
              <w:rPr>
                <w:color w:val="231F20"/>
                <w:sz w:val="16"/>
                <w:szCs w:val="16"/>
              </w:rPr>
            </w:pPr>
            <w:r>
              <w:rPr>
                <w:color w:val="231F20"/>
                <w:sz w:val="16"/>
                <w:szCs w:val="16"/>
              </w:rPr>
              <w:t>Equipment</w:t>
            </w:r>
          </w:p>
        </w:tc>
        <w:tc>
          <w:tcPr>
            <w:tcW w:w="3911" w:type="dxa"/>
            <w:gridSpan w:val="2"/>
            <w:tcBorders>
              <w:top w:val="none" w:sz="6" w:space="0" w:color="auto"/>
              <w:left w:val="none" w:sz="6" w:space="0" w:color="auto"/>
              <w:bottom w:val="none" w:sz="6" w:space="0" w:color="auto"/>
              <w:right w:val="none" w:sz="6" w:space="0" w:color="auto"/>
            </w:tcBorders>
          </w:tcPr>
          <w:p w14:paraId="4C105FCD" w14:textId="3AA5DA4F" w:rsidR="006A753B" w:rsidRDefault="006A753B" w:rsidP="00D818EC">
            <w:pPr>
              <w:pStyle w:val="TableParagraph"/>
              <w:kinsoku w:val="0"/>
              <w:overflowPunct w:val="0"/>
              <w:spacing w:before="18"/>
              <w:ind w:right="50"/>
              <w:jc w:val="right"/>
              <w:rPr>
                <w:color w:val="231F20"/>
                <w:sz w:val="16"/>
                <w:szCs w:val="16"/>
              </w:rPr>
            </w:pPr>
            <w:r>
              <w:rPr>
                <w:color w:val="231F20"/>
                <w:sz w:val="16"/>
                <w:szCs w:val="16"/>
              </w:rPr>
              <w:t>£</w:t>
            </w:r>
            <w:r w:rsidR="00B96D4B">
              <w:rPr>
                <w:color w:val="231F20"/>
                <w:sz w:val="16"/>
                <w:szCs w:val="16"/>
              </w:rPr>
              <w:t>7</w:t>
            </w:r>
            <w:r>
              <w:rPr>
                <w:color w:val="231F20"/>
                <w:sz w:val="16"/>
                <w:szCs w:val="16"/>
              </w:rPr>
              <w:t>,000</w:t>
            </w:r>
          </w:p>
        </w:tc>
      </w:tr>
      <w:tr w:rsidR="006A753B" w14:paraId="018011DF" w14:textId="77777777" w:rsidTr="00D818EC">
        <w:trPr>
          <w:gridAfter w:val="1"/>
          <w:wAfter w:w="123" w:type="dxa"/>
          <w:trHeight w:val="225"/>
        </w:trPr>
        <w:tc>
          <w:tcPr>
            <w:tcW w:w="4907" w:type="dxa"/>
            <w:tcBorders>
              <w:top w:val="none" w:sz="6" w:space="0" w:color="auto"/>
              <w:left w:val="none" w:sz="6" w:space="0" w:color="auto"/>
              <w:bottom w:val="none" w:sz="6" w:space="0" w:color="auto"/>
              <w:right w:val="none" w:sz="6" w:space="0" w:color="auto"/>
            </w:tcBorders>
          </w:tcPr>
          <w:p w14:paraId="1F93E6E3" w14:textId="44CA2EF1" w:rsidR="006A753B" w:rsidRDefault="00C34B3F" w:rsidP="00D818EC">
            <w:pPr>
              <w:pStyle w:val="TableParagraph"/>
              <w:kinsoku w:val="0"/>
              <w:overflowPunct w:val="0"/>
              <w:spacing w:before="18"/>
              <w:ind w:left="50"/>
              <w:rPr>
                <w:color w:val="231F20"/>
                <w:sz w:val="16"/>
                <w:szCs w:val="16"/>
              </w:rPr>
            </w:pPr>
            <w:r>
              <w:rPr>
                <w:color w:val="231F20"/>
                <w:sz w:val="16"/>
                <w:szCs w:val="16"/>
              </w:rPr>
              <w:t>Analytical</w:t>
            </w:r>
          </w:p>
        </w:tc>
        <w:tc>
          <w:tcPr>
            <w:tcW w:w="3911" w:type="dxa"/>
            <w:gridSpan w:val="2"/>
            <w:tcBorders>
              <w:top w:val="none" w:sz="6" w:space="0" w:color="auto"/>
              <w:left w:val="none" w:sz="6" w:space="0" w:color="auto"/>
              <w:bottom w:val="none" w:sz="6" w:space="0" w:color="auto"/>
              <w:right w:val="none" w:sz="6" w:space="0" w:color="auto"/>
            </w:tcBorders>
          </w:tcPr>
          <w:p w14:paraId="080D4E43" w14:textId="5EBA367D" w:rsidR="006A753B" w:rsidRDefault="006A753B" w:rsidP="00D818EC">
            <w:pPr>
              <w:pStyle w:val="TableParagraph"/>
              <w:kinsoku w:val="0"/>
              <w:overflowPunct w:val="0"/>
              <w:spacing w:before="18"/>
              <w:ind w:right="50"/>
              <w:jc w:val="right"/>
              <w:rPr>
                <w:color w:val="231F20"/>
                <w:sz w:val="16"/>
                <w:szCs w:val="16"/>
              </w:rPr>
            </w:pPr>
            <w:r>
              <w:rPr>
                <w:color w:val="231F20"/>
                <w:sz w:val="16"/>
                <w:szCs w:val="16"/>
              </w:rPr>
              <w:t>£</w:t>
            </w:r>
            <w:r w:rsidR="00C34B3F">
              <w:rPr>
                <w:color w:val="231F20"/>
                <w:sz w:val="16"/>
                <w:szCs w:val="16"/>
              </w:rPr>
              <w:t>24</w:t>
            </w:r>
            <w:r>
              <w:rPr>
                <w:color w:val="231F20"/>
                <w:sz w:val="16"/>
                <w:szCs w:val="16"/>
              </w:rPr>
              <w:t>,000</w:t>
            </w:r>
          </w:p>
        </w:tc>
      </w:tr>
      <w:tr w:rsidR="006A753B" w14:paraId="38ABCCEA" w14:textId="77777777" w:rsidTr="00D818EC">
        <w:trPr>
          <w:gridAfter w:val="1"/>
          <w:wAfter w:w="123" w:type="dxa"/>
          <w:trHeight w:val="225"/>
        </w:trPr>
        <w:tc>
          <w:tcPr>
            <w:tcW w:w="4907" w:type="dxa"/>
            <w:tcBorders>
              <w:top w:val="none" w:sz="6" w:space="0" w:color="auto"/>
              <w:left w:val="none" w:sz="6" w:space="0" w:color="auto"/>
              <w:bottom w:val="none" w:sz="6" w:space="0" w:color="auto"/>
              <w:right w:val="none" w:sz="6" w:space="0" w:color="auto"/>
            </w:tcBorders>
          </w:tcPr>
          <w:p w14:paraId="293A4DF6" w14:textId="505FD8BB" w:rsidR="006A753B" w:rsidRDefault="00C34B3F" w:rsidP="00D818EC">
            <w:pPr>
              <w:pStyle w:val="TableParagraph"/>
              <w:kinsoku w:val="0"/>
              <w:overflowPunct w:val="0"/>
              <w:spacing w:before="18"/>
              <w:ind w:left="50"/>
              <w:rPr>
                <w:color w:val="231F20"/>
                <w:sz w:val="16"/>
                <w:szCs w:val="16"/>
              </w:rPr>
            </w:pPr>
            <w:r>
              <w:rPr>
                <w:color w:val="231F20"/>
                <w:sz w:val="16"/>
                <w:szCs w:val="16"/>
              </w:rPr>
              <w:t>Contingency</w:t>
            </w:r>
          </w:p>
        </w:tc>
        <w:tc>
          <w:tcPr>
            <w:tcW w:w="3911" w:type="dxa"/>
            <w:gridSpan w:val="2"/>
            <w:tcBorders>
              <w:top w:val="none" w:sz="6" w:space="0" w:color="auto"/>
              <w:left w:val="none" w:sz="6" w:space="0" w:color="auto"/>
              <w:bottom w:val="none" w:sz="6" w:space="0" w:color="auto"/>
              <w:right w:val="none" w:sz="6" w:space="0" w:color="auto"/>
            </w:tcBorders>
          </w:tcPr>
          <w:p w14:paraId="3CCDA7D1" w14:textId="79D032A6" w:rsidR="006A753B" w:rsidRDefault="006A753B" w:rsidP="00D818EC">
            <w:pPr>
              <w:pStyle w:val="TableParagraph"/>
              <w:kinsoku w:val="0"/>
              <w:overflowPunct w:val="0"/>
              <w:spacing w:before="18"/>
              <w:ind w:right="50"/>
              <w:jc w:val="right"/>
              <w:rPr>
                <w:color w:val="231F20"/>
                <w:sz w:val="16"/>
                <w:szCs w:val="16"/>
              </w:rPr>
            </w:pPr>
            <w:r>
              <w:rPr>
                <w:color w:val="231F20"/>
                <w:sz w:val="16"/>
                <w:szCs w:val="16"/>
              </w:rPr>
              <w:t>£</w:t>
            </w:r>
            <w:r w:rsidR="00C34B3F">
              <w:rPr>
                <w:color w:val="231F20"/>
                <w:sz w:val="16"/>
                <w:szCs w:val="16"/>
              </w:rPr>
              <w:t>15</w:t>
            </w:r>
            <w:r>
              <w:rPr>
                <w:color w:val="231F20"/>
                <w:sz w:val="16"/>
                <w:szCs w:val="16"/>
              </w:rPr>
              <w:t>,0</w:t>
            </w:r>
            <w:r w:rsidR="00C34B3F">
              <w:rPr>
                <w:color w:val="231F20"/>
                <w:sz w:val="16"/>
                <w:szCs w:val="16"/>
              </w:rPr>
              <w:t>65</w:t>
            </w:r>
          </w:p>
        </w:tc>
      </w:tr>
      <w:tr w:rsidR="006A753B" w14:paraId="39926B9F" w14:textId="77777777" w:rsidTr="00D818EC">
        <w:trPr>
          <w:gridAfter w:val="1"/>
          <w:wAfter w:w="123" w:type="dxa"/>
          <w:trHeight w:val="202"/>
        </w:trPr>
        <w:tc>
          <w:tcPr>
            <w:tcW w:w="4907" w:type="dxa"/>
            <w:tcBorders>
              <w:top w:val="none" w:sz="6" w:space="0" w:color="auto"/>
              <w:left w:val="none" w:sz="6" w:space="0" w:color="auto"/>
              <w:bottom w:val="none" w:sz="6" w:space="0" w:color="auto"/>
              <w:right w:val="none" w:sz="6" w:space="0" w:color="auto"/>
            </w:tcBorders>
          </w:tcPr>
          <w:p w14:paraId="7942B796" w14:textId="7A81CA73" w:rsidR="006A753B" w:rsidRDefault="00530A98" w:rsidP="00D818EC">
            <w:pPr>
              <w:pStyle w:val="TableParagraph"/>
              <w:kinsoku w:val="0"/>
              <w:overflowPunct w:val="0"/>
              <w:spacing w:before="18" w:line="164" w:lineRule="exact"/>
              <w:ind w:left="50"/>
              <w:rPr>
                <w:color w:val="231F20"/>
                <w:sz w:val="16"/>
                <w:szCs w:val="16"/>
              </w:rPr>
            </w:pPr>
            <w:r>
              <w:rPr>
                <w:color w:val="231F20"/>
                <w:sz w:val="16"/>
                <w:szCs w:val="16"/>
              </w:rPr>
              <w:t>HST 15%</w:t>
            </w:r>
          </w:p>
        </w:tc>
        <w:tc>
          <w:tcPr>
            <w:tcW w:w="3911" w:type="dxa"/>
            <w:gridSpan w:val="2"/>
            <w:tcBorders>
              <w:top w:val="none" w:sz="6" w:space="0" w:color="auto"/>
              <w:left w:val="none" w:sz="6" w:space="0" w:color="auto"/>
              <w:bottom w:val="none" w:sz="6" w:space="0" w:color="auto"/>
              <w:right w:val="none" w:sz="6" w:space="0" w:color="auto"/>
            </w:tcBorders>
          </w:tcPr>
          <w:p w14:paraId="0F89EE94" w14:textId="1F112A10" w:rsidR="006A753B" w:rsidRDefault="006A753B" w:rsidP="00D818EC">
            <w:pPr>
              <w:pStyle w:val="TableParagraph"/>
              <w:kinsoku w:val="0"/>
              <w:overflowPunct w:val="0"/>
              <w:spacing w:before="18" w:line="164" w:lineRule="exact"/>
              <w:ind w:right="50"/>
              <w:jc w:val="right"/>
              <w:rPr>
                <w:color w:val="231F20"/>
                <w:sz w:val="16"/>
                <w:szCs w:val="16"/>
              </w:rPr>
            </w:pPr>
            <w:r>
              <w:rPr>
                <w:color w:val="231F20"/>
                <w:sz w:val="16"/>
                <w:szCs w:val="16"/>
              </w:rPr>
              <w:t>£5</w:t>
            </w:r>
            <w:r w:rsidR="00530A98">
              <w:rPr>
                <w:color w:val="231F20"/>
                <w:sz w:val="16"/>
                <w:szCs w:val="16"/>
              </w:rPr>
              <w:t>5</w:t>
            </w:r>
            <w:r>
              <w:rPr>
                <w:color w:val="231F20"/>
                <w:sz w:val="16"/>
                <w:szCs w:val="16"/>
              </w:rPr>
              <w:t>,</w:t>
            </w:r>
            <w:r w:rsidR="00530A98">
              <w:rPr>
                <w:color w:val="231F20"/>
                <w:sz w:val="16"/>
                <w:szCs w:val="16"/>
              </w:rPr>
              <w:t>435</w:t>
            </w:r>
          </w:p>
        </w:tc>
      </w:tr>
      <w:tr w:rsidR="006A753B" w:rsidRPr="00530A98" w14:paraId="1B6096F7" w14:textId="77777777" w:rsidTr="00D818EC">
        <w:trPr>
          <w:gridAfter w:val="1"/>
          <w:wAfter w:w="123" w:type="dxa"/>
          <w:trHeight w:val="202"/>
        </w:trPr>
        <w:tc>
          <w:tcPr>
            <w:tcW w:w="4907" w:type="dxa"/>
            <w:tcBorders>
              <w:top w:val="none" w:sz="6" w:space="0" w:color="auto"/>
              <w:left w:val="none" w:sz="6" w:space="0" w:color="auto"/>
              <w:bottom w:val="none" w:sz="6" w:space="0" w:color="auto"/>
              <w:right w:val="none" w:sz="6" w:space="0" w:color="auto"/>
            </w:tcBorders>
          </w:tcPr>
          <w:p w14:paraId="41379405" w14:textId="02F42B35" w:rsidR="006A753B" w:rsidRPr="003566E4" w:rsidRDefault="00530A98" w:rsidP="00D818EC">
            <w:pPr>
              <w:pStyle w:val="TableParagraph"/>
              <w:kinsoku w:val="0"/>
              <w:overflowPunct w:val="0"/>
              <w:spacing w:before="18" w:line="164" w:lineRule="exact"/>
              <w:ind w:left="50"/>
              <w:rPr>
                <w:b/>
                <w:color w:val="231F20"/>
                <w:sz w:val="16"/>
                <w:szCs w:val="16"/>
                <w:u w:val="single"/>
              </w:rPr>
            </w:pPr>
            <w:r w:rsidRPr="003566E4">
              <w:rPr>
                <w:b/>
                <w:color w:val="231F20"/>
                <w:sz w:val="16"/>
                <w:szCs w:val="16"/>
                <w:u w:val="single"/>
              </w:rPr>
              <w:t>Canada total</w:t>
            </w:r>
          </w:p>
        </w:tc>
        <w:tc>
          <w:tcPr>
            <w:tcW w:w="3911" w:type="dxa"/>
            <w:gridSpan w:val="2"/>
            <w:tcBorders>
              <w:top w:val="none" w:sz="6" w:space="0" w:color="auto"/>
              <w:left w:val="none" w:sz="6" w:space="0" w:color="auto"/>
              <w:bottom w:val="none" w:sz="6" w:space="0" w:color="auto"/>
              <w:right w:val="none" w:sz="6" w:space="0" w:color="auto"/>
            </w:tcBorders>
          </w:tcPr>
          <w:p w14:paraId="0C3654D1" w14:textId="7774F602" w:rsidR="006A753B" w:rsidRPr="003566E4" w:rsidRDefault="006A753B" w:rsidP="00D818EC">
            <w:pPr>
              <w:pStyle w:val="TableParagraph"/>
              <w:kinsoku w:val="0"/>
              <w:overflowPunct w:val="0"/>
              <w:spacing w:before="18" w:line="164" w:lineRule="exact"/>
              <w:ind w:right="50"/>
              <w:jc w:val="right"/>
              <w:rPr>
                <w:b/>
                <w:color w:val="231F20"/>
                <w:sz w:val="16"/>
                <w:szCs w:val="16"/>
              </w:rPr>
            </w:pPr>
            <w:r w:rsidRPr="003566E4">
              <w:rPr>
                <w:b/>
                <w:color w:val="231F20"/>
                <w:sz w:val="16"/>
                <w:szCs w:val="16"/>
              </w:rPr>
              <w:t>£</w:t>
            </w:r>
            <w:r w:rsidR="00530A98" w:rsidRPr="003566E4">
              <w:rPr>
                <w:b/>
                <w:color w:val="231F20"/>
                <w:sz w:val="16"/>
                <w:szCs w:val="16"/>
              </w:rPr>
              <w:t>425,000</w:t>
            </w:r>
          </w:p>
        </w:tc>
      </w:tr>
      <w:tr w:rsidR="006A753B" w14:paraId="509F48CC" w14:textId="77777777">
        <w:trPr>
          <w:gridAfter w:val="1"/>
          <w:wAfter w:w="123" w:type="dxa"/>
          <w:trHeight w:val="227"/>
        </w:trPr>
        <w:tc>
          <w:tcPr>
            <w:tcW w:w="4907" w:type="dxa"/>
            <w:tcBorders>
              <w:top w:val="none" w:sz="6" w:space="0" w:color="auto"/>
              <w:left w:val="none" w:sz="6" w:space="0" w:color="auto"/>
              <w:bottom w:val="none" w:sz="6" w:space="0" w:color="auto"/>
              <w:right w:val="none" w:sz="6" w:space="0" w:color="auto"/>
            </w:tcBorders>
          </w:tcPr>
          <w:p w14:paraId="6D0888F9" w14:textId="77777777" w:rsidR="006A753B" w:rsidRDefault="006A753B">
            <w:pPr>
              <w:pStyle w:val="TableParagraph"/>
              <w:kinsoku w:val="0"/>
              <w:overflowPunct w:val="0"/>
              <w:spacing w:before="21"/>
              <w:ind w:left="50"/>
              <w:rPr>
                <w:color w:val="231F20"/>
                <w:sz w:val="16"/>
                <w:szCs w:val="16"/>
              </w:rPr>
            </w:pPr>
          </w:p>
        </w:tc>
        <w:tc>
          <w:tcPr>
            <w:tcW w:w="3911" w:type="dxa"/>
            <w:gridSpan w:val="2"/>
            <w:tcBorders>
              <w:top w:val="none" w:sz="6" w:space="0" w:color="auto"/>
              <w:left w:val="none" w:sz="6" w:space="0" w:color="auto"/>
              <w:bottom w:val="none" w:sz="6" w:space="0" w:color="auto"/>
              <w:right w:val="none" w:sz="6" w:space="0" w:color="auto"/>
            </w:tcBorders>
          </w:tcPr>
          <w:p w14:paraId="7B7B9F68" w14:textId="77777777" w:rsidR="006A753B" w:rsidRDefault="006A753B">
            <w:pPr>
              <w:pStyle w:val="TableParagraph"/>
              <w:kinsoku w:val="0"/>
              <w:overflowPunct w:val="0"/>
              <w:spacing w:before="21"/>
              <w:ind w:right="50"/>
              <w:jc w:val="right"/>
              <w:rPr>
                <w:color w:val="231F20"/>
                <w:sz w:val="16"/>
                <w:szCs w:val="16"/>
              </w:rPr>
            </w:pPr>
          </w:p>
        </w:tc>
      </w:tr>
      <w:tr w:rsidR="00783288" w14:paraId="504661FC" w14:textId="77777777" w:rsidTr="008B7AD0">
        <w:trPr>
          <w:trHeight w:val="678"/>
        </w:trPr>
        <w:tc>
          <w:tcPr>
            <w:tcW w:w="5374" w:type="dxa"/>
            <w:gridSpan w:val="2"/>
            <w:tcBorders>
              <w:top w:val="single" w:sz="8" w:space="0" w:color="231F20"/>
              <w:left w:val="none" w:sz="6" w:space="0" w:color="auto"/>
              <w:bottom w:val="none" w:sz="6" w:space="0" w:color="auto"/>
              <w:right w:val="none" w:sz="6" w:space="0" w:color="auto"/>
            </w:tcBorders>
          </w:tcPr>
          <w:p w14:paraId="052C87DD" w14:textId="77777777" w:rsidR="00783288" w:rsidRDefault="00783288">
            <w:pPr>
              <w:pStyle w:val="TableParagraph"/>
              <w:kinsoku w:val="0"/>
              <w:overflowPunct w:val="0"/>
              <w:spacing w:before="1"/>
              <w:rPr>
                <w:sz w:val="21"/>
                <w:szCs w:val="21"/>
              </w:rPr>
            </w:pPr>
          </w:p>
          <w:p w14:paraId="1864DC50" w14:textId="77777777" w:rsidR="00783288" w:rsidRDefault="00E31420">
            <w:pPr>
              <w:pStyle w:val="TableParagraph"/>
              <w:kinsoku w:val="0"/>
              <w:overflowPunct w:val="0"/>
              <w:ind w:left="115"/>
              <w:rPr>
                <w:b/>
                <w:bCs/>
                <w:color w:val="231F20"/>
                <w:sz w:val="16"/>
                <w:szCs w:val="16"/>
              </w:rPr>
            </w:pPr>
            <w:r>
              <w:rPr>
                <w:b/>
                <w:bCs/>
                <w:color w:val="231F20"/>
                <w:sz w:val="16"/>
                <w:szCs w:val="16"/>
                <w:u w:val="single"/>
              </w:rPr>
              <w:t>Other Expenditures</w:t>
            </w:r>
          </w:p>
          <w:p w14:paraId="7064B749" w14:textId="64631A83" w:rsidR="00783288" w:rsidRPr="00861143" w:rsidRDefault="00783288">
            <w:pPr>
              <w:pStyle w:val="TableParagraph"/>
              <w:kinsoku w:val="0"/>
              <w:overflowPunct w:val="0"/>
              <w:spacing w:before="44"/>
              <w:ind w:left="115"/>
              <w:rPr>
                <w:b/>
                <w:color w:val="231F20"/>
                <w:sz w:val="16"/>
                <w:szCs w:val="16"/>
              </w:rPr>
            </w:pPr>
          </w:p>
        </w:tc>
        <w:tc>
          <w:tcPr>
            <w:tcW w:w="3567" w:type="dxa"/>
            <w:gridSpan w:val="2"/>
            <w:tcBorders>
              <w:top w:val="single" w:sz="8" w:space="0" w:color="231F20"/>
              <w:left w:val="none" w:sz="6" w:space="0" w:color="auto"/>
              <w:bottom w:val="none" w:sz="6" w:space="0" w:color="auto"/>
              <w:right w:val="none" w:sz="6" w:space="0" w:color="auto"/>
            </w:tcBorders>
          </w:tcPr>
          <w:p w14:paraId="62D85DA2" w14:textId="77777777" w:rsidR="00783288" w:rsidRDefault="00783288">
            <w:pPr>
              <w:pStyle w:val="TableParagraph"/>
              <w:kinsoku w:val="0"/>
              <w:overflowPunct w:val="0"/>
              <w:rPr>
                <w:sz w:val="18"/>
                <w:szCs w:val="18"/>
              </w:rPr>
            </w:pPr>
          </w:p>
          <w:p w14:paraId="218D0245" w14:textId="77777777" w:rsidR="00783288" w:rsidRDefault="00783288">
            <w:pPr>
              <w:pStyle w:val="TableParagraph"/>
              <w:kinsoku w:val="0"/>
              <w:overflowPunct w:val="0"/>
              <w:spacing w:before="11"/>
              <w:rPr>
                <w:sz w:val="22"/>
                <w:szCs w:val="22"/>
              </w:rPr>
            </w:pPr>
          </w:p>
          <w:p w14:paraId="399CD28E" w14:textId="21CAC8B1" w:rsidR="00783288" w:rsidRDefault="00783288">
            <w:pPr>
              <w:pStyle w:val="TableParagraph"/>
              <w:kinsoku w:val="0"/>
              <w:overflowPunct w:val="0"/>
              <w:ind w:right="108"/>
              <w:jc w:val="right"/>
              <w:rPr>
                <w:color w:val="231F20"/>
                <w:sz w:val="16"/>
                <w:szCs w:val="16"/>
              </w:rPr>
            </w:pPr>
          </w:p>
        </w:tc>
      </w:tr>
      <w:tr w:rsidR="00861143" w14:paraId="104F576D" w14:textId="77777777" w:rsidTr="008B7AD0">
        <w:trPr>
          <w:trHeight w:val="225"/>
        </w:trPr>
        <w:tc>
          <w:tcPr>
            <w:tcW w:w="5374" w:type="dxa"/>
            <w:gridSpan w:val="2"/>
            <w:tcBorders>
              <w:top w:val="none" w:sz="6" w:space="0" w:color="auto"/>
              <w:left w:val="none" w:sz="6" w:space="0" w:color="auto"/>
              <w:bottom w:val="none" w:sz="6" w:space="0" w:color="auto"/>
              <w:right w:val="none" w:sz="6" w:space="0" w:color="auto"/>
            </w:tcBorders>
          </w:tcPr>
          <w:p w14:paraId="376C5F94" w14:textId="22735D5F" w:rsidR="00861143" w:rsidRDefault="007375BD">
            <w:pPr>
              <w:pStyle w:val="TableParagraph"/>
              <w:kinsoku w:val="0"/>
              <w:overflowPunct w:val="0"/>
              <w:spacing w:before="18"/>
              <w:ind w:left="115"/>
              <w:rPr>
                <w:color w:val="231F20"/>
                <w:sz w:val="16"/>
                <w:szCs w:val="16"/>
              </w:rPr>
            </w:pPr>
            <w:r>
              <w:rPr>
                <w:color w:val="231F20"/>
                <w:sz w:val="16"/>
                <w:szCs w:val="16"/>
              </w:rPr>
              <w:t>Exploration - Canada</w:t>
            </w:r>
          </w:p>
        </w:tc>
        <w:tc>
          <w:tcPr>
            <w:tcW w:w="3567" w:type="dxa"/>
            <w:gridSpan w:val="2"/>
            <w:tcBorders>
              <w:top w:val="none" w:sz="6" w:space="0" w:color="auto"/>
              <w:left w:val="none" w:sz="6" w:space="0" w:color="auto"/>
              <w:bottom w:val="none" w:sz="6" w:space="0" w:color="auto"/>
              <w:right w:val="none" w:sz="6" w:space="0" w:color="auto"/>
            </w:tcBorders>
          </w:tcPr>
          <w:p w14:paraId="539B8522" w14:textId="110ACBBE" w:rsidR="00861143" w:rsidRDefault="00861143">
            <w:pPr>
              <w:pStyle w:val="TableParagraph"/>
              <w:kinsoku w:val="0"/>
              <w:overflowPunct w:val="0"/>
              <w:spacing w:before="18"/>
              <w:ind w:right="108"/>
              <w:jc w:val="right"/>
              <w:rPr>
                <w:color w:val="231F20"/>
                <w:sz w:val="16"/>
                <w:szCs w:val="16"/>
              </w:rPr>
            </w:pPr>
            <w:r>
              <w:rPr>
                <w:color w:val="231F20"/>
                <w:sz w:val="16"/>
                <w:szCs w:val="16"/>
              </w:rPr>
              <w:t>£</w:t>
            </w:r>
            <w:r w:rsidR="007375BD">
              <w:rPr>
                <w:color w:val="231F20"/>
                <w:sz w:val="16"/>
                <w:szCs w:val="16"/>
              </w:rPr>
              <w:t>225</w:t>
            </w:r>
            <w:r>
              <w:rPr>
                <w:color w:val="231F20"/>
                <w:sz w:val="16"/>
                <w:szCs w:val="16"/>
              </w:rPr>
              <w:t>,000</w:t>
            </w:r>
          </w:p>
        </w:tc>
      </w:tr>
      <w:tr w:rsidR="00861143" w14:paraId="6E20CA33" w14:textId="77777777" w:rsidTr="008B7AD0">
        <w:trPr>
          <w:trHeight w:val="225"/>
        </w:trPr>
        <w:tc>
          <w:tcPr>
            <w:tcW w:w="5374" w:type="dxa"/>
            <w:gridSpan w:val="2"/>
            <w:tcBorders>
              <w:top w:val="none" w:sz="6" w:space="0" w:color="auto"/>
              <w:left w:val="none" w:sz="6" w:space="0" w:color="auto"/>
              <w:bottom w:val="none" w:sz="6" w:space="0" w:color="auto"/>
              <w:right w:val="none" w:sz="6" w:space="0" w:color="auto"/>
            </w:tcBorders>
          </w:tcPr>
          <w:p w14:paraId="69370174" w14:textId="12C6E1FA" w:rsidR="00861143" w:rsidRPr="00861143" w:rsidRDefault="00861143">
            <w:pPr>
              <w:pStyle w:val="TableParagraph"/>
              <w:kinsoku w:val="0"/>
              <w:overflowPunct w:val="0"/>
              <w:spacing w:before="18"/>
              <w:ind w:left="115"/>
              <w:rPr>
                <w:b/>
                <w:color w:val="231F20"/>
                <w:sz w:val="16"/>
                <w:szCs w:val="16"/>
              </w:rPr>
            </w:pPr>
            <w:r w:rsidRPr="00861143">
              <w:rPr>
                <w:b/>
                <w:color w:val="231F20"/>
                <w:sz w:val="16"/>
                <w:szCs w:val="16"/>
              </w:rPr>
              <w:t xml:space="preserve">Adviser, </w:t>
            </w:r>
            <w:proofErr w:type="gramStart"/>
            <w:r w:rsidRPr="00861143">
              <w:rPr>
                <w:b/>
                <w:color w:val="231F20"/>
                <w:sz w:val="16"/>
                <w:szCs w:val="16"/>
              </w:rPr>
              <w:t>commission</w:t>
            </w:r>
            <w:proofErr w:type="gramEnd"/>
            <w:r w:rsidRPr="00861143">
              <w:rPr>
                <w:b/>
                <w:color w:val="231F20"/>
                <w:sz w:val="16"/>
                <w:szCs w:val="16"/>
              </w:rPr>
              <w:t xml:space="preserve"> and other fees</w:t>
            </w:r>
          </w:p>
        </w:tc>
        <w:tc>
          <w:tcPr>
            <w:tcW w:w="3567" w:type="dxa"/>
            <w:gridSpan w:val="2"/>
            <w:tcBorders>
              <w:top w:val="none" w:sz="6" w:space="0" w:color="auto"/>
              <w:left w:val="none" w:sz="6" w:space="0" w:color="auto"/>
              <w:bottom w:val="none" w:sz="6" w:space="0" w:color="auto"/>
              <w:right w:val="none" w:sz="6" w:space="0" w:color="auto"/>
            </w:tcBorders>
          </w:tcPr>
          <w:p w14:paraId="7E3FBC1E" w14:textId="77777777" w:rsidR="00861143" w:rsidRDefault="00861143">
            <w:pPr>
              <w:pStyle w:val="TableParagraph"/>
              <w:kinsoku w:val="0"/>
              <w:overflowPunct w:val="0"/>
              <w:spacing w:before="18"/>
              <w:ind w:right="108"/>
              <w:jc w:val="right"/>
              <w:rPr>
                <w:color w:val="231F20"/>
                <w:sz w:val="16"/>
                <w:szCs w:val="16"/>
              </w:rPr>
            </w:pPr>
          </w:p>
        </w:tc>
      </w:tr>
      <w:tr w:rsidR="00B160D0" w14:paraId="2B2613C5" w14:textId="77777777" w:rsidTr="008B7AD0">
        <w:trPr>
          <w:trHeight w:val="225"/>
        </w:trPr>
        <w:tc>
          <w:tcPr>
            <w:tcW w:w="5374" w:type="dxa"/>
            <w:gridSpan w:val="2"/>
            <w:tcBorders>
              <w:top w:val="none" w:sz="6" w:space="0" w:color="auto"/>
              <w:left w:val="none" w:sz="6" w:space="0" w:color="auto"/>
              <w:bottom w:val="none" w:sz="6" w:space="0" w:color="auto"/>
              <w:right w:val="none" w:sz="6" w:space="0" w:color="auto"/>
            </w:tcBorders>
          </w:tcPr>
          <w:p w14:paraId="26B3CFA7" w14:textId="4B2E5D09" w:rsidR="00B160D0" w:rsidRDefault="00B160D0">
            <w:pPr>
              <w:pStyle w:val="TableParagraph"/>
              <w:kinsoku w:val="0"/>
              <w:overflowPunct w:val="0"/>
              <w:spacing w:before="18"/>
              <w:ind w:left="115"/>
              <w:rPr>
                <w:color w:val="231F20"/>
                <w:sz w:val="16"/>
                <w:szCs w:val="16"/>
              </w:rPr>
            </w:pPr>
            <w:r>
              <w:rPr>
                <w:color w:val="231F20"/>
                <w:sz w:val="16"/>
                <w:szCs w:val="16"/>
              </w:rPr>
              <w:t>Brokerage fees</w:t>
            </w:r>
          </w:p>
        </w:tc>
        <w:tc>
          <w:tcPr>
            <w:tcW w:w="3567" w:type="dxa"/>
            <w:gridSpan w:val="2"/>
            <w:tcBorders>
              <w:top w:val="none" w:sz="6" w:space="0" w:color="auto"/>
              <w:left w:val="none" w:sz="6" w:space="0" w:color="auto"/>
              <w:bottom w:val="none" w:sz="6" w:space="0" w:color="auto"/>
              <w:right w:val="none" w:sz="6" w:space="0" w:color="auto"/>
            </w:tcBorders>
          </w:tcPr>
          <w:p w14:paraId="5B321395" w14:textId="56E9736A" w:rsidR="00B160D0" w:rsidRDefault="00B160D0">
            <w:pPr>
              <w:pStyle w:val="TableParagraph"/>
              <w:kinsoku w:val="0"/>
              <w:overflowPunct w:val="0"/>
              <w:spacing w:before="18"/>
              <w:ind w:right="108"/>
              <w:jc w:val="right"/>
              <w:rPr>
                <w:color w:val="231F20"/>
                <w:sz w:val="16"/>
                <w:szCs w:val="16"/>
              </w:rPr>
            </w:pPr>
            <w:r>
              <w:rPr>
                <w:color w:val="231F20"/>
                <w:sz w:val="16"/>
                <w:szCs w:val="16"/>
              </w:rPr>
              <w:t>£</w:t>
            </w:r>
            <w:r w:rsidR="007375BD">
              <w:rPr>
                <w:color w:val="231F20"/>
                <w:sz w:val="16"/>
                <w:szCs w:val="16"/>
              </w:rPr>
              <w:t>50</w:t>
            </w:r>
            <w:r>
              <w:rPr>
                <w:color w:val="231F20"/>
                <w:sz w:val="16"/>
                <w:szCs w:val="16"/>
              </w:rPr>
              <w:t>,000</w:t>
            </w:r>
          </w:p>
        </w:tc>
      </w:tr>
      <w:tr w:rsidR="00B160D0" w14:paraId="437FADD3" w14:textId="77777777" w:rsidTr="008B7AD0">
        <w:trPr>
          <w:trHeight w:val="225"/>
        </w:trPr>
        <w:tc>
          <w:tcPr>
            <w:tcW w:w="5374" w:type="dxa"/>
            <w:gridSpan w:val="2"/>
            <w:tcBorders>
              <w:top w:val="none" w:sz="6" w:space="0" w:color="auto"/>
              <w:left w:val="none" w:sz="6" w:space="0" w:color="auto"/>
              <w:bottom w:val="none" w:sz="6" w:space="0" w:color="auto"/>
              <w:right w:val="none" w:sz="6" w:space="0" w:color="auto"/>
            </w:tcBorders>
          </w:tcPr>
          <w:p w14:paraId="26291C21" w14:textId="5EC766A1" w:rsidR="00B160D0" w:rsidRDefault="00B160D0">
            <w:pPr>
              <w:pStyle w:val="TableParagraph"/>
              <w:kinsoku w:val="0"/>
              <w:overflowPunct w:val="0"/>
              <w:spacing w:before="18"/>
              <w:ind w:left="115"/>
              <w:rPr>
                <w:color w:val="231F20"/>
                <w:sz w:val="16"/>
                <w:szCs w:val="16"/>
              </w:rPr>
            </w:pPr>
            <w:r>
              <w:rPr>
                <w:color w:val="231F20"/>
                <w:sz w:val="16"/>
                <w:szCs w:val="16"/>
              </w:rPr>
              <w:t xml:space="preserve">Legal fees </w:t>
            </w:r>
          </w:p>
        </w:tc>
        <w:tc>
          <w:tcPr>
            <w:tcW w:w="3567" w:type="dxa"/>
            <w:gridSpan w:val="2"/>
            <w:tcBorders>
              <w:top w:val="none" w:sz="6" w:space="0" w:color="auto"/>
              <w:left w:val="none" w:sz="6" w:space="0" w:color="auto"/>
              <w:bottom w:val="none" w:sz="6" w:space="0" w:color="auto"/>
              <w:right w:val="none" w:sz="6" w:space="0" w:color="auto"/>
            </w:tcBorders>
          </w:tcPr>
          <w:p w14:paraId="1228D4FD" w14:textId="1FB57BB3" w:rsidR="00B160D0" w:rsidRDefault="00B160D0">
            <w:pPr>
              <w:pStyle w:val="TableParagraph"/>
              <w:kinsoku w:val="0"/>
              <w:overflowPunct w:val="0"/>
              <w:spacing w:before="18"/>
              <w:ind w:right="108"/>
              <w:jc w:val="right"/>
              <w:rPr>
                <w:color w:val="231F20"/>
                <w:sz w:val="16"/>
                <w:szCs w:val="16"/>
              </w:rPr>
            </w:pPr>
            <w:r>
              <w:rPr>
                <w:color w:val="231F20"/>
                <w:sz w:val="16"/>
                <w:szCs w:val="16"/>
              </w:rPr>
              <w:t>£</w:t>
            </w:r>
            <w:r w:rsidR="007375BD">
              <w:rPr>
                <w:color w:val="231F20"/>
                <w:sz w:val="16"/>
                <w:szCs w:val="16"/>
              </w:rPr>
              <w:t>6</w:t>
            </w:r>
            <w:r>
              <w:rPr>
                <w:color w:val="231F20"/>
                <w:sz w:val="16"/>
                <w:szCs w:val="16"/>
              </w:rPr>
              <w:t>0,000</w:t>
            </w:r>
          </w:p>
        </w:tc>
      </w:tr>
      <w:tr w:rsidR="00B160D0" w14:paraId="55A445B8" w14:textId="77777777" w:rsidTr="008B7AD0">
        <w:trPr>
          <w:trHeight w:val="225"/>
        </w:trPr>
        <w:tc>
          <w:tcPr>
            <w:tcW w:w="5374" w:type="dxa"/>
            <w:gridSpan w:val="2"/>
            <w:tcBorders>
              <w:top w:val="none" w:sz="6" w:space="0" w:color="auto"/>
              <w:left w:val="none" w:sz="6" w:space="0" w:color="auto"/>
              <w:bottom w:val="none" w:sz="6" w:space="0" w:color="auto"/>
              <w:right w:val="none" w:sz="6" w:space="0" w:color="auto"/>
            </w:tcBorders>
          </w:tcPr>
          <w:p w14:paraId="4E84B0CB" w14:textId="40BCEA03" w:rsidR="00B160D0" w:rsidRDefault="00B160D0">
            <w:pPr>
              <w:pStyle w:val="TableParagraph"/>
              <w:kinsoku w:val="0"/>
              <w:overflowPunct w:val="0"/>
              <w:spacing w:before="18"/>
              <w:ind w:left="115"/>
              <w:rPr>
                <w:color w:val="231F20"/>
                <w:sz w:val="16"/>
                <w:szCs w:val="16"/>
              </w:rPr>
            </w:pPr>
            <w:r>
              <w:rPr>
                <w:color w:val="231F20"/>
                <w:sz w:val="16"/>
                <w:szCs w:val="16"/>
              </w:rPr>
              <w:t>Other advisers/fees</w:t>
            </w:r>
          </w:p>
        </w:tc>
        <w:tc>
          <w:tcPr>
            <w:tcW w:w="3567" w:type="dxa"/>
            <w:gridSpan w:val="2"/>
            <w:tcBorders>
              <w:top w:val="none" w:sz="6" w:space="0" w:color="auto"/>
              <w:left w:val="none" w:sz="6" w:space="0" w:color="auto"/>
              <w:bottom w:val="none" w:sz="6" w:space="0" w:color="auto"/>
              <w:right w:val="none" w:sz="6" w:space="0" w:color="auto"/>
            </w:tcBorders>
          </w:tcPr>
          <w:p w14:paraId="537F4C70" w14:textId="4D0F43DC" w:rsidR="00B160D0" w:rsidRDefault="00B160D0">
            <w:pPr>
              <w:pStyle w:val="TableParagraph"/>
              <w:kinsoku w:val="0"/>
              <w:overflowPunct w:val="0"/>
              <w:spacing w:before="18"/>
              <w:ind w:right="108"/>
              <w:jc w:val="right"/>
              <w:rPr>
                <w:color w:val="231F20"/>
                <w:sz w:val="16"/>
                <w:szCs w:val="16"/>
              </w:rPr>
            </w:pPr>
            <w:r>
              <w:rPr>
                <w:color w:val="231F20"/>
                <w:sz w:val="16"/>
                <w:szCs w:val="16"/>
              </w:rPr>
              <w:t>£</w:t>
            </w:r>
            <w:r w:rsidR="007375BD">
              <w:rPr>
                <w:color w:val="231F20"/>
                <w:sz w:val="16"/>
                <w:szCs w:val="16"/>
              </w:rPr>
              <w:t>40</w:t>
            </w:r>
            <w:r>
              <w:rPr>
                <w:color w:val="231F20"/>
                <w:sz w:val="16"/>
                <w:szCs w:val="16"/>
              </w:rPr>
              <w:t>,000</w:t>
            </w:r>
          </w:p>
        </w:tc>
      </w:tr>
      <w:tr w:rsidR="00783288" w14:paraId="5169624C" w14:textId="77777777" w:rsidTr="008B7AD0">
        <w:trPr>
          <w:trHeight w:val="225"/>
        </w:trPr>
        <w:tc>
          <w:tcPr>
            <w:tcW w:w="5374" w:type="dxa"/>
            <w:gridSpan w:val="2"/>
            <w:tcBorders>
              <w:top w:val="none" w:sz="6" w:space="0" w:color="auto"/>
              <w:left w:val="none" w:sz="6" w:space="0" w:color="auto"/>
              <w:bottom w:val="single" w:sz="8" w:space="0" w:color="231F20"/>
              <w:right w:val="none" w:sz="6" w:space="0" w:color="auto"/>
            </w:tcBorders>
          </w:tcPr>
          <w:p w14:paraId="1800DD32" w14:textId="77777777" w:rsidR="00783288" w:rsidRDefault="00E31420">
            <w:pPr>
              <w:pStyle w:val="TableParagraph"/>
              <w:kinsoku w:val="0"/>
              <w:overflowPunct w:val="0"/>
              <w:spacing w:before="18"/>
              <w:ind w:left="115"/>
              <w:rPr>
                <w:b/>
                <w:bCs/>
                <w:color w:val="231F20"/>
                <w:sz w:val="16"/>
                <w:szCs w:val="16"/>
              </w:rPr>
            </w:pPr>
            <w:r>
              <w:rPr>
                <w:b/>
                <w:bCs/>
                <w:color w:val="231F20"/>
                <w:sz w:val="16"/>
                <w:szCs w:val="16"/>
                <w:u w:val="single"/>
              </w:rPr>
              <w:t>Sub total</w:t>
            </w:r>
          </w:p>
        </w:tc>
        <w:tc>
          <w:tcPr>
            <w:tcW w:w="3567" w:type="dxa"/>
            <w:gridSpan w:val="2"/>
            <w:tcBorders>
              <w:top w:val="none" w:sz="6" w:space="0" w:color="auto"/>
              <w:left w:val="none" w:sz="6" w:space="0" w:color="auto"/>
              <w:bottom w:val="single" w:sz="8" w:space="0" w:color="231F20"/>
              <w:right w:val="none" w:sz="6" w:space="0" w:color="auto"/>
            </w:tcBorders>
          </w:tcPr>
          <w:p w14:paraId="743286C6" w14:textId="19AFCF17" w:rsidR="00783288" w:rsidRDefault="00E31420">
            <w:pPr>
              <w:pStyle w:val="TableParagraph"/>
              <w:kinsoku w:val="0"/>
              <w:overflowPunct w:val="0"/>
              <w:spacing w:before="18"/>
              <w:ind w:right="108"/>
              <w:jc w:val="right"/>
              <w:rPr>
                <w:b/>
                <w:bCs/>
                <w:color w:val="231F20"/>
                <w:sz w:val="16"/>
                <w:szCs w:val="16"/>
              </w:rPr>
            </w:pPr>
            <w:r>
              <w:rPr>
                <w:b/>
                <w:bCs/>
                <w:color w:val="231F20"/>
                <w:sz w:val="16"/>
                <w:szCs w:val="16"/>
              </w:rPr>
              <w:t>£</w:t>
            </w:r>
            <w:r w:rsidR="007375BD">
              <w:rPr>
                <w:b/>
                <w:bCs/>
                <w:color w:val="231F20"/>
                <w:sz w:val="16"/>
                <w:szCs w:val="16"/>
              </w:rPr>
              <w:t>375</w:t>
            </w:r>
            <w:r w:rsidR="008B7AD0">
              <w:rPr>
                <w:b/>
                <w:bCs/>
                <w:color w:val="231F20"/>
                <w:sz w:val="16"/>
                <w:szCs w:val="16"/>
              </w:rPr>
              <w:t>,000</w:t>
            </w:r>
          </w:p>
        </w:tc>
      </w:tr>
      <w:tr w:rsidR="00783288" w14:paraId="052AB45F" w14:textId="77777777" w:rsidTr="008B7AD0">
        <w:trPr>
          <w:trHeight w:val="227"/>
        </w:trPr>
        <w:tc>
          <w:tcPr>
            <w:tcW w:w="5374" w:type="dxa"/>
            <w:gridSpan w:val="2"/>
            <w:tcBorders>
              <w:top w:val="single" w:sz="8" w:space="0" w:color="231F20"/>
              <w:left w:val="none" w:sz="6" w:space="0" w:color="auto"/>
              <w:bottom w:val="single" w:sz="8" w:space="0" w:color="231F20"/>
              <w:right w:val="none" w:sz="6" w:space="0" w:color="auto"/>
            </w:tcBorders>
          </w:tcPr>
          <w:p w14:paraId="52ECEDED" w14:textId="77777777" w:rsidR="00783288" w:rsidRDefault="00E31420">
            <w:pPr>
              <w:pStyle w:val="TableParagraph"/>
              <w:kinsoku w:val="0"/>
              <w:overflowPunct w:val="0"/>
              <w:spacing w:before="17"/>
              <w:ind w:left="115"/>
              <w:rPr>
                <w:b/>
                <w:bCs/>
                <w:color w:val="231F20"/>
                <w:sz w:val="16"/>
                <w:szCs w:val="16"/>
              </w:rPr>
            </w:pPr>
            <w:r>
              <w:rPr>
                <w:b/>
                <w:bCs/>
                <w:color w:val="231F20"/>
                <w:sz w:val="16"/>
                <w:szCs w:val="16"/>
                <w:u w:val="single"/>
              </w:rPr>
              <w:t>TOTAL</w:t>
            </w:r>
          </w:p>
        </w:tc>
        <w:tc>
          <w:tcPr>
            <w:tcW w:w="3567" w:type="dxa"/>
            <w:gridSpan w:val="2"/>
            <w:tcBorders>
              <w:top w:val="single" w:sz="8" w:space="0" w:color="231F20"/>
              <w:left w:val="none" w:sz="6" w:space="0" w:color="auto"/>
              <w:bottom w:val="single" w:sz="8" w:space="0" w:color="231F20"/>
              <w:right w:val="none" w:sz="6" w:space="0" w:color="auto"/>
            </w:tcBorders>
          </w:tcPr>
          <w:p w14:paraId="667081A6" w14:textId="45668785" w:rsidR="00783288" w:rsidRDefault="00E31420">
            <w:pPr>
              <w:pStyle w:val="TableParagraph"/>
              <w:kinsoku w:val="0"/>
              <w:overflowPunct w:val="0"/>
              <w:spacing w:before="17"/>
              <w:ind w:right="108"/>
              <w:jc w:val="right"/>
              <w:rPr>
                <w:b/>
                <w:bCs/>
                <w:color w:val="231F20"/>
                <w:sz w:val="16"/>
                <w:szCs w:val="16"/>
              </w:rPr>
            </w:pPr>
            <w:r>
              <w:rPr>
                <w:b/>
                <w:bCs/>
                <w:color w:val="231F20"/>
                <w:sz w:val="16"/>
                <w:szCs w:val="16"/>
              </w:rPr>
              <w:t>£</w:t>
            </w:r>
            <w:r w:rsidR="007375BD">
              <w:rPr>
                <w:b/>
                <w:bCs/>
                <w:color w:val="231F20"/>
                <w:sz w:val="16"/>
                <w:szCs w:val="16"/>
              </w:rPr>
              <w:t>8</w:t>
            </w:r>
            <w:r>
              <w:rPr>
                <w:b/>
                <w:bCs/>
                <w:color w:val="231F20"/>
                <w:sz w:val="16"/>
                <w:szCs w:val="16"/>
              </w:rPr>
              <w:t>00,000</w:t>
            </w:r>
          </w:p>
        </w:tc>
      </w:tr>
    </w:tbl>
    <w:p w14:paraId="3482C71A" w14:textId="77777777" w:rsidR="00783288" w:rsidRDefault="00783288">
      <w:pPr>
        <w:pStyle w:val="BodyText"/>
        <w:kinsoku w:val="0"/>
        <w:overflowPunct w:val="0"/>
        <w:spacing w:before="3"/>
        <w:rPr>
          <w:sz w:val="24"/>
          <w:szCs w:val="24"/>
        </w:rPr>
      </w:pPr>
    </w:p>
    <w:p w14:paraId="181D0232" w14:textId="26220AA1" w:rsidR="00783288" w:rsidRDefault="00E31420">
      <w:pPr>
        <w:pStyle w:val="BodyText"/>
        <w:kinsoku w:val="0"/>
        <w:overflowPunct w:val="0"/>
        <w:spacing w:before="94"/>
        <w:ind w:left="300"/>
        <w:rPr>
          <w:color w:val="1D1C1E"/>
        </w:rPr>
      </w:pPr>
      <w:r>
        <w:rPr>
          <w:color w:val="1D1C1E"/>
        </w:rPr>
        <w:t>The Directors are satisfied that the Net Proceeds are sufficient for the proposed purposes identified above.</w:t>
      </w:r>
    </w:p>
    <w:p w14:paraId="2BE9F229" w14:textId="77777777" w:rsidR="00783288" w:rsidRDefault="00E31420">
      <w:pPr>
        <w:pStyle w:val="BodyText"/>
        <w:kinsoku w:val="0"/>
        <w:overflowPunct w:val="0"/>
        <w:spacing w:before="177" w:line="259" w:lineRule="auto"/>
        <w:ind w:left="300" w:right="1191"/>
        <w:jc w:val="both"/>
        <w:rPr>
          <w:color w:val="231F20"/>
        </w:rPr>
      </w:pPr>
      <w:r>
        <w:rPr>
          <w:color w:val="231F20"/>
        </w:rPr>
        <w:t xml:space="preserve">After the initial </w:t>
      </w:r>
      <w:proofErr w:type="gramStart"/>
      <w:r>
        <w:rPr>
          <w:color w:val="231F20"/>
        </w:rPr>
        <w:t>12 month</w:t>
      </w:r>
      <w:proofErr w:type="gramEnd"/>
      <w:r>
        <w:rPr>
          <w:color w:val="231F20"/>
        </w:rPr>
        <w:t xml:space="preserve"> period following Admission, the Group hopes to have discovered one or more commercially mineable mineral resource deposits and aims to move into phases of resource infill drilling, conceptual mine planning and scoping studies. The Group also intends to seek new projects to diversify its risk profile</w:t>
      </w:r>
      <w:r>
        <w:rPr>
          <w:color w:val="231F20"/>
          <w:spacing w:val="-14"/>
        </w:rPr>
        <w:t xml:space="preserve"> </w:t>
      </w:r>
      <w:r>
        <w:rPr>
          <w:color w:val="231F20"/>
        </w:rPr>
        <w:t>and</w:t>
      </w:r>
      <w:r>
        <w:rPr>
          <w:color w:val="231F20"/>
          <w:spacing w:val="-14"/>
        </w:rPr>
        <w:t xml:space="preserve"> </w:t>
      </w:r>
      <w:r>
        <w:rPr>
          <w:color w:val="231F20"/>
        </w:rPr>
        <w:t>expand</w:t>
      </w:r>
      <w:r>
        <w:rPr>
          <w:color w:val="231F20"/>
          <w:spacing w:val="-14"/>
        </w:rPr>
        <w:t xml:space="preserve"> </w:t>
      </w:r>
      <w:r>
        <w:rPr>
          <w:color w:val="231F20"/>
        </w:rPr>
        <w:t>its</w:t>
      </w:r>
      <w:r>
        <w:rPr>
          <w:color w:val="231F20"/>
          <w:spacing w:val="-14"/>
        </w:rPr>
        <w:t xml:space="preserve"> </w:t>
      </w:r>
      <w:r>
        <w:rPr>
          <w:color w:val="231F20"/>
        </w:rPr>
        <w:t>operations</w:t>
      </w:r>
      <w:r>
        <w:rPr>
          <w:color w:val="231F20"/>
          <w:spacing w:val="-14"/>
        </w:rPr>
        <w:t xml:space="preserve"> </w:t>
      </w:r>
      <w:r>
        <w:rPr>
          <w:color w:val="231F20"/>
        </w:rPr>
        <w:t>and</w:t>
      </w:r>
      <w:r>
        <w:rPr>
          <w:color w:val="231F20"/>
          <w:spacing w:val="-14"/>
        </w:rPr>
        <w:t xml:space="preserve"> </w:t>
      </w:r>
      <w:r>
        <w:rPr>
          <w:color w:val="231F20"/>
        </w:rPr>
        <w:t>potential</w:t>
      </w:r>
      <w:r>
        <w:rPr>
          <w:color w:val="231F20"/>
          <w:spacing w:val="-14"/>
        </w:rPr>
        <w:t xml:space="preserve"> </w:t>
      </w:r>
      <w:r>
        <w:rPr>
          <w:color w:val="231F20"/>
        </w:rPr>
        <w:t>revenues.</w:t>
      </w:r>
      <w:r>
        <w:rPr>
          <w:color w:val="231F20"/>
          <w:spacing w:val="-15"/>
        </w:rPr>
        <w:t xml:space="preserve"> </w:t>
      </w:r>
      <w:r>
        <w:rPr>
          <w:color w:val="231F20"/>
        </w:rPr>
        <w:t>The</w:t>
      </w:r>
      <w:r>
        <w:rPr>
          <w:color w:val="231F20"/>
          <w:spacing w:val="-16"/>
        </w:rPr>
        <w:t xml:space="preserve"> </w:t>
      </w:r>
      <w:r>
        <w:rPr>
          <w:color w:val="231F20"/>
        </w:rPr>
        <w:t>Group</w:t>
      </w:r>
      <w:r>
        <w:rPr>
          <w:color w:val="231F20"/>
          <w:spacing w:val="-14"/>
        </w:rPr>
        <w:t xml:space="preserve"> </w:t>
      </w:r>
      <w:r>
        <w:rPr>
          <w:color w:val="231F20"/>
        </w:rPr>
        <w:t>plans</w:t>
      </w:r>
      <w:r>
        <w:rPr>
          <w:color w:val="231F20"/>
          <w:spacing w:val="-14"/>
        </w:rPr>
        <w:t xml:space="preserve"> </w:t>
      </w:r>
      <w:r>
        <w:rPr>
          <w:color w:val="231F20"/>
        </w:rPr>
        <w:t>to</w:t>
      </w:r>
      <w:r>
        <w:rPr>
          <w:color w:val="231F20"/>
          <w:spacing w:val="-14"/>
        </w:rPr>
        <w:t xml:space="preserve"> </w:t>
      </w:r>
      <w:r>
        <w:rPr>
          <w:color w:val="231F20"/>
        </w:rPr>
        <w:t>seek</w:t>
      </w:r>
      <w:r>
        <w:rPr>
          <w:color w:val="231F20"/>
          <w:spacing w:val="-16"/>
        </w:rPr>
        <w:t xml:space="preserve"> </w:t>
      </w:r>
      <w:r>
        <w:rPr>
          <w:color w:val="231F20"/>
        </w:rPr>
        <w:t>strategic</w:t>
      </w:r>
      <w:r>
        <w:rPr>
          <w:color w:val="231F20"/>
          <w:spacing w:val="-16"/>
        </w:rPr>
        <w:t xml:space="preserve"> </w:t>
      </w:r>
      <w:r>
        <w:rPr>
          <w:color w:val="231F20"/>
        </w:rPr>
        <w:t>or</w:t>
      </w:r>
      <w:r>
        <w:rPr>
          <w:color w:val="231F20"/>
          <w:spacing w:val="-15"/>
        </w:rPr>
        <w:t xml:space="preserve"> </w:t>
      </w:r>
      <w:r>
        <w:rPr>
          <w:color w:val="231F20"/>
        </w:rPr>
        <w:t>joint</w:t>
      </w:r>
      <w:r>
        <w:rPr>
          <w:color w:val="231F20"/>
          <w:spacing w:val="-14"/>
        </w:rPr>
        <w:t xml:space="preserve"> </w:t>
      </w:r>
      <w:r>
        <w:rPr>
          <w:color w:val="231F20"/>
        </w:rPr>
        <w:t>venture</w:t>
      </w:r>
      <w:r>
        <w:rPr>
          <w:color w:val="231F20"/>
          <w:spacing w:val="-14"/>
        </w:rPr>
        <w:t xml:space="preserve"> </w:t>
      </w:r>
      <w:r>
        <w:rPr>
          <w:color w:val="231F20"/>
        </w:rPr>
        <w:t>partners or potential acquirers of the all or part of the Portfolio to help fund its growth and the Directors believe the Group can attract such partners. This is amongst other reasons, because of strong demand for copper projects, due to the commodity being regarded as essential for the global transition to clean energy and</w:t>
      </w:r>
      <w:r>
        <w:rPr>
          <w:color w:val="231F20"/>
          <w:spacing w:val="-13"/>
        </w:rPr>
        <w:t xml:space="preserve"> </w:t>
      </w:r>
      <w:r>
        <w:rPr>
          <w:color w:val="231F20"/>
        </w:rPr>
        <w:t>transport.</w:t>
      </w:r>
    </w:p>
    <w:p w14:paraId="48FBD900" w14:textId="77777777" w:rsidR="00783288" w:rsidRDefault="00E31420" w:rsidP="00512495">
      <w:pPr>
        <w:pStyle w:val="Heading1"/>
        <w:numPr>
          <w:ilvl w:val="0"/>
          <w:numId w:val="20"/>
        </w:numPr>
        <w:tabs>
          <w:tab w:val="left" w:pos="660"/>
        </w:tabs>
        <w:kinsoku w:val="0"/>
        <w:overflowPunct w:val="0"/>
        <w:spacing w:before="154"/>
        <w:rPr>
          <w:color w:val="231F20"/>
        </w:rPr>
      </w:pPr>
      <w:r>
        <w:rPr>
          <w:color w:val="231F20"/>
        </w:rPr>
        <w:t>Previous Fundraises</w:t>
      </w:r>
    </w:p>
    <w:p w14:paraId="00C0A122" w14:textId="77777777" w:rsidR="00783288" w:rsidRDefault="00783288">
      <w:pPr>
        <w:pStyle w:val="BodyText"/>
        <w:kinsoku w:val="0"/>
        <w:overflowPunct w:val="0"/>
        <w:spacing w:before="3"/>
        <w:rPr>
          <w:b/>
          <w:bCs/>
        </w:rPr>
      </w:pPr>
    </w:p>
    <w:p w14:paraId="78F23771" w14:textId="33BB5B7C" w:rsidR="00783288" w:rsidRDefault="00E31420">
      <w:pPr>
        <w:pStyle w:val="BodyText"/>
        <w:kinsoku w:val="0"/>
        <w:overflowPunct w:val="0"/>
        <w:ind w:left="300" w:right="1095"/>
        <w:rPr>
          <w:color w:val="231F20"/>
        </w:rPr>
      </w:pPr>
      <w:r>
        <w:rPr>
          <w:color w:val="231F20"/>
        </w:rPr>
        <w:t xml:space="preserve">Since incorporation the Company has carried out </w:t>
      </w:r>
      <w:r w:rsidR="00CA68AB">
        <w:rPr>
          <w:color w:val="231F20"/>
        </w:rPr>
        <w:t xml:space="preserve">four </w:t>
      </w:r>
      <w:r>
        <w:rPr>
          <w:color w:val="231F20"/>
        </w:rPr>
        <w:t xml:space="preserve">material fundraises (not including the </w:t>
      </w:r>
      <w:r w:rsidR="00B27A2B">
        <w:rPr>
          <w:color w:val="231F20"/>
        </w:rPr>
        <w:t>Placing</w:t>
      </w:r>
      <w:r>
        <w:rPr>
          <w:color w:val="231F20"/>
        </w:rPr>
        <w:t xml:space="preserve">) as follows to </w:t>
      </w:r>
      <w:r>
        <w:rPr>
          <w:color w:val="231F20"/>
        </w:rPr>
        <w:lastRenderedPageBreak/>
        <w:t>raise</w:t>
      </w:r>
      <w:r w:rsidR="001D1D1A">
        <w:rPr>
          <w:color w:val="231F20"/>
        </w:rPr>
        <w:t>,</w:t>
      </w:r>
      <w:r>
        <w:rPr>
          <w:color w:val="231F20"/>
        </w:rPr>
        <w:t xml:space="preserve"> in aggregate, gross proceeds of approximately £</w:t>
      </w:r>
      <w:r w:rsidR="00037F7D">
        <w:rPr>
          <w:color w:val="231F20"/>
        </w:rPr>
        <w:t>6</w:t>
      </w:r>
      <w:r>
        <w:rPr>
          <w:color w:val="231F20"/>
        </w:rPr>
        <w:t>.</w:t>
      </w:r>
      <w:r w:rsidR="00037F7D">
        <w:rPr>
          <w:color w:val="231F20"/>
        </w:rPr>
        <w:t>43</w:t>
      </w:r>
      <w:r>
        <w:rPr>
          <w:color w:val="231F20"/>
        </w:rPr>
        <w:t>M.</w:t>
      </w:r>
    </w:p>
    <w:p w14:paraId="7F45DCB0" w14:textId="77777777" w:rsidR="00783288" w:rsidRDefault="00783288">
      <w:pPr>
        <w:pStyle w:val="BodyText"/>
        <w:kinsoku w:val="0"/>
        <w:overflowPunct w:val="0"/>
        <w:spacing w:before="1"/>
      </w:pPr>
    </w:p>
    <w:p w14:paraId="3630543C" w14:textId="77777777" w:rsidR="00783288" w:rsidRDefault="00E31420" w:rsidP="00B27A2B">
      <w:pPr>
        <w:pStyle w:val="BodyText"/>
        <w:kinsoku w:val="0"/>
        <w:overflowPunct w:val="0"/>
        <w:ind w:left="300" w:right="1189"/>
        <w:jc w:val="both"/>
        <w:rPr>
          <w:color w:val="231F20"/>
        </w:rPr>
      </w:pPr>
      <w:r>
        <w:rPr>
          <w:color w:val="231F20"/>
        </w:rPr>
        <w:t>In connection with the Company’s IPO Admission, it carried out the IPO Placing pursuant to which it issued 26,000,000 Ordinary Shares at a price of £0.05 per Ordinary Share to raise gross proceeds of £1,300,000.</w:t>
      </w:r>
    </w:p>
    <w:p w14:paraId="771C44DB" w14:textId="77777777" w:rsidR="00783288" w:rsidRDefault="00783288" w:rsidP="00B27A2B">
      <w:pPr>
        <w:pStyle w:val="BodyText"/>
        <w:kinsoku w:val="0"/>
        <w:overflowPunct w:val="0"/>
        <w:jc w:val="both"/>
      </w:pPr>
    </w:p>
    <w:p w14:paraId="128A7534" w14:textId="77777777" w:rsidR="00783288" w:rsidRDefault="00E31420" w:rsidP="00B27A2B">
      <w:pPr>
        <w:pStyle w:val="BodyText"/>
        <w:kinsoku w:val="0"/>
        <w:overflowPunct w:val="0"/>
        <w:ind w:left="300" w:right="1189"/>
        <w:jc w:val="both"/>
        <w:rPr>
          <w:color w:val="231F20"/>
        </w:rPr>
      </w:pPr>
      <w:r>
        <w:rPr>
          <w:color w:val="231F20"/>
        </w:rPr>
        <w:t>In connection with the Acquisition and RTO, the Company carried out the RTO Fundraise pursuant to which it issued 26,666,667 Ordinary Shares at an issue price of £0.075 per Ordinary Share to raise gross proceeds of</w:t>
      </w:r>
    </w:p>
    <w:p w14:paraId="64BF183E" w14:textId="77777777" w:rsidR="00783288" w:rsidRDefault="00E31420" w:rsidP="00B27A2B">
      <w:pPr>
        <w:pStyle w:val="BodyText"/>
        <w:kinsoku w:val="0"/>
        <w:overflowPunct w:val="0"/>
        <w:spacing w:line="206" w:lineRule="exact"/>
        <w:ind w:left="300"/>
        <w:jc w:val="both"/>
        <w:rPr>
          <w:color w:val="231F20"/>
        </w:rPr>
      </w:pPr>
      <w:r>
        <w:rPr>
          <w:color w:val="231F20"/>
        </w:rPr>
        <w:t>£2,000,000.</w:t>
      </w:r>
    </w:p>
    <w:p w14:paraId="1211DFE3" w14:textId="77777777" w:rsidR="00783288" w:rsidRDefault="00783288" w:rsidP="00B27A2B">
      <w:pPr>
        <w:pStyle w:val="BodyText"/>
        <w:kinsoku w:val="0"/>
        <w:overflowPunct w:val="0"/>
        <w:spacing w:before="1"/>
        <w:jc w:val="both"/>
      </w:pPr>
    </w:p>
    <w:p w14:paraId="52C6C761" w14:textId="35B183F5" w:rsidR="00783288" w:rsidRDefault="00E31420" w:rsidP="008B0448">
      <w:pPr>
        <w:pStyle w:val="BodyText"/>
        <w:kinsoku w:val="0"/>
        <w:overflowPunct w:val="0"/>
        <w:spacing w:before="1"/>
        <w:ind w:left="300" w:right="1191"/>
        <w:jc w:val="both"/>
        <w:rPr>
          <w:color w:val="231F20"/>
        </w:rPr>
      </w:pPr>
      <w:r>
        <w:rPr>
          <w:color w:val="231F20"/>
        </w:rPr>
        <w:t xml:space="preserve">On 26 July 2020, the Company completed a placing pursuant to which it allotted 12,000,000 new ordinary shares at a placing price of £0.0525 per Ordinary Share to raise gross proceeds of £630,000. The Company also issued warrants to its </w:t>
      </w:r>
      <w:r w:rsidR="00B970A5">
        <w:rPr>
          <w:color w:val="231F20"/>
        </w:rPr>
        <w:t xml:space="preserve">joint </w:t>
      </w:r>
      <w:r>
        <w:rPr>
          <w:color w:val="231F20"/>
        </w:rPr>
        <w:t>broker, Fox Davies</w:t>
      </w:r>
      <w:r w:rsidR="008B0448">
        <w:rPr>
          <w:color w:val="231F20"/>
        </w:rPr>
        <w:t>,</w:t>
      </w:r>
      <w:r>
        <w:rPr>
          <w:color w:val="231F20"/>
        </w:rPr>
        <w:t xml:space="preserve"> and </w:t>
      </w:r>
      <w:r w:rsidR="00E03C6C">
        <w:rPr>
          <w:color w:val="231F20"/>
        </w:rPr>
        <w:t>O</w:t>
      </w:r>
      <w:r>
        <w:rPr>
          <w:color w:val="231F20"/>
        </w:rPr>
        <w:t>ptions to certain of its Directors and key management in each case as detailed at paragraph 10 and 11 of part VII of this Document.</w:t>
      </w:r>
    </w:p>
    <w:p w14:paraId="2EDBABC2" w14:textId="77777777" w:rsidR="00037F7D" w:rsidRDefault="00037F7D">
      <w:pPr>
        <w:pStyle w:val="BodyText"/>
        <w:kinsoku w:val="0"/>
        <w:overflowPunct w:val="0"/>
        <w:spacing w:before="1"/>
        <w:ind w:left="300" w:right="1191"/>
        <w:jc w:val="both"/>
        <w:rPr>
          <w:color w:val="231F20"/>
        </w:rPr>
      </w:pPr>
    </w:p>
    <w:p w14:paraId="3C58EAF2" w14:textId="77777777" w:rsidR="008B0448" w:rsidRDefault="00037F7D" w:rsidP="008B0448">
      <w:pPr>
        <w:pStyle w:val="BodyText"/>
        <w:kinsoku w:val="0"/>
        <w:overflowPunct w:val="0"/>
        <w:spacing w:before="1"/>
        <w:ind w:left="300" w:right="1191"/>
        <w:jc w:val="both"/>
        <w:rPr>
          <w:color w:val="231F20"/>
        </w:rPr>
      </w:pPr>
      <w:r>
        <w:rPr>
          <w:color w:val="231F20"/>
        </w:rPr>
        <w:t>On 11 December 2020, the Company completed a placing pursuant to which it allotted 27,777,778 new ordinary shares at a placing price of £0.009 per Ordinary Share to raise gross proceeds of £2,500,000.</w:t>
      </w:r>
    </w:p>
    <w:p w14:paraId="3A3A2BF8" w14:textId="77777777" w:rsidR="008B0448" w:rsidRDefault="008B0448" w:rsidP="008B0448">
      <w:pPr>
        <w:pStyle w:val="BodyText"/>
        <w:kinsoku w:val="0"/>
        <w:overflowPunct w:val="0"/>
        <w:spacing w:before="1"/>
        <w:ind w:left="300" w:right="1191"/>
        <w:jc w:val="both"/>
        <w:rPr>
          <w:color w:val="231F20"/>
        </w:rPr>
      </w:pPr>
    </w:p>
    <w:p w14:paraId="33C8B36C" w14:textId="6EAC4EA6" w:rsidR="00037F7D" w:rsidRDefault="008B0448" w:rsidP="00FE358B">
      <w:pPr>
        <w:pStyle w:val="BodyText"/>
        <w:kinsoku w:val="0"/>
        <w:overflowPunct w:val="0"/>
        <w:spacing w:before="1"/>
        <w:ind w:left="300" w:right="1191"/>
        <w:jc w:val="both"/>
        <w:rPr>
          <w:color w:val="231F20"/>
        </w:rPr>
      </w:pPr>
      <w:r>
        <w:rPr>
          <w:color w:val="231F20"/>
        </w:rPr>
        <w:t>On 5 January and 5 February 2021, t</w:t>
      </w:r>
      <w:r w:rsidR="00037F7D">
        <w:rPr>
          <w:color w:val="231F20"/>
        </w:rPr>
        <w:t xml:space="preserve">he Company also issued </w:t>
      </w:r>
      <w:r w:rsidR="00CA68AB">
        <w:rPr>
          <w:color w:val="231F20"/>
        </w:rPr>
        <w:t>O</w:t>
      </w:r>
      <w:r w:rsidR="008455F8">
        <w:rPr>
          <w:color w:val="231F20"/>
        </w:rPr>
        <w:t xml:space="preserve">ptions to </w:t>
      </w:r>
      <w:r>
        <w:rPr>
          <w:color w:val="231F20"/>
        </w:rPr>
        <w:t>various persons</w:t>
      </w:r>
      <w:r w:rsidR="008455F8">
        <w:rPr>
          <w:color w:val="231F20"/>
        </w:rPr>
        <w:t xml:space="preserve"> as detailed at paragraph 10 of part VII of this Document. </w:t>
      </w:r>
    </w:p>
    <w:p w14:paraId="35980369" w14:textId="77777777" w:rsidR="00037F7D" w:rsidRDefault="00037F7D" w:rsidP="00BE2D90">
      <w:pPr>
        <w:pStyle w:val="BodyText"/>
        <w:kinsoku w:val="0"/>
        <w:overflowPunct w:val="0"/>
        <w:spacing w:before="1"/>
        <w:ind w:right="1191"/>
        <w:jc w:val="both"/>
        <w:rPr>
          <w:color w:val="231F20"/>
        </w:rPr>
        <w:sectPr w:rsidR="00037F7D">
          <w:pgSz w:w="11900" w:h="16840"/>
          <w:pgMar w:top="1460" w:right="240" w:bottom="1160" w:left="1140" w:header="0" w:footer="891" w:gutter="0"/>
          <w:cols w:space="720"/>
          <w:noEndnote/>
        </w:sectPr>
      </w:pPr>
    </w:p>
    <w:p w14:paraId="23C7B06F" w14:textId="77777777" w:rsidR="00783288" w:rsidRDefault="00E31420">
      <w:pPr>
        <w:pStyle w:val="Heading1"/>
        <w:kinsoku w:val="0"/>
        <w:overflowPunct w:val="0"/>
        <w:spacing w:before="74"/>
        <w:ind w:left="379" w:right="1273"/>
        <w:jc w:val="center"/>
        <w:rPr>
          <w:color w:val="030404"/>
        </w:rPr>
      </w:pPr>
      <w:r>
        <w:rPr>
          <w:color w:val="030404"/>
        </w:rPr>
        <w:lastRenderedPageBreak/>
        <w:t>PART II</w:t>
      </w:r>
    </w:p>
    <w:p w14:paraId="3EC84B45" w14:textId="77777777" w:rsidR="00783288" w:rsidRDefault="00783288">
      <w:pPr>
        <w:pStyle w:val="BodyText"/>
        <w:kinsoku w:val="0"/>
        <w:overflowPunct w:val="0"/>
        <w:spacing w:before="10"/>
        <w:rPr>
          <w:b/>
          <w:bCs/>
          <w:sz w:val="17"/>
          <w:szCs w:val="17"/>
        </w:rPr>
      </w:pPr>
    </w:p>
    <w:p w14:paraId="24FC71B5" w14:textId="77777777" w:rsidR="00783288" w:rsidRDefault="00E31420">
      <w:pPr>
        <w:pStyle w:val="BodyText"/>
        <w:kinsoku w:val="0"/>
        <w:overflowPunct w:val="0"/>
        <w:ind w:left="375" w:right="1273"/>
        <w:jc w:val="center"/>
        <w:rPr>
          <w:b/>
          <w:bCs/>
          <w:color w:val="030404"/>
        </w:rPr>
      </w:pPr>
      <w:r>
        <w:rPr>
          <w:b/>
          <w:bCs/>
          <w:color w:val="030404"/>
        </w:rPr>
        <w:t>THE BOARD AND KEY PERSONNEL AND CORPORATE GOVERNANCE</w:t>
      </w:r>
    </w:p>
    <w:p w14:paraId="03A2E5DA" w14:textId="77777777" w:rsidR="00783288" w:rsidRDefault="00783288">
      <w:pPr>
        <w:pStyle w:val="BodyText"/>
        <w:kinsoku w:val="0"/>
        <w:overflowPunct w:val="0"/>
        <w:spacing w:before="1"/>
        <w:rPr>
          <w:b/>
          <w:bCs/>
        </w:rPr>
      </w:pPr>
    </w:p>
    <w:p w14:paraId="1B589F69" w14:textId="77777777" w:rsidR="00783288" w:rsidRDefault="00E31420" w:rsidP="00512495">
      <w:pPr>
        <w:pStyle w:val="ListParagraph"/>
        <w:numPr>
          <w:ilvl w:val="0"/>
          <w:numId w:val="18"/>
        </w:numPr>
        <w:tabs>
          <w:tab w:val="left" w:pos="661"/>
        </w:tabs>
        <w:kinsoku w:val="0"/>
        <w:overflowPunct w:val="0"/>
        <w:rPr>
          <w:b/>
          <w:bCs/>
          <w:color w:val="030404"/>
          <w:sz w:val="18"/>
          <w:szCs w:val="18"/>
        </w:rPr>
      </w:pPr>
      <w:r>
        <w:rPr>
          <w:b/>
          <w:bCs/>
          <w:color w:val="030404"/>
          <w:sz w:val="18"/>
          <w:szCs w:val="18"/>
        </w:rPr>
        <w:t>The Board and key</w:t>
      </w:r>
      <w:r>
        <w:rPr>
          <w:b/>
          <w:bCs/>
          <w:color w:val="030404"/>
          <w:spacing w:val="-7"/>
          <w:sz w:val="18"/>
          <w:szCs w:val="18"/>
        </w:rPr>
        <w:t xml:space="preserve"> </w:t>
      </w:r>
      <w:r>
        <w:rPr>
          <w:b/>
          <w:bCs/>
          <w:color w:val="030404"/>
          <w:sz w:val="18"/>
          <w:szCs w:val="18"/>
        </w:rPr>
        <w:t>personnel</w:t>
      </w:r>
    </w:p>
    <w:p w14:paraId="31E83000" w14:textId="77777777" w:rsidR="00783288" w:rsidRDefault="00783288">
      <w:pPr>
        <w:pStyle w:val="BodyText"/>
        <w:kinsoku w:val="0"/>
        <w:overflowPunct w:val="0"/>
        <w:spacing w:before="1"/>
        <w:rPr>
          <w:b/>
          <w:bCs/>
        </w:rPr>
      </w:pPr>
    </w:p>
    <w:p w14:paraId="338633F6" w14:textId="77777777" w:rsidR="00783288" w:rsidRDefault="00E31420">
      <w:pPr>
        <w:pStyle w:val="BodyText"/>
        <w:kinsoku w:val="0"/>
        <w:overflowPunct w:val="0"/>
        <w:spacing w:before="1"/>
        <w:ind w:left="300"/>
        <w:rPr>
          <w:b/>
          <w:bCs/>
          <w:i/>
          <w:iCs/>
          <w:color w:val="030404"/>
        </w:rPr>
      </w:pPr>
      <w:r>
        <w:rPr>
          <w:b/>
          <w:bCs/>
          <w:i/>
          <w:iCs/>
          <w:color w:val="030404"/>
          <w:u w:val="single"/>
        </w:rPr>
        <w:t>The Directors</w:t>
      </w:r>
    </w:p>
    <w:p w14:paraId="3E84348A" w14:textId="77777777" w:rsidR="00783288" w:rsidRDefault="00783288">
      <w:pPr>
        <w:pStyle w:val="BodyText"/>
        <w:kinsoku w:val="0"/>
        <w:overflowPunct w:val="0"/>
        <w:spacing w:before="1"/>
        <w:rPr>
          <w:b/>
          <w:bCs/>
          <w:i/>
          <w:iCs/>
          <w:sz w:val="10"/>
          <w:szCs w:val="10"/>
        </w:rPr>
      </w:pPr>
    </w:p>
    <w:p w14:paraId="70E0799B" w14:textId="77777777" w:rsidR="00783288" w:rsidRDefault="00E31420">
      <w:pPr>
        <w:pStyle w:val="BodyText"/>
        <w:kinsoku w:val="0"/>
        <w:overflowPunct w:val="0"/>
        <w:spacing w:before="94"/>
        <w:ind w:left="300"/>
        <w:jc w:val="both"/>
        <w:rPr>
          <w:color w:val="030404"/>
        </w:rPr>
      </w:pPr>
      <w:r>
        <w:rPr>
          <w:color w:val="030404"/>
        </w:rPr>
        <w:t>The Directors of the Company are:</w:t>
      </w:r>
    </w:p>
    <w:p w14:paraId="6EA62997" w14:textId="77777777" w:rsidR="00783288" w:rsidRDefault="00783288">
      <w:pPr>
        <w:pStyle w:val="BodyText"/>
        <w:kinsoku w:val="0"/>
        <w:overflowPunct w:val="0"/>
        <w:spacing w:before="8"/>
        <w:rPr>
          <w:sz w:val="17"/>
          <w:szCs w:val="17"/>
        </w:rPr>
      </w:pPr>
    </w:p>
    <w:p w14:paraId="7796707A" w14:textId="638EF025" w:rsidR="00783288" w:rsidRDefault="00E31420">
      <w:pPr>
        <w:pStyle w:val="Heading2"/>
        <w:kinsoku w:val="0"/>
        <w:overflowPunct w:val="0"/>
        <w:rPr>
          <w:color w:val="030404"/>
        </w:rPr>
      </w:pPr>
      <w:r>
        <w:rPr>
          <w:color w:val="030404"/>
        </w:rPr>
        <w:t>Martin French Executive Chairman, aged 5</w:t>
      </w:r>
      <w:r w:rsidR="003E3AAD">
        <w:rPr>
          <w:color w:val="030404"/>
        </w:rPr>
        <w:t>9</w:t>
      </w:r>
      <w:r>
        <w:rPr>
          <w:color w:val="030404"/>
        </w:rPr>
        <w:t xml:space="preserve"> (date of birth 15/02/1962)</w:t>
      </w:r>
    </w:p>
    <w:p w14:paraId="6165E471" w14:textId="77777777" w:rsidR="00783288" w:rsidRDefault="00E31420">
      <w:pPr>
        <w:pStyle w:val="BodyText"/>
        <w:kinsoku w:val="0"/>
        <w:overflowPunct w:val="0"/>
        <w:spacing w:before="4"/>
        <w:ind w:left="300" w:right="1191"/>
        <w:jc w:val="both"/>
        <w:rPr>
          <w:color w:val="030404"/>
        </w:rPr>
      </w:pPr>
      <w:r>
        <w:rPr>
          <w:color w:val="030404"/>
        </w:rPr>
        <w:t>Martin French has over 30 years of experience in capital markets, investment banking and mining. He graduated in</w:t>
      </w:r>
      <w:r>
        <w:rPr>
          <w:color w:val="030404"/>
          <w:spacing w:val="-2"/>
        </w:rPr>
        <w:t xml:space="preserve"> </w:t>
      </w:r>
      <w:r>
        <w:rPr>
          <w:color w:val="030404"/>
        </w:rPr>
        <w:t>International</w:t>
      </w:r>
      <w:r>
        <w:rPr>
          <w:color w:val="030404"/>
          <w:spacing w:val="-5"/>
        </w:rPr>
        <w:t xml:space="preserve"> </w:t>
      </w:r>
      <w:r>
        <w:rPr>
          <w:color w:val="030404"/>
        </w:rPr>
        <w:t>Finance</w:t>
      </w:r>
      <w:r>
        <w:rPr>
          <w:color w:val="030404"/>
          <w:spacing w:val="-5"/>
        </w:rPr>
        <w:t xml:space="preserve"> </w:t>
      </w:r>
      <w:r>
        <w:rPr>
          <w:color w:val="030404"/>
        </w:rPr>
        <w:t>from</w:t>
      </w:r>
      <w:r>
        <w:rPr>
          <w:color w:val="030404"/>
          <w:spacing w:val="-2"/>
        </w:rPr>
        <w:t xml:space="preserve"> </w:t>
      </w:r>
      <w:r>
        <w:rPr>
          <w:color w:val="030404"/>
        </w:rPr>
        <w:t>the</w:t>
      </w:r>
      <w:r>
        <w:rPr>
          <w:color w:val="030404"/>
          <w:spacing w:val="-1"/>
        </w:rPr>
        <w:t xml:space="preserve"> </w:t>
      </w:r>
      <w:r>
        <w:rPr>
          <w:color w:val="030404"/>
        </w:rPr>
        <w:t>City</w:t>
      </w:r>
      <w:r>
        <w:rPr>
          <w:color w:val="030404"/>
          <w:spacing w:val="-7"/>
        </w:rPr>
        <w:t xml:space="preserve"> </w:t>
      </w:r>
      <w:r>
        <w:rPr>
          <w:color w:val="030404"/>
        </w:rPr>
        <w:t>University</w:t>
      </w:r>
      <w:r>
        <w:rPr>
          <w:color w:val="030404"/>
          <w:spacing w:val="-4"/>
        </w:rPr>
        <w:t xml:space="preserve"> </w:t>
      </w:r>
      <w:r>
        <w:rPr>
          <w:color w:val="030404"/>
        </w:rPr>
        <w:t>Business</w:t>
      </w:r>
      <w:r>
        <w:rPr>
          <w:color w:val="030404"/>
          <w:spacing w:val="-2"/>
        </w:rPr>
        <w:t xml:space="preserve"> </w:t>
      </w:r>
      <w:r>
        <w:rPr>
          <w:color w:val="030404"/>
        </w:rPr>
        <w:t>School</w:t>
      </w:r>
      <w:r>
        <w:rPr>
          <w:color w:val="030404"/>
          <w:spacing w:val="-4"/>
        </w:rPr>
        <w:t xml:space="preserve"> </w:t>
      </w:r>
      <w:r>
        <w:rPr>
          <w:color w:val="030404"/>
        </w:rPr>
        <w:t>in</w:t>
      </w:r>
      <w:r>
        <w:rPr>
          <w:color w:val="030404"/>
          <w:spacing w:val="-5"/>
        </w:rPr>
        <w:t xml:space="preserve"> </w:t>
      </w:r>
      <w:r>
        <w:rPr>
          <w:color w:val="030404"/>
        </w:rPr>
        <w:t>London.</w:t>
      </w:r>
      <w:r>
        <w:rPr>
          <w:color w:val="030404"/>
          <w:spacing w:val="-3"/>
        </w:rPr>
        <w:t xml:space="preserve"> </w:t>
      </w:r>
      <w:r>
        <w:rPr>
          <w:color w:val="030404"/>
        </w:rPr>
        <w:t>He</w:t>
      </w:r>
      <w:r>
        <w:rPr>
          <w:color w:val="030404"/>
          <w:spacing w:val="-5"/>
        </w:rPr>
        <w:t xml:space="preserve"> </w:t>
      </w:r>
      <w:r>
        <w:rPr>
          <w:color w:val="030404"/>
        </w:rPr>
        <w:t>started</w:t>
      </w:r>
      <w:r>
        <w:rPr>
          <w:color w:val="030404"/>
          <w:spacing w:val="-4"/>
        </w:rPr>
        <w:t xml:space="preserve"> </w:t>
      </w:r>
      <w:r>
        <w:rPr>
          <w:color w:val="030404"/>
        </w:rPr>
        <w:t>his</w:t>
      </w:r>
      <w:r>
        <w:rPr>
          <w:color w:val="030404"/>
          <w:spacing w:val="-4"/>
        </w:rPr>
        <w:t xml:space="preserve"> </w:t>
      </w:r>
      <w:r>
        <w:rPr>
          <w:color w:val="030404"/>
        </w:rPr>
        <w:t>career</w:t>
      </w:r>
      <w:r>
        <w:rPr>
          <w:color w:val="030404"/>
          <w:spacing w:val="-5"/>
        </w:rPr>
        <w:t xml:space="preserve"> </w:t>
      </w:r>
      <w:r>
        <w:rPr>
          <w:color w:val="030404"/>
        </w:rPr>
        <w:t>at</w:t>
      </w:r>
      <w:r>
        <w:rPr>
          <w:color w:val="030404"/>
          <w:spacing w:val="-4"/>
        </w:rPr>
        <w:t xml:space="preserve"> </w:t>
      </w:r>
      <w:r>
        <w:rPr>
          <w:color w:val="030404"/>
        </w:rPr>
        <w:t>Merrill</w:t>
      </w:r>
      <w:r>
        <w:rPr>
          <w:color w:val="030404"/>
          <w:spacing w:val="-5"/>
        </w:rPr>
        <w:t xml:space="preserve"> </w:t>
      </w:r>
      <w:r>
        <w:rPr>
          <w:color w:val="030404"/>
        </w:rPr>
        <w:t xml:space="preserve">Lynch structuring OTC FX options. He became Editor of the financial newspaper </w:t>
      </w:r>
      <w:proofErr w:type="spellStart"/>
      <w:r>
        <w:rPr>
          <w:color w:val="030404"/>
        </w:rPr>
        <w:t>Euroweek</w:t>
      </w:r>
      <w:proofErr w:type="spellEnd"/>
      <w:r>
        <w:rPr>
          <w:color w:val="030404"/>
        </w:rPr>
        <w:t xml:space="preserve"> in London and then the founding Editor of </w:t>
      </w:r>
      <w:proofErr w:type="spellStart"/>
      <w:r>
        <w:rPr>
          <w:color w:val="030404"/>
        </w:rPr>
        <w:t>Asiamoney</w:t>
      </w:r>
      <w:proofErr w:type="spellEnd"/>
      <w:r>
        <w:rPr>
          <w:color w:val="030404"/>
        </w:rPr>
        <w:t xml:space="preserve"> in Hong Kong. He then joined Credit Lyonnais Securities Asia (CLSA) working as a Country</w:t>
      </w:r>
      <w:r>
        <w:rPr>
          <w:color w:val="030404"/>
          <w:spacing w:val="-9"/>
        </w:rPr>
        <w:t xml:space="preserve"> </w:t>
      </w:r>
      <w:r>
        <w:rPr>
          <w:color w:val="030404"/>
        </w:rPr>
        <w:t>Manager</w:t>
      </w:r>
      <w:r>
        <w:rPr>
          <w:color w:val="030404"/>
          <w:spacing w:val="-10"/>
        </w:rPr>
        <w:t xml:space="preserve"> </w:t>
      </w:r>
      <w:r>
        <w:rPr>
          <w:color w:val="030404"/>
        </w:rPr>
        <w:t>in</w:t>
      </w:r>
      <w:r>
        <w:rPr>
          <w:color w:val="030404"/>
          <w:spacing w:val="-10"/>
        </w:rPr>
        <w:t xml:space="preserve"> </w:t>
      </w:r>
      <w:r>
        <w:rPr>
          <w:color w:val="030404"/>
        </w:rPr>
        <w:t>various</w:t>
      </w:r>
      <w:r>
        <w:rPr>
          <w:color w:val="030404"/>
          <w:spacing w:val="-9"/>
        </w:rPr>
        <w:t xml:space="preserve"> </w:t>
      </w:r>
      <w:r>
        <w:rPr>
          <w:color w:val="030404"/>
        </w:rPr>
        <w:t>locations</w:t>
      </w:r>
      <w:r>
        <w:rPr>
          <w:color w:val="030404"/>
          <w:spacing w:val="-9"/>
        </w:rPr>
        <w:t xml:space="preserve"> </w:t>
      </w:r>
      <w:r>
        <w:rPr>
          <w:color w:val="030404"/>
        </w:rPr>
        <w:t>in</w:t>
      </w:r>
      <w:r>
        <w:rPr>
          <w:color w:val="030404"/>
          <w:spacing w:val="-7"/>
        </w:rPr>
        <w:t xml:space="preserve"> </w:t>
      </w:r>
      <w:r>
        <w:rPr>
          <w:color w:val="030404"/>
        </w:rPr>
        <w:t>Asia</w:t>
      </w:r>
      <w:r>
        <w:rPr>
          <w:color w:val="030404"/>
          <w:spacing w:val="-10"/>
        </w:rPr>
        <w:t xml:space="preserve"> </w:t>
      </w:r>
      <w:r>
        <w:rPr>
          <w:color w:val="030404"/>
        </w:rPr>
        <w:t>running</w:t>
      </w:r>
      <w:r>
        <w:rPr>
          <w:color w:val="030404"/>
          <w:spacing w:val="-10"/>
        </w:rPr>
        <w:t xml:space="preserve"> </w:t>
      </w:r>
      <w:r>
        <w:rPr>
          <w:color w:val="030404"/>
        </w:rPr>
        <w:t>institutional</w:t>
      </w:r>
      <w:r>
        <w:rPr>
          <w:color w:val="030404"/>
          <w:spacing w:val="-8"/>
        </w:rPr>
        <w:t xml:space="preserve"> </w:t>
      </w:r>
      <w:r>
        <w:rPr>
          <w:color w:val="030404"/>
        </w:rPr>
        <w:t>equity</w:t>
      </w:r>
      <w:r>
        <w:rPr>
          <w:color w:val="030404"/>
          <w:spacing w:val="-11"/>
        </w:rPr>
        <w:t xml:space="preserve"> </w:t>
      </w:r>
      <w:r>
        <w:rPr>
          <w:color w:val="030404"/>
        </w:rPr>
        <w:t>businesses</w:t>
      </w:r>
      <w:r>
        <w:rPr>
          <w:color w:val="030404"/>
          <w:spacing w:val="-9"/>
        </w:rPr>
        <w:t xml:space="preserve"> </w:t>
      </w:r>
      <w:r>
        <w:rPr>
          <w:color w:val="030404"/>
        </w:rPr>
        <w:t>and</w:t>
      </w:r>
      <w:r>
        <w:rPr>
          <w:color w:val="030404"/>
          <w:spacing w:val="-10"/>
        </w:rPr>
        <w:t xml:space="preserve"> </w:t>
      </w:r>
      <w:r>
        <w:rPr>
          <w:color w:val="030404"/>
        </w:rPr>
        <w:t>equity</w:t>
      </w:r>
      <w:r>
        <w:rPr>
          <w:color w:val="030404"/>
          <w:spacing w:val="-9"/>
        </w:rPr>
        <w:t xml:space="preserve"> </w:t>
      </w:r>
      <w:r>
        <w:rPr>
          <w:color w:val="030404"/>
        </w:rPr>
        <w:t>capital</w:t>
      </w:r>
      <w:r>
        <w:rPr>
          <w:color w:val="030404"/>
          <w:spacing w:val="-9"/>
        </w:rPr>
        <w:t xml:space="preserve"> </w:t>
      </w:r>
      <w:r>
        <w:rPr>
          <w:color w:val="030404"/>
        </w:rPr>
        <w:t>markets.</w:t>
      </w:r>
      <w:r>
        <w:rPr>
          <w:color w:val="030404"/>
          <w:spacing w:val="-10"/>
        </w:rPr>
        <w:t xml:space="preserve"> </w:t>
      </w:r>
      <w:r>
        <w:rPr>
          <w:color w:val="030404"/>
        </w:rPr>
        <w:t xml:space="preserve">He then moved to Sao Paulo as Managing Director Latin America to set CLSA’s business in the continent. Mr French was more recently Managing Director of North River Resources plc from December 2012 until </w:t>
      </w:r>
      <w:proofErr w:type="gramStart"/>
      <w:r>
        <w:rPr>
          <w:color w:val="030404"/>
        </w:rPr>
        <w:t>January 2015, and</w:t>
      </w:r>
      <w:proofErr w:type="gramEnd"/>
      <w:r>
        <w:rPr>
          <w:color w:val="030404"/>
        </w:rPr>
        <w:t xml:space="preserve"> took its Namibia-based brownfield underground lead-zinc project through a bankable feasibility study and project execution planning. He then successfully sourced a strategic funding</w:t>
      </w:r>
      <w:r>
        <w:rPr>
          <w:color w:val="030404"/>
          <w:spacing w:val="-12"/>
        </w:rPr>
        <w:t xml:space="preserve"> </w:t>
      </w:r>
      <w:r>
        <w:rPr>
          <w:color w:val="030404"/>
        </w:rPr>
        <w:t>partner.</w:t>
      </w:r>
    </w:p>
    <w:p w14:paraId="1CF9A117" w14:textId="77777777" w:rsidR="00652A84" w:rsidRDefault="00652A84">
      <w:pPr>
        <w:pStyle w:val="BodyText"/>
        <w:kinsoku w:val="0"/>
        <w:overflowPunct w:val="0"/>
        <w:spacing w:before="4"/>
        <w:ind w:left="300" w:right="1191"/>
        <w:jc w:val="both"/>
        <w:rPr>
          <w:color w:val="030404"/>
        </w:rPr>
      </w:pPr>
    </w:p>
    <w:p w14:paraId="2FA5A142" w14:textId="771F1A85" w:rsidR="00652A84" w:rsidRDefault="00652A84">
      <w:pPr>
        <w:pStyle w:val="BodyText"/>
        <w:kinsoku w:val="0"/>
        <w:overflowPunct w:val="0"/>
        <w:spacing w:before="4"/>
        <w:ind w:left="300" w:right="1191"/>
        <w:jc w:val="both"/>
        <w:rPr>
          <w:b/>
          <w:i/>
          <w:color w:val="030404"/>
        </w:rPr>
      </w:pPr>
      <w:r>
        <w:rPr>
          <w:b/>
          <w:i/>
          <w:color w:val="030404"/>
        </w:rPr>
        <w:t xml:space="preserve">Ajay Kejriwal Executive Director and Chief Financial Officer, aged 51 (date of birth </w:t>
      </w:r>
      <w:r w:rsidR="00116D9F" w:rsidRPr="00116D9F">
        <w:rPr>
          <w:b/>
          <w:i/>
        </w:rPr>
        <w:t>25</w:t>
      </w:r>
      <w:r>
        <w:rPr>
          <w:b/>
          <w:i/>
          <w:color w:val="030404"/>
        </w:rPr>
        <w:t>/02/1970)</w:t>
      </w:r>
    </w:p>
    <w:p w14:paraId="23885576" w14:textId="64096D2A" w:rsidR="00EE5FE9" w:rsidRPr="00652A84" w:rsidRDefault="00652A84" w:rsidP="00EE5FE9">
      <w:pPr>
        <w:pStyle w:val="BodyText"/>
        <w:kinsoku w:val="0"/>
        <w:overflowPunct w:val="0"/>
        <w:spacing w:before="4"/>
        <w:ind w:left="300" w:right="1191"/>
        <w:jc w:val="both"/>
        <w:rPr>
          <w:color w:val="030404"/>
        </w:rPr>
      </w:pPr>
      <w:r>
        <w:rPr>
          <w:color w:val="030404"/>
        </w:rPr>
        <w:t xml:space="preserve">Ajay has over 30 years’ experience in </w:t>
      </w:r>
      <w:r w:rsidR="006D361E">
        <w:rPr>
          <w:color w:val="030404"/>
        </w:rPr>
        <w:t xml:space="preserve">capital markets and entrepreneurship. A graduate in Economics from City University, he started his career at </w:t>
      </w:r>
      <w:proofErr w:type="spellStart"/>
      <w:r w:rsidR="006D361E">
        <w:rPr>
          <w:color w:val="030404"/>
        </w:rPr>
        <w:t>PriceWaterhouse</w:t>
      </w:r>
      <w:proofErr w:type="spellEnd"/>
      <w:r w:rsidR="006D361E">
        <w:rPr>
          <w:color w:val="030404"/>
        </w:rPr>
        <w:t xml:space="preserve"> (now PwC) and whilst there qualified as a Chartered Accountant (England and Wales). </w:t>
      </w:r>
      <w:r w:rsidR="00EE5FE9">
        <w:rPr>
          <w:color w:val="030404"/>
        </w:rPr>
        <w:t>Ajay</w:t>
      </w:r>
      <w:r w:rsidR="006D361E">
        <w:rPr>
          <w:color w:val="030404"/>
        </w:rPr>
        <w:t xml:space="preserve"> subsequently joined Morgan Stanley where he was an equity research analyst covering European Utilities. From there he joined Cazenove &amp; Co (now JP Morgan Cazenove) where he was an institutional broker for Asian equities. He also helped establish Cazenove</w:t>
      </w:r>
      <w:r w:rsidR="008F75D0">
        <w:rPr>
          <w:color w:val="030404"/>
        </w:rPr>
        <w:t xml:space="preserve"> &amp; Co’s</w:t>
      </w:r>
      <w:r w:rsidR="006D361E">
        <w:rPr>
          <w:color w:val="030404"/>
        </w:rPr>
        <w:t xml:space="preserve"> Indian office. He then joined Nomura International in London, subsequently transferring to Hong Kong. Whilst at Nomura</w:t>
      </w:r>
      <w:r w:rsidR="003D6CD2">
        <w:rPr>
          <w:color w:val="030404"/>
        </w:rPr>
        <w:t xml:space="preserve"> International</w:t>
      </w:r>
      <w:r w:rsidR="006D361E">
        <w:rPr>
          <w:color w:val="030404"/>
        </w:rPr>
        <w:t xml:space="preserve"> he was responsible for a variety of roles, including secondary market activities in Asia</w:t>
      </w:r>
      <w:r w:rsidR="00EE5FE9">
        <w:rPr>
          <w:color w:val="030404"/>
        </w:rPr>
        <w:t xml:space="preserve">, and thereafter private equity and complex transactions from a proprietary perspective. After a period of entrepreneurship where he established various businesses, including property investment and development, and an </w:t>
      </w:r>
      <w:proofErr w:type="gramStart"/>
      <w:r w:rsidR="00EE5FE9">
        <w:rPr>
          <w:color w:val="030404"/>
        </w:rPr>
        <w:t>award winning</w:t>
      </w:r>
      <w:proofErr w:type="gramEnd"/>
      <w:r w:rsidR="00EE5FE9">
        <w:rPr>
          <w:color w:val="030404"/>
        </w:rPr>
        <w:t xml:space="preserve"> retail business, he again joined banking with Crosby Capital. At Crosby</w:t>
      </w:r>
      <w:r w:rsidR="00F95CAE">
        <w:rPr>
          <w:color w:val="030404"/>
        </w:rPr>
        <w:t xml:space="preserve"> Capital</w:t>
      </w:r>
      <w:r w:rsidR="00EE5FE9">
        <w:rPr>
          <w:color w:val="030404"/>
        </w:rPr>
        <w:t>, he was a member of the firm’s Executive Committee and led many transactions in natural resources and asset management. He subsequently joined several of his Crosby</w:t>
      </w:r>
      <w:r w:rsidR="00F95CAE">
        <w:rPr>
          <w:color w:val="030404"/>
        </w:rPr>
        <w:t xml:space="preserve"> Capital</w:t>
      </w:r>
      <w:r w:rsidR="00EE5FE9">
        <w:rPr>
          <w:color w:val="030404"/>
        </w:rPr>
        <w:t xml:space="preserve"> colleagues in establishing Juniper Capital, a boutique consultancy business focusing on natural resources. He remains a consultant to Juniper Capital. </w:t>
      </w:r>
    </w:p>
    <w:p w14:paraId="223CF769" w14:textId="77777777" w:rsidR="00783288" w:rsidRDefault="00783288">
      <w:pPr>
        <w:pStyle w:val="BodyText"/>
        <w:kinsoku w:val="0"/>
        <w:overflowPunct w:val="0"/>
        <w:spacing w:before="8"/>
        <w:rPr>
          <w:sz w:val="17"/>
          <w:szCs w:val="17"/>
        </w:rPr>
      </w:pPr>
    </w:p>
    <w:p w14:paraId="17EC3D82" w14:textId="4EBA1293" w:rsidR="00783288" w:rsidRDefault="00E31420">
      <w:pPr>
        <w:pStyle w:val="Heading2"/>
        <w:kinsoku w:val="0"/>
        <w:overflowPunct w:val="0"/>
        <w:rPr>
          <w:color w:val="030404"/>
        </w:rPr>
      </w:pPr>
      <w:r>
        <w:rPr>
          <w:color w:val="231F20"/>
        </w:rPr>
        <w:t xml:space="preserve">David Cliff, </w:t>
      </w:r>
      <w:r>
        <w:rPr>
          <w:color w:val="030404"/>
        </w:rPr>
        <w:t>Non-Executive Director, aged 7</w:t>
      </w:r>
      <w:r w:rsidR="002D2ED6">
        <w:rPr>
          <w:color w:val="030404"/>
        </w:rPr>
        <w:t>5</w:t>
      </w:r>
      <w:r>
        <w:rPr>
          <w:color w:val="030404"/>
        </w:rPr>
        <w:t xml:space="preserve"> (date of birth 21/04/1946)</w:t>
      </w:r>
    </w:p>
    <w:p w14:paraId="5D00553A" w14:textId="77777777" w:rsidR="00783288" w:rsidRDefault="00E31420">
      <w:pPr>
        <w:pStyle w:val="BodyText"/>
        <w:kinsoku w:val="0"/>
        <w:overflowPunct w:val="0"/>
        <w:spacing w:before="2"/>
        <w:ind w:left="300" w:right="1188"/>
        <w:jc w:val="both"/>
        <w:rPr>
          <w:color w:val="030404"/>
        </w:rPr>
      </w:pPr>
      <w:r>
        <w:rPr>
          <w:color w:val="030404"/>
        </w:rPr>
        <w:t>David is an experienced geologist who spent 26 years working in a management capacity for the Rio Tinto Exploration</w:t>
      </w:r>
      <w:r>
        <w:rPr>
          <w:color w:val="030404"/>
          <w:spacing w:val="-6"/>
        </w:rPr>
        <w:t xml:space="preserve"> </w:t>
      </w:r>
      <w:r>
        <w:rPr>
          <w:color w:val="030404"/>
        </w:rPr>
        <w:t>group</w:t>
      </w:r>
      <w:r>
        <w:rPr>
          <w:color w:val="030404"/>
          <w:spacing w:val="-7"/>
        </w:rPr>
        <w:t xml:space="preserve"> </w:t>
      </w:r>
      <w:r>
        <w:rPr>
          <w:color w:val="030404"/>
        </w:rPr>
        <w:t>until</w:t>
      </w:r>
      <w:r>
        <w:rPr>
          <w:color w:val="030404"/>
          <w:spacing w:val="-7"/>
        </w:rPr>
        <w:t xml:space="preserve"> </w:t>
      </w:r>
      <w:r>
        <w:rPr>
          <w:color w:val="030404"/>
        </w:rPr>
        <w:t>2006,</w:t>
      </w:r>
      <w:r>
        <w:rPr>
          <w:color w:val="030404"/>
          <w:spacing w:val="-5"/>
        </w:rPr>
        <w:t xml:space="preserve"> </w:t>
      </w:r>
      <w:r>
        <w:rPr>
          <w:color w:val="030404"/>
        </w:rPr>
        <w:t>including</w:t>
      </w:r>
      <w:r>
        <w:rPr>
          <w:color w:val="030404"/>
          <w:spacing w:val="-5"/>
        </w:rPr>
        <w:t xml:space="preserve"> </w:t>
      </w:r>
      <w:r>
        <w:rPr>
          <w:color w:val="030404"/>
        </w:rPr>
        <w:t>the</w:t>
      </w:r>
      <w:r>
        <w:rPr>
          <w:color w:val="030404"/>
          <w:spacing w:val="-5"/>
        </w:rPr>
        <w:t xml:space="preserve"> </w:t>
      </w:r>
      <w:r>
        <w:rPr>
          <w:color w:val="030404"/>
        </w:rPr>
        <w:t>last</w:t>
      </w:r>
      <w:r>
        <w:rPr>
          <w:color w:val="030404"/>
          <w:spacing w:val="-8"/>
        </w:rPr>
        <w:t xml:space="preserve"> </w:t>
      </w:r>
      <w:r>
        <w:rPr>
          <w:color w:val="030404"/>
        </w:rPr>
        <w:t>five</w:t>
      </w:r>
      <w:r>
        <w:rPr>
          <w:color w:val="030404"/>
          <w:spacing w:val="-5"/>
        </w:rPr>
        <w:t xml:space="preserve"> </w:t>
      </w:r>
      <w:r>
        <w:rPr>
          <w:color w:val="030404"/>
        </w:rPr>
        <w:t>years</w:t>
      </w:r>
      <w:r>
        <w:rPr>
          <w:color w:val="030404"/>
          <w:spacing w:val="-4"/>
        </w:rPr>
        <w:t xml:space="preserve"> </w:t>
      </w:r>
      <w:r>
        <w:rPr>
          <w:color w:val="030404"/>
        </w:rPr>
        <w:t>as</w:t>
      </w:r>
      <w:r>
        <w:rPr>
          <w:color w:val="030404"/>
          <w:spacing w:val="-5"/>
        </w:rPr>
        <w:t xml:space="preserve"> </w:t>
      </w:r>
      <w:r>
        <w:rPr>
          <w:color w:val="030404"/>
        </w:rPr>
        <w:t>Exploration</w:t>
      </w:r>
      <w:r>
        <w:rPr>
          <w:color w:val="030404"/>
          <w:spacing w:val="-5"/>
        </w:rPr>
        <w:t xml:space="preserve"> </w:t>
      </w:r>
      <w:r>
        <w:rPr>
          <w:color w:val="030404"/>
        </w:rPr>
        <w:t>Manager</w:t>
      </w:r>
      <w:r>
        <w:rPr>
          <w:color w:val="030404"/>
          <w:spacing w:val="-6"/>
        </w:rPr>
        <w:t xml:space="preserve"> </w:t>
      </w:r>
      <w:r>
        <w:rPr>
          <w:color w:val="030404"/>
        </w:rPr>
        <w:t>Europe.</w:t>
      </w:r>
      <w:r>
        <w:rPr>
          <w:color w:val="030404"/>
          <w:spacing w:val="-7"/>
        </w:rPr>
        <w:t xml:space="preserve"> </w:t>
      </w:r>
      <w:r>
        <w:rPr>
          <w:color w:val="030404"/>
        </w:rPr>
        <w:t>During</w:t>
      </w:r>
      <w:r>
        <w:rPr>
          <w:color w:val="030404"/>
          <w:spacing w:val="-7"/>
        </w:rPr>
        <w:t xml:space="preserve"> </w:t>
      </w:r>
      <w:r>
        <w:rPr>
          <w:color w:val="030404"/>
        </w:rPr>
        <w:t>his</w:t>
      </w:r>
      <w:r>
        <w:rPr>
          <w:color w:val="030404"/>
          <w:spacing w:val="-4"/>
        </w:rPr>
        <w:t xml:space="preserve"> </w:t>
      </w:r>
      <w:r>
        <w:rPr>
          <w:color w:val="030404"/>
        </w:rPr>
        <w:t>time</w:t>
      </w:r>
      <w:r>
        <w:rPr>
          <w:color w:val="030404"/>
          <w:spacing w:val="-5"/>
        </w:rPr>
        <w:t xml:space="preserve"> </w:t>
      </w:r>
      <w:r>
        <w:rPr>
          <w:color w:val="030404"/>
        </w:rPr>
        <w:t>with</w:t>
      </w:r>
      <w:r>
        <w:rPr>
          <w:color w:val="030404"/>
          <w:spacing w:val="-5"/>
        </w:rPr>
        <w:t xml:space="preserve"> </w:t>
      </w:r>
      <w:r>
        <w:rPr>
          <w:color w:val="030404"/>
        </w:rPr>
        <w:t>Rio Tinto</w:t>
      </w:r>
      <w:r>
        <w:rPr>
          <w:color w:val="030404"/>
          <w:spacing w:val="-10"/>
        </w:rPr>
        <w:t xml:space="preserve"> </w:t>
      </w:r>
      <w:r>
        <w:rPr>
          <w:color w:val="030404"/>
        </w:rPr>
        <w:t>Exploration,</w:t>
      </w:r>
      <w:r>
        <w:rPr>
          <w:color w:val="030404"/>
          <w:spacing w:val="-10"/>
        </w:rPr>
        <w:t xml:space="preserve"> </w:t>
      </w:r>
      <w:r>
        <w:rPr>
          <w:color w:val="030404"/>
        </w:rPr>
        <w:t>he</w:t>
      </w:r>
      <w:r>
        <w:rPr>
          <w:color w:val="030404"/>
          <w:spacing w:val="-10"/>
        </w:rPr>
        <w:t xml:space="preserve"> </w:t>
      </w:r>
      <w:r>
        <w:rPr>
          <w:color w:val="030404"/>
        </w:rPr>
        <w:t>headed</w:t>
      </w:r>
      <w:r>
        <w:rPr>
          <w:color w:val="030404"/>
          <w:spacing w:val="-10"/>
        </w:rPr>
        <w:t xml:space="preserve"> </w:t>
      </w:r>
      <w:r>
        <w:rPr>
          <w:color w:val="030404"/>
        </w:rPr>
        <w:t>exploration</w:t>
      </w:r>
      <w:r>
        <w:rPr>
          <w:color w:val="030404"/>
          <w:spacing w:val="-10"/>
        </w:rPr>
        <w:t xml:space="preserve"> </w:t>
      </w:r>
      <w:r>
        <w:rPr>
          <w:color w:val="030404"/>
        </w:rPr>
        <w:t>teams</w:t>
      </w:r>
      <w:r>
        <w:rPr>
          <w:color w:val="030404"/>
          <w:spacing w:val="-11"/>
        </w:rPr>
        <w:t xml:space="preserve"> </w:t>
      </w:r>
      <w:r>
        <w:rPr>
          <w:color w:val="030404"/>
        </w:rPr>
        <w:t>in</w:t>
      </w:r>
      <w:r>
        <w:rPr>
          <w:color w:val="030404"/>
          <w:spacing w:val="-10"/>
        </w:rPr>
        <w:t xml:space="preserve"> </w:t>
      </w:r>
      <w:r>
        <w:rPr>
          <w:color w:val="030404"/>
        </w:rPr>
        <w:t>the</w:t>
      </w:r>
      <w:r>
        <w:rPr>
          <w:color w:val="030404"/>
          <w:spacing w:val="-10"/>
        </w:rPr>
        <w:t xml:space="preserve"> </w:t>
      </w:r>
      <w:r>
        <w:rPr>
          <w:color w:val="030404"/>
        </w:rPr>
        <w:t>wider</w:t>
      </w:r>
      <w:r>
        <w:rPr>
          <w:color w:val="030404"/>
          <w:spacing w:val="-10"/>
        </w:rPr>
        <w:t xml:space="preserve"> </w:t>
      </w:r>
      <w:r>
        <w:rPr>
          <w:color w:val="030404"/>
        </w:rPr>
        <w:t>European</w:t>
      </w:r>
      <w:r>
        <w:rPr>
          <w:color w:val="030404"/>
          <w:spacing w:val="-10"/>
        </w:rPr>
        <w:t xml:space="preserve"> </w:t>
      </w:r>
      <w:r>
        <w:rPr>
          <w:color w:val="030404"/>
        </w:rPr>
        <w:t>area,</w:t>
      </w:r>
      <w:r>
        <w:rPr>
          <w:color w:val="030404"/>
          <w:spacing w:val="-10"/>
        </w:rPr>
        <w:t xml:space="preserve"> </w:t>
      </w:r>
      <w:r>
        <w:rPr>
          <w:color w:val="030404"/>
        </w:rPr>
        <w:t>including</w:t>
      </w:r>
      <w:r>
        <w:rPr>
          <w:color w:val="030404"/>
          <w:spacing w:val="-9"/>
        </w:rPr>
        <w:t xml:space="preserve"> </w:t>
      </w:r>
      <w:r>
        <w:rPr>
          <w:color w:val="030404"/>
        </w:rPr>
        <w:t>the</w:t>
      </w:r>
      <w:r>
        <w:rPr>
          <w:color w:val="030404"/>
          <w:spacing w:val="-10"/>
        </w:rPr>
        <w:t xml:space="preserve"> </w:t>
      </w:r>
      <w:r>
        <w:rPr>
          <w:color w:val="030404"/>
        </w:rPr>
        <w:t>discovery</w:t>
      </w:r>
      <w:r>
        <w:rPr>
          <w:color w:val="030404"/>
          <w:spacing w:val="-11"/>
        </w:rPr>
        <w:t xml:space="preserve"> </w:t>
      </w:r>
      <w:r>
        <w:rPr>
          <w:color w:val="030404"/>
        </w:rPr>
        <w:t>and</w:t>
      </w:r>
      <w:r>
        <w:rPr>
          <w:color w:val="030404"/>
          <w:spacing w:val="-10"/>
        </w:rPr>
        <w:t xml:space="preserve"> </w:t>
      </w:r>
      <w:r>
        <w:rPr>
          <w:color w:val="030404"/>
        </w:rPr>
        <w:t>evaluation of</w:t>
      </w:r>
      <w:r>
        <w:rPr>
          <w:color w:val="030404"/>
          <w:spacing w:val="-6"/>
        </w:rPr>
        <w:t xml:space="preserve"> </w:t>
      </w:r>
      <w:r>
        <w:rPr>
          <w:color w:val="030404"/>
        </w:rPr>
        <w:t>the</w:t>
      </w:r>
      <w:r>
        <w:rPr>
          <w:color w:val="030404"/>
          <w:spacing w:val="-1"/>
        </w:rPr>
        <w:t xml:space="preserve"> </w:t>
      </w:r>
      <w:proofErr w:type="spellStart"/>
      <w:r>
        <w:rPr>
          <w:color w:val="030404"/>
        </w:rPr>
        <w:t>Çöpler</w:t>
      </w:r>
      <w:proofErr w:type="spellEnd"/>
      <w:r>
        <w:rPr>
          <w:color w:val="030404"/>
          <w:spacing w:val="-7"/>
        </w:rPr>
        <w:t xml:space="preserve"> </w:t>
      </w:r>
      <w:r>
        <w:rPr>
          <w:color w:val="030404"/>
        </w:rPr>
        <w:t>gold</w:t>
      </w:r>
      <w:r>
        <w:rPr>
          <w:color w:val="030404"/>
          <w:spacing w:val="-9"/>
        </w:rPr>
        <w:t xml:space="preserve"> </w:t>
      </w:r>
      <w:r>
        <w:rPr>
          <w:color w:val="030404"/>
        </w:rPr>
        <w:t>mine</w:t>
      </w:r>
      <w:r>
        <w:rPr>
          <w:color w:val="030404"/>
          <w:spacing w:val="-9"/>
        </w:rPr>
        <w:t xml:space="preserve"> </w:t>
      </w:r>
      <w:r>
        <w:rPr>
          <w:color w:val="030404"/>
        </w:rPr>
        <w:t>in</w:t>
      </w:r>
      <w:r>
        <w:rPr>
          <w:color w:val="030404"/>
          <w:spacing w:val="-6"/>
        </w:rPr>
        <w:t xml:space="preserve"> </w:t>
      </w:r>
      <w:r>
        <w:rPr>
          <w:color w:val="030404"/>
        </w:rPr>
        <w:t>Turkey,</w:t>
      </w:r>
      <w:r>
        <w:rPr>
          <w:color w:val="030404"/>
          <w:spacing w:val="-6"/>
        </w:rPr>
        <w:t xml:space="preserve"> </w:t>
      </w:r>
      <w:r>
        <w:rPr>
          <w:color w:val="030404"/>
        </w:rPr>
        <w:t>now</w:t>
      </w:r>
      <w:r>
        <w:rPr>
          <w:color w:val="030404"/>
          <w:spacing w:val="-9"/>
        </w:rPr>
        <w:t xml:space="preserve"> </w:t>
      </w:r>
      <w:r>
        <w:rPr>
          <w:color w:val="030404"/>
        </w:rPr>
        <w:t>owned</w:t>
      </w:r>
      <w:r>
        <w:rPr>
          <w:color w:val="030404"/>
          <w:spacing w:val="-6"/>
        </w:rPr>
        <w:t xml:space="preserve"> </w:t>
      </w:r>
      <w:r>
        <w:rPr>
          <w:color w:val="030404"/>
        </w:rPr>
        <w:t>and</w:t>
      </w:r>
      <w:r>
        <w:rPr>
          <w:color w:val="030404"/>
          <w:spacing w:val="-6"/>
        </w:rPr>
        <w:t xml:space="preserve"> </w:t>
      </w:r>
      <w:r>
        <w:rPr>
          <w:color w:val="030404"/>
        </w:rPr>
        <w:t>operated</w:t>
      </w:r>
      <w:r>
        <w:rPr>
          <w:color w:val="030404"/>
          <w:spacing w:val="-6"/>
        </w:rPr>
        <w:t xml:space="preserve"> </w:t>
      </w:r>
      <w:r>
        <w:rPr>
          <w:color w:val="030404"/>
        </w:rPr>
        <w:t>by</w:t>
      </w:r>
      <w:r>
        <w:rPr>
          <w:color w:val="030404"/>
          <w:spacing w:val="-8"/>
        </w:rPr>
        <w:t xml:space="preserve"> </w:t>
      </w:r>
      <w:r>
        <w:rPr>
          <w:color w:val="030404"/>
        </w:rPr>
        <w:t>SSR-</w:t>
      </w:r>
      <w:proofErr w:type="spellStart"/>
      <w:r>
        <w:rPr>
          <w:color w:val="030404"/>
        </w:rPr>
        <w:t>Alacer</w:t>
      </w:r>
      <w:proofErr w:type="spellEnd"/>
      <w:r>
        <w:rPr>
          <w:color w:val="030404"/>
          <w:spacing w:val="-7"/>
        </w:rPr>
        <w:t xml:space="preserve"> </w:t>
      </w:r>
      <w:r>
        <w:rPr>
          <w:color w:val="030404"/>
        </w:rPr>
        <w:t>Gold</w:t>
      </w:r>
      <w:r>
        <w:rPr>
          <w:color w:val="030404"/>
          <w:spacing w:val="-5"/>
        </w:rPr>
        <w:t xml:space="preserve"> </w:t>
      </w:r>
      <w:r>
        <w:rPr>
          <w:color w:val="030404"/>
        </w:rPr>
        <w:t>Corporation.</w:t>
      </w:r>
      <w:r>
        <w:rPr>
          <w:color w:val="030404"/>
          <w:spacing w:val="-6"/>
        </w:rPr>
        <w:t xml:space="preserve"> </w:t>
      </w:r>
      <w:r>
        <w:rPr>
          <w:color w:val="030404"/>
        </w:rPr>
        <w:t>Over</w:t>
      </w:r>
      <w:r>
        <w:rPr>
          <w:color w:val="030404"/>
          <w:spacing w:val="-7"/>
        </w:rPr>
        <w:t xml:space="preserve"> </w:t>
      </w:r>
      <w:r>
        <w:rPr>
          <w:color w:val="030404"/>
        </w:rPr>
        <w:t>this</w:t>
      </w:r>
      <w:r>
        <w:rPr>
          <w:color w:val="030404"/>
          <w:spacing w:val="-6"/>
        </w:rPr>
        <w:t xml:space="preserve"> </w:t>
      </w:r>
      <w:r>
        <w:rPr>
          <w:color w:val="030404"/>
        </w:rPr>
        <w:t>period,</w:t>
      </w:r>
      <w:r>
        <w:rPr>
          <w:color w:val="030404"/>
          <w:spacing w:val="-6"/>
        </w:rPr>
        <w:t xml:space="preserve"> </w:t>
      </w:r>
      <w:r>
        <w:rPr>
          <w:color w:val="030404"/>
        </w:rPr>
        <w:t xml:space="preserve">he has worked in a variety of geological settings, </w:t>
      </w:r>
      <w:proofErr w:type="gramStart"/>
      <w:r>
        <w:rPr>
          <w:color w:val="030404"/>
        </w:rPr>
        <w:t>commodities</w:t>
      </w:r>
      <w:proofErr w:type="gramEnd"/>
      <w:r>
        <w:rPr>
          <w:color w:val="030404"/>
        </w:rPr>
        <w:t xml:space="preserve"> and jurisdictions, especially in exploration for copper and gold. David commenced his career in 1968 with the Union Corporation group, spending seven years in South Africa (including work on the discovery and evaluation of the Beatrix Gold Mine complex, as well as the development of the </w:t>
      </w:r>
      <w:proofErr w:type="spellStart"/>
      <w:r>
        <w:rPr>
          <w:color w:val="030404"/>
        </w:rPr>
        <w:t>Unisel</w:t>
      </w:r>
      <w:proofErr w:type="spellEnd"/>
      <w:r>
        <w:rPr>
          <w:color w:val="030404"/>
        </w:rPr>
        <w:t xml:space="preserve"> mine and production-related geology at St Helena Gold Mine). Prior to that he spent four years in the United Kingdom, mainly involved in development and production at two Cornish tin mines. More recently, he was a director and Chief Executive Officer of Columbus Copper Corporation (formerly Empire Mining Corp.), a Toronto Venture Exchange listed exploration company exploring copper and gold assets in western Turkey and chromite in Albania, until its merger with </w:t>
      </w:r>
      <w:proofErr w:type="spellStart"/>
      <w:r>
        <w:rPr>
          <w:color w:val="030404"/>
        </w:rPr>
        <w:t>Energulf</w:t>
      </w:r>
      <w:proofErr w:type="spellEnd"/>
      <w:r>
        <w:rPr>
          <w:color w:val="030404"/>
        </w:rPr>
        <w:t xml:space="preserve"> Resources Inc. in 2015. David holds a BSc honours degree in Geology from University College London and is a Chartered Engineer, Member of the Institute of Materials, Minerals and</w:t>
      </w:r>
      <w:r>
        <w:rPr>
          <w:color w:val="030404"/>
          <w:spacing w:val="1"/>
        </w:rPr>
        <w:t xml:space="preserve"> </w:t>
      </w:r>
      <w:r>
        <w:rPr>
          <w:color w:val="030404"/>
        </w:rPr>
        <w:t>Mining.</w:t>
      </w:r>
    </w:p>
    <w:p w14:paraId="70D28A54" w14:textId="77777777" w:rsidR="00783288" w:rsidRDefault="00783288">
      <w:pPr>
        <w:pStyle w:val="BodyText"/>
        <w:kinsoku w:val="0"/>
        <w:overflowPunct w:val="0"/>
        <w:spacing w:before="9"/>
        <w:rPr>
          <w:sz w:val="17"/>
          <w:szCs w:val="17"/>
        </w:rPr>
      </w:pPr>
    </w:p>
    <w:p w14:paraId="5811A6CF" w14:textId="5887DAC6" w:rsidR="00783288" w:rsidRDefault="00E31420">
      <w:pPr>
        <w:pStyle w:val="Heading2"/>
        <w:kinsoku w:val="0"/>
        <w:overflowPunct w:val="0"/>
        <w:spacing w:before="1"/>
        <w:rPr>
          <w:color w:val="030404"/>
        </w:rPr>
      </w:pPr>
      <w:r>
        <w:rPr>
          <w:color w:val="231F20"/>
        </w:rPr>
        <w:t xml:space="preserve">Peter Damouni, </w:t>
      </w:r>
      <w:r>
        <w:rPr>
          <w:color w:val="030404"/>
        </w:rPr>
        <w:t>Non-Executive Director, aged 4</w:t>
      </w:r>
      <w:r w:rsidR="00E517B7">
        <w:rPr>
          <w:color w:val="030404"/>
        </w:rPr>
        <w:t>4</w:t>
      </w:r>
      <w:r>
        <w:rPr>
          <w:color w:val="030404"/>
        </w:rPr>
        <w:t xml:space="preserve"> (date of birth 08/07/1977)</w:t>
      </w:r>
      <w:r w:rsidR="002F11DD">
        <w:rPr>
          <w:color w:val="030404"/>
        </w:rPr>
        <w:t xml:space="preserve"> </w:t>
      </w:r>
    </w:p>
    <w:p w14:paraId="38393B6D" w14:textId="77777777" w:rsidR="00783288" w:rsidRDefault="00E31420">
      <w:pPr>
        <w:pStyle w:val="BodyText"/>
        <w:kinsoku w:val="0"/>
        <w:overflowPunct w:val="0"/>
        <w:spacing w:before="1" w:line="259" w:lineRule="auto"/>
        <w:ind w:left="300" w:right="1189"/>
        <w:jc w:val="both"/>
        <w:rPr>
          <w:color w:val="030404"/>
        </w:rPr>
      </w:pPr>
      <w:r>
        <w:rPr>
          <w:color w:val="030404"/>
        </w:rPr>
        <w:t xml:space="preserve">Mr. Damouni is a graduate of McGill University and has over 18 years of experience in investment banking </w:t>
      </w:r>
      <w:r>
        <w:rPr>
          <w:color w:val="030404"/>
          <w:spacing w:val="-2"/>
        </w:rPr>
        <w:t xml:space="preserve">and </w:t>
      </w:r>
      <w:r>
        <w:rPr>
          <w:color w:val="030404"/>
        </w:rPr>
        <w:t>capital</w:t>
      </w:r>
      <w:r>
        <w:rPr>
          <w:color w:val="030404"/>
          <w:spacing w:val="-6"/>
        </w:rPr>
        <w:t xml:space="preserve"> </w:t>
      </w:r>
      <w:r>
        <w:rPr>
          <w:color w:val="030404"/>
        </w:rPr>
        <w:t>markets,</w:t>
      </w:r>
      <w:r>
        <w:rPr>
          <w:color w:val="030404"/>
          <w:spacing w:val="-5"/>
        </w:rPr>
        <w:t xml:space="preserve"> </w:t>
      </w:r>
      <w:r>
        <w:rPr>
          <w:color w:val="030404"/>
        </w:rPr>
        <w:t>with</w:t>
      </w:r>
      <w:r>
        <w:rPr>
          <w:color w:val="030404"/>
          <w:spacing w:val="-3"/>
        </w:rPr>
        <w:t xml:space="preserve"> </w:t>
      </w:r>
      <w:proofErr w:type="gramStart"/>
      <w:r>
        <w:rPr>
          <w:color w:val="030404"/>
        </w:rPr>
        <w:t>particular</w:t>
      </w:r>
      <w:r>
        <w:rPr>
          <w:color w:val="030404"/>
          <w:spacing w:val="-5"/>
        </w:rPr>
        <w:t xml:space="preserve"> </w:t>
      </w:r>
      <w:r>
        <w:rPr>
          <w:color w:val="030404"/>
        </w:rPr>
        <w:t>expertise</w:t>
      </w:r>
      <w:proofErr w:type="gramEnd"/>
      <w:r>
        <w:rPr>
          <w:color w:val="030404"/>
          <w:spacing w:val="-6"/>
        </w:rPr>
        <w:t xml:space="preserve"> </w:t>
      </w:r>
      <w:r>
        <w:rPr>
          <w:color w:val="030404"/>
        </w:rPr>
        <w:t>in</w:t>
      </w:r>
      <w:r>
        <w:rPr>
          <w:color w:val="030404"/>
          <w:spacing w:val="-2"/>
        </w:rPr>
        <w:t xml:space="preserve"> </w:t>
      </w:r>
      <w:r>
        <w:rPr>
          <w:color w:val="030404"/>
        </w:rPr>
        <w:t>natural</w:t>
      </w:r>
      <w:r>
        <w:rPr>
          <w:color w:val="030404"/>
          <w:spacing w:val="-3"/>
        </w:rPr>
        <w:t xml:space="preserve"> </w:t>
      </w:r>
      <w:r>
        <w:rPr>
          <w:color w:val="030404"/>
        </w:rPr>
        <w:t>resources.</w:t>
      </w:r>
      <w:r>
        <w:rPr>
          <w:color w:val="030404"/>
          <w:spacing w:val="-3"/>
        </w:rPr>
        <w:t xml:space="preserve"> </w:t>
      </w:r>
      <w:r>
        <w:rPr>
          <w:color w:val="030404"/>
        </w:rPr>
        <w:t>Throughout</w:t>
      </w:r>
      <w:r>
        <w:rPr>
          <w:color w:val="030404"/>
          <w:spacing w:val="-6"/>
        </w:rPr>
        <w:t xml:space="preserve"> </w:t>
      </w:r>
      <w:r>
        <w:rPr>
          <w:color w:val="030404"/>
        </w:rPr>
        <w:t>his</w:t>
      </w:r>
      <w:r>
        <w:rPr>
          <w:color w:val="030404"/>
          <w:spacing w:val="-4"/>
        </w:rPr>
        <w:t xml:space="preserve"> </w:t>
      </w:r>
      <w:r>
        <w:rPr>
          <w:color w:val="030404"/>
        </w:rPr>
        <w:t>career,</w:t>
      </w:r>
      <w:r>
        <w:rPr>
          <w:color w:val="030404"/>
          <w:spacing w:val="-6"/>
        </w:rPr>
        <w:t xml:space="preserve"> </w:t>
      </w:r>
      <w:r>
        <w:rPr>
          <w:color w:val="030404"/>
        </w:rPr>
        <w:t>Mr.</w:t>
      </w:r>
      <w:r>
        <w:rPr>
          <w:color w:val="030404"/>
          <w:spacing w:val="-3"/>
        </w:rPr>
        <w:t xml:space="preserve"> </w:t>
      </w:r>
      <w:r>
        <w:rPr>
          <w:color w:val="030404"/>
        </w:rPr>
        <w:t>Damouni</w:t>
      </w:r>
      <w:r>
        <w:rPr>
          <w:color w:val="030404"/>
          <w:spacing w:val="-5"/>
        </w:rPr>
        <w:t xml:space="preserve"> </w:t>
      </w:r>
      <w:r>
        <w:rPr>
          <w:color w:val="030404"/>
        </w:rPr>
        <w:t>has</w:t>
      </w:r>
      <w:r>
        <w:rPr>
          <w:color w:val="030404"/>
          <w:spacing w:val="-3"/>
        </w:rPr>
        <w:t xml:space="preserve"> </w:t>
      </w:r>
      <w:r>
        <w:rPr>
          <w:color w:val="030404"/>
        </w:rPr>
        <w:t>worked</w:t>
      </w:r>
      <w:r>
        <w:rPr>
          <w:color w:val="030404"/>
          <w:spacing w:val="-3"/>
        </w:rPr>
        <w:t xml:space="preserve"> </w:t>
      </w:r>
      <w:r>
        <w:rPr>
          <w:color w:val="030404"/>
        </w:rPr>
        <w:t>on and led equity and debt financings valued over $5 billion. He has comprehensive experience in equity financing, restructuring,</w:t>
      </w:r>
      <w:r>
        <w:rPr>
          <w:color w:val="030404"/>
          <w:spacing w:val="-12"/>
        </w:rPr>
        <w:t xml:space="preserve"> </w:t>
      </w:r>
      <w:r>
        <w:rPr>
          <w:color w:val="030404"/>
        </w:rPr>
        <w:t>corporate</w:t>
      </w:r>
      <w:r>
        <w:rPr>
          <w:color w:val="030404"/>
          <w:spacing w:val="-9"/>
        </w:rPr>
        <w:t xml:space="preserve"> </w:t>
      </w:r>
      <w:proofErr w:type="gramStart"/>
      <w:r>
        <w:rPr>
          <w:color w:val="030404"/>
        </w:rPr>
        <w:t>valuations</w:t>
      </w:r>
      <w:proofErr w:type="gramEnd"/>
      <w:r>
        <w:rPr>
          <w:color w:val="030404"/>
          <w:spacing w:val="-8"/>
        </w:rPr>
        <w:t xml:space="preserve"> </w:t>
      </w:r>
      <w:r>
        <w:rPr>
          <w:color w:val="030404"/>
        </w:rPr>
        <w:t>and</w:t>
      </w:r>
      <w:r>
        <w:rPr>
          <w:color w:val="030404"/>
          <w:spacing w:val="-10"/>
        </w:rPr>
        <w:t xml:space="preserve"> </w:t>
      </w:r>
      <w:r>
        <w:rPr>
          <w:color w:val="030404"/>
        </w:rPr>
        <w:t>advisory</w:t>
      </w:r>
      <w:r>
        <w:rPr>
          <w:color w:val="030404"/>
          <w:spacing w:val="-10"/>
        </w:rPr>
        <w:t xml:space="preserve"> </w:t>
      </w:r>
      <w:r>
        <w:rPr>
          <w:color w:val="030404"/>
        </w:rPr>
        <w:t>assignments.</w:t>
      </w:r>
      <w:r>
        <w:rPr>
          <w:color w:val="030404"/>
          <w:spacing w:val="-9"/>
        </w:rPr>
        <w:t xml:space="preserve"> </w:t>
      </w:r>
      <w:r>
        <w:rPr>
          <w:color w:val="030404"/>
        </w:rPr>
        <w:t>Mr.</w:t>
      </w:r>
      <w:r>
        <w:rPr>
          <w:color w:val="030404"/>
          <w:spacing w:val="-10"/>
        </w:rPr>
        <w:t xml:space="preserve"> </w:t>
      </w:r>
      <w:r>
        <w:rPr>
          <w:color w:val="030404"/>
        </w:rPr>
        <w:t>Damouni</w:t>
      </w:r>
      <w:r>
        <w:rPr>
          <w:color w:val="030404"/>
          <w:spacing w:val="-9"/>
        </w:rPr>
        <w:t xml:space="preserve"> </w:t>
      </w:r>
      <w:r>
        <w:rPr>
          <w:color w:val="030404"/>
        </w:rPr>
        <w:t>is</w:t>
      </w:r>
      <w:r>
        <w:rPr>
          <w:color w:val="030404"/>
          <w:spacing w:val="-9"/>
        </w:rPr>
        <w:t xml:space="preserve"> </w:t>
      </w:r>
      <w:r>
        <w:rPr>
          <w:color w:val="030404"/>
        </w:rPr>
        <w:t>a</w:t>
      </w:r>
      <w:r>
        <w:rPr>
          <w:color w:val="030404"/>
          <w:spacing w:val="-9"/>
        </w:rPr>
        <w:t xml:space="preserve"> </w:t>
      </w:r>
      <w:r>
        <w:rPr>
          <w:color w:val="030404"/>
        </w:rPr>
        <w:t>Director</w:t>
      </w:r>
      <w:r>
        <w:rPr>
          <w:color w:val="030404"/>
          <w:spacing w:val="-12"/>
        </w:rPr>
        <w:t xml:space="preserve"> </w:t>
      </w:r>
      <w:r>
        <w:rPr>
          <w:color w:val="030404"/>
        </w:rPr>
        <w:t>of</w:t>
      </w:r>
      <w:r>
        <w:rPr>
          <w:color w:val="030404"/>
          <w:spacing w:val="-9"/>
        </w:rPr>
        <w:t xml:space="preserve"> </w:t>
      </w:r>
      <w:r>
        <w:rPr>
          <w:color w:val="030404"/>
        </w:rPr>
        <w:t>a</w:t>
      </w:r>
      <w:r>
        <w:rPr>
          <w:color w:val="030404"/>
          <w:spacing w:val="-12"/>
        </w:rPr>
        <w:t xml:space="preserve"> </w:t>
      </w:r>
      <w:r>
        <w:rPr>
          <w:color w:val="030404"/>
        </w:rPr>
        <w:t>number</w:t>
      </w:r>
      <w:r>
        <w:rPr>
          <w:color w:val="030404"/>
          <w:spacing w:val="-9"/>
        </w:rPr>
        <w:t xml:space="preserve"> </w:t>
      </w:r>
      <w:r>
        <w:rPr>
          <w:color w:val="030404"/>
        </w:rPr>
        <w:t>of</w:t>
      </w:r>
      <w:r>
        <w:rPr>
          <w:color w:val="030404"/>
          <w:spacing w:val="-9"/>
        </w:rPr>
        <w:t xml:space="preserve"> </w:t>
      </w:r>
      <w:r>
        <w:rPr>
          <w:color w:val="030404"/>
        </w:rPr>
        <w:t>companies listed on the TSX, TSX-V and London Stock Exchange and other public companies including Kerr Mines Inc, Empire Metals Ltd, Gatling Exploration Inc, Arena Minerals Inc and Mason Graphite Inc. Mr Damouni has also been</w:t>
      </w:r>
      <w:r>
        <w:rPr>
          <w:color w:val="030404"/>
          <w:spacing w:val="-14"/>
        </w:rPr>
        <w:t xml:space="preserve"> </w:t>
      </w:r>
      <w:r>
        <w:rPr>
          <w:color w:val="030404"/>
        </w:rPr>
        <w:t>on</w:t>
      </w:r>
      <w:r>
        <w:rPr>
          <w:color w:val="030404"/>
          <w:spacing w:val="-14"/>
        </w:rPr>
        <w:t xml:space="preserve"> </w:t>
      </w:r>
      <w:r>
        <w:rPr>
          <w:color w:val="030404"/>
        </w:rPr>
        <w:t>the</w:t>
      </w:r>
      <w:r>
        <w:rPr>
          <w:color w:val="030404"/>
          <w:spacing w:val="-12"/>
        </w:rPr>
        <w:t xml:space="preserve"> </w:t>
      </w:r>
      <w:r>
        <w:rPr>
          <w:color w:val="030404"/>
        </w:rPr>
        <w:t>board</w:t>
      </w:r>
      <w:r>
        <w:rPr>
          <w:color w:val="030404"/>
          <w:spacing w:val="-14"/>
        </w:rPr>
        <w:t xml:space="preserve"> </w:t>
      </w:r>
      <w:r>
        <w:rPr>
          <w:color w:val="030404"/>
        </w:rPr>
        <w:t>of</w:t>
      </w:r>
      <w:r>
        <w:rPr>
          <w:color w:val="030404"/>
          <w:spacing w:val="-14"/>
        </w:rPr>
        <w:t xml:space="preserve"> </w:t>
      </w:r>
      <w:r>
        <w:rPr>
          <w:color w:val="030404"/>
        </w:rPr>
        <w:t>other</w:t>
      </w:r>
      <w:r>
        <w:rPr>
          <w:color w:val="030404"/>
          <w:spacing w:val="-15"/>
        </w:rPr>
        <w:t xml:space="preserve"> </w:t>
      </w:r>
      <w:r>
        <w:rPr>
          <w:color w:val="030404"/>
        </w:rPr>
        <w:t>private</w:t>
      </w:r>
      <w:r>
        <w:rPr>
          <w:color w:val="030404"/>
          <w:spacing w:val="-14"/>
        </w:rPr>
        <w:t xml:space="preserve"> </w:t>
      </w:r>
      <w:r>
        <w:rPr>
          <w:color w:val="030404"/>
        </w:rPr>
        <w:t>companies</w:t>
      </w:r>
      <w:r>
        <w:rPr>
          <w:color w:val="030404"/>
          <w:spacing w:val="-11"/>
        </w:rPr>
        <w:t xml:space="preserve"> </w:t>
      </w:r>
      <w:r>
        <w:rPr>
          <w:color w:val="030404"/>
        </w:rPr>
        <w:t>including</w:t>
      </w:r>
      <w:r>
        <w:rPr>
          <w:color w:val="030404"/>
          <w:spacing w:val="-14"/>
        </w:rPr>
        <w:t xml:space="preserve"> </w:t>
      </w:r>
      <w:proofErr w:type="spellStart"/>
      <w:r>
        <w:rPr>
          <w:color w:val="030404"/>
        </w:rPr>
        <w:t>Silvergate</w:t>
      </w:r>
      <w:proofErr w:type="spellEnd"/>
      <w:r>
        <w:rPr>
          <w:color w:val="030404"/>
          <w:spacing w:val="-14"/>
        </w:rPr>
        <w:t xml:space="preserve"> </w:t>
      </w:r>
      <w:r>
        <w:rPr>
          <w:color w:val="030404"/>
        </w:rPr>
        <w:t>Capital</w:t>
      </w:r>
      <w:r>
        <w:rPr>
          <w:color w:val="030404"/>
          <w:spacing w:val="-13"/>
        </w:rPr>
        <w:t xml:space="preserve"> </w:t>
      </w:r>
      <w:r>
        <w:rPr>
          <w:color w:val="030404"/>
        </w:rPr>
        <w:t>Partners</w:t>
      </w:r>
      <w:r>
        <w:rPr>
          <w:color w:val="030404"/>
          <w:spacing w:val="-14"/>
        </w:rPr>
        <w:t xml:space="preserve"> </w:t>
      </w:r>
      <w:r>
        <w:rPr>
          <w:color w:val="030404"/>
        </w:rPr>
        <w:t>Limited</w:t>
      </w:r>
      <w:r>
        <w:rPr>
          <w:color w:val="030404"/>
          <w:spacing w:val="-14"/>
        </w:rPr>
        <w:t xml:space="preserve"> </w:t>
      </w:r>
      <w:r>
        <w:rPr>
          <w:color w:val="030404"/>
        </w:rPr>
        <w:t>and</w:t>
      </w:r>
      <w:r>
        <w:rPr>
          <w:color w:val="030404"/>
          <w:spacing w:val="-12"/>
        </w:rPr>
        <w:t xml:space="preserve"> </w:t>
      </w:r>
      <w:r>
        <w:rPr>
          <w:color w:val="030404"/>
        </w:rPr>
        <w:t>formerly</w:t>
      </w:r>
      <w:r>
        <w:rPr>
          <w:color w:val="030404"/>
          <w:spacing w:val="-14"/>
        </w:rPr>
        <w:t xml:space="preserve"> </w:t>
      </w:r>
      <w:proofErr w:type="spellStart"/>
      <w:r>
        <w:rPr>
          <w:color w:val="030404"/>
        </w:rPr>
        <w:t>NorthCrest</w:t>
      </w:r>
      <w:proofErr w:type="spellEnd"/>
      <w:r>
        <w:rPr>
          <w:color w:val="030404"/>
        </w:rPr>
        <w:t xml:space="preserve"> Capital Limited.</w:t>
      </w:r>
    </w:p>
    <w:p w14:paraId="06A9917A" w14:textId="77777777" w:rsidR="004006D9" w:rsidRDefault="004006D9">
      <w:pPr>
        <w:pStyle w:val="BodyText"/>
        <w:kinsoku w:val="0"/>
        <w:overflowPunct w:val="0"/>
        <w:spacing w:before="1" w:line="259" w:lineRule="auto"/>
        <w:ind w:left="300" w:right="1189"/>
        <w:jc w:val="both"/>
        <w:rPr>
          <w:color w:val="030404"/>
        </w:rPr>
      </w:pPr>
    </w:p>
    <w:p w14:paraId="323EB6BC" w14:textId="4A4A2DEE" w:rsidR="004006D9" w:rsidRDefault="004006D9">
      <w:pPr>
        <w:pStyle w:val="BodyText"/>
        <w:kinsoku w:val="0"/>
        <w:overflowPunct w:val="0"/>
        <w:spacing w:before="1" w:line="259" w:lineRule="auto"/>
        <w:ind w:left="300" w:right="1189"/>
        <w:jc w:val="both"/>
        <w:rPr>
          <w:b/>
          <w:i/>
          <w:color w:val="030404"/>
        </w:rPr>
      </w:pPr>
      <w:proofErr w:type="spellStart"/>
      <w:r>
        <w:rPr>
          <w:b/>
          <w:i/>
          <w:color w:val="030404"/>
        </w:rPr>
        <w:t>Evgeny</w:t>
      </w:r>
      <w:proofErr w:type="spellEnd"/>
      <w:r>
        <w:rPr>
          <w:b/>
          <w:i/>
          <w:color w:val="030404"/>
        </w:rPr>
        <w:t xml:space="preserve"> </w:t>
      </w:r>
      <w:proofErr w:type="spellStart"/>
      <w:r>
        <w:rPr>
          <w:b/>
          <w:i/>
          <w:color w:val="030404"/>
        </w:rPr>
        <w:t>Vrublevskiy</w:t>
      </w:r>
      <w:proofErr w:type="spellEnd"/>
      <w:r>
        <w:rPr>
          <w:b/>
          <w:i/>
          <w:color w:val="030404"/>
        </w:rPr>
        <w:t xml:space="preserve">, Non-Executive Director, aged 37 (date of birth </w:t>
      </w:r>
      <w:r w:rsidR="00116D9F">
        <w:rPr>
          <w:b/>
          <w:i/>
        </w:rPr>
        <w:t>22</w:t>
      </w:r>
      <w:r>
        <w:rPr>
          <w:b/>
          <w:i/>
          <w:color w:val="030404"/>
        </w:rPr>
        <w:t>/09/1983)</w:t>
      </w:r>
    </w:p>
    <w:p w14:paraId="7803FA7F" w14:textId="0CA7ED6D" w:rsidR="004678E7" w:rsidRPr="004006D9" w:rsidRDefault="004006D9" w:rsidP="00EE5FE9">
      <w:pPr>
        <w:pStyle w:val="BodyText"/>
        <w:kinsoku w:val="0"/>
        <w:overflowPunct w:val="0"/>
        <w:spacing w:before="1" w:line="259" w:lineRule="auto"/>
        <w:ind w:left="300" w:right="1189"/>
        <w:jc w:val="both"/>
        <w:rPr>
          <w:color w:val="030404"/>
        </w:rPr>
      </w:pPr>
      <w:proofErr w:type="spellStart"/>
      <w:r>
        <w:rPr>
          <w:color w:val="030404"/>
        </w:rPr>
        <w:t>Evgeny</w:t>
      </w:r>
      <w:proofErr w:type="spellEnd"/>
      <w:r>
        <w:rPr>
          <w:color w:val="030404"/>
        </w:rPr>
        <w:t xml:space="preserve"> is the nominated director of </w:t>
      </w:r>
      <w:proofErr w:type="spellStart"/>
      <w:r>
        <w:rPr>
          <w:color w:val="030404"/>
        </w:rPr>
        <w:t>Polymetal</w:t>
      </w:r>
      <w:proofErr w:type="spellEnd"/>
      <w:r>
        <w:rPr>
          <w:color w:val="030404"/>
        </w:rPr>
        <w:t xml:space="preserve">. </w:t>
      </w:r>
      <w:r w:rsidR="00372265">
        <w:rPr>
          <w:color w:val="030404"/>
        </w:rPr>
        <w:t>He graduated with a B.A</w:t>
      </w:r>
      <w:r w:rsidR="00584C66">
        <w:rPr>
          <w:color w:val="030404"/>
        </w:rPr>
        <w:t>.</w:t>
      </w:r>
      <w:r w:rsidR="00372265">
        <w:rPr>
          <w:color w:val="030404"/>
        </w:rPr>
        <w:t xml:space="preserve"> in </w:t>
      </w:r>
      <w:r w:rsidR="00584C66">
        <w:rPr>
          <w:color w:val="030404"/>
        </w:rPr>
        <w:t xml:space="preserve">Business Management from the Moscow State Mining University in 2007 before obtaining a B.A. in Economics from S.U. Witte University, Russia in 2014 and an M.A. in Accounting, also from S.U. Witte University, in 2017. He is an Associate Member of the Chartered Institute for Securities and Investment in the UK, a Certified Treasury Professional at the Association for </w:t>
      </w:r>
      <w:r w:rsidR="00584C66">
        <w:rPr>
          <w:color w:val="030404"/>
        </w:rPr>
        <w:lastRenderedPageBreak/>
        <w:t>Financial Professionals in the USA and has an Adva</w:t>
      </w:r>
      <w:r w:rsidR="004678E7">
        <w:rPr>
          <w:color w:val="030404"/>
        </w:rPr>
        <w:t xml:space="preserve">nced </w:t>
      </w:r>
      <w:proofErr w:type="spellStart"/>
      <w:r w:rsidR="004678E7">
        <w:rPr>
          <w:color w:val="030404"/>
        </w:rPr>
        <w:t>CySec</w:t>
      </w:r>
      <w:proofErr w:type="spellEnd"/>
      <w:r w:rsidR="004678E7">
        <w:rPr>
          <w:color w:val="030404"/>
        </w:rPr>
        <w:t xml:space="preserve"> certificate in Cyprus.</w:t>
      </w:r>
      <w:r w:rsidR="000945AD">
        <w:rPr>
          <w:color w:val="030404"/>
        </w:rPr>
        <w:t xml:space="preserve"> </w:t>
      </w:r>
      <w:r w:rsidR="004678E7">
        <w:rPr>
          <w:color w:val="030404"/>
        </w:rPr>
        <w:t xml:space="preserve">From 2005 to 2008 </w:t>
      </w:r>
      <w:proofErr w:type="spellStart"/>
      <w:r w:rsidR="004678E7">
        <w:rPr>
          <w:color w:val="030404"/>
        </w:rPr>
        <w:t>Evgeny</w:t>
      </w:r>
      <w:proofErr w:type="spellEnd"/>
      <w:r w:rsidR="004678E7">
        <w:rPr>
          <w:color w:val="030404"/>
        </w:rPr>
        <w:t xml:space="preserve"> was a Senior Operations Specialist with Bank </w:t>
      </w:r>
      <w:proofErr w:type="spellStart"/>
      <w:r w:rsidR="004678E7">
        <w:rPr>
          <w:color w:val="030404"/>
        </w:rPr>
        <w:t>Uralsib</w:t>
      </w:r>
      <w:proofErr w:type="spellEnd"/>
      <w:r w:rsidR="004678E7">
        <w:rPr>
          <w:color w:val="030404"/>
        </w:rPr>
        <w:t xml:space="preserve"> PAO in Moscow, before moving to Cyprus where he worked in financial management for </w:t>
      </w:r>
      <w:proofErr w:type="spellStart"/>
      <w:r w:rsidR="004678E7">
        <w:rPr>
          <w:color w:val="030404"/>
        </w:rPr>
        <w:t>Unicredit</w:t>
      </w:r>
      <w:proofErr w:type="spellEnd"/>
      <w:r w:rsidR="004678E7">
        <w:rPr>
          <w:color w:val="030404"/>
        </w:rPr>
        <w:t xml:space="preserve"> Securities from 2008-2012, </w:t>
      </w:r>
      <w:proofErr w:type="spellStart"/>
      <w:r w:rsidR="004678E7">
        <w:rPr>
          <w:color w:val="030404"/>
        </w:rPr>
        <w:t>Inteco</w:t>
      </w:r>
      <w:proofErr w:type="spellEnd"/>
      <w:r w:rsidR="004678E7">
        <w:rPr>
          <w:color w:val="030404"/>
        </w:rPr>
        <w:t xml:space="preserve"> Group from 2012-14 and UFG Asset Management </w:t>
      </w:r>
      <w:r w:rsidR="000945AD">
        <w:rPr>
          <w:color w:val="030404"/>
        </w:rPr>
        <w:t xml:space="preserve">from </w:t>
      </w:r>
      <w:r w:rsidR="004678E7">
        <w:rPr>
          <w:color w:val="030404"/>
        </w:rPr>
        <w:t>2014-</w:t>
      </w:r>
      <w:r w:rsidR="000945AD">
        <w:rPr>
          <w:color w:val="030404"/>
        </w:rPr>
        <w:t>20</w:t>
      </w:r>
      <w:r w:rsidR="004678E7">
        <w:rPr>
          <w:color w:val="030404"/>
        </w:rPr>
        <w:t xml:space="preserve">15. In 2015 </w:t>
      </w:r>
      <w:proofErr w:type="spellStart"/>
      <w:r w:rsidR="004678E7">
        <w:rPr>
          <w:color w:val="030404"/>
        </w:rPr>
        <w:t>Evgeny</w:t>
      </w:r>
      <w:proofErr w:type="spellEnd"/>
      <w:r w:rsidR="004678E7">
        <w:rPr>
          <w:color w:val="030404"/>
        </w:rPr>
        <w:t xml:space="preserve"> was appointed as head of </w:t>
      </w:r>
      <w:proofErr w:type="spellStart"/>
      <w:r w:rsidR="004678E7">
        <w:rPr>
          <w:color w:val="030404"/>
        </w:rPr>
        <w:t>Polymetal’s</w:t>
      </w:r>
      <w:proofErr w:type="spellEnd"/>
      <w:r w:rsidR="004678E7">
        <w:rPr>
          <w:color w:val="030404"/>
        </w:rPr>
        <w:t xml:space="preserve"> office in Cyprus, which serves as the group headquarters, and is also Head of Treasury, with oversight of all finance and accounting matters at </w:t>
      </w:r>
      <w:proofErr w:type="spellStart"/>
      <w:r w:rsidR="004678E7">
        <w:rPr>
          <w:color w:val="030404"/>
        </w:rPr>
        <w:t>Polymetal</w:t>
      </w:r>
      <w:proofErr w:type="spellEnd"/>
      <w:r w:rsidR="004678E7">
        <w:rPr>
          <w:color w:val="030404"/>
        </w:rPr>
        <w:t xml:space="preserve">. </w:t>
      </w:r>
    </w:p>
    <w:p w14:paraId="1702A0B6" w14:textId="77777777" w:rsidR="00652A84" w:rsidRDefault="00652A84">
      <w:pPr>
        <w:pStyle w:val="BodyText"/>
        <w:kinsoku w:val="0"/>
        <w:overflowPunct w:val="0"/>
        <w:spacing w:before="1" w:line="259" w:lineRule="auto"/>
        <w:ind w:left="300" w:right="1189"/>
        <w:jc w:val="both"/>
        <w:rPr>
          <w:color w:val="030404"/>
        </w:rPr>
      </w:pPr>
    </w:p>
    <w:p w14:paraId="5ADC2D4C" w14:textId="62BF6837" w:rsidR="00652A84" w:rsidRDefault="00652A84">
      <w:pPr>
        <w:pStyle w:val="BodyText"/>
        <w:kinsoku w:val="0"/>
        <w:overflowPunct w:val="0"/>
        <w:spacing w:before="1" w:line="259" w:lineRule="auto"/>
        <w:ind w:left="300" w:right="1189"/>
        <w:jc w:val="both"/>
        <w:rPr>
          <w:b/>
          <w:i/>
          <w:color w:val="030404"/>
        </w:rPr>
      </w:pPr>
      <w:r>
        <w:rPr>
          <w:b/>
          <w:i/>
          <w:color w:val="030404"/>
        </w:rPr>
        <w:t xml:space="preserve">Paul Ensor, Non-Executive Director, aged </w:t>
      </w:r>
      <w:r w:rsidR="0061138F">
        <w:rPr>
          <w:b/>
          <w:i/>
          <w:color w:val="030404"/>
        </w:rPr>
        <w:t xml:space="preserve">65 (date of birth </w:t>
      </w:r>
      <w:r w:rsidR="00116D9F">
        <w:rPr>
          <w:b/>
          <w:i/>
        </w:rPr>
        <w:t>19</w:t>
      </w:r>
      <w:r w:rsidR="0061138F">
        <w:rPr>
          <w:b/>
          <w:i/>
          <w:color w:val="030404"/>
        </w:rPr>
        <w:t>/09/1955)</w:t>
      </w:r>
    </w:p>
    <w:p w14:paraId="398FC39B" w14:textId="77FFDB92" w:rsidR="005A224E" w:rsidRPr="0061138F" w:rsidRDefault="0061138F" w:rsidP="00EE5FE9">
      <w:pPr>
        <w:pStyle w:val="BodyText"/>
        <w:kinsoku w:val="0"/>
        <w:overflowPunct w:val="0"/>
        <w:spacing w:before="1" w:line="259" w:lineRule="auto"/>
        <w:ind w:left="300" w:right="1189"/>
        <w:jc w:val="both"/>
        <w:rPr>
          <w:color w:val="030404"/>
        </w:rPr>
      </w:pPr>
      <w:r>
        <w:rPr>
          <w:color w:val="030404"/>
        </w:rPr>
        <w:t xml:space="preserve">Paul </w:t>
      </w:r>
      <w:r w:rsidR="004678E7">
        <w:rPr>
          <w:color w:val="030404"/>
        </w:rPr>
        <w:t>is a graduate of Brown University, where he obtained a B.A. in History</w:t>
      </w:r>
      <w:r w:rsidR="000945AD">
        <w:rPr>
          <w:color w:val="030404"/>
        </w:rPr>
        <w:t>,</w:t>
      </w:r>
      <w:r w:rsidR="004678E7">
        <w:rPr>
          <w:color w:val="030404"/>
        </w:rPr>
        <w:t xml:space="preserve"> and Sussex University, where he obtained </w:t>
      </w:r>
      <w:r w:rsidR="005A224E">
        <w:rPr>
          <w:color w:val="030404"/>
        </w:rPr>
        <w:t xml:space="preserve">a </w:t>
      </w:r>
      <w:proofErr w:type="spellStart"/>
      <w:proofErr w:type="gramStart"/>
      <w:r w:rsidR="004678E7">
        <w:rPr>
          <w:color w:val="030404"/>
        </w:rPr>
        <w:t>M.Phil</w:t>
      </w:r>
      <w:proofErr w:type="spellEnd"/>
      <w:proofErr w:type="gramEnd"/>
      <w:r w:rsidR="004678E7">
        <w:rPr>
          <w:color w:val="030404"/>
        </w:rPr>
        <w:t xml:space="preserve"> in </w:t>
      </w:r>
      <w:r w:rsidR="005A224E">
        <w:rPr>
          <w:color w:val="030404"/>
        </w:rPr>
        <w:t xml:space="preserve">Development Economics. Paul </w:t>
      </w:r>
      <w:r w:rsidR="000945AD">
        <w:rPr>
          <w:color w:val="030404"/>
        </w:rPr>
        <w:t xml:space="preserve">was </w:t>
      </w:r>
      <w:r w:rsidR="005A224E">
        <w:rPr>
          <w:color w:val="030404"/>
        </w:rPr>
        <w:t xml:space="preserve">the business and economics correspondent in Seoul, South Korea for the Far Eastern Economic Review, a weekly magazine, and subsequently worked for The Economist magazine in London as global Transport Correspondent. From 2003-2013 Paul was the London representative of RK Equity, the New York based financial advisory firm which focussed primarily on work with companies in the natural resources sector. Since </w:t>
      </w:r>
      <w:r w:rsidR="00085E6D">
        <w:rPr>
          <w:color w:val="030404"/>
        </w:rPr>
        <w:t>leaving</w:t>
      </w:r>
      <w:r w:rsidR="005A224E">
        <w:rPr>
          <w:color w:val="030404"/>
        </w:rPr>
        <w:t xml:space="preserve"> RK</w:t>
      </w:r>
      <w:r w:rsidR="00085E6D">
        <w:rPr>
          <w:color w:val="030404"/>
        </w:rPr>
        <w:t xml:space="preserve"> Equity</w:t>
      </w:r>
      <w:r w:rsidR="005A224E">
        <w:rPr>
          <w:color w:val="030404"/>
        </w:rPr>
        <w:t xml:space="preserve"> he</w:t>
      </w:r>
      <w:r w:rsidR="00085E6D">
        <w:rPr>
          <w:color w:val="030404"/>
        </w:rPr>
        <w:t xml:space="preserve"> has</w:t>
      </w:r>
      <w:r w:rsidR="005A224E">
        <w:rPr>
          <w:color w:val="030404"/>
        </w:rPr>
        <w:t xml:space="preserve"> formed a new company, London Specialist Capital, of which he is a director and through which he conducts his business of advisory work and investment research with companies in the mining, technology and commercial property sectors. Paul served as a non-executive chairman of SPDI, a commercial property company headquartered in Cyprus and listed in London with a focus in investment in </w:t>
      </w:r>
      <w:proofErr w:type="spellStart"/>
      <w:r w:rsidR="005A224E">
        <w:rPr>
          <w:color w:val="030404"/>
        </w:rPr>
        <w:t>southeastern</w:t>
      </w:r>
      <w:proofErr w:type="spellEnd"/>
      <w:r w:rsidR="005A224E">
        <w:rPr>
          <w:color w:val="030404"/>
        </w:rPr>
        <w:t xml:space="preserve"> Europe between 2007-2018 and during 2011-2016 he was a director of Brazil Tungsten Holdings Ltd, a private mining development company. </w:t>
      </w:r>
    </w:p>
    <w:p w14:paraId="0648A677" w14:textId="77777777" w:rsidR="00783288" w:rsidRDefault="00E31420">
      <w:pPr>
        <w:pStyle w:val="BodyText"/>
        <w:kinsoku w:val="0"/>
        <w:overflowPunct w:val="0"/>
        <w:spacing w:before="156"/>
        <w:ind w:left="300"/>
        <w:jc w:val="both"/>
        <w:rPr>
          <w:b/>
          <w:bCs/>
          <w:i/>
          <w:iCs/>
          <w:color w:val="030404"/>
        </w:rPr>
      </w:pPr>
      <w:r>
        <w:rPr>
          <w:b/>
          <w:bCs/>
          <w:i/>
          <w:iCs/>
          <w:color w:val="030404"/>
          <w:u w:val="single"/>
        </w:rPr>
        <w:t>Other personnel</w:t>
      </w:r>
    </w:p>
    <w:p w14:paraId="2C26E0E6" w14:textId="77777777" w:rsidR="00783288" w:rsidRDefault="00783288">
      <w:pPr>
        <w:pStyle w:val="BodyText"/>
        <w:kinsoku w:val="0"/>
        <w:overflowPunct w:val="0"/>
        <w:spacing w:before="1"/>
        <w:rPr>
          <w:b/>
          <w:bCs/>
          <w:i/>
          <w:iCs/>
          <w:sz w:val="10"/>
          <w:szCs w:val="10"/>
        </w:rPr>
      </w:pPr>
    </w:p>
    <w:p w14:paraId="6A8E9DD6" w14:textId="5D9E194A" w:rsidR="00783288" w:rsidRDefault="00E31420">
      <w:pPr>
        <w:pStyle w:val="BodyText"/>
        <w:kinsoku w:val="0"/>
        <w:overflowPunct w:val="0"/>
        <w:spacing w:before="94"/>
        <w:ind w:left="300" w:right="1189"/>
        <w:jc w:val="both"/>
        <w:rPr>
          <w:color w:val="030404"/>
        </w:rPr>
      </w:pPr>
      <w:r>
        <w:rPr>
          <w:color w:val="030404"/>
        </w:rPr>
        <w:t>The</w:t>
      </w:r>
      <w:r>
        <w:rPr>
          <w:color w:val="030404"/>
          <w:spacing w:val="-10"/>
        </w:rPr>
        <w:t xml:space="preserve"> </w:t>
      </w:r>
      <w:r>
        <w:rPr>
          <w:color w:val="030404"/>
        </w:rPr>
        <w:t>Company</w:t>
      </w:r>
      <w:r>
        <w:rPr>
          <w:color w:val="030404"/>
          <w:spacing w:val="-13"/>
        </w:rPr>
        <w:t xml:space="preserve"> </w:t>
      </w:r>
      <w:r>
        <w:rPr>
          <w:color w:val="030404"/>
        </w:rPr>
        <w:t>intends</w:t>
      </w:r>
      <w:r>
        <w:rPr>
          <w:color w:val="030404"/>
          <w:spacing w:val="-10"/>
        </w:rPr>
        <w:t xml:space="preserve"> </w:t>
      </w:r>
      <w:r>
        <w:rPr>
          <w:color w:val="030404"/>
        </w:rPr>
        <w:t>to</w:t>
      </w:r>
      <w:r>
        <w:rPr>
          <w:color w:val="030404"/>
          <w:spacing w:val="-11"/>
        </w:rPr>
        <w:t xml:space="preserve"> </w:t>
      </w:r>
      <w:r>
        <w:rPr>
          <w:color w:val="030404"/>
        </w:rPr>
        <w:t>appoint</w:t>
      </w:r>
      <w:r>
        <w:rPr>
          <w:color w:val="030404"/>
          <w:spacing w:val="-10"/>
        </w:rPr>
        <w:t xml:space="preserve"> </w:t>
      </w:r>
      <w:r>
        <w:rPr>
          <w:color w:val="030404"/>
        </w:rPr>
        <w:t>a</w:t>
      </w:r>
      <w:r>
        <w:rPr>
          <w:color w:val="030404"/>
          <w:spacing w:val="-11"/>
        </w:rPr>
        <w:t xml:space="preserve"> </w:t>
      </w:r>
      <w:r>
        <w:rPr>
          <w:color w:val="030404"/>
        </w:rPr>
        <w:t>chief</w:t>
      </w:r>
      <w:r>
        <w:rPr>
          <w:color w:val="030404"/>
          <w:spacing w:val="-9"/>
        </w:rPr>
        <w:t xml:space="preserve"> </w:t>
      </w:r>
      <w:r>
        <w:rPr>
          <w:color w:val="030404"/>
        </w:rPr>
        <w:t>operating</w:t>
      </w:r>
      <w:r>
        <w:rPr>
          <w:color w:val="030404"/>
          <w:spacing w:val="-11"/>
        </w:rPr>
        <w:t xml:space="preserve"> </w:t>
      </w:r>
      <w:r>
        <w:rPr>
          <w:color w:val="030404"/>
        </w:rPr>
        <w:t>office</w:t>
      </w:r>
      <w:r w:rsidR="00636678">
        <w:rPr>
          <w:color w:val="030404"/>
        </w:rPr>
        <w:t>r</w:t>
      </w:r>
      <w:r w:rsidR="000945AD">
        <w:rPr>
          <w:color w:val="030404"/>
        </w:rPr>
        <w:t xml:space="preserve"> </w:t>
      </w:r>
      <w:r w:rsidR="00636678">
        <w:rPr>
          <w:color w:val="030404"/>
        </w:rPr>
        <w:t>(COO)</w:t>
      </w:r>
      <w:r>
        <w:rPr>
          <w:color w:val="030404"/>
          <w:spacing w:val="-12"/>
        </w:rPr>
        <w:t xml:space="preserve"> </w:t>
      </w:r>
      <w:r>
        <w:rPr>
          <w:color w:val="030404"/>
        </w:rPr>
        <w:t>to</w:t>
      </w:r>
      <w:r>
        <w:rPr>
          <w:color w:val="030404"/>
          <w:spacing w:val="-9"/>
        </w:rPr>
        <w:t xml:space="preserve"> </w:t>
      </w:r>
      <w:r>
        <w:rPr>
          <w:color w:val="030404"/>
        </w:rPr>
        <w:t>provide</w:t>
      </w:r>
      <w:r>
        <w:rPr>
          <w:color w:val="030404"/>
          <w:spacing w:val="-9"/>
        </w:rPr>
        <w:t xml:space="preserve"> </w:t>
      </w:r>
      <w:r>
        <w:rPr>
          <w:color w:val="030404"/>
        </w:rPr>
        <w:t>overall</w:t>
      </w:r>
      <w:r>
        <w:rPr>
          <w:color w:val="030404"/>
          <w:spacing w:val="-11"/>
        </w:rPr>
        <w:t xml:space="preserve"> </w:t>
      </w:r>
      <w:r>
        <w:rPr>
          <w:color w:val="030404"/>
        </w:rPr>
        <w:t>operational</w:t>
      </w:r>
      <w:r>
        <w:rPr>
          <w:color w:val="030404"/>
          <w:spacing w:val="-12"/>
        </w:rPr>
        <w:t xml:space="preserve"> </w:t>
      </w:r>
      <w:r>
        <w:rPr>
          <w:color w:val="030404"/>
        </w:rPr>
        <w:t>management</w:t>
      </w:r>
      <w:r>
        <w:rPr>
          <w:color w:val="030404"/>
          <w:spacing w:val="-9"/>
        </w:rPr>
        <w:t xml:space="preserve"> </w:t>
      </w:r>
      <w:r>
        <w:rPr>
          <w:color w:val="030404"/>
        </w:rPr>
        <w:t>in</w:t>
      </w:r>
      <w:r>
        <w:rPr>
          <w:color w:val="030404"/>
          <w:spacing w:val="-9"/>
        </w:rPr>
        <w:t xml:space="preserve"> </w:t>
      </w:r>
      <w:r>
        <w:rPr>
          <w:color w:val="030404"/>
        </w:rPr>
        <w:t>Cyprus</w:t>
      </w:r>
      <w:r>
        <w:rPr>
          <w:color w:val="030404"/>
          <w:spacing w:val="-10"/>
        </w:rPr>
        <w:t xml:space="preserve"> </w:t>
      </w:r>
      <w:r>
        <w:rPr>
          <w:color w:val="030404"/>
        </w:rPr>
        <w:t xml:space="preserve">(and further afield as and when applicable). </w:t>
      </w:r>
      <w:r w:rsidR="00636678">
        <w:rPr>
          <w:color w:val="030404"/>
        </w:rPr>
        <w:t xml:space="preserve">An interim COO has been appointed for the time being. </w:t>
      </w:r>
      <w:r>
        <w:rPr>
          <w:color w:val="030404"/>
        </w:rPr>
        <w:t>The Directors expect to appoint a chief operating officer before the end of Q</w:t>
      </w:r>
      <w:r w:rsidR="00B8098E">
        <w:rPr>
          <w:color w:val="030404"/>
        </w:rPr>
        <w:t>3</w:t>
      </w:r>
      <w:r>
        <w:rPr>
          <w:color w:val="030404"/>
          <w:spacing w:val="-1"/>
        </w:rPr>
        <w:t xml:space="preserve"> </w:t>
      </w:r>
      <w:r>
        <w:rPr>
          <w:color w:val="030404"/>
        </w:rPr>
        <w:t>2021.</w:t>
      </w:r>
      <w:r w:rsidR="00E964FE">
        <w:rPr>
          <w:color w:val="030404"/>
        </w:rPr>
        <w:t xml:space="preserve"> </w:t>
      </w:r>
    </w:p>
    <w:p w14:paraId="7C4A031D" w14:textId="77777777" w:rsidR="00783288" w:rsidRDefault="00783288">
      <w:pPr>
        <w:pStyle w:val="BodyText"/>
        <w:kinsoku w:val="0"/>
        <w:overflowPunct w:val="0"/>
        <w:spacing w:before="6"/>
        <w:rPr>
          <w:sz w:val="17"/>
          <w:szCs w:val="17"/>
        </w:rPr>
      </w:pPr>
    </w:p>
    <w:p w14:paraId="3E6670B6" w14:textId="77777777" w:rsidR="00783288" w:rsidRDefault="00E31420" w:rsidP="00512495">
      <w:pPr>
        <w:pStyle w:val="Heading1"/>
        <w:numPr>
          <w:ilvl w:val="0"/>
          <w:numId w:val="18"/>
        </w:numPr>
        <w:tabs>
          <w:tab w:val="left" w:pos="660"/>
        </w:tabs>
        <w:kinsoku w:val="0"/>
        <w:overflowPunct w:val="0"/>
        <w:ind w:left="659" w:hanging="360"/>
        <w:rPr>
          <w:color w:val="0C0D0D"/>
        </w:rPr>
      </w:pPr>
      <w:r>
        <w:rPr>
          <w:color w:val="030404"/>
        </w:rPr>
        <w:t>Board Composition and Corporate Governance</w:t>
      </w:r>
    </w:p>
    <w:p w14:paraId="7AFED5A6" w14:textId="77777777" w:rsidR="00783288" w:rsidRDefault="00783288">
      <w:pPr>
        <w:pStyle w:val="BodyText"/>
        <w:kinsoku w:val="0"/>
        <w:overflowPunct w:val="0"/>
        <w:spacing w:before="3"/>
        <w:rPr>
          <w:b/>
          <w:bCs/>
        </w:rPr>
      </w:pPr>
    </w:p>
    <w:p w14:paraId="1D5731D9" w14:textId="77777777" w:rsidR="00783288" w:rsidRDefault="00E31420">
      <w:pPr>
        <w:pStyle w:val="BodyText"/>
        <w:kinsoku w:val="0"/>
        <w:overflowPunct w:val="0"/>
        <w:spacing w:before="1"/>
        <w:ind w:left="300"/>
        <w:rPr>
          <w:i/>
          <w:iCs/>
          <w:color w:val="231F20"/>
        </w:rPr>
      </w:pPr>
      <w:r>
        <w:rPr>
          <w:i/>
          <w:iCs/>
          <w:color w:val="231F20"/>
        </w:rPr>
        <w:t>Independence</w:t>
      </w:r>
    </w:p>
    <w:p w14:paraId="35202514" w14:textId="77777777" w:rsidR="00783288" w:rsidRDefault="00783288">
      <w:pPr>
        <w:pStyle w:val="BodyText"/>
        <w:kinsoku w:val="0"/>
        <w:overflowPunct w:val="0"/>
        <w:spacing w:before="1"/>
        <w:rPr>
          <w:i/>
          <w:iCs/>
        </w:rPr>
      </w:pPr>
    </w:p>
    <w:p w14:paraId="2D3B428A" w14:textId="0A21B2A6" w:rsidR="00783288" w:rsidRDefault="00E31420">
      <w:pPr>
        <w:pStyle w:val="BodyText"/>
        <w:kinsoku w:val="0"/>
        <w:overflowPunct w:val="0"/>
        <w:ind w:left="300" w:right="1191"/>
        <w:jc w:val="both"/>
        <w:rPr>
          <w:color w:val="231F20"/>
        </w:rPr>
      </w:pPr>
      <w:r w:rsidRPr="00291786">
        <w:rPr>
          <w:color w:val="231F20"/>
        </w:rPr>
        <w:t>On Admission,</w:t>
      </w:r>
      <w:r>
        <w:rPr>
          <w:color w:val="231F20"/>
        </w:rPr>
        <w:t xml:space="preserve"> David Cliff</w:t>
      </w:r>
      <w:r w:rsidR="00636678">
        <w:rPr>
          <w:color w:val="231F20"/>
        </w:rPr>
        <w:t>,</w:t>
      </w:r>
      <w:r w:rsidR="00D23CD8">
        <w:rPr>
          <w:color w:val="231F20"/>
        </w:rPr>
        <w:t xml:space="preserve"> </w:t>
      </w:r>
      <w:r>
        <w:rPr>
          <w:color w:val="231F20"/>
        </w:rPr>
        <w:t xml:space="preserve">Peter </w:t>
      </w:r>
      <w:proofErr w:type="spellStart"/>
      <w:r>
        <w:rPr>
          <w:color w:val="231F20"/>
        </w:rPr>
        <w:t>Damouni</w:t>
      </w:r>
      <w:proofErr w:type="spellEnd"/>
      <w:r w:rsidR="009C594C">
        <w:rPr>
          <w:color w:val="231F20"/>
        </w:rPr>
        <w:t xml:space="preserve">, </w:t>
      </w:r>
      <w:proofErr w:type="spellStart"/>
      <w:r w:rsidR="009C594C">
        <w:rPr>
          <w:color w:val="231F20"/>
        </w:rPr>
        <w:t>Evgeny</w:t>
      </w:r>
      <w:proofErr w:type="spellEnd"/>
      <w:r w:rsidR="009C594C">
        <w:rPr>
          <w:color w:val="231F20"/>
        </w:rPr>
        <w:t xml:space="preserve"> </w:t>
      </w:r>
      <w:proofErr w:type="spellStart"/>
      <w:r w:rsidR="009C594C">
        <w:rPr>
          <w:color w:val="231F20"/>
        </w:rPr>
        <w:t>Vrublevskiy</w:t>
      </w:r>
      <w:proofErr w:type="spellEnd"/>
      <w:r w:rsidR="009C594C">
        <w:rPr>
          <w:color w:val="231F20"/>
        </w:rPr>
        <w:t xml:space="preserve"> and </w:t>
      </w:r>
      <w:r w:rsidR="00F71481">
        <w:rPr>
          <w:color w:val="231F20"/>
        </w:rPr>
        <w:t>Paul Ensor</w:t>
      </w:r>
      <w:r>
        <w:rPr>
          <w:color w:val="231F20"/>
        </w:rPr>
        <w:t xml:space="preserve"> will </w:t>
      </w:r>
      <w:proofErr w:type="gramStart"/>
      <w:r>
        <w:rPr>
          <w:color w:val="231F20"/>
        </w:rPr>
        <w:t>be considered to be</w:t>
      </w:r>
      <w:proofErr w:type="gramEnd"/>
      <w:r>
        <w:rPr>
          <w:color w:val="231F20"/>
        </w:rPr>
        <w:t xml:space="preserve"> ‘independent’ </w:t>
      </w:r>
      <w:r>
        <w:rPr>
          <w:color w:val="020303"/>
        </w:rPr>
        <w:t>m</w:t>
      </w:r>
      <w:r>
        <w:rPr>
          <w:color w:val="231F20"/>
        </w:rPr>
        <w:t xml:space="preserve">embers of </w:t>
      </w:r>
      <w:r>
        <w:rPr>
          <w:color w:val="020303"/>
        </w:rPr>
        <w:t>t</w:t>
      </w:r>
      <w:r>
        <w:rPr>
          <w:color w:val="231F20"/>
        </w:rPr>
        <w:t>he Board, as that</w:t>
      </w:r>
      <w:r>
        <w:rPr>
          <w:color w:val="231F20"/>
          <w:spacing w:val="-5"/>
        </w:rPr>
        <w:t xml:space="preserve"> </w:t>
      </w:r>
      <w:r>
        <w:rPr>
          <w:color w:val="231F20"/>
        </w:rPr>
        <w:t>term</w:t>
      </w:r>
      <w:r>
        <w:rPr>
          <w:color w:val="231F20"/>
          <w:spacing w:val="-4"/>
        </w:rPr>
        <w:t xml:space="preserve"> </w:t>
      </w:r>
      <w:r>
        <w:rPr>
          <w:color w:val="231F20"/>
        </w:rPr>
        <w:t>is</w:t>
      </w:r>
      <w:r>
        <w:rPr>
          <w:color w:val="231F20"/>
          <w:spacing w:val="-4"/>
        </w:rPr>
        <w:t xml:space="preserve"> </w:t>
      </w:r>
      <w:r>
        <w:rPr>
          <w:color w:val="231F20"/>
        </w:rPr>
        <w:t>defined</w:t>
      </w:r>
      <w:r>
        <w:rPr>
          <w:color w:val="231F20"/>
          <w:spacing w:val="-5"/>
        </w:rPr>
        <w:t xml:space="preserve"> </w:t>
      </w:r>
      <w:r>
        <w:rPr>
          <w:color w:val="231F20"/>
        </w:rPr>
        <w:t>in</w:t>
      </w:r>
      <w:r>
        <w:rPr>
          <w:color w:val="231F20"/>
          <w:spacing w:val="-5"/>
        </w:rPr>
        <w:t xml:space="preserve"> </w:t>
      </w:r>
      <w:r>
        <w:rPr>
          <w:color w:val="231F20"/>
        </w:rPr>
        <w:t>t</w:t>
      </w:r>
      <w:r>
        <w:rPr>
          <w:color w:val="020303"/>
        </w:rPr>
        <w:t>h</w:t>
      </w:r>
      <w:r>
        <w:rPr>
          <w:color w:val="231F20"/>
        </w:rPr>
        <w:t>e</w:t>
      </w:r>
      <w:r>
        <w:rPr>
          <w:color w:val="231F20"/>
          <w:spacing w:val="-6"/>
        </w:rPr>
        <w:t xml:space="preserve"> </w:t>
      </w:r>
      <w:r>
        <w:rPr>
          <w:color w:val="231F20"/>
        </w:rPr>
        <w:t>Corporate</w:t>
      </w:r>
      <w:r>
        <w:rPr>
          <w:color w:val="231F20"/>
          <w:spacing w:val="-5"/>
        </w:rPr>
        <w:t xml:space="preserve"> </w:t>
      </w:r>
      <w:r>
        <w:rPr>
          <w:color w:val="231F20"/>
        </w:rPr>
        <w:t>Gove</w:t>
      </w:r>
      <w:r>
        <w:rPr>
          <w:color w:val="020303"/>
        </w:rPr>
        <w:t>r</w:t>
      </w:r>
      <w:r>
        <w:rPr>
          <w:color w:val="231F20"/>
        </w:rPr>
        <w:t>nance</w:t>
      </w:r>
      <w:r>
        <w:rPr>
          <w:color w:val="231F20"/>
          <w:spacing w:val="-5"/>
        </w:rPr>
        <w:t xml:space="preserve"> </w:t>
      </w:r>
      <w:r>
        <w:rPr>
          <w:color w:val="231F20"/>
        </w:rPr>
        <w:t>Code.</w:t>
      </w:r>
      <w:r>
        <w:rPr>
          <w:color w:val="231F20"/>
          <w:spacing w:val="-7"/>
        </w:rPr>
        <w:t xml:space="preserve"> </w:t>
      </w:r>
    </w:p>
    <w:p w14:paraId="55746C8B" w14:textId="77777777" w:rsidR="00783288" w:rsidRDefault="00783288">
      <w:pPr>
        <w:pStyle w:val="BodyText"/>
        <w:kinsoku w:val="0"/>
        <w:overflowPunct w:val="0"/>
        <w:spacing w:before="1"/>
      </w:pPr>
    </w:p>
    <w:p w14:paraId="41B007AB" w14:textId="31958FE5" w:rsidR="00DB2451" w:rsidRDefault="00E31420" w:rsidP="00DB2451">
      <w:pPr>
        <w:pStyle w:val="BodyText"/>
        <w:kinsoku w:val="0"/>
        <w:overflowPunct w:val="0"/>
        <w:spacing w:before="1"/>
        <w:ind w:left="300" w:right="1189"/>
        <w:rPr>
          <w:color w:val="0C0D0D"/>
        </w:rPr>
      </w:pPr>
      <w:proofErr w:type="gramStart"/>
      <w:r>
        <w:rPr>
          <w:color w:val="0C0D0D"/>
        </w:rPr>
        <w:t>In order to</w:t>
      </w:r>
      <w:proofErr w:type="gramEnd"/>
      <w:r>
        <w:rPr>
          <w:color w:val="0C0D0D"/>
        </w:rPr>
        <w:t xml:space="preserve"> impl</w:t>
      </w:r>
      <w:r>
        <w:rPr>
          <w:color w:val="232224"/>
        </w:rPr>
        <w:t>e</w:t>
      </w:r>
      <w:r>
        <w:rPr>
          <w:color w:val="0C0D0D"/>
        </w:rPr>
        <w:t>m</w:t>
      </w:r>
      <w:r>
        <w:rPr>
          <w:color w:val="232224"/>
        </w:rPr>
        <w:t>e</w:t>
      </w:r>
      <w:r>
        <w:rPr>
          <w:color w:val="0C0D0D"/>
        </w:rPr>
        <w:t>nt it</w:t>
      </w:r>
      <w:r>
        <w:rPr>
          <w:color w:val="232224"/>
        </w:rPr>
        <w:t xml:space="preserve">s </w:t>
      </w:r>
      <w:r>
        <w:rPr>
          <w:color w:val="0C0D0D"/>
        </w:rPr>
        <w:t>bu</w:t>
      </w:r>
      <w:r>
        <w:rPr>
          <w:color w:val="232224"/>
        </w:rPr>
        <w:t>s</w:t>
      </w:r>
      <w:r>
        <w:rPr>
          <w:color w:val="0C0D0D"/>
        </w:rPr>
        <w:t>in</w:t>
      </w:r>
      <w:r>
        <w:rPr>
          <w:color w:val="232224"/>
        </w:rPr>
        <w:t>ess s</w:t>
      </w:r>
      <w:r>
        <w:rPr>
          <w:color w:val="0C0D0D"/>
        </w:rPr>
        <w:t>tr</w:t>
      </w:r>
      <w:r>
        <w:rPr>
          <w:color w:val="232224"/>
        </w:rPr>
        <w:t>a</w:t>
      </w:r>
      <w:r>
        <w:rPr>
          <w:color w:val="0C0D0D"/>
        </w:rPr>
        <w:t>t</w:t>
      </w:r>
      <w:r>
        <w:rPr>
          <w:color w:val="232224"/>
        </w:rPr>
        <w:t>e</w:t>
      </w:r>
      <w:r>
        <w:rPr>
          <w:color w:val="0C0D0D"/>
        </w:rPr>
        <w:t>g</w:t>
      </w:r>
      <w:r>
        <w:rPr>
          <w:color w:val="232224"/>
        </w:rPr>
        <w:t xml:space="preserve">y, </w:t>
      </w:r>
      <w:r>
        <w:rPr>
          <w:color w:val="0C0D0D"/>
        </w:rPr>
        <w:t>the Comp</w:t>
      </w:r>
      <w:r>
        <w:rPr>
          <w:color w:val="232224"/>
        </w:rPr>
        <w:t>a</w:t>
      </w:r>
      <w:r>
        <w:rPr>
          <w:color w:val="0C0D0D"/>
        </w:rPr>
        <w:t>ny h</w:t>
      </w:r>
      <w:r>
        <w:rPr>
          <w:color w:val="232224"/>
        </w:rPr>
        <w:t>as a</w:t>
      </w:r>
      <w:r>
        <w:rPr>
          <w:color w:val="0C0D0D"/>
        </w:rPr>
        <w:t>d</w:t>
      </w:r>
      <w:r>
        <w:rPr>
          <w:color w:val="232224"/>
        </w:rPr>
        <w:t>o</w:t>
      </w:r>
      <w:r>
        <w:rPr>
          <w:color w:val="0C0D0D"/>
        </w:rPr>
        <w:t xml:space="preserve">pted </w:t>
      </w:r>
      <w:r>
        <w:rPr>
          <w:color w:val="232224"/>
        </w:rPr>
        <w:t>a co</w:t>
      </w:r>
      <w:r>
        <w:rPr>
          <w:color w:val="0C0D0D"/>
        </w:rPr>
        <w:t>rp</w:t>
      </w:r>
      <w:r>
        <w:rPr>
          <w:color w:val="232224"/>
        </w:rPr>
        <w:t>o</w:t>
      </w:r>
      <w:r>
        <w:rPr>
          <w:color w:val="0C0D0D"/>
        </w:rPr>
        <w:t>r</w:t>
      </w:r>
      <w:r>
        <w:rPr>
          <w:color w:val="232224"/>
        </w:rPr>
        <w:t>a</w:t>
      </w:r>
      <w:r>
        <w:rPr>
          <w:color w:val="0C0D0D"/>
        </w:rPr>
        <w:t>t</w:t>
      </w:r>
      <w:r>
        <w:rPr>
          <w:color w:val="232224"/>
        </w:rPr>
        <w:t>e g</w:t>
      </w:r>
      <w:r>
        <w:rPr>
          <w:color w:val="0C0D0D"/>
        </w:rPr>
        <w:t>overnanc</w:t>
      </w:r>
      <w:r>
        <w:rPr>
          <w:color w:val="232224"/>
        </w:rPr>
        <w:t>e s</w:t>
      </w:r>
      <w:r>
        <w:rPr>
          <w:color w:val="0C0D0D"/>
        </w:rPr>
        <w:t>tru</w:t>
      </w:r>
      <w:r>
        <w:rPr>
          <w:color w:val="232224"/>
        </w:rPr>
        <w:t>c</w:t>
      </w:r>
      <w:r>
        <w:rPr>
          <w:color w:val="0C0D0D"/>
        </w:rPr>
        <w:t>tur</w:t>
      </w:r>
      <w:r>
        <w:rPr>
          <w:color w:val="232224"/>
        </w:rPr>
        <w:t>e</w:t>
      </w:r>
      <w:r>
        <w:rPr>
          <w:color w:val="0C0D0D"/>
        </w:rPr>
        <w:t>, th</w:t>
      </w:r>
      <w:r>
        <w:rPr>
          <w:color w:val="232224"/>
        </w:rPr>
        <w:t xml:space="preserve">e </w:t>
      </w:r>
      <w:r>
        <w:rPr>
          <w:color w:val="0C0D0D"/>
        </w:rPr>
        <w:t>k</w:t>
      </w:r>
      <w:r>
        <w:rPr>
          <w:color w:val="232224"/>
        </w:rPr>
        <w:t>e</w:t>
      </w:r>
      <w:r>
        <w:rPr>
          <w:color w:val="0C0D0D"/>
        </w:rPr>
        <w:t>y fe</w:t>
      </w:r>
      <w:r>
        <w:rPr>
          <w:color w:val="232224"/>
        </w:rPr>
        <w:t>a</w:t>
      </w:r>
      <w:r>
        <w:rPr>
          <w:color w:val="0C0D0D"/>
        </w:rPr>
        <w:t>tur</w:t>
      </w:r>
      <w:r>
        <w:rPr>
          <w:color w:val="232224"/>
        </w:rPr>
        <w:t>es o</w:t>
      </w:r>
      <w:r>
        <w:rPr>
          <w:color w:val="0C0D0D"/>
        </w:rPr>
        <w:t>f which are</w:t>
      </w:r>
      <w:r>
        <w:rPr>
          <w:color w:val="232224"/>
        </w:rPr>
        <w:t>:</w:t>
      </w:r>
      <w:r w:rsidR="00DB2451" w:rsidDel="00DB2451">
        <w:rPr>
          <w:color w:val="232224"/>
        </w:rPr>
        <w:t xml:space="preserve"> </w:t>
      </w:r>
    </w:p>
    <w:p w14:paraId="705F7914" w14:textId="77777777" w:rsidR="00DB2451" w:rsidRDefault="00DB2451" w:rsidP="00DB2451">
      <w:pPr>
        <w:pStyle w:val="BodyText"/>
        <w:kinsoku w:val="0"/>
        <w:overflowPunct w:val="0"/>
        <w:spacing w:before="1"/>
        <w:ind w:left="300" w:right="1189"/>
        <w:rPr>
          <w:color w:val="0C0D0D"/>
        </w:rPr>
      </w:pPr>
    </w:p>
    <w:p w14:paraId="23F7B38D" w14:textId="03038812" w:rsidR="00783288" w:rsidRDefault="00E31420" w:rsidP="00512495">
      <w:pPr>
        <w:pStyle w:val="BodyText"/>
        <w:numPr>
          <w:ilvl w:val="0"/>
          <w:numId w:val="27"/>
        </w:numPr>
        <w:kinsoku w:val="0"/>
        <w:overflowPunct w:val="0"/>
        <w:spacing w:before="1"/>
        <w:ind w:left="851" w:right="1189" w:hanging="567"/>
        <w:rPr>
          <w:rFonts w:ascii="Symbol" w:hAnsi="Symbol" w:cs="Symbol"/>
          <w:color w:val="0C0D0D"/>
        </w:rPr>
      </w:pPr>
      <w:r>
        <w:rPr>
          <w:color w:val="0C0D0D"/>
        </w:rPr>
        <w:t xml:space="preserve">a Board comprising </w:t>
      </w:r>
      <w:r w:rsidR="009C594C">
        <w:rPr>
          <w:color w:val="0C0D0D"/>
        </w:rPr>
        <w:t>four</w:t>
      </w:r>
      <w:r w:rsidR="005A4C28">
        <w:rPr>
          <w:color w:val="0C0D0D"/>
        </w:rPr>
        <w:t xml:space="preserve"> </w:t>
      </w:r>
      <w:r>
        <w:rPr>
          <w:color w:val="0C0D0D"/>
        </w:rPr>
        <w:t xml:space="preserve">independent non-executive </w:t>
      </w:r>
      <w:r>
        <w:rPr>
          <w:color w:val="232224"/>
        </w:rPr>
        <w:t>directors</w:t>
      </w:r>
      <w:r w:rsidR="005A4C28">
        <w:rPr>
          <w:color w:val="232224"/>
        </w:rPr>
        <w:t>,</w:t>
      </w:r>
      <w:r>
        <w:rPr>
          <w:color w:val="232224"/>
        </w:rPr>
        <w:t xml:space="preserve"> one executive</w:t>
      </w:r>
      <w:r>
        <w:rPr>
          <w:color w:val="232224"/>
          <w:spacing w:val="-1"/>
        </w:rPr>
        <w:t xml:space="preserve"> </w:t>
      </w:r>
      <w:r>
        <w:rPr>
          <w:color w:val="232224"/>
        </w:rPr>
        <w:t>chairman</w:t>
      </w:r>
      <w:r w:rsidR="005A4C28">
        <w:rPr>
          <w:color w:val="232224"/>
        </w:rPr>
        <w:t xml:space="preserve"> and one executive </w:t>
      </w:r>
      <w:r w:rsidR="00FD1BB5">
        <w:rPr>
          <w:color w:val="232224"/>
        </w:rPr>
        <w:t xml:space="preserve">chief </w:t>
      </w:r>
      <w:r w:rsidR="005A4C28">
        <w:rPr>
          <w:color w:val="232224"/>
        </w:rPr>
        <w:t xml:space="preserve">financial </w:t>
      </w:r>
      <w:proofErr w:type="gramStart"/>
      <w:r w:rsidR="005A4C28">
        <w:rPr>
          <w:color w:val="232224"/>
        </w:rPr>
        <w:t>officer</w:t>
      </w:r>
      <w:r>
        <w:rPr>
          <w:color w:val="0C0D0D"/>
        </w:rPr>
        <w:t>;</w:t>
      </w:r>
      <w:proofErr w:type="gramEnd"/>
    </w:p>
    <w:p w14:paraId="70AFDE51" w14:textId="77777777" w:rsidR="00783288" w:rsidRDefault="00783288">
      <w:pPr>
        <w:pStyle w:val="BodyText"/>
        <w:kinsoku w:val="0"/>
        <w:overflowPunct w:val="0"/>
        <w:spacing w:before="1"/>
      </w:pPr>
    </w:p>
    <w:p w14:paraId="25F0CF2D" w14:textId="77777777" w:rsidR="00783288" w:rsidRDefault="00E31420" w:rsidP="00512495">
      <w:pPr>
        <w:pStyle w:val="ListParagraph"/>
        <w:numPr>
          <w:ilvl w:val="0"/>
          <w:numId w:val="22"/>
        </w:numPr>
        <w:tabs>
          <w:tab w:val="left" w:pos="867"/>
        </w:tabs>
        <w:kinsoku w:val="0"/>
        <w:overflowPunct w:val="0"/>
        <w:spacing w:line="237" w:lineRule="auto"/>
        <w:ind w:right="1193"/>
        <w:rPr>
          <w:rFonts w:ascii="Symbol" w:hAnsi="Symbol" w:cs="Symbol"/>
          <w:color w:val="0C0D0D"/>
          <w:sz w:val="18"/>
          <w:szCs w:val="18"/>
        </w:rPr>
      </w:pPr>
      <w:r>
        <w:rPr>
          <w:color w:val="232224"/>
          <w:sz w:val="18"/>
          <w:szCs w:val="18"/>
        </w:rPr>
        <w:t>t</w:t>
      </w:r>
      <w:r>
        <w:rPr>
          <w:color w:val="0C0D0D"/>
          <w:sz w:val="18"/>
          <w:szCs w:val="18"/>
        </w:rPr>
        <w:t>h</w:t>
      </w:r>
      <w:r>
        <w:rPr>
          <w:color w:val="232224"/>
          <w:sz w:val="18"/>
          <w:szCs w:val="18"/>
        </w:rPr>
        <w:t xml:space="preserve">e </w:t>
      </w:r>
      <w:r>
        <w:rPr>
          <w:color w:val="0C0D0D"/>
          <w:sz w:val="18"/>
          <w:szCs w:val="18"/>
        </w:rPr>
        <w:t>C</w:t>
      </w:r>
      <w:r>
        <w:rPr>
          <w:color w:val="232224"/>
          <w:sz w:val="18"/>
          <w:szCs w:val="18"/>
        </w:rPr>
        <w:t>o</w:t>
      </w:r>
      <w:r>
        <w:rPr>
          <w:color w:val="0C0D0D"/>
          <w:sz w:val="18"/>
          <w:szCs w:val="18"/>
        </w:rPr>
        <w:t>mp</w:t>
      </w:r>
      <w:r>
        <w:rPr>
          <w:color w:val="232224"/>
          <w:sz w:val="18"/>
          <w:szCs w:val="18"/>
        </w:rPr>
        <w:t>any intends to comply, insofar as is appropriate having regard to the size and nature of the Company and the composition of the Board, with the Corporate Governance</w:t>
      </w:r>
      <w:r>
        <w:rPr>
          <w:color w:val="232224"/>
          <w:spacing w:val="-12"/>
          <w:sz w:val="18"/>
          <w:szCs w:val="18"/>
        </w:rPr>
        <w:t xml:space="preserve"> </w:t>
      </w:r>
      <w:proofErr w:type="gramStart"/>
      <w:r>
        <w:rPr>
          <w:color w:val="232224"/>
          <w:sz w:val="18"/>
          <w:szCs w:val="18"/>
        </w:rPr>
        <w:t>Code;</w:t>
      </w:r>
      <w:proofErr w:type="gramEnd"/>
    </w:p>
    <w:p w14:paraId="2248ADAB" w14:textId="77777777" w:rsidR="00783288" w:rsidRDefault="00783288">
      <w:pPr>
        <w:pStyle w:val="BodyText"/>
        <w:kinsoku w:val="0"/>
        <w:overflowPunct w:val="0"/>
        <w:spacing w:before="10"/>
        <w:rPr>
          <w:sz w:val="17"/>
          <w:szCs w:val="17"/>
        </w:rPr>
      </w:pPr>
    </w:p>
    <w:p w14:paraId="593B3510" w14:textId="77777777" w:rsidR="00783288" w:rsidRDefault="00E31420" w:rsidP="00512495">
      <w:pPr>
        <w:pStyle w:val="ListParagraph"/>
        <w:numPr>
          <w:ilvl w:val="0"/>
          <w:numId w:val="22"/>
        </w:numPr>
        <w:tabs>
          <w:tab w:val="left" w:pos="867"/>
        </w:tabs>
        <w:kinsoku w:val="0"/>
        <w:overflowPunct w:val="0"/>
        <w:spacing w:before="1"/>
        <w:ind w:right="1190"/>
        <w:rPr>
          <w:rFonts w:ascii="Symbol" w:hAnsi="Symbol" w:cs="Symbol"/>
          <w:color w:val="0C0D0D"/>
          <w:sz w:val="18"/>
          <w:szCs w:val="18"/>
        </w:rPr>
      </w:pPr>
      <w:r>
        <w:rPr>
          <w:color w:val="232224"/>
          <w:sz w:val="18"/>
          <w:szCs w:val="18"/>
        </w:rPr>
        <w:t>the Company has adopted a share dealing policy that complies with the requirements of the Market Abuse Regulation;</w:t>
      </w:r>
      <w:r>
        <w:rPr>
          <w:color w:val="232224"/>
          <w:spacing w:val="-1"/>
          <w:sz w:val="18"/>
          <w:szCs w:val="18"/>
        </w:rPr>
        <w:t xml:space="preserve"> </w:t>
      </w:r>
      <w:r>
        <w:rPr>
          <w:color w:val="232224"/>
          <w:sz w:val="18"/>
          <w:szCs w:val="18"/>
        </w:rPr>
        <w:t>and</w:t>
      </w:r>
    </w:p>
    <w:p w14:paraId="4F6F8CA4" w14:textId="77777777" w:rsidR="00783288" w:rsidRDefault="00783288">
      <w:pPr>
        <w:pStyle w:val="BodyText"/>
        <w:kinsoku w:val="0"/>
        <w:overflowPunct w:val="0"/>
        <w:spacing w:before="10"/>
        <w:rPr>
          <w:sz w:val="17"/>
          <w:szCs w:val="17"/>
        </w:rPr>
      </w:pPr>
    </w:p>
    <w:p w14:paraId="057343A7" w14:textId="77777777" w:rsidR="00783288" w:rsidRDefault="00E31420" w:rsidP="00512495">
      <w:pPr>
        <w:pStyle w:val="ListParagraph"/>
        <w:numPr>
          <w:ilvl w:val="0"/>
          <w:numId w:val="22"/>
        </w:numPr>
        <w:tabs>
          <w:tab w:val="left" w:pos="867"/>
        </w:tabs>
        <w:kinsoku w:val="0"/>
        <w:overflowPunct w:val="0"/>
        <w:rPr>
          <w:rFonts w:ascii="Symbol" w:hAnsi="Symbol" w:cs="Symbol"/>
          <w:color w:val="0C0D0D"/>
          <w:sz w:val="18"/>
          <w:szCs w:val="18"/>
        </w:rPr>
      </w:pPr>
      <w:r>
        <w:rPr>
          <w:color w:val="232224"/>
          <w:sz w:val="18"/>
          <w:szCs w:val="18"/>
        </w:rPr>
        <w:t>the Company has adopted an anti-bribery and corruption</w:t>
      </w:r>
      <w:r>
        <w:rPr>
          <w:color w:val="232224"/>
          <w:spacing w:val="-9"/>
          <w:sz w:val="18"/>
          <w:szCs w:val="18"/>
        </w:rPr>
        <w:t xml:space="preserve"> </w:t>
      </w:r>
      <w:r>
        <w:rPr>
          <w:color w:val="232224"/>
          <w:sz w:val="18"/>
          <w:szCs w:val="18"/>
        </w:rPr>
        <w:t>policy.</w:t>
      </w:r>
    </w:p>
    <w:p w14:paraId="31F70981" w14:textId="77777777" w:rsidR="00783288" w:rsidRDefault="00783288">
      <w:pPr>
        <w:pStyle w:val="BodyText"/>
        <w:kinsoku w:val="0"/>
        <w:overflowPunct w:val="0"/>
        <w:spacing w:before="9"/>
        <w:rPr>
          <w:sz w:val="17"/>
          <w:szCs w:val="17"/>
        </w:rPr>
      </w:pPr>
    </w:p>
    <w:p w14:paraId="6D34574D" w14:textId="77777777" w:rsidR="00783288" w:rsidRDefault="00E31420">
      <w:pPr>
        <w:pStyle w:val="BodyText"/>
        <w:kinsoku w:val="0"/>
        <w:overflowPunct w:val="0"/>
        <w:ind w:left="300"/>
        <w:jc w:val="both"/>
        <w:rPr>
          <w:i/>
          <w:iCs/>
          <w:color w:val="231F20"/>
        </w:rPr>
      </w:pPr>
      <w:r>
        <w:rPr>
          <w:i/>
          <w:iCs/>
          <w:color w:val="231F20"/>
        </w:rPr>
        <w:t>Mem</w:t>
      </w:r>
      <w:r>
        <w:rPr>
          <w:i/>
          <w:iCs/>
          <w:color w:val="020303"/>
        </w:rPr>
        <w:t>b</w:t>
      </w:r>
      <w:r>
        <w:rPr>
          <w:i/>
          <w:iCs/>
          <w:color w:val="231F20"/>
        </w:rPr>
        <w:t>ers and res</w:t>
      </w:r>
      <w:r>
        <w:rPr>
          <w:i/>
          <w:iCs/>
          <w:color w:val="020303"/>
        </w:rPr>
        <w:t>p</w:t>
      </w:r>
      <w:r>
        <w:rPr>
          <w:i/>
          <w:iCs/>
          <w:color w:val="231F20"/>
        </w:rPr>
        <w:t>onsibi</w:t>
      </w:r>
      <w:r>
        <w:rPr>
          <w:i/>
          <w:iCs/>
          <w:color w:val="020303"/>
        </w:rPr>
        <w:t>l</w:t>
      </w:r>
      <w:r>
        <w:rPr>
          <w:i/>
          <w:iCs/>
          <w:color w:val="231F20"/>
        </w:rPr>
        <w:t>ity</w:t>
      </w:r>
    </w:p>
    <w:p w14:paraId="0C062315" w14:textId="77777777" w:rsidR="00783288" w:rsidRDefault="00783288">
      <w:pPr>
        <w:pStyle w:val="BodyText"/>
        <w:kinsoku w:val="0"/>
        <w:overflowPunct w:val="0"/>
        <w:spacing w:before="1"/>
        <w:rPr>
          <w:i/>
          <w:iCs/>
        </w:rPr>
      </w:pPr>
    </w:p>
    <w:p w14:paraId="627C84B7" w14:textId="77777777" w:rsidR="00783288" w:rsidRDefault="00E31420">
      <w:pPr>
        <w:pStyle w:val="BodyText"/>
        <w:kinsoku w:val="0"/>
        <w:overflowPunct w:val="0"/>
        <w:ind w:left="300" w:right="1189"/>
        <w:jc w:val="both"/>
        <w:rPr>
          <w:color w:val="231F20"/>
        </w:rPr>
      </w:pPr>
      <w:r>
        <w:rPr>
          <w:color w:val="020303"/>
        </w:rPr>
        <w:t>Th</w:t>
      </w:r>
      <w:r>
        <w:rPr>
          <w:color w:val="231F20"/>
        </w:rPr>
        <w:t>e</w:t>
      </w:r>
      <w:r>
        <w:rPr>
          <w:color w:val="231F20"/>
          <w:spacing w:val="-7"/>
        </w:rPr>
        <w:t xml:space="preserve"> </w:t>
      </w:r>
      <w:r>
        <w:rPr>
          <w:color w:val="231F20"/>
        </w:rPr>
        <w:t>Board</w:t>
      </w:r>
      <w:r>
        <w:rPr>
          <w:color w:val="231F20"/>
          <w:spacing w:val="-7"/>
        </w:rPr>
        <w:t xml:space="preserve"> </w:t>
      </w:r>
      <w:r>
        <w:rPr>
          <w:color w:val="231F20"/>
        </w:rPr>
        <w:t>is</w:t>
      </w:r>
      <w:r>
        <w:rPr>
          <w:color w:val="231F20"/>
          <w:spacing w:val="-7"/>
        </w:rPr>
        <w:t xml:space="preserve"> </w:t>
      </w:r>
      <w:r>
        <w:rPr>
          <w:color w:val="231F20"/>
        </w:rPr>
        <w:t>responsib</w:t>
      </w:r>
      <w:r>
        <w:rPr>
          <w:color w:val="020303"/>
        </w:rPr>
        <w:t>l</w:t>
      </w:r>
      <w:r>
        <w:rPr>
          <w:color w:val="231F20"/>
        </w:rPr>
        <w:t>e</w:t>
      </w:r>
      <w:r>
        <w:rPr>
          <w:color w:val="231F20"/>
          <w:spacing w:val="-7"/>
        </w:rPr>
        <w:t xml:space="preserve"> </w:t>
      </w:r>
      <w:r>
        <w:rPr>
          <w:color w:val="231F20"/>
        </w:rPr>
        <w:t>for</w:t>
      </w:r>
      <w:r>
        <w:rPr>
          <w:color w:val="231F20"/>
          <w:spacing w:val="-8"/>
        </w:rPr>
        <w:t xml:space="preserve"> </w:t>
      </w:r>
      <w:r>
        <w:rPr>
          <w:color w:val="231F20"/>
        </w:rPr>
        <w:t>the</w:t>
      </w:r>
      <w:r>
        <w:rPr>
          <w:color w:val="231F20"/>
          <w:spacing w:val="-6"/>
        </w:rPr>
        <w:t xml:space="preserve"> </w:t>
      </w:r>
      <w:r>
        <w:rPr>
          <w:color w:val="231F20"/>
        </w:rPr>
        <w:t>Compa</w:t>
      </w:r>
      <w:r>
        <w:rPr>
          <w:color w:val="020303"/>
        </w:rPr>
        <w:t>n</w:t>
      </w:r>
      <w:r>
        <w:rPr>
          <w:color w:val="231F20"/>
        </w:rPr>
        <w:t>y’s</w:t>
      </w:r>
      <w:r>
        <w:rPr>
          <w:color w:val="231F20"/>
          <w:spacing w:val="-7"/>
        </w:rPr>
        <w:t xml:space="preserve"> </w:t>
      </w:r>
      <w:r>
        <w:rPr>
          <w:color w:val="231F20"/>
        </w:rPr>
        <w:t>objectives</w:t>
      </w:r>
      <w:r>
        <w:rPr>
          <w:color w:val="231F20"/>
          <w:spacing w:val="-7"/>
        </w:rPr>
        <w:t xml:space="preserve"> </w:t>
      </w:r>
      <w:r>
        <w:rPr>
          <w:color w:val="231F20"/>
        </w:rPr>
        <w:t>and</w:t>
      </w:r>
      <w:r>
        <w:rPr>
          <w:color w:val="231F20"/>
          <w:spacing w:val="-7"/>
        </w:rPr>
        <w:t xml:space="preserve"> </w:t>
      </w:r>
      <w:r>
        <w:rPr>
          <w:color w:val="231F20"/>
        </w:rPr>
        <w:t>business</w:t>
      </w:r>
      <w:r>
        <w:rPr>
          <w:color w:val="231F20"/>
          <w:spacing w:val="-7"/>
        </w:rPr>
        <w:t xml:space="preserve"> </w:t>
      </w:r>
      <w:r>
        <w:rPr>
          <w:color w:val="231F20"/>
        </w:rPr>
        <w:t>strategy</w:t>
      </w:r>
      <w:r>
        <w:rPr>
          <w:color w:val="231F20"/>
          <w:spacing w:val="-9"/>
        </w:rPr>
        <w:t xml:space="preserve"> </w:t>
      </w:r>
      <w:r>
        <w:rPr>
          <w:color w:val="231F20"/>
        </w:rPr>
        <w:t>and</w:t>
      </w:r>
      <w:r>
        <w:rPr>
          <w:color w:val="231F20"/>
          <w:spacing w:val="-5"/>
        </w:rPr>
        <w:t xml:space="preserve"> </w:t>
      </w:r>
      <w:r>
        <w:rPr>
          <w:color w:val="020303"/>
        </w:rPr>
        <w:t>i</w:t>
      </w:r>
      <w:r>
        <w:rPr>
          <w:color w:val="231F20"/>
        </w:rPr>
        <w:t>ts</w:t>
      </w:r>
      <w:r>
        <w:rPr>
          <w:color w:val="231F20"/>
          <w:spacing w:val="-7"/>
        </w:rPr>
        <w:t xml:space="preserve"> </w:t>
      </w:r>
      <w:r>
        <w:rPr>
          <w:color w:val="231F20"/>
        </w:rPr>
        <w:t>overal</w:t>
      </w:r>
      <w:r>
        <w:rPr>
          <w:color w:val="020303"/>
        </w:rPr>
        <w:t>l</w:t>
      </w:r>
      <w:r>
        <w:rPr>
          <w:color w:val="020303"/>
          <w:spacing w:val="-9"/>
        </w:rPr>
        <w:t xml:space="preserve"> </w:t>
      </w:r>
      <w:r>
        <w:rPr>
          <w:color w:val="231F20"/>
        </w:rPr>
        <w:t>supervision,</w:t>
      </w:r>
      <w:r>
        <w:rPr>
          <w:color w:val="231F20"/>
          <w:spacing w:val="-7"/>
        </w:rPr>
        <w:t xml:space="preserve"> </w:t>
      </w:r>
      <w:r>
        <w:rPr>
          <w:color w:val="231F20"/>
        </w:rPr>
        <w:t>including acqu</w:t>
      </w:r>
      <w:r>
        <w:rPr>
          <w:color w:val="020303"/>
        </w:rPr>
        <w:t>i</w:t>
      </w:r>
      <w:r>
        <w:rPr>
          <w:color w:val="231F20"/>
        </w:rPr>
        <w:t>s</w:t>
      </w:r>
      <w:r>
        <w:rPr>
          <w:color w:val="020303"/>
        </w:rPr>
        <w:t>i</w:t>
      </w:r>
      <w:r>
        <w:rPr>
          <w:color w:val="231F20"/>
        </w:rPr>
        <w:t>t</w:t>
      </w:r>
      <w:r>
        <w:rPr>
          <w:color w:val="020303"/>
        </w:rPr>
        <w:t>i</w:t>
      </w:r>
      <w:r>
        <w:rPr>
          <w:color w:val="231F20"/>
        </w:rPr>
        <w:t>on,</w:t>
      </w:r>
      <w:r>
        <w:rPr>
          <w:color w:val="231F20"/>
          <w:spacing w:val="-11"/>
        </w:rPr>
        <w:t xml:space="preserve"> </w:t>
      </w:r>
      <w:proofErr w:type="gramStart"/>
      <w:r>
        <w:rPr>
          <w:color w:val="231F20"/>
        </w:rPr>
        <w:t>d</w:t>
      </w:r>
      <w:r>
        <w:rPr>
          <w:color w:val="020303"/>
        </w:rPr>
        <w:t>i</w:t>
      </w:r>
      <w:r>
        <w:rPr>
          <w:color w:val="231F20"/>
        </w:rPr>
        <w:t>vestment</w:t>
      </w:r>
      <w:proofErr w:type="gramEnd"/>
      <w:r>
        <w:rPr>
          <w:color w:val="231F20"/>
          <w:spacing w:val="-10"/>
        </w:rPr>
        <w:t xml:space="preserve"> </w:t>
      </w:r>
      <w:r>
        <w:rPr>
          <w:color w:val="231F20"/>
        </w:rPr>
        <w:t>and</w:t>
      </w:r>
      <w:r>
        <w:rPr>
          <w:color w:val="231F20"/>
          <w:spacing w:val="-10"/>
        </w:rPr>
        <w:t xml:space="preserve"> </w:t>
      </w:r>
      <w:r>
        <w:rPr>
          <w:color w:val="231F20"/>
        </w:rPr>
        <w:t>other</w:t>
      </w:r>
      <w:r>
        <w:rPr>
          <w:color w:val="231F20"/>
          <w:spacing w:val="-10"/>
        </w:rPr>
        <w:t xml:space="preserve"> </w:t>
      </w:r>
      <w:r>
        <w:rPr>
          <w:color w:val="231F20"/>
        </w:rPr>
        <w:t>strategic</w:t>
      </w:r>
      <w:r>
        <w:rPr>
          <w:color w:val="231F20"/>
          <w:spacing w:val="-9"/>
        </w:rPr>
        <w:t xml:space="preserve"> </w:t>
      </w:r>
      <w:r>
        <w:rPr>
          <w:color w:val="231F20"/>
        </w:rPr>
        <w:t>dec</w:t>
      </w:r>
      <w:r>
        <w:rPr>
          <w:color w:val="020303"/>
        </w:rPr>
        <w:t>i</w:t>
      </w:r>
      <w:r>
        <w:rPr>
          <w:color w:val="231F20"/>
        </w:rPr>
        <w:t>sions.</w:t>
      </w:r>
      <w:r>
        <w:rPr>
          <w:color w:val="231F20"/>
          <w:spacing w:val="-12"/>
        </w:rPr>
        <w:t xml:space="preserve"> </w:t>
      </w:r>
      <w:r>
        <w:rPr>
          <w:color w:val="231F20"/>
        </w:rPr>
        <w:t>The</w:t>
      </w:r>
      <w:r>
        <w:rPr>
          <w:color w:val="231F20"/>
          <w:spacing w:val="-10"/>
        </w:rPr>
        <w:t xml:space="preserve"> </w:t>
      </w:r>
      <w:r>
        <w:rPr>
          <w:color w:val="231F20"/>
        </w:rPr>
        <w:t>Board</w:t>
      </w:r>
      <w:r>
        <w:rPr>
          <w:color w:val="231F20"/>
          <w:spacing w:val="-11"/>
        </w:rPr>
        <w:t xml:space="preserve"> </w:t>
      </w:r>
      <w:r>
        <w:rPr>
          <w:color w:val="231F20"/>
        </w:rPr>
        <w:t>provides</w:t>
      </w:r>
      <w:r>
        <w:rPr>
          <w:color w:val="231F20"/>
          <w:spacing w:val="-8"/>
        </w:rPr>
        <w:t xml:space="preserve"> </w:t>
      </w:r>
      <w:r>
        <w:rPr>
          <w:color w:val="020303"/>
        </w:rPr>
        <w:t>l</w:t>
      </w:r>
      <w:r>
        <w:rPr>
          <w:color w:val="231F20"/>
        </w:rPr>
        <w:t>eaders</w:t>
      </w:r>
      <w:r>
        <w:rPr>
          <w:color w:val="020303"/>
        </w:rPr>
        <w:t>h</w:t>
      </w:r>
      <w:r>
        <w:rPr>
          <w:color w:val="231F20"/>
        </w:rPr>
        <w:t>ip</w:t>
      </w:r>
      <w:r>
        <w:rPr>
          <w:color w:val="231F20"/>
          <w:spacing w:val="-10"/>
        </w:rPr>
        <w:t xml:space="preserve"> </w:t>
      </w:r>
      <w:r>
        <w:rPr>
          <w:color w:val="231F20"/>
        </w:rPr>
        <w:t>wit</w:t>
      </w:r>
      <w:r>
        <w:rPr>
          <w:color w:val="020303"/>
        </w:rPr>
        <w:t>h</w:t>
      </w:r>
      <w:r>
        <w:rPr>
          <w:color w:val="231F20"/>
        </w:rPr>
        <w:t>in</w:t>
      </w:r>
      <w:r>
        <w:rPr>
          <w:color w:val="231F20"/>
          <w:spacing w:val="-12"/>
        </w:rPr>
        <w:t xml:space="preserve"> </w:t>
      </w:r>
      <w:r>
        <w:rPr>
          <w:color w:val="231F20"/>
        </w:rPr>
        <w:t>a</w:t>
      </w:r>
      <w:r>
        <w:rPr>
          <w:color w:val="231F20"/>
          <w:spacing w:val="-12"/>
        </w:rPr>
        <w:t xml:space="preserve"> </w:t>
      </w:r>
      <w:r>
        <w:rPr>
          <w:color w:val="231F20"/>
        </w:rPr>
        <w:t>framework</w:t>
      </w:r>
      <w:r>
        <w:rPr>
          <w:color w:val="231F20"/>
          <w:spacing w:val="-9"/>
        </w:rPr>
        <w:t xml:space="preserve"> </w:t>
      </w:r>
      <w:r>
        <w:rPr>
          <w:color w:val="231F20"/>
        </w:rPr>
        <w:t>of</w:t>
      </w:r>
      <w:r>
        <w:rPr>
          <w:color w:val="231F20"/>
          <w:spacing w:val="-12"/>
        </w:rPr>
        <w:t xml:space="preserve"> </w:t>
      </w:r>
      <w:r>
        <w:rPr>
          <w:color w:val="231F20"/>
        </w:rPr>
        <w:t>pr</w:t>
      </w:r>
      <w:r>
        <w:rPr>
          <w:color w:val="020303"/>
        </w:rPr>
        <w:t>u</w:t>
      </w:r>
      <w:r>
        <w:rPr>
          <w:color w:val="231F20"/>
        </w:rPr>
        <w:t>dent and</w:t>
      </w:r>
      <w:r>
        <w:rPr>
          <w:color w:val="231F20"/>
          <w:spacing w:val="-8"/>
        </w:rPr>
        <w:t xml:space="preserve"> </w:t>
      </w:r>
      <w:r>
        <w:rPr>
          <w:color w:val="231F20"/>
        </w:rPr>
        <w:t>effective</w:t>
      </w:r>
      <w:r>
        <w:rPr>
          <w:color w:val="231F20"/>
          <w:spacing w:val="-7"/>
        </w:rPr>
        <w:t xml:space="preserve"> </w:t>
      </w:r>
      <w:r>
        <w:rPr>
          <w:color w:val="231F20"/>
        </w:rPr>
        <w:t>contro</w:t>
      </w:r>
      <w:r>
        <w:rPr>
          <w:color w:val="020303"/>
        </w:rPr>
        <w:t>l</w:t>
      </w:r>
      <w:r>
        <w:rPr>
          <w:color w:val="231F20"/>
        </w:rPr>
        <w:t>s.</w:t>
      </w:r>
      <w:r>
        <w:rPr>
          <w:color w:val="231F20"/>
          <w:spacing w:val="-9"/>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sets</w:t>
      </w:r>
      <w:r>
        <w:rPr>
          <w:color w:val="231F20"/>
          <w:spacing w:val="-9"/>
        </w:rPr>
        <w:t xml:space="preserve"> </w:t>
      </w:r>
      <w:r>
        <w:rPr>
          <w:color w:val="231F20"/>
        </w:rPr>
        <w:t>the</w:t>
      </w:r>
      <w:r>
        <w:rPr>
          <w:color w:val="231F20"/>
          <w:spacing w:val="-10"/>
        </w:rPr>
        <w:t xml:space="preserve"> </w:t>
      </w:r>
      <w:r>
        <w:rPr>
          <w:color w:val="231F20"/>
        </w:rPr>
        <w:t>corpo</w:t>
      </w:r>
      <w:r>
        <w:rPr>
          <w:color w:val="020303"/>
        </w:rPr>
        <w:t>r</w:t>
      </w:r>
      <w:r>
        <w:rPr>
          <w:color w:val="231F20"/>
        </w:rPr>
        <w:t>a</w:t>
      </w:r>
      <w:r>
        <w:rPr>
          <w:color w:val="020303"/>
        </w:rPr>
        <w:t>t</w:t>
      </w:r>
      <w:r>
        <w:rPr>
          <w:color w:val="231F20"/>
        </w:rPr>
        <w:t>e</w:t>
      </w:r>
      <w:r>
        <w:rPr>
          <w:color w:val="231F20"/>
          <w:spacing w:val="-10"/>
        </w:rPr>
        <w:t xml:space="preserve"> </w:t>
      </w:r>
      <w:r>
        <w:rPr>
          <w:color w:val="231F20"/>
        </w:rPr>
        <w:t>gover</w:t>
      </w:r>
      <w:r>
        <w:rPr>
          <w:color w:val="020303"/>
        </w:rPr>
        <w:t>n</w:t>
      </w:r>
      <w:r>
        <w:rPr>
          <w:color w:val="231F20"/>
        </w:rPr>
        <w:t>ance</w:t>
      </w:r>
      <w:r>
        <w:rPr>
          <w:color w:val="231F20"/>
          <w:spacing w:val="-7"/>
        </w:rPr>
        <w:t xml:space="preserve"> </w:t>
      </w:r>
      <w:r>
        <w:rPr>
          <w:color w:val="231F20"/>
        </w:rPr>
        <w:t>va</w:t>
      </w:r>
      <w:r>
        <w:rPr>
          <w:color w:val="020303"/>
        </w:rPr>
        <w:t>l</w:t>
      </w:r>
      <w:r>
        <w:rPr>
          <w:color w:val="231F20"/>
        </w:rPr>
        <w:t>ues</w:t>
      </w:r>
      <w:r>
        <w:rPr>
          <w:color w:val="231F20"/>
          <w:spacing w:val="-9"/>
        </w:rPr>
        <w:t xml:space="preserve"> </w:t>
      </w:r>
      <w:r>
        <w:rPr>
          <w:color w:val="231F20"/>
        </w:rPr>
        <w:t>of</w:t>
      </w:r>
      <w:r>
        <w:rPr>
          <w:color w:val="231F20"/>
          <w:spacing w:val="-7"/>
        </w:rPr>
        <w:t xml:space="preserve"> </w:t>
      </w:r>
      <w:r>
        <w:rPr>
          <w:color w:val="231F20"/>
        </w:rPr>
        <w:t>t</w:t>
      </w:r>
      <w:r>
        <w:rPr>
          <w:color w:val="020303"/>
        </w:rPr>
        <w:t>h</w:t>
      </w:r>
      <w:r>
        <w:rPr>
          <w:color w:val="231F20"/>
        </w:rPr>
        <w:t>e</w:t>
      </w:r>
      <w:r>
        <w:rPr>
          <w:color w:val="231F20"/>
          <w:spacing w:val="-7"/>
        </w:rPr>
        <w:t xml:space="preserve"> </w:t>
      </w:r>
      <w:r>
        <w:rPr>
          <w:color w:val="231F20"/>
        </w:rPr>
        <w:t>Group</w:t>
      </w:r>
      <w:r>
        <w:rPr>
          <w:color w:val="231F20"/>
          <w:spacing w:val="-7"/>
        </w:rPr>
        <w:t xml:space="preserve"> </w:t>
      </w:r>
      <w:r>
        <w:rPr>
          <w:color w:val="231F20"/>
        </w:rPr>
        <w:t>and</w:t>
      </w:r>
      <w:r>
        <w:rPr>
          <w:color w:val="231F20"/>
          <w:spacing w:val="-7"/>
        </w:rPr>
        <w:t xml:space="preserve"> </w:t>
      </w:r>
      <w:r>
        <w:rPr>
          <w:color w:val="231F20"/>
        </w:rPr>
        <w:t>has</w:t>
      </w:r>
      <w:r>
        <w:rPr>
          <w:color w:val="231F20"/>
          <w:spacing w:val="-7"/>
        </w:rPr>
        <w:t xml:space="preserve"> </w:t>
      </w:r>
      <w:r>
        <w:rPr>
          <w:color w:val="231F20"/>
        </w:rPr>
        <w:t>overa</w:t>
      </w:r>
      <w:r>
        <w:rPr>
          <w:color w:val="020303"/>
        </w:rPr>
        <w:t>l</w:t>
      </w:r>
      <w:r>
        <w:rPr>
          <w:color w:val="231F20"/>
        </w:rPr>
        <w:t>l</w:t>
      </w:r>
      <w:r>
        <w:rPr>
          <w:color w:val="231F20"/>
          <w:spacing w:val="-7"/>
        </w:rPr>
        <w:t xml:space="preserve"> </w:t>
      </w:r>
      <w:r>
        <w:rPr>
          <w:color w:val="231F20"/>
        </w:rPr>
        <w:t>responsibility for setting the Group’s strateg</w:t>
      </w:r>
      <w:r>
        <w:rPr>
          <w:color w:val="020303"/>
        </w:rPr>
        <w:t>i</w:t>
      </w:r>
      <w:r>
        <w:rPr>
          <w:color w:val="231F20"/>
        </w:rPr>
        <w:t>c a</w:t>
      </w:r>
      <w:r>
        <w:rPr>
          <w:color w:val="020303"/>
        </w:rPr>
        <w:t>i</w:t>
      </w:r>
      <w:r>
        <w:rPr>
          <w:color w:val="231F20"/>
        </w:rPr>
        <w:t>ms, defining the business p</w:t>
      </w:r>
      <w:r>
        <w:rPr>
          <w:color w:val="020303"/>
        </w:rPr>
        <w:t>l</w:t>
      </w:r>
      <w:r>
        <w:rPr>
          <w:color w:val="231F20"/>
        </w:rPr>
        <w:t>a</w:t>
      </w:r>
      <w:r>
        <w:rPr>
          <w:color w:val="020303"/>
        </w:rPr>
        <w:t xml:space="preserve">n </w:t>
      </w:r>
      <w:r>
        <w:rPr>
          <w:color w:val="231F20"/>
        </w:rPr>
        <w:t>a</w:t>
      </w:r>
      <w:r>
        <w:rPr>
          <w:color w:val="020303"/>
        </w:rPr>
        <w:t>n</w:t>
      </w:r>
      <w:r>
        <w:rPr>
          <w:color w:val="231F20"/>
        </w:rPr>
        <w:t>d strategy, ma</w:t>
      </w:r>
      <w:r>
        <w:rPr>
          <w:color w:val="020303"/>
        </w:rPr>
        <w:t>n</w:t>
      </w:r>
      <w:r>
        <w:rPr>
          <w:color w:val="231F20"/>
        </w:rPr>
        <w:t>aging the f</w:t>
      </w:r>
      <w:r>
        <w:rPr>
          <w:color w:val="020303"/>
        </w:rPr>
        <w:t>i</w:t>
      </w:r>
      <w:r>
        <w:rPr>
          <w:color w:val="231F20"/>
        </w:rPr>
        <w:t>nanc</w:t>
      </w:r>
      <w:r>
        <w:rPr>
          <w:color w:val="020303"/>
        </w:rPr>
        <w:t>i</w:t>
      </w:r>
      <w:r>
        <w:rPr>
          <w:color w:val="231F20"/>
        </w:rPr>
        <w:t>al and operat</w:t>
      </w:r>
      <w:r>
        <w:rPr>
          <w:color w:val="020303"/>
        </w:rPr>
        <w:t>i</w:t>
      </w:r>
      <w:r>
        <w:rPr>
          <w:color w:val="231F20"/>
        </w:rPr>
        <w:t>ona</w:t>
      </w:r>
      <w:r>
        <w:rPr>
          <w:color w:val="020303"/>
        </w:rPr>
        <w:t>l</w:t>
      </w:r>
      <w:r>
        <w:rPr>
          <w:color w:val="020303"/>
          <w:spacing w:val="-5"/>
        </w:rPr>
        <w:t xml:space="preserve"> </w:t>
      </w:r>
      <w:r>
        <w:rPr>
          <w:color w:val="231F20"/>
        </w:rPr>
        <w:t>resources</w:t>
      </w:r>
      <w:r>
        <w:rPr>
          <w:color w:val="231F20"/>
          <w:spacing w:val="-4"/>
        </w:rPr>
        <w:t xml:space="preserve"> </w:t>
      </w:r>
      <w:r>
        <w:rPr>
          <w:color w:val="231F20"/>
        </w:rPr>
        <w:t>of</w:t>
      </w:r>
      <w:r>
        <w:rPr>
          <w:color w:val="231F20"/>
          <w:spacing w:val="-7"/>
        </w:rPr>
        <w:t xml:space="preserve"> </w:t>
      </w:r>
      <w:r>
        <w:rPr>
          <w:color w:val="231F20"/>
        </w:rPr>
        <w:t>the</w:t>
      </w:r>
      <w:r>
        <w:rPr>
          <w:color w:val="231F20"/>
          <w:spacing w:val="-4"/>
        </w:rPr>
        <w:t xml:space="preserve"> </w:t>
      </w:r>
      <w:r>
        <w:rPr>
          <w:color w:val="231F20"/>
        </w:rPr>
        <w:t>Group</w:t>
      </w:r>
      <w:r>
        <w:rPr>
          <w:color w:val="231F20"/>
          <w:spacing w:val="-5"/>
        </w:rPr>
        <w:t xml:space="preserve"> </w:t>
      </w:r>
      <w:r>
        <w:rPr>
          <w:color w:val="231F20"/>
        </w:rPr>
        <w:t>and</w:t>
      </w:r>
      <w:r>
        <w:rPr>
          <w:color w:val="231F20"/>
          <w:spacing w:val="-5"/>
        </w:rPr>
        <w:t xml:space="preserve"> </w:t>
      </w:r>
      <w:r>
        <w:rPr>
          <w:color w:val="231F20"/>
        </w:rPr>
        <w:t>reviewing</w:t>
      </w:r>
      <w:r>
        <w:rPr>
          <w:color w:val="231F20"/>
          <w:spacing w:val="-6"/>
        </w:rPr>
        <w:t xml:space="preserve"> </w:t>
      </w:r>
      <w:r>
        <w:rPr>
          <w:color w:val="231F20"/>
        </w:rPr>
        <w:t>the</w:t>
      </w:r>
      <w:r>
        <w:rPr>
          <w:color w:val="231F20"/>
          <w:spacing w:val="-7"/>
        </w:rPr>
        <w:t xml:space="preserve"> </w:t>
      </w:r>
      <w:r>
        <w:rPr>
          <w:color w:val="231F20"/>
        </w:rPr>
        <w:t>pe</w:t>
      </w:r>
      <w:r>
        <w:rPr>
          <w:color w:val="020303"/>
        </w:rPr>
        <w:t>r</w:t>
      </w:r>
      <w:r>
        <w:rPr>
          <w:color w:val="231F20"/>
        </w:rPr>
        <w:t>formance</w:t>
      </w:r>
      <w:r>
        <w:rPr>
          <w:color w:val="231F20"/>
          <w:spacing w:val="-5"/>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officers</w:t>
      </w:r>
      <w:r>
        <w:rPr>
          <w:color w:val="231F20"/>
          <w:spacing w:val="-4"/>
        </w:rPr>
        <w:t xml:space="preserve"> </w:t>
      </w:r>
      <w:r>
        <w:rPr>
          <w:color w:val="231F20"/>
        </w:rPr>
        <w:t>and</w:t>
      </w:r>
      <w:r>
        <w:rPr>
          <w:color w:val="231F20"/>
          <w:spacing w:val="-4"/>
        </w:rPr>
        <w:t xml:space="preserve"> </w:t>
      </w:r>
      <w:r>
        <w:rPr>
          <w:color w:val="231F20"/>
        </w:rPr>
        <w:t>management</w:t>
      </w:r>
      <w:r>
        <w:rPr>
          <w:color w:val="231F20"/>
          <w:spacing w:val="-7"/>
        </w:rPr>
        <w:t xml:space="preserve"> </w:t>
      </w:r>
      <w:r>
        <w:rPr>
          <w:color w:val="231F20"/>
        </w:rPr>
        <w:t>of</w:t>
      </w:r>
      <w:r>
        <w:rPr>
          <w:color w:val="231F20"/>
          <w:spacing w:val="-5"/>
        </w:rPr>
        <w:t xml:space="preserve"> </w:t>
      </w:r>
      <w:r>
        <w:rPr>
          <w:color w:val="231F20"/>
        </w:rPr>
        <w:t>t</w:t>
      </w:r>
      <w:r>
        <w:rPr>
          <w:color w:val="020303"/>
        </w:rPr>
        <w:t>h</w:t>
      </w:r>
      <w:r>
        <w:rPr>
          <w:color w:val="231F20"/>
        </w:rPr>
        <w:t>e</w:t>
      </w:r>
      <w:r>
        <w:rPr>
          <w:color w:val="231F20"/>
          <w:spacing w:val="-4"/>
        </w:rPr>
        <w:t xml:space="preserve"> </w:t>
      </w:r>
      <w:r>
        <w:rPr>
          <w:color w:val="231F20"/>
        </w:rPr>
        <w:t>Group’s busi</w:t>
      </w:r>
      <w:r>
        <w:rPr>
          <w:color w:val="020303"/>
        </w:rPr>
        <w:t>n</w:t>
      </w:r>
      <w:r>
        <w:rPr>
          <w:color w:val="231F20"/>
        </w:rPr>
        <w:t>ess.</w:t>
      </w:r>
    </w:p>
    <w:p w14:paraId="5DFC4123" w14:textId="77777777" w:rsidR="00783288" w:rsidRDefault="00783288">
      <w:pPr>
        <w:pStyle w:val="BodyText"/>
        <w:kinsoku w:val="0"/>
        <w:overflowPunct w:val="0"/>
        <w:spacing w:before="10"/>
        <w:rPr>
          <w:sz w:val="17"/>
          <w:szCs w:val="17"/>
        </w:rPr>
      </w:pPr>
    </w:p>
    <w:p w14:paraId="315BC1B2" w14:textId="77777777" w:rsidR="00783288" w:rsidRDefault="00E31420">
      <w:pPr>
        <w:pStyle w:val="BodyText"/>
        <w:kinsoku w:val="0"/>
        <w:overflowPunct w:val="0"/>
        <w:ind w:left="300"/>
        <w:jc w:val="both"/>
        <w:rPr>
          <w:i/>
          <w:iCs/>
          <w:color w:val="231F20"/>
        </w:rPr>
      </w:pPr>
      <w:r>
        <w:rPr>
          <w:i/>
          <w:iCs/>
          <w:color w:val="231F20"/>
        </w:rPr>
        <w:t>Freq</w:t>
      </w:r>
      <w:r>
        <w:rPr>
          <w:i/>
          <w:iCs/>
          <w:color w:val="020303"/>
        </w:rPr>
        <w:t>u</w:t>
      </w:r>
      <w:r>
        <w:rPr>
          <w:i/>
          <w:iCs/>
          <w:color w:val="231F20"/>
        </w:rPr>
        <w:t>ency of meetings</w:t>
      </w:r>
    </w:p>
    <w:p w14:paraId="2822854F" w14:textId="77777777" w:rsidR="00783288" w:rsidRDefault="00783288">
      <w:pPr>
        <w:pStyle w:val="BodyText"/>
        <w:kinsoku w:val="0"/>
        <w:overflowPunct w:val="0"/>
        <w:spacing w:before="1"/>
        <w:rPr>
          <w:i/>
          <w:iCs/>
        </w:rPr>
      </w:pPr>
    </w:p>
    <w:p w14:paraId="4F60F1A7" w14:textId="77777777" w:rsidR="00783288" w:rsidRDefault="00E31420">
      <w:pPr>
        <w:pStyle w:val="BodyText"/>
        <w:kinsoku w:val="0"/>
        <w:overflowPunct w:val="0"/>
        <w:ind w:left="300"/>
        <w:jc w:val="both"/>
        <w:rPr>
          <w:color w:val="231F20"/>
        </w:rPr>
      </w:pPr>
      <w:r>
        <w:rPr>
          <w:color w:val="231F20"/>
        </w:rPr>
        <w:t>While the Board wi</w:t>
      </w:r>
      <w:r>
        <w:rPr>
          <w:color w:val="020303"/>
        </w:rPr>
        <w:t xml:space="preserve">ll </w:t>
      </w:r>
      <w:r>
        <w:rPr>
          <w:color w:val="231F20"/>
        </w:rPr>
        <w:t>sc</w:t>
      </w:r>
      <w:r>
        <w:rPr>
          <w:color w:val="020303"/>
        </w:rPr>
        <w:t>h</w:t>
      </w:r>
      <w:r>
        <w:rPr>
          <w:color w:val="231F20"/>
        </w:rPr>
        <w:t>edu</w:t>
      </w:r>
      <w:r>
        <w:rPr>
          <w:color w:val="020303"/>
        </w:rPr>
        <w:t>l</w:t>
      </w:r>
      <w:r>
        <w:rPr>
          <w:color w:val="231F20"/>
        </w:rPr>
        <w:t>e monthly meet</w:t>
      </w:r>
      <w:r>
        <w:rPr>
          <w:color w:val="020303"/>
        </w:rPr>
        <w:t>in</w:t>
      </w:r>
      <w:r>
        <w:rPr>
          <w:color w:val="231F20"/>
        </w:rPr>
        <w:t>gs, it w</w:t>
      </w:r>
      <w:r>
        <w:rPr>
          <w:color w:val="020303"/>
        </w:rPr>
        <w:t>il</w:t>
      </w:r>
      <w:r>
        <w:rPr>
          <w:color w:val="231F20"/>
        </w:rPr>
        <w:t xml:space="preserve">l </w:t>
      </w:r>
      <w:r>
        <w:rPr>
          <w:color w:val="020303"/>
        </w:rPr>
        <w:t>h</w:t>
      </w:r>
      <w:r>
        <w:rPr>
          <w:color w:val="231F20"/>
        </w:rPr>
        <w:t>o</w:t>
      </w:r>
      <w:r>
        <w:rPr>
          <w:color w:val="020303"/>
        </w:rPr>
        <w:t>l</w:t>
      </w:r>
      <w:r>
        <w:rPr>
          <w:color w:val="231F20"/>
        </w:rPr>
        <w:t>d add</w:t>
      </w:r>
      <w:r>
        <w:rPr>
          <w:color w:val="020303"/>
        </w:rPr>
        <w:t>i</w:t>
      </w:r>
      <w:r>
        <w:rPr>
          <w:color w:val="231F20"/>
        </w:rPr>
        <w:t>tio</w:t>
      </w:r>
      <w:r>
        <w:rPr>
          <w:color w:val="020303"/>
        </w:rPr>
        <w:t>n</w:t>
      </w:r>
      <w:r>
        <w:rPr>
          <w:color w:val="231F20"/>
        </w:rPr>
        <w:t>a</w:t>
      </w:r>
      <w:r>
        <w:rPr>
          <w:color w:val="020303"/>
        </w:rPr>
        <w:t xml:space="preserve">l </w:t>
      </w:r>
      <w:r>
        <w:rPr>
          <w:color w:val="231F20"/>
        </w:rPr>
        <w:t xml:space="preserve">meetings as and when </w:t>
      </w:r>
      <w:r>
        <w:rPr>
          <w:color w:val="020303"/>
        </w:rPr>
        <w:t>r</w:t>
      </w:r>
      <w:r>
        <w:rPr>
          <w:color w:val="231F20"/>
        </w:rPr>
        <w:t>eq</w:t>
      </w:r>
      <w:r>
        <w:rPr>
          <w:color w:val="020303"/>
        </w:rPr>
        <w:t>u</w:t>
      </w:r>
      <w:r>
        <w:rPr>
          <w:color w:val="231F20"/>
        </w:rPr>
        <w:t>ired.</w:t>
      </w:r>
    </w:p>
    <w:p w14:paraId="55237839" w14:textId="77777777" w:rsidR="00783288" w:rsidRDefault="00783288">
      <w:pPr>
        <w:pStyle w:val="BodyText"/>
        <w:kinsoku w:val="0"/>
        <w:overflowPunct w:val="0"/>
        <w:spacing w:before="10"/>
        <w:rPr>
          <w:sz w:val="17"/>
          <w:szCs w:val="17"/>
        </w:rPr>
      </w:pPr>
    </w:p>
    <w:p w14:paraId="4CC7F368" w14:textId="77777777" w:rsidR="00783288" w:rsidRDefault="00E31420">
      <w:pPr>
        <w:pStyle w:val="BodyText"/>
        <w:kinsoku w:val="0"/>
        <w:overflowPunct w:val="0"/>
        <w:ind w:left="300"/>
        <w:jc w:val="both"/>
        <w:rPr>
          <w:i/>
          <w:iCs/>
          <w:color w:val="231F20"/>
        </w:rPr>
      </w:pPr>
      <w:r>
        <w:rPr>
          <w:i/>
          <w:iCs/>
          <w:color w:val="231F20"/>
        </w:rPr>
        <w:t>Fi</w:t>
      </w:r>
      <w:r>
        <w:rPr>
          <w:i/>
          <w:iCs/>
          <w:color w:val="020303"/>
        </w:rPr>
        <w:t>nan</w:t>
      </w:r>
      <w:r>
        <w:rPr>
          <w:i/>
          <w:iCs/>
          <w:color w:val="231F20"/>
        </w:rPr>
        <w:t>cial Management</w:t>
      </w:r>
    </w:p>
    <w:p w14:paraId="2DD1A84F" w14:textId="77777777" w:rsidR="00783288" w:rsidRDefault="00783288">
      <w:pPr>
        <w:pStyle w:val="BodyText"/>
        <w:kinsoku w:val="0"/>
        <w:overflowPunct w:val="0"/>
        <w:spacing w:before="1"/>
        <w:rPr>
          <w:i/>
          <w:iCs/>
        </w:rPr>
      </w:pPr>
    </w:p>
    <w:p w14:paraId="5F32BC22" w14:textId="77777777" w:rsidR="00783288" w:rsidRDefault="00E31420">
      <w:pPr>
        <w:pStyle w:val="BodyText"/>
        <w:kinsoku w:val="0"/>
        <w:overflowPunct w:val="0"/>
        <w:spacing w:before="1"/>
        <w:ind w:left="300" w:right="1189"/>
        <w:jc w:val="both"/>
        <w:rPr>
          <w:color w:val="231F20"/>
        </w:rPr>
      </w:pPr>
      <w:r>
        <w:rPr>
          <w:color w:val="231F20"/>
        </w:rPr>
        <w:t>T</w:t>
      </w:r>
      <w:r>
        <w:rPr>
          <w:color w:val="020303"/>
        </w:rPr>
        <w:t>h</w:t>
      </w:r>
      <w:r>
        <w:rPr>
          <w:color w:val="231F20"/>
        </w:rPr>
        <w:t>e</w:t>
      </w:r>
      <w:r>
        <w:rPr>
          <w:color w:val="231F20"/>
          <w:spacing w:val="-10"/>
        </w:rPr>
        <w:t xml:space="preserve"> </w:t>
      </w:r>
      <w:r>
        <w:rPr>
          <w:color w:val="231F20"/>
        </w:rPr>
        <w:t>Company</w:t>
      </w:r>
      <w:r>
        <w:rPr>
          <w:color w:val="231F20"/>
          <w:spacing w:val="-10"/>
        </w:rPr>
        <w:t xml:space="preserve"> </w:t>
      </w:r>
      <w:r>
        <w:rPr>
          <w:color w:val="231F20"/>
        </w:rPr>
        <w:t>does</w:t>
      </w:r>
      <w:r>
        <w:rPr>
          <w:color w:val="231F20"/>
          <w:spacing w:val="-9"/>
        </w:rPr>
        <w:t xml:space="preserve"> </w:t>
      </w:r>
      <w:r>
        <w:rPr>
          <w:color w:val="231F20"/>
        </w:rPr>
        <w:t>not</w:t>
      </w:r>
      <w:r>
        <w:rPr>
          <w:color w:val="231F20"/>
          <w:spacing w:val="-11"/>
        </w:rPr>
        <w:t xml:space="preserve"> </w:t>
      </w:r>
      <w:r>
        <w:rPr>
          <w:color w:val="231F20"/>
        </w:rPr>
        <w:t>curren</w:t>
      </w:r>
      <w:r>
        <w:rPr>
          <w:color w:val="020303"/>
        </w:rPr>
        <w:t>tl</w:t>
      </w:r>
      <w:r>
        <w:rPr>
          <w:color w:val="231F20"/>
        </w:rPr>
        <w:t>y</w:t>
      </w:r>
      <w:r>
        <w:rPr>
          <w:color w:val="231F20"/>
          <w:spacing w:val="-10"/>
        </w:rPr>
        <w:t xml:space="preserve"> </w:t>
      </w:r>
      <w:r>
        <w:rPr>
          <w:color w:val="020303"/>
        </w:rPr>
        <w:t>h</w:t>
      </w:r>
      <w:r>
        <w:rPr>
          <w:color w:val="231F20"/>
        </w:rPr>
        <w:t>ave</w:t>
      </w:r>
      <w:r>
        <w:rPr>
          <w:color w:val="231F20"/>
          <w:spacing w:val="-9"/>
        </w:rPr>
        <w:t xml:space="preserve"> </w:t>
      </w:r>
      <w:r>
        <w:rPr>
          <w:color w:val="231F20"/>
        </w:rPr>
        <w:t>a</w:t>
      </w:r>
      <w:r>
        <w:rPr>
          <w:color w:val="231F20"/>
          <w:spacing w:val="-10"/>
        </w:rPr>
        <w:t xml:space="preserve"> </w:t>
      </w:r>
      <w:r>
        <w:rPr>
          <w:color w:val="231F20"/>
        </w:rPr>
        <w:t>finance</w:t>
      </w:r>
      <w:r>
        <w:rPr>
          <w:color w:val="231F20"/>
          <w:spacing w:val="-9"/>
        </w:rPr>
        <w:t xml:space="preserve"> </w:t>
      </w:r>
      <w:r>
        <w:rPr>
          <w:color w:val="231F20"/>
        </w:rPr>
        <w:t>d</w:t>
      </w:r>
      <w:r>
        <w:rPr>
          <w:color w:val="020303"/>
        </w:rPr>
        <w:t>i</w:t>
      </w:r>
      <w:r>
        <w:rPr>
          <w:color w:val="231F20"/>
        </w:rPr>
        <w:t>rector</w:t>
      </w:r>
      <w:r>
        <w:rPr>
          <w:color w:val="231F20"/>
          <w:spacing w:val="-9"/>
        </w:rPr>
        <w:t xml:space="preserve"> </w:t>
      </w:r>
      <w:r>
        <w:rPr>
          <w:color w:val="231F20"/>
        </w:rPr>
        <w:t>a</w:t>
      </w:r>
      <w:r>
        <w:rPr>
          <w:color w:val="020303"/>
        </w:rPr>
        <w:t>n</w:t>
      </w:r>
      <w:r>
        <w:rPr>
          <w:color w:val="231F20"/>
        </w:rPr>
        <w:t>d</w:t>
      </w:r>
      <w:r>
        <w:rPr>
          <w:color w:val="231F20"/>
          <w:spacing w:val="-10"/>
        </w:rPr>
        <w:t xml:space="preserve"> </w:t>
      </w:r>
      <w:r>
        <w:rPr>
          <w:color w:val="231F20"/>
        </w:rPr>
        <w:t>respo</w:t>
      </w:r>
      <w:r>
        <w:rPr>
          <w:color w:val="020303"/>
        </w:rPr>
        <w:t>n</w:t>
      </w:r>
      <w:r>
        <w:rPr>
          <w:color w:val="231F20"/>
        </w:rPr>
        <w:t>s</w:t>
      </w:r>
      <w:r>
        <w:rPr>
          <w:color w:val="020303"/>
        </w:rPr>
        <w:t>i</w:t>
      </w:r>
      <w:r>
        <w:rPr>
          <w:color w:val="231F20"/>
        </w:rPr>
        <w:t>b</w:t>
      </w:r>
      <w:r>
        <w:rPr>
          <w:color w:val="020303"/>
        </w:rPr>
        <w:t>ili</w:t>
      </w:r>
      <w:r>
        <w:rPr>
          <w:color w:val="231F20"/>
        </w:rPr>
        <w:t>ty</w:t>
      </w:r>
      <w:r>
        <w:rPr>
          <w:color w:val="231F20"/>
          <w:spacing w:val="-10"/>
        </w:rPr>
        <w:t xml:space="preserve"> </w:t>
      </w:r>
      <w:r>
        <w:rPr>
          <w:color w:val="231F20"/>
        </w:rPr>
        <w:t>for</w:t>
      </w:r>
      <w:r>
        <w:rPr>
          <w:color w:val="231F20"/>
          <w:spacing w:val="-9"/>
        </w:rPr>
        <w:t xml:space="preserve"> </w:t>
      </w:r>
      <w:r>
        <w:rPr>
          <w:color w:val="231F20"/>
        </w:rPr>
        <w:t>financia</w:t>
      </w:r>
      <w:r>
        <w:rPr>
          <w:color w:val="020303"/>
        </w:rPr>
        <w:t>l</w:t>
      </w:r>
      <w:r>
        <w:rPr>
          <w:color w:val="020303"/>
          <w:spacing w:val="-12"/>
        </w:rPr>
        <w:t xml:space="preserve"> </w:t>
      </w:r>
      <w:r>
        <w:rPr>
          <w:color w:val="231F20"/>
        </w:rPr>
        <w:t>management</w:t>
      </w:r>
      <w:r>
        <w:rPr>
          <w:color w:val="231F20"/>
          <w:spacing w:val="-9"/>
        </w:rPr>
        <w:t xml:space="preserve"> </w:t>
      </w:r>
      <w:r>
        <w:rPr>
          <w:color w:val="231F20"/>
        </w:rPr>
        <w:t>is</w:t>
      </w:r>
      <w:r>
        <w:rPr>
          <w:color w:val="231F20"/>
          <w:spacing w:val="-8"/>
        </w:rPr>
        <w:t xml:space="preserve"> </w:t>
      </w:r>
      <w:r>
        <w:rPr>
          <w:color w:val="231F20"/>
        </w:rPr>
        <w:t>undertaken by</w:t>
      </w:r>
      <w:r>
        <w:rPr>
          <w:color w:val="231F20"/>
          <w:spacing w:val="-4"/>
        </w:rPr>
        <w:t xml:space="preserve"> </w:t>
      </w:r>
      <w:r>
        <w:rPr>
          <w:color w:val="231F20"/>
        </w:rPr>
        <w:t>the</w:t>
      </w:r>
      <w:r>
        <w:rPr>
          <w:color w:val="231F20"/>
          <w:spacing w:val="-4"/>
        </w:rPr>
        <w:t xml:space="preserve"> </w:t>
      </w:r>
      <w:r>
        <w:rPr>
          <w:color w:val="231F20"/>
        </w:rPr>
        <w:t>Board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whole.</w:t>
      </w:r>
      <w:r>
        <w:rPr>
          <w:color w:val="231F20"/>
          <w:spacing w:val="-4"/>
        </w:rPr>
        <w:t xml:space="preserve"> </w:t>
      </w:r>
      <w:r>
        <w:rPr>
          <w:color w:val="231F20"/>
        </w:rPr>
        <w:t>The</w:t>
      </w:r>
      <w:r>
        <w:rPr>
          <w:color w:val="231F20"/>
          <w:spacing w:val="-4"/>
        </w:rPr>
        <w:t xml:space="preserve"> </w:t>
      </w:r>
      <w:r>
        <w:rPr>
          <w:color w:val="231F20"/>
        </w:rPr>
        <w:t>Company</w:t>
      </w:r>
      <w:r>
        <w:rPr>
          <w:color w:val="231F20"/>
          <w:spacing w:val="-7"/>
        </w:rPr>
        <w:t xml:space="preserve"> </w:t>
      </w:r>
      <w:r>
        <w:rPr>
          <w:color w:val="231F20"/>
        </w:rPr>
        <w:t>has</w:t>
      </w:r>
      <w:r>
        <w:rPr>
          <w:color w:val="231F20"/>
          <w:spacing w:val="-3"/>
        </w:rPr>
        <w:t xml:space="preserve"> </w:t>
      </w:r>
      <w:r>
        <w:rPr>
          <w:color w:val="231F20"/>
        </w:rPr>
        <w:t>engaged</w:t>
      </w:r>
      <w:r>
        <w:rPr>
          <w:color w:val="231F20"/>
          <w:spacing w:val="-4"/>
        </w:rPr>
        <w:t xml:space="preserve"> </w:t>
      </w:r>
      <w:r>
        <w:rPr>
          <w:color w:val="231F20"/>
        </w:rPr>
        <w:t>an</w:t>
      </w:r>
      <w:r>
        <w:rPr>
          <w:color w:val="231F20"/>
          <w:spacing w:val="-4"/>
        </w:rPr>
        <w:t xml:space="preserve"> </w:t>
      </w:r>
      <w:r>
        <w:rPr>
          <w:color w:val="231F20"/>
        </w:rPr>
        <w:t>experienced</w:t>
      </w:r>
      <w:r>
        <w:rPr>
          <w:color w:val="231F20"/>
          <w:spacing w:val="-3"/>
        </w:rPr>
        <w:t xml:space="preserve"> </w:t>
      </w:r>
      <w:r>
        <w:rPr>
          <w:color w:val="231F20"/>
        </w:rPr>
        <w:t>bookkeeper</w:t>
      </w:r>
      <w:r>
        <w:rPr>
          <w:color w:val="231F20"/>
          <w:spacing w:val="-4"/>
        </w:rPr>
        <w:t xml:space="preserve"> </w:t>
      </w:r>
      <w:r>
        <w:rPr>
          <w:color w:val="231F20"/>
        </w:rPr>
        <w:t>to</w:t>
      </w:r>
      <w:r>
        <w:rPr>
          <w:color w:val="231F20"/>
          <w:spacing w:val="-3"/>
        </w:rPr>
        <w:t xml:space="preserve"> </w:t>
      </w:r>
      <w:r>
        <w:rPr>
          <w:color w:val="231F20"/>
        </w:rPr>
        <w:t>prov</w:t>
      </w:r>
      <w:r>
        <w:rPr>
          <w:color w:val="020303"/>
        </w:rPr>
        <w:t>i</w:t>
      </w:r>
      <w:r>
        <w:rPr>
          <w:color w:val="231F20"/>
        </w:rPr>
        <w:t>de</w:t>
      </w:r>
      <w:r>
        <w:rPr>
          <w:color w:val="231F20"/>
          <w:spacing w:val="-2"/>
        </w:rPr>
        <w:t xml:space="preserve"> </w:t>
      </w:r>
      <w:r>
        <w:rPr>
          <w:color w:val="231F20"/>
        </w:rPr>
        <w:t>accounting</w:t>
      </w:r>
      <w:r>
        <w:rPr>
          <w:color w:val="231F20"/>
          <w:spacing w:val="-4"/>
        </w:rPr>
        <w:t xml:space="preserve"> </w:t>
      </w:r>
      <w:r>
        <w:rPr>
          <w:color w:val="231F20"/>
        </w:rPr>
        <w:t>serv</w:t>
      </w:r>
      <w:r>
        <w:rPr>
          <w:color w:val="020303"/>
        </w:rPr>
        <w:t>i</w:t>
      </w:r>
      <w:r>
        <w:rPr>
          <w:color w:val="231F20"/>
        </w:rPr>
        <w:t>ces</w:t>
      </w:r>
      <w:r>
        <w:rPr>
          <w:color w:val="020303"/>
        </w:rPr>
        <w:t xml:space="preserve">. </w:t>
      </w:r>
      <w:r>
        <w:rPr>
          <w:color w:val="231F20"/>
        </w:rPr>
        <w:t>D</w:t>
      </w:r>
      <w:r>
        <w:rPr>
          <w:color w:val="020303"/>
        </w:rPr>
        <w:t>u</w:t>
      </w:r>
      <w:r>
        <w:rPr>
          <w:color w:val="231F20"/>
        </w:rPr>
        <w:t>e to t</w:t>
      </w:r>
      <w:r>
        <w:rPr>
          <w:color w:val="020303"/>
        </w:rPr>
        <w:t>h</w:t>
      </w:r>
      <w:r>
        <w:rPr>
          <w:color w:val="231F20"/>
        </w:rPr>
        <w:t>e lim</w:t>
      </w:r>
      <w:r>
        <w:rPr>
          <w:color w:val="020303"/>
        </w:rPr>
        <w:t>it</w:t>
      </w:r>
      <w:r>
        <w:rPr>
          <w:color w:val="231F20"/>
        </w:rPr>
        <w:t>ed n</w:t>
      </w:r>
      <w:r>
        <w:rPr>
          <w:color w:val="020303"/>
        </w:rPr>
        <w:t>u</w:t>
      </w:r>
      <w:r>
        <w:rPr>
          <w:color w:val="231F20"/>
        </w:rPr>
        <w:t>mber of expected fina</w:t>
      </w:r>
      <w:r>
        <w:rPr>
          <w:color w:val="020303"/>
        </w:rPr>
        <w:t>n</w:t>
      </w:r>
      <w:r>
        <w:rPr>
          <w:color w:val="231F20"/>
        </w:rPr>
        <w:t>cia</w:t>
      </w:r>
      <w:r>
        <w:rPr>
          <w:color w:val="020303"/>
        </w:rPr>
        <w:t xml:space="preserve">l </w:t>
      </w:r>
      <w:r>
        <w:rPr>
          <w:color w:val="231F20"/>
        </w:rPr>
        <w:t>transact</w:t>
      </w:r>
      <w:r>
        <w:rPr>
          <w:color w:val="020303"/>
        </w:rPr>
        <w:t>i</w:t>
      </w:r>
      <w:r>
        <w:rPr>
          <w:color w:val="231F20"/>
        </w:rPr>
        <w:t>ons of the Group and t</w:t>
      </w:r>
      <w:r>
        <w:rPr>
          <w:color w:val="020303"/>
        </w:rPr>
        <w:t>h</w:t>
      </w:r>
      <w:r>
        <w:rPr>
          <w:color w:val="231F20"/>
        </w:rPr>
        <w:t>e f</w:t>
      </w:r>
      <w:r>
        <w:rPr>
          <w:color w:val="020303"/>
        </w:rPr>
        <w:t>i</w:t>
      </w:r>
      <w:r>
        <w:rPr>
          <w:color w:val="231F20"/>
        </w:rPr>
        <w:t>nancia</w:t>
      </w:r>
      <w:r>
        <w:rPr>
          <w:color w:val="020303"/>
        </w:rPr>
        <w:t xml:space="preserve">l </w:t>
      </w:r>
      <w:r>
        <w:rPr>
          <w:color w:val="231F20"/>
        </w:rPr>
        <w:t>expert</w:t>
      </w:r>
      <w:r>
        <w:rPr>
          <w:color w:val="020303"/>
        </w:rPr>
        <w:t>i</w:t>
      </w:r>
      <w:r>
        <w:rPr>
          <w:color w:val="231F20"/>
        </w:rPr>
        <w:t>se of t</w:t>
      </w:r>
      <w:r>
        <w:rPr>
          <w:color w:val="020303"/>
        </w:rPr>
        <w:t>h</w:t>
      </w:r>
      <w:r>
        <w:rPr>
          <w:color w:val="231F20"/>
        </w:rPr>
        <w:t>e Directors, the Directors be</w:t>
      </w:r>
      <w:r>
        <w:rPr>
          <w:color w:val="020303"/>
        </w:rPr>
        <w:t>l</w:t>
      </w:r>
      <w:r>
        <w:rPr>
          <w:color w:val="231F20"/>
        </w:rPr>
        <w:t xml:space="preserve">ieve </w:t>
      </w:r>
      <w:r>
        <w:rPr>
          <w:color w:val="020303"/>
        </w:rPr>
        <w:t>t</w:t>
      </w:r>
      <w:r>
        <w:rPr>
          <w:color w:val="231F20"/>
        </w:rPr>
        <w:t>hese arrangements will continue to be appropr</w:t>
      </w:r>
      <w:r>
        <w:rPr>
          <w:color w:val="020303"/>
        </w:rPr>
        <w:t>i</w:t>
      </w:r>
      <w:r>
        <w:rPr>
          <w:color w:val="231F20"/>
        </w:rPr>
        <w:t>ate for the period immediately following Admission.</w:t>
      </w:r>
    </w:p>
    <w:p w14:paraId="38685199" w14:textId="77777777" w:rsidR="00783288" w:rsidRDefault="00783288">
      <w:pPr>
        <w:pStyle w:val="BodyText"/>
        <w:kinsoku w:val="0"/>
        <w:overflowPunct w:val="0"/>
        <w:spacing w:before="10"/>
        <w:rPr>
          <w:sz w:val="17"/>
          <w:szCs w:val="17"/>
        </w:rPr>
      </w:pPr>
    </w:p>
    <w:p w14:paraId="150F2DFB" w14:textId="77777777" w:rsidR="00783288" w:rsidRDefault="00E31420">
      <w:pPr>
        <w:pStyle w:val="BodyText"/>
        <w:kinsoku w:val="0"/>
        <w:overflowPunct w:val="0"/>
        <w:ind w:left="300"/>
        <w:jc w:val="both"/>
        <w:rPr>
          <w:i/>
          <w:iCs/>
          <w:color w:val="231F20"/>
        </w:rPr>
      </w:pPr>
      <w:r>
        <w:rPr>
          <w:i/>
          <w:iCs/>
          <w:color w:val="231F20"/>
        </w:rPr>
        <w:t>Co</w:t>
      </w:r>
      <w:r>
        <w:rPr>
          <w:i/>
          <w:iCs/>
          <w:color w:val="020303"/>
        </w:rPr>
        <w:t>r</w:t>
      </w:r>
      <w:r>
        <w:rPr>
          <w:i/>
          <w:iCs/>
          <w:color w:val="231F20"/>
        </w:rPr>
        <w:t>porate Governance</w:t>
      </w:r>
    </w:p>
    <w:p w14:paraId="0263B008" w14:textId="77777777" w:rsidR="00783288" w:rsidRDefault="00E31420">
      <w:pPr>
        <w:pStyle w:val="BodyText"/>
        <w:kinsoku w:val="0"/>
        <w:overflowPunct w:val="0"/>
        <w:spacing w:before="177"/>
        <w:ind w:left="300" w:right="1190"/>
        <w:jc w:val="both"/>
        <w:rPr>
          <w:color w:val="020303"/>
        </w:rPr>
      </w:pPr>
      <w:r>
        <w:rPr>
          <w:color w:val="020303"/>
        </w:rPr>
        <w:t>As</w:t>
      </w:r>
      <w:r>
        <w:rPr>
          <w:color w:val="020303"/>
          <w:spacing w:val="-4"/>
        </w:rPr>
        <w:t xml:space="preserve"> </w:t>
      </w:r>
      <w:r>
        <w:rPr>
          <w:color w:val="020303"/>
        </w:rPr>
        <w:t>a</w:t>
      </w:r>
      <w:r>
        <w:rPr>
          <w:color w:val="020303"/>
          <w:spacing w:val="-6"/>
        </w:rPr>
        <w:t xml:space="preserve"> </w:t>
      </w:r>
      <w:r>
        <w:rPr>
          <w:color w:val="020303"/>
        </w:rPr>
        <w:t>company</w:t>
      </w:r>
      <w:r>
        <w:rPr>
          <w:color w:val="020303"/>
          <w:spacing w:val="-6"/>
        </w:rPr>
        <w:t xml:space="preserve"> </w:t>
      </w:r>
      <w:r>
        <w:rPr>
          <w:color w:val="020303"/>
        </w:rPr>
        <w:t>with</w:t>
      </w:r>
      <w:r>
        <w:rPr>
          <w:color w:val="020303"/>
          <w:spacing w:val="-4"/>
        </w:rPr>
        <w:t xml:space="preserve"> </w:t>
      </w:r>
      <w:r>
        <w:rPr>
          <w:color w:val="020303"/>
        </w:rPr>
        <w:t>a</w:t>
      </w:r>
      <w:r>
        <w:rPr>
          <w:color w:val="020303"/>
          <w:spacing w:val="-4"/>
        </w:rPr>
        <w:t xml:space="preserve"> </w:t>
      </w:r>
      <w:r>
        <w:rPr>
          <w:color w:val="020303"/>
        </w:rPr>
        <w:t>Standard</w:t>
      </w:r>
      <w:r>
        <w:rPr>
          <w:color w:val="020303"/>
          <w:spacing w:val="-6"/>
        </w:rPr>
        <w:t xml:space="preserve"> </w:t>
      </w:r>
      <w:r>
        <w:rPr>
          <w:color w:val="020303"/>
        </w:rPr>
        <w:t>Listing,</w:t>
      </w:r>
      <w:r>
        <w:rPr>
          <w:color w:val="020303"/>
          <w:spacing w:val="-4"/>
        </w:rPr>
        <w:t xml:space="preserve"> </w:t>
      </w:r>
      <w:r>
        <w:rPr>
          <w:color w:val="020303"/>
        </w:rPr>
        <w:t>the</w:t>
      </w:r>
      <w:r>
        <w:rPr>
          <w:color w:val="020303"/>
          <w:spacing w:val="-6"/>
        </w:rPr>
        <w:t xml:space="preserve"> </w:t>
      </w:r>
      <w:r>
        <w:rPr>
          <w:color w:val="020303"/>
        </w:rPr>
        <w:t>Company</w:t>
      </w:r>
      <w:r>
        <w:rPr>
          <w:color w:val="020303"/>
          <w:spacing w:val="-6"/>
        </w:rPr>
        <w:t xml:space="preserve"> </w:t>
      </w:r>
      <w:r>
        <w:rPr>
          <w:color w:val="020303"/>
        </w:rPr>
        <w:t>is</w:t>
      </w:r>
      <w:r>
        <w:rPr>
          <w:color w:val="020303"/>
          <w:spacing w:val="-3"/>
        </w:rPr>
        <w:t xml:space="preserve"> </w:t>
      </w:r>
      <w:r>
        <w:rPr>
          <w:color w:val="020303"/>
        </w:rPr>
        <w:t>not</w:t>
      </w:r>
      <w:r>
        <w:rPr>
          <w:color w:val="020303"/>
          <w:spacing w:val="-4"/>
        </w:rPr>
        <w:t xml:space="preserve"> </w:t>
      </w:r>
      <w:r>
        <w:rPr>
          <w:color w:val="020303"/>
        </w:rPr>
        <w:t>required</w:t>
      </w:r>
      <w:r>
        <w:rPr>
          <w:color w:val="020303"/>
          <w:spacing w:val="-6"/>
        </w:rPr>
        <w:t xml:space="preserve"> </w:t>
      </w:r>
      <w:r>
        <w:rPr>
          <w:color w:val="020303"/>
        </w:rPr>
        <w:t>to</w:t>
      </w:r>
      <w:r>
        <w:rPr>
          <w:color w:val="020303"/>
          <w:spacing w:val="-6"/>
        </w:rPr>
        <w:t xml:space="preserve"> </w:t>
      </w:r>
      <w:r>
        <w:rPr>
          <w:color w:val="020303"/>
        </w:rPr>
        <w:t>comply</w:t>
      </w:r>
      <w:r>
        <w:rPr>
          <w:color w:val="020303"/>
          <w:spacing w:val="-6"/>
        </w:rPr>
        <w:t xml:space="preserve"> </w:t>
      </w:r>
      <w:r>
        <w:rPr>
          <w:color w:val="020303"/>
        </w:rPr>
        <w:t>with</w:t>
      </w:r>
      <w:r>
        <w:rPr>
          <w:color w:val="020303"/>
          <w:spacing w:val="-5"/>
        </w:rPr>
        <w:t xml:space="preserve"> </w:t>
      </w:r>
      <w:r>
        <w:rPr>
          <w:color w:val="020303"/>
        </w:rPr>
        <w:t>the</w:t>
      </w:r>
      <w:r>
        <w:rPr>
          <w:color w:val="020303"/>
          <w:spacing w:val="-4"/>
        </w:rPr>
        <w:t xml:space="preserve"> </w:t>
      </w:r>
      <w:r>
        <w:rPr>
          <w:color w:val="020303"/>
        </w:rPr>
        <w:t>provisions</w:t>
      </w:r>
      <w:r>
        <w:rPr>
          <w:color w:val="020303"/>
          <w:spacing w:val="-3"/>
        </w:rPr>
        <w:t xml:space="preserve"> </w:t>
      </w:r>
      <w:r>
        <w:rPr>
          <w:color w:val="020303"/>
        </w:rPr>
        <w:t>of</w:t>
      </w:r>
      <w:r>
        <w:rPr>
          <w:color w:val="020303"/>
          <w:spacing w:val="-4"/>
        </w:rPr>
        <w:t xml:space="preserve"> </w:t>
      </w:r>
      <w:r>
        <w:rPr>
          <w:color w:val="020303"/>
        </w:rPr>
        <w:t>the</w:t>
      </w:r>
      <w:r>
        <w:rPr>
          <w:color w:val="020303"/>
          <w:spacing w:val="-6"/>
        </w:rPr>
        <w:t xml:space="preserve"> </w:t>
      </w:r>
      <w:r>
        <w:rPr>
          <w:color w:val="020303"/>
        </w:rPr>
        <w:t>Corporate Governance Code, which forms a key part of t</w:t>
      </w:r>
      <w:r>
        <w:rPr>
          <w:color w:val="231F20"/>
        </w:rPr>
        <w:t>he corpo</w:t>
      </w:r>
      <w:r>
        <w:rPr>
          <w:color w:val="020303"/>
        </w:rPr>
        <w:t>r</w:t>
      </w:r>
      <w:r>
        <w:rPr>
          <w:color w:val="231F20"/>
        </w:rPr>
        <w:t>ate governance reg</w:t>
      </w:r>
      <w:r>
        <w:rPr>
          <w:color w:val="020303"/>
        </w:rPr>
        <w:t>im</w:t>
      </w:r>
      <w:r>
        <w:rPr>
          <w:color w:val="231F20"/>
        </w:rPr>
        <w:t xml:space="preserve">e for </w:t>
      </w:r>
      <w:r>
        <w:rPr>
          <w:color w:val="020303"/>
        </w:rPr>
        <w:t>E</w:t>
      </w:r>
      <w:r>
        <w:rPr>
          <w:color w:val="231F20"/>
        </w:rPr>
        <w:t>ng</w:t>
      </w:r>
      <w:r>
        <w:rPr>
          <w:color w:val="020303"/>
        </w:rPr>
        <w:t>l</w:t>
      </w:r>
      <w:r>
        <w:rPr>
          <w:color w:val="231F20"/>
        </w:rPr>
        <w:t>and a</w:t>
      </w:r>
      <w:r>
        <w:rPr>
          <w:color w:val="020303"/>
        </w:rPr>
        <w:t>n</w:t>
      </w:r>
      <w:r>
        <w:rPr>
          <w:color w:val="231F20"/>
        </w:rPr>
        <w:t>d Wa</w:t>
      </w:r>
      <w:r>
        <w:rPr>
          <w:color w:val="020303"/>
        </w:rPr>
        <w:t>l</w:t>
      </w:r>
      <w:r>
        <w:rPr>
          <w:color w:val="231F20"/>
        </w:rPr>
        <w:t>es, the Company’s</w:t>
      </w:r>
      <w:r>
        <w:rPr>
          <w:color w:val="231F20"/>
          <w:spacing w:val="-9"/>
        </w:rPr>
        <w:t xml:space="preserve"> </w:t>
      </w:r>
      <w:r>
        <w:rPr>
          <w:color w:val="231F20"/>
        </w:rPr>
        <w:t>coun</w:t>
      </w:r>
      <w:r>
        <w:rPr>
          <w:color w:val="020303"/>
        </w:rPr>
        <w:t>t</w:t>
      </w:r>
      <w:r>
        <w:rPr>
          <w:color w:val="231F20"/>
        </w:rPr>
        <w:t>ry</w:t>
      </w:r>
      <w:r>
        <w:rPr>
          <w:color w:val="231F20"/>
          <w:spacing w:val="-9"/>
        </w:rPr>
        <w:t xml:space="preserve"> </w:t>
      </w:r>
      <w:r>
        <w:rPr>
          <w:color w:val="231F20"/>
        </w:rPr>
        <w:t>of</w:t>
      </w:r>
      <w:r>
        <w:rPr>
          <w:color w:val="231F20"/>
          <w:spacing w:val="-7"/>
        </w:rPr>
        <w:t xml:space="preserve"> </w:t>
      </w:r>
      <w:r>
        <w:rPr>
          <w:color w:val="231F20"/>
        </w:rPr>
        <w:t>i</w:t>
      </w:r>
      <w:r>
        <w:rPr>
          <w:color w:val="020303"/>
        </w:rPr>
        <w:t>n</w:t>
      </w:r>
      <w:r>
        <w:rPr>
          <w:color w:val="231F20"/>
        </w:rPr>
        <w:t>co</w:t>
      </w:r>
      <w:r>
        <w:rPr>
          <w:color w:val="020303"/>
        </w:rPr>
        <w:t>r</w:t>
      </w:r>
      <w:r>
        <w:rPr>
          <w:color w:val="231F20"/>
        </w:rPr>
        <w:t>poration.</w:t>
      </w:r>
      <w:r>
        <w:rPr>
          <w:color w:val="231F20"/>
          <w:spacing w:val="-7"/>
        </w:rPr>
        <w:t xml:space="preserve"> </w:t>
      </w:r>
      <w:r>
        <w:rPr>
          <w:color w:val="231F20"/>
        </w:rPr>
        <w:t>In</w:t>
      </w:r>
      <w:r>
        <w:rPr>
          <w:color w:val="231F20"/>
          <w:spacing w:val="-7"/>
        </w:rPr>
        <w:t xml:space="preserve"> </w:t>
      </w:r>
      <w:r>
        <w:rPr>
          <w:color w:val="231F20"/>
        </w:rPr>
        <w:t>the</w:t>
      </w:r>
      <w:r>
        <w:rPr>
          <w:color w:val="231F20"/>
          <w:spacing w:val="-10"/>
        </w:rPr>
        <w:t xml:space="preserve"> </w:t>
      </w:r>
      <w:r>
        <w:rPr>
          <w:color w:val="231F20"/>
        </w:rPr>
        <w:t>interests</w:t>
      </w:r>
      <w:r>
        <w:rPr>
          <w:color w:val="231F20"/>
          <w:spacing w:val="-7"/>
        </w:rPr>
        <w:t xml:space="preserve"> </w:t>
      </w:r>
      <w:r>
        <w:rPr>
          <w:color w:val="231F20"/>
        </w:rPr>
        <w:t>of</w:t>
      </w:r>
      <w:r>
        <w:rPr>
          <w:color w:val="231F20"/>
          <w:spacing w:val="-10"/>
        </w:rPr>
        <w:t xml:space="preserve"> </w:t>
      </w:r>
      <w:r>
        <w:rPr>
          <w:color w:val="231F20"/>
        </w:rPr>
        <w:t>observing</w:t>
      </w:r>
      <w:r>
        <w:rPr>
          <w:color w:val="231F20"/>
          <w:spacing w:val="-7"/>
        </w:rPr>
        <w:t xml:space="preserve"> </w:t>
      </w:r>
      <w:r>
        <w:rPr>
          <w:color w:val="231F20"/>
        </w:rPr>
        <w:t>best</w:t>
      </w:r>
      <w:r>
        <w:rPr>
          <w:color w:val="231F20"/>
          <w:spacing w:val="-9"/>
        </w:rPr>
        <w:t xml:space="preserve"> </w:t>
      </w:r>
      <w:r>
        <w:rPr>
          <w:color w:val="231F20"/>
        </w:rPr>
        <w:t>practice</w:t>
      </w:r>
      <w:r>
        <w:rPr>
          <w:color w:val="231F20"/>
          <w:spacing w:val="-7"/>
        </w:rPr>
        <w:t xml:space="preserve"> </w:t>
      </w:r>
      <w:r>
        <w:rPr>
          <w:color w:val="231F20"/>
        </w:rPr>
        <w:t>on</w:t>
      </w:r>
      <w:r>
        <w:rPr>
          <w:color w:val="231F20"/>
          <w:spacing w:val="-7"/>
        </w:rPr>
        <w:t xml:space="preserve"> </w:t>
      </w:r>
      <w:r>
        <w:rPr>
          <w:color w:val="231F20"/>
        </w:rPr>
        <w:t>corporate</w:t>
      </w:r>
      <w:r>
        <w:rPr>
          <w:color w:val="231F20"/>
          <w:spacing w:val="-10"/>
        </w:rPr>
        <w:t xml:space="preserve"> </w:t>
      </w:r>
      <w:r>
        <w:rPr>
          <w:color w:val="231F20"/>
        </w:rPr>
        <w:t>governance,</w:t>
      </w:r>
      <w:r>
        <w:rPr>
          <w:color w:val="231F20"/>
          <w:spacing w:val="-10"/>
        </w:rPr>
        <w:t xml:space="preserve"> </w:t>
      </w:r>
      <w:r>
        <w:rPr>
          <w:color w:val="231F20"/>
        </w:rPr>
        <w:t xml:space="preserve">however, </w:t>
      </w:r>
      <w:r>
        <w:rPr>
          <w:color w:val="020303"/>
        </w:rPr>
        <w:t>t</w:t>
      </w:r>
      <w:r>
        <w:rPr>
          <w:color w:val="231F20"/>
        </w:rPr>
        <w:t>he Company w</w:t>
      </w:r>
      <w:r>
        <w:rPr>
          <w:color w:val="020303"/>
        </w:rPr>
        <w:t>il</w:t>
      </w:r>
      <w:r>
        <w:rPr>
          <w:color w:val="231F20"/>
        </w:rPr>
        <w:t>l obse</w:t>
      </w:r>
      <w:r>
        <w:rPr>
          <w:color w:val="020303"/>
        </w:rPr>
        <w:t>r</w:t>
      </w:r>
      <w:r>
        <w:rPr>
          <w:color w:val="231F20"/>
        </w:rPr>
        <w:t>ve the requirements o</w:t>
      </w:r>
      <w:r>
        <w:rPr>
          <w:color w:val="020303"/>
        </w:rPr>
        <w:t xml:space="preserve">f </w:t>
      </w:r>
      <w:r>
        <w:rPr>
          <w:color w:val="231F20"/>
        </w:rPr>
        <w:t>the Corporate Governance Code, insofar as the Board considers appropriate,</w:t>
      </w:r>
      <w:r>
        <w:rPr>
          <w:color w:val="231F20"/>
          <w:spacing w:val="-4"/>
        </w:rPr>
        <w:t xml:space="preserve"> </w:t>
      </w:r>
      <w:r>
        <w:rPr>
          <w:color w:val="231F20"/>
        </w:rPr>
        <w:t>having</w:t>
      </w:r>
      <w:r>
        <w:rPr>
          <w:color w:val="231F20"/>
          <w:spacing w:val="-4"/>
        </w:rPr>
        <w:t xml:space="preserve"> </w:t>
      </w:r>
      <w:r>
        <w:rPr>
          <w:color w:val="231F20"/>
        </w:rPr>
        <w:t>regard</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size</w:t>
      </w:r>
      <w:r>
        <w:rPr>
          <w:color w:val="231F20"/>
          <w:spacing w:val="-4"/>
        </w:rPr>
        <w:t xml:space="preserve"> </w:t>
      </w:r>
      <w:r>
        <w:rPr>
          <w:color w:val="231F20"/>
        </w:rPr>
        <w:t>and</w:t>
      </w:r>
      <w:r>
        <w:rPr>
          <w:color w:val="231F20"/>
          <w:spacing w:val="-4"/>
        </w:rPr>
        <w:t xml:space="preserve"> </w:t>
      </w:r>
      <w:r>
        <w:rPr>
          <w:color w:val="231F20"/>
        </w:rPr>
        <w:t>nature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Group and</w:t>
      </w:r>
      <w:r>
        <w:rPr>
          <w:color w:val="231F20"/>
          <w:spacing w:val="-1"/>
        </w:rPr>
        <w:t xml:space="preserve"> </w:t>
      </w:r>
      <w:r>
        <w:rPr>
          <w:color w:val="231F20"/>
        </w:rPr>
        <w:t>the</w:t>
      </w:r>
      <w:r>
        <w:rPr>
          <w:color w:val="231F20"/>
          <w:spacing w:val="-4"/>
        </w:rPr>
        <w:t xml:space="preserve"> </w:t>
      </w:r>
      <w:r>
        <w:rPr>
          <w:color w:val="231F20"/>
        </w:rPr>
        <w:t>composition</w:t>
      </w:r>
      <w:r>
        <w:rPr>
          <w:color w:val="231F20"/>
          <w:spacing w:val="-3"/>
        </w:rPr>
        <w:t xml:space="preserve"> </w:t>
      </w:r>
      <w:r>
        <w:rPr>
          <w:color w:val="231F20"/>
        </w:rPr>
        <w:t>of</w:t>
      </w:r>
      <w:r>
        <w:rPr>
          <w:color w:val="231F20"/>
          <w:spacing w:val="-4"/>
        </w:rPr>
        <w:t xml:space="preserve"> </w:t>
      </w:r>
      <w:r>
        <w:rPr>
          <w:color w:val="231F20"/>
        </w:rPr>
        <w:t>the Board.</w:t>
      </w:r>
      <w:r>
        <w:rPr>
          <w:color w:val="231F20"/>
          <w:spacing w:val="-4"/>
        </w:rPr>
        <w:t xml:space="preserve"> </w:t>
      </w:r>
      <w:r>
        <w:rPr>
          <w:color w:val="231F20"/>
        </w:rPr>
        <w:t>As</w:t>
      </w:r>
      <w:r>
        <w:rPr>
          <w:color w:val="231F20"/>
          <w:spacing w:val="-3"/>
        </w:rPr>
        <w:t xml:space="preserve"> </w:t>
      </w:r>
      <w:r>
        <w:rPr>
          <w:color w:val="231F20"/>
        </w:rPr>
        <w:t>at</w:t>
      </w:r>
      <w:r>
        <w:rPr>
          <w:color w:val="231F20"/>
          <w:spacing w:val="-3"/>
        </w:rPr>
        <w:t xml:space="preserve"> </w:t>
      </w:r>
      <w:r>
        <w:rPr>
          <w:color w:val="231F20"/>
        </w:rPr>
        <w:t>the</w:t>
      </w:r>
      <w:r>
        <w:rPr>
          <w:color w:val="231F20"/>
          <w:spacing w:val="-4"/>
        </w:rPr>
        <w:t xml:space="preserve"> </w:t>
      </w:r>
      <w:r>
        <w:rPr>
          <w:color w:val="231F20"/>
        </w:rPr>
        <w:t>date</w:t>
      </w:r>
      <w:r>
        <w:rPr>
          <w:color w:val="231F20"/>
          <w:spacing w:val="-3"/>
        </w:rPr>
        <w:t xml:space="preserve"> </w:t>
      </w:r>
      <w:r>
        <w:rPr>
          <w:color w:val="231F20"/>
        </w:rPr>
        <w:t xml:space="preserve">of this Document, the Company is </w:t>
      </w:r>
      <w:r>
        <w:rPr>
          <w:color w:val="020303"/>
        </w:rPr>
        <w:t>i</w:t>
      </w:r>
      <w:r>
        <w:rPr>
          <w:color w:val="231F20"/>
        </w:rPr>
        <w:t>n compliance w</w:t>
      </w:r>
      <w:r>
        <w:rPr>
          <w:color w:val="020303"/>
        </w:rPr>
        <w:t>i</w:t>
      </w:r>
      <w:r>
        <w:rPr>
          <w:color w:val="231F20"/>
        </w:rPr>
        <w:t>t</w:t>
      </w:r>
      <w:r>
        <w:rPr>
          <w:color w:val="020303"/>
        </w:rPr>
        <w:t xml:space="preserve">h </w:t>
      </w:r>
      <w:r>
        <w:rPr>
          <w:color w:val="231F20"/>
        </w:rPr>
        <w:t>t</w:t>
      </w:r>
      <w:r>
        <w:rPr>
          <w:color w:val="020303"/>
        </w:rPr>
        <w:t>h</w:t>
      </w:r>
      <w:r>
        <w:rPr>
          <w:color w:val="231F20"/>
        </w:rPr>
        <w:t xml:space="preserve">e Corporate Governance Code with the exception that </w:t>
      </w:r>
      <w:r>
        <w:rPr>
          <w:color w:val="020303"/>
          <w:spacing w:val="-2"/>
        </w:rPr>
        <w:t xml:space="preserve">the </w:t>
      </w:r>
      <w:r>
        <w:rPr>
          <w:color w:val="020303"/>
        </w:rPr>
        <w:t>Company</w:t>
      </w:r>
      <w:r>
        <w:rPr>
          <w:color w:val="020303"/>
          <w:spacing w:val="-9"/>
        </w:rPr>
        <w:t xml:space="preserve"> </w:t>
      </w:r>
      <w:r>
        <w:rPr>
          <w:color w:val="020303"/>
        </w:rPr>
        <w:t>does</w:t>
      </w:r>
      <w:r>
        <w:rPr>
          <w:color w:val="020303"/>
          <w:spacing w:val="-7"/>
        </w:rPr>
        <w:t xml:space="preserve"> </w:t>
      </w:r>
      <w:r>
        <w:rPr>
          <w:color w:val="020303"/>
        </w:rPr>
        <w:t>not</w:t>
      </w:r>
      <w:r>
        <w:rPr>
          <w:color w:val="020303"/>
          <w:spacing w:val="-10"/>
        </w:rPr>
        <w:t xml:space="preserve"> </w:t>
      </w:r>
      <w:r>
        <w:rPr>
          <w:color w:val="020303"/>
        </w:rPr>
        <w:t>comply</w:t>
      </w:r>
      <w:r>
        <w:rPr>
          <w:color w:val="020303"/>
          <w:spacing w:val="-8"/>
        </w:rPr>
        <w:t xml:space="preserve"> </w:t>
      </w:r>
      <w:r>
        <w:rPr>
          <w:color w:val="020303"/>
        </w:rPr>
        <w:t>with</w:t>
      </w:r>
      <w:r>
        <w:rPr>
          <w:color w:val="020303"/>
          <w:spacing w:val="-7"/>
        </w:rPr>
        <w:t xml:space="preserve"> </w:t>
      </w:r>
      <w:r>
        <w:rPr>
          <w:color w:val="020303"/>
        </w:rPr>
        <w:t>the</w:t>
      </w:r>
      <w:r>
        <w:rPr>
          <w:color w:val="020303"/>
          <w:spacing w:val="-7"/>
        </w:rPr>
        <w:t xml:space="preserve"> </w:t>
      </w:r>
      <w:r>
        <w:rPr>
          <w:color w:val="020303"/>
        </w:rPr>
        <w:t>requirements</w:t>
      </w:r>
      <w:r>
        <w:rPr>
          <w:color w:val="020303"/>
          <w:spacing w:val="-7"/>
        </w:rPr>
        <w:t xml:space="preserve"> </w:t>
      </w:r>
      <w:r>
        <w:rPr>
          <w:color w:val="020303"/>
        </w:rPr>
        <w:t>of</w:t>
      </w:r>
      <w:r>
        <w:rPr>
          <w:color w:val="020303"/>
          <w:spacing w:val="-9"/>
        </w:rPr>
        <w:t xml:space="preserve"> </w:t>
      </w:r>
      <w:r>
        <w:rPr>
          <w:color w:val="020303"/>
        </w:rPr>
        <w:t>the</w:t>
      </w:r>
      <w:r>
        <w:rPr>
          <w:color w:val="020303"/>
          <w:spacing w:val="-7"/>
        </w:rPr>
        <w:t xml:space="preserve"> </w:t>
      </w:r>
      <w:r>
        <w:rPr>
          <w:color w:val="020303"/>
        </w:rPr>
        <w:t>Corporate</w:t>
      </w:r>
      <w:r>
        <w:rPr>
          <w:color w:val="020303"/>
          <w:spacing w:val="-6"/>
        </w:rPr>
        <w:t xml:space="preserve"> </w:t>
      </w:r>
      <w:r>
        <w:rPr>
          <w:color w:val="020303"/>
        </w:rPr>
        <w:t>Governance</w:t>
      </w:r>
      <w:r>
        <w:rPr>
          <w:color w:val="020303"/>
          <w:spacing w:val="-7"/>
        </w:rPr>
        <w:t xml:space="preserve"> </w:t>
      </w:r>
      <w:r>
        <w:rPr>
          <w:color w:val="020303"/>
        </w:rPr>
        <w:t>Code</w:t>
      </w:r>
      <w:r>
        <w:rPr>
          <w:color w:val="020303"/>
          <w:spacing w:val="-9"/>
        </w:rPr>
        <w:t xml:space="preserve"> </w:t>
      </w:r>
      <w:r>
        <w:rPr>
          <w:color w:val="020303"/>
        </w:rPr>
        <w:t>in</w:t>
      </w:r>
      <w:r>
        <w:rPr>
          <w:color w:val="020303"/>
          <w:spacing w:val="-10"/>
        </w:rPr>
        <w:t xml:space="preserve"> </w:t>
      </w:r>
      <w:r>
        <w:rPr>
          <w:color w:val="020303"/>
        </w:rPr>
        <w:t>relation</w:t>
      </w:r>
      <w:r>
        <w:rPr>
          <w:color w:val="020303"/>
          <w:spacing w:val="-7"/>
        </w:rPr>
        <w:t xml:space="preserve"> </w:t>
      </w:r>
      <w:r>
        <w:rPr>
          <w:color w:val="020303"/>
        </w:rPr>
        <w:t>to</w:t>
      </w:r>
      <w:r>
        <w:rPr>
          <w:color w:val="020303"/>
          <w:spacing w:val="-6"/>
        </w:rPr>
        <w:t xml:space="preserve"> </w:t>
      </w:r>
      <w:r>
        <w:rPr>
          <w:color w:val="020303"/>
        </w:rPr>
        <w:t>the</w:t>
      </w:r>
      <w:r>
        <w:rPr>
          <w:color w:val="020303"/>
          <w:spacing w:val="-7"/>
        </w:rPr>
        <w:t xml:space="preserve"> </w:t>
      </w:r>
      <w:r>
        <w:rPr>
          <w:color w:val="020303"/>
        </w:rPr>
        <w:t>requirement to have a senior independent</w:t>
      </w:r>
      <w:r>
        <w:rPr>
          <w:color w:val="020303"/>
          <w:spacing w:val="-5"/>
        </w:rPr>
        <w:t xml:space="preserve"> </w:t>
      </w:r>
      <w:r>
        <w:rPr>
          <w:color w:val="020303"/>
        </w:rPr>
        <w:t>director.</w:t>
      </w:r>
    </w:p>
    <w:p w14:paraId="4564DF13" w14:textId="77777777" w:rsidR="00783288" w:rsidRDefault="00783288">
      <w:pPr>
        <w:pStyle w:val="BodyText"/>
        <w:kinsoku w:val="0"/>
        <w:overflowPunct w:val="0"/>
        <w:spacing w:before="2"/>
      </w:pPr>
    </w:p>
    <w:p w14:paraId="49CEB046" w14:textId="77777777" w:rsidR="00783288" w:rsidRDefault="00E31420">
      <w:pPr>
        <w:pStyle w:val="BodyText"/>
        <w:kinsoku w:val="0"/>
        <w:overflowPunct w:val="0"/>
        <w:ind w:left="300"/>
        <w:jc w:val="both"/>
        <w:rPr>
          <w:color w:val="231F20"/>
        </w:rPr>
      </w:pPr>
      <w:r>
        <w:rPr>
          <w:color w:val="231F20"/>
        </w:rPr>
        <w:t>The Company has in place an audit and remuneration committee, the particulars of which are as follows:</w:t>
      </w:r>
    </w:p>
    <w:p w14:paraId="194D4C24" w14:textId="77777777" w:rsidR="00783288" w:rsidRDefault="00783288">
      <w:pPr>
        <w:pStyle w:val="BodyText"/>
        <w:kinsoku w:val="0"/>
        <w:overflowPunct w:val="0"/>
        <w:spacing w:before="10"/>
        <w:rPr>
          <w:sz w:val="17"/>
          <w:szCs w:val="17"/>
        </w:rPr>
      </w:pPr>
    </w:p>
    <w:p w14:paraId="456ECB55" w14:textId="3987BA16" w:rsidR="00783288" w:rsidRDefault="00E31420">
      <w:pPr>
        <w:pStyle w:val="BodyText"/>
        <w:kinsoku w:val="0"/>
        <w:overflowPunct w:val="0"/>
        <w:ind w:left="300" w:right="1190"/>
        <w:jc w:val="both"/>
        <w:rPr>
          <w:color w:val="020303"/>
        </w:rPr>
      </w:pPr>
      <w:r>
        <w:rPr>
          <w:color w:val="020303"/>
        </w:rPr>
        <w:t>The audit committee will comprise Peter Damouni (as chairman)</w:t>
      </w:r>
      <w:r w:rsidR="002D4CD0">
        <w:rPr>
          <w:color w:val="020303"/>
        </w:rPr>
        <w:t xml:space="preserve">, </w:t>
      </w:r>
      <w:r>
        <w:rPr>
          <w:color w:val="020303"/>
        </w:rPr>
        <w:t>David Cliff</w:t>
      </w:r>
      <w:r w:rsidR="004D2765">
        <w:rPr>
          <w:color w:val="020303"/>
        </w:rPr>
        <w:t xml:space="preserve"> and Ajay</w:t>
      </w:r>
      <w:r w:rsidR="00BF5B86">
        <w:rPr>
          <w:color w:val="020303"/>
        </w:rPr>
        <w:t xml:space="preserve"> Kejriwal</w:t>
      </w:r>
      <w:r>
        <w:rPr>
          <w:color w:val="020303"/>
        </w:rPr>
        <w:t xml:space="preserve"> and will meet normally not less than twice each year. The audit committee will be responsible for making recommendations to the Board on the appointment</w:t>
      </w:r>
      <w:r>
        <w:rPr>
          <w:color w:val="020303"/>
          <w:spacing w:val="-17"/>
        </w:rPr>
        <w:t xml:space="preserve"> </w:t>
      </w:r>
      <w:r>
        <w:rPr>
          <w:color w:val="020303"/>
        </w:rPr>
        <w:t>of</w:t>
      </w:r>
      <w:r>
        <w:rPr>
          <w:color w:val="020303"/>
          <w:spacing w:val="-15"/>
        </w:rPr>
        <w:t xml:space="preserve"> </w:t>
      </w:r>
      <w:r>
        <w:rPr>
          <w:color w:val="020303"/>
        </w:rPr>
        <w:t>auditors</w:t>
      </w:r>
      <w:r>
        <w:rPr>
          <w:color w:val="020303"/>
          <w:spacing w:val="-15"/>
        </w:rPr>
        <w:t xml:space="preserve"> </w:t>
      </w:r>
      <w:r>
        <w:rPr>
          <w:color w:val="020303"/>
        </w:rPr>
        <w:t>and</w:t>
      </w:r>
      <w:r>
        <w:rPr>
          <w:color w:val="020303"/>
          <w:spacing w:val="-17"/>
        </w:rPr>
        <w:t xml:space="preserve"> </w:t>
      </w:r>
      <w:r>
        <w:rPr>
          <w:color w:val="020303"/>
        </w:rPr>
        <w:t>the</w:t>
      </w:r>
      <w:r>
        <w:rPr>
          <w:color w:val="020303"/>
          <w:spacing w:val="-14"/>
        </w:rPr>
        <w:t xml:space="preserve"> </w:t>
      </w:r>
      <w:r>
        <w:rPr>
          <w:color w:val="020303"/>
        </w:rPr>
        <w:t>audit</w:t>
      </w:r>
      <w:r>
        <w:rPr>
          <w:color w:val="020303"/>
          <w:spacing w:val="-15"/>
        </w:rPr>
        <w:t xml:space="preserve"> </w:t>
      </w:r>
      <w:r>
        <w:rPr>
          <w:color w:val="020303"/>
        </w:rPr>
        <w:t>fee</w:t>
      </w:r>
      <w:r>
        <w:rPr>
          <w:color w:val="020303"/>
          <w:spacing w:val="-13"/>
        </w:rPr>
        <w:t xml:space="preserve"> </w:t>
      </w:r>
      <w:r>
        <w:rPr>
          <w:color w:val="020303"/>
        </w:rPr>
        <w:t>and</w:t>
      </w:r>
      <w:r>
        <w:rPr>
          <w:color w:val="020303"/>
          <w:spacing w:val="-14"/>
        </w:rPr>
        <w:t xml:space="preserve"> </w:t>
      </w:r>
      <w:r>
        <w:rPr>
          <w:color w:val="020303"/>
        </w:rPr>
        <w:t>for</w:t>
      </w:r>
      <w:r>
        <w:rPr>
          <w:color w:val="020303"/>
          <w:spacing w:val="-15"/>
        </w:rPr>
        <w:t xml:space="preserve"> </w:t>
      </w:r>
      <w:r>
        <w:rPr>
          <w:color w:val="020303"/>
        </w:rPr>
        <w:t>ensuring</w:t>
      </w:r>
      <w:r>
        <w:rPr>
          <w:color w:val="020303"/>
          <w:spacing w:val="-14"/>
        </w:rPr>
        <w:t xml:space="preserve"> </w:t>
      </w:r>
      <w:r>
        <w:rPr>
          <w:color w:val="020303"/>
        </w:rPr>
        <w:t>that</w:t>
      </w:r>
      <w:r>
        <w:rPr>
          <w:color w:val="020303"/>
          <w:spacing w:val="-13"/>
        </w:rPr>
        <w:t xml:space="preserve"> </w:t>
      </w:r>
      <w:r>
        <w:rPr>
          <w:color w:val="020303"/>
        </w:rPr>
        <w:t>the</w:t>
      </w:r>
      <w:r>
        <w:rPr>
          <w:color w:val="020303"/>
          <w:spacing w:val="-13"/>
        </w:rPr>
        <w:t xml:space="preserve"> </w:t>
      </w:r>
      <w:r>
        <w:rPr>
          <w:color w:val="020303"/>
        </w:rPr>
        <w:t>financial</w:t>
      </w:r>
      <w:r>
        <w:rPr>
          <w:color w:val="020303"/>
          <w:spacing w:val="-17"/>
        </w:rPr>
        <w:t xml:space="preserve"> </w:t>
      </w:r>
      <w:r>
        <w:rPr>
          <w:color w:val="020303"/>
        </w:rPr>
        <w:t>performance</w:t>
      </w:r>
      <w:r>
        <w:rPr>
          <w:color w:val="020303"/>
          <w:spacing w:val="-16"/>
        </w:rPr>
        <w:t xml:space="preserve"> </w:t>
      </w:r>
      <w:r>
        <w:rPr>
          <w:color w:val="020303"/>
        </w:rPr>
        <w:t>of</w:t>
      </w:r>
      <w:r>
        <w:rPr>
          <w:color w:val="020303"/>
          <w:spacing w:val="-15"/>
        </w:rPr>
        <w:t xml:space="preserve"> </w:t>
      </w:r>
      <w:r>
        <w:rPr>
          <w:color w:val="020303"/>
        </w:rPr>
        <w:t>the</w:t>
      </w:r>
      <w:r>
        <w:rPr>
          <w:color w:val="020303"/>
          <w:spacing w:val="-14"/>
        </w:rPr>
        <w:t xml:space="preserve"> </w:t>
      </w:r>
      <w:r>
        <w:rPr>
          <w:color w:val="020303"/>
        </w:rPr>
        <w:t>Company</w:t>
      </w:r>
      <w:r>
        <w:rPr>
          <w:color w:val="020303"/>
          <w:spacing w:val="-16"/>
        </w:rPr>
        <w:t xml:space="preserve"> </w:t>
      </w:r>
      <w:r>
        <w:rPr>
          <w:color w:val="020303"/>
        </w:rPr>
        <w:t>is</w:t>
      </w:r>
      <w:r>
        <w:rPr>
          <w:color w:val="020303"/>
          <w:spacing w:val="-13"/>
        </w:rPr>
        <w:t xml:space="preserve"> </w:t>
      </w:r>
      <w:r>
        <w:rPr>
          <w:color w:val="020303"/>
        </w:rPr>
        <w:t>properly monitored</w:t>
      </w:r>
      <w:r>
        <w:rPr>
          <w:color w:val="020303"/>
          <w:spacing w:val="-10"/>
        </w:rPr>
        <w:t xml:space="preserve"> </w:t>
      </w:r>
      <w:r>
        <w:rPr>
          <w:color w:val="020303"/>
        </w:rPr>
        <w:t>and</w:t>
      </w:r>
      <w:r>
        <w:rPr>
          <w:color w:val="020303"/>
          <w:spacing w:val="-6"/>
        </w:rPr>
        <w:t xml:space="preserve"> </w:t>
      </w:r>
      <w:r>
        <w:rPr>
          <w:color w:val="020303"/>
        </w:rPr>
        <w:t>reported.</w:t>
      </w:r>
      <w:r>
        <w:rPr>
          <w:color w:val="020303"/>
          <w:spacing w:val="-6"/>
        </w:rPr>
        <w:t xml:space="preserve"> </w:t>
      </w:r>
      <w:r>
        <w:rPr>
          <w:color w:val="020303"/>
        </w:rPr>
        <w:t>In</w:t>
      </w:r>
      <w:r>
        <w:rPr>
          <w:color w:val="020303"/>
          <w:spacing w:val="-10"/>
        </w:rPr>
        <w:t xml:space="preserve"> </w:t>
      </w:r>
      <w:r>
        <w:rPr>
          <w:color w:val="020303"/>
        </w:rPr>
        <w:t>addition,</w:t>
      </w:r>
      <w:r>
        <w:rPr>
          <w:color w:val="020303"/>
          <w:spacing w:val="-6"/>
        </w:rPr>
        <w:t xml:space="preserve"> </w:t>
      </w:r>
      <w:r>
        <w:rPr>
          <w:color w:val="020303"/>
        </w:rPr>
        <w:t>the</w:t>
      </w:r>
      <w:r>
        <w:rPr>
          <w:color w:val="020303"/>
          <w:spacing w:val="-6"/>
        </w:rPr>
        <w:t xml:space="preserve"> </w:t>
      </w:r>
      <w:r>
        <w:rPr>
          <w:color w:val="020303"/>
        </w:rPr>
        <w:t>audit</w:t>
      </w:r>
      <w:r>
        <w:rPr>
          <w:color w:val="020303"/>
          <w:spacing w:val="-7"/>
        </w:rPr>
        <w:t xml:space="preserve"> </w:t>
      </w:r>
      <w:r>
        <w:rPr>
          <w:color w:val="020303"/>
        </w:rPr>
        <w:t>committee</w:t>
      </w:r>
      <w:r>
        <w:rPr>
          <w:color w:val="020303"/>
          <w:spacing w:val="-6"/>
        </w:rPr>
        <w:t xml:space="preserve"> </w:t>
      </w:r>
      <w:r>
        <w:rPr>
          <w:color w:val="020303"/>
        </w:rPr>
        <w:t>will</w:t>
      </w:r>
      <w:r>
        <w:rPr>
          <w:color w:val="020303"/>
          <w:spacing w:val="-6"/>
        </w:rPr>
        <w:t xml:space="preserve"> </w:t>
      </w:r>
      <w:r>
        <w:rPr>
          <w:color w:val="020303"/>
        </w:rPr>
        <w:t>receive</w:t>
      </w:r>
      <w:r>
        <w:rPr>
          <w:color w:val="020303"/>
          <w:spacing w:val="-7"/>
        </w:rPr>
        <w:t xml:space="preserve"> </w:t>
      </w:r>
      <w:r>
        <w:rPr>
          <w:color w:val="020303"/>
        </w:rPr>
        <w:t>and</w:t>
      </w:r>
      <w:r>
        <w:rPr>
          <w:color w:val="020303"/>
          <w:spacing w:val="-6"/>
        </w:rPr>
        <w:t xml:space="preserve"> </w:t>
      </w:r>
      <w:r>
        <w:rPr>
          <w:color w:val="020303"/>
        </w:rPr>
        <w:t>review</w:t>
      </w:r>
      <w:r>
        <w:rPr>
          <w:color w:val="020303"/>
          <w:spacing w:val="-10"/>
        </w:rPr>
        <w:t xml:space="preserve"> </w:t>
      </w:r>
      <w:r>
        <w:rPr>
          <w:color w:val="020303"/>
        </w:rPr>
        <w:t>reports</w:t>
      </w:r>
      <w:r>
        <w:rPr>
          <w:color w:val="020303"/>
          <w:spacing w:val="-7"/>
        </w:rPr>
        <w:t xml:space="preserve"> </w:t>
      </w:r>
      <w:r>
        <w:rPr>
          <w:color w:val="020303"/>
        </w:rPr>
        <w:t>from</w:t>
      </w:r>
      <w:r>
        <w:rPr>
          <w:color w:val="020303"/>
          <w:spacing w:val="-8"/>
        </w:rPr>
        <w:t xml:space="preserve"> </w:t>
      </w:r>
      <w:r>
        <w:rPr>
          <w:color w:val="020303"/>
        </w:rPr>
        <w:t>management</w:t>
      </w:r>
      <w:r>
        <w:rPr>
          <w:color w:val="020303"/>
          <w:spacing w:val="-6"/>
        </w:rPr>
        <w:t xml:space="preserve"> </w:t>
      </w:r>
      <w:r>
        <w:rPr>
          <w:color w:val="020303"/>
        </w:rPr>
        <w:t>and</w:t>
      </w:r>
      <w:r>
        <w:rPr>
          <w:color w:val="020303"/>
          <w:spacing w:val="-7"/>
        </w:rPr>
        <w:t xml:space="preserve"> </w:t>
      </w:r>
      <w:r>
        <w:rPr>
          <w:color w:val="020303"/>
        </w:rPr>
        <w:t>the auditors relating to the interim report, the annual report and financial statements and the internal control systems of the Company.</w:t>
      </w:r>
    </w:p>
    <w:p w14:paraId="467B55F1" w14:textId="77777777" w:rsidR="00783288" w:rsidRDefault="00783288">
      <w:pPr>
        <w:pStyle w:val="BodyText"/>
        <w:kinsoku w:val="0"/>
        <w:overflowPunct w:val="0"/>
      </w:pPr>
    </w:p>
    <w:p w14:paraId="049CE522" w14:textId="78605219" w:rsidR="00783288" w:rsidRDefault="00E31420">
      <w:pPr>
        <w:pStyle w:val="BodyText"/>
        <w:kinsoku w:val="0"/>
        <w:overflowPunct w:val="0"/>
        <w:spacing w:before="1"/>
        <w:ind w:left="300" w:right="1188"/>
        <w:jc w:val="both"/>
        <w:rPr>
          <w:color w:val="020303"/>
        </w:rPr>
      </w:pPr>
      <w:r>
        <w:rPr>
          <w:color w:val="020303"/>
        </w:rPr>
        <w:t>The remuneration committee will comprise Peter Damouni (as chairman)</w:t>
      </w:r>
      <w:r w:rsidR="00636678">
        <w:rPr>
          <w:color w:val="020303"/>
        </w:rPr>
        <w:t xml:space="preserve">, </w:t>
      </w:r>
      <w:r>
        <w:rPr>
          <w:color w:val="020303"/>
        </w:rPr>
        <w:t xml:space="preserve">David Cliff </w:t>
      </w:r>
      <w:r w:rsidR="00636678">
        <w:rPr>
          <w:color w:val="020303"/>
        </w:rPr>
        <w:t xml:space="preserve">and </w:t>
      </w:r>
      <w:proofErr w:type="spellStart"/>
      <w:r w:rsidR="00636678">
        <w:rPr>
          <w:color w:val="020303"/>
        </w:rPr>
        <w:t>Evgeny</w:t>
      </w:r>
      <w:proofErr w:type="spellEnd"/>
      <w:r w:rsidR="00636678">
        <w:rPr>
          <w:color w:val="020303"/>
        </w:rPr>
        <w:t xml:space="preserve"> </w:t>
      </w:r>
      <w:proofErr w:type="spellStart"/>
      <w:r w:rsidR="00636678">
        <w:rPr>
          <w:color w:val="020303"/>
        </w:rPr>
        <w:t>Vrublevskiy</w:t>
      </w:r>
      <w:proofErr w:type="spellEnd"/>
      <w:r w:rsidR="00636678">
        <w:rPr>
          <w:color w:val="020303"/>
        </w:rPr>
        <w:t xml:space="preserve"> </w:t>
      </w:r>
      <w:r>
        <w:rPr>
          <w:color w:val="020303"/>
        </w:rPr>
        <w:t xml:space="preserve">and will meet normally not less than twice each year. The remuneration committee will be responsible for the review of and making recommendations to the Board on the scale and structure of remuneration for the Board and key personnel, including any bonus arrangements and the award of </w:t>
      </w:r>
      <w:r w:rsidR="00E03C6C">
        <w:rPr>
          <w:color w:val="020303"/>
        </w:rPr>
        <w:t>Options</w:t>
      </w:r>
      <w:r>
        <w:rPr>
          <w:color w:val="020303"/>
        </w:rPr>
        <w:t>, having due regard to the interests of Shareholders and other stakeholders.</w:t>
      </w:r>
    </w:p>
    <w:p w14:paraId="120EF005" w14:textId="77777777" w:rsidR="00783288" w:rsidRDefault="00783288">
      <w:pPr>
        <w:pStyle w:val="BodyText"/>
        <w:kinsoku w:val="0"/>
        <w:overflowPunct w:val="0"/>
        <w:spacing w:before="10"/>
        <w:rPr>
          <w:sz w:val="17"/>
          <w:szCs w:val="17"/>
        </w:rPr>
      </w:pPr>
    </w:p>
    <w:p w14:paraId="621A98CD" w14:textId="77777777" w:rsidR="00783288" w:rsidRDefault="00E31420">
      <w:pPr>
        <w:pStyle w:val="BodyText"/>
        <w:kinsoku w:val="0"/>
        <w:overflowPunct w:val="0"/>
        <w:ind w:left="300" w:right="1190"/>
        <w:jc w:val="both"/>
        <w:rPr>
          <w:color w:val="020303"/>
        </w:rPr>
      </w:pPr>
      <w:r>
        <w:rPr>
          <w:color w:val="231F20"/>
        </w:rPr>
        <w:t xml:space="preserve">The Company </w:t>
      </w:r>
      <w:r>
        <w:rPr>
          <w:color w:val="020303"/>
        </w:rPr>
        <w:t>h</w:t>
      </w:r>
      <w:r>
        <w:rPr>
          <w:color w:val="231F20"/>
        </w:rPr>
        <w:t xml:space="preserve">as adopted a </w:t>
      </w:r>
      <w:r>
        <w:rPr>
          <w:color w:val="020303"/>
        </w:rPr>
        <w:t>share d</w:t>
      </w:r>
      <w:r>
        <w:rPr>
          <w:color w:val="231F20"/>
        </w:rPr>
        <w:t>ea</w:t>
      </w:r>
      <w:r>
        <w:rPr>
          <w:color w:val="020303"/>
        </w:rPr>
        <w:t>l</w:t>
      </w:r>
      <w:r>
        <w:rPr>
          <w:color w:val="231F20"/>
        </w:rPr>
        <w:t>ing policy that complies with the requirements of the Market Abuse Regulation.</w:t>
      </w:r>
      <w:r>
        <w:rPr>
          <w:color w:val="231F20"/>
          <w:spacing w:val="-8"/>
        </w:rPr>
        <w:t xml:space="preserve"> </w:t>
      </w:r>
      <w:r>
        <w:rPr>
          <w:color w:val="231F20"/>
        </w:rPr>
        <w:t>All</w:t>
      </w:r>
      <w:r>
        <w:rPr>
          <w:color w:val="231F20"/>
          <w:spacing w:val="-9"/>
        </w:rPr>
        <w:t xml:space="preserve"> </w:t>
      </w:r>
      <w:r>
        <w:rPr>
          <w:color w:val="231F20"/>
        </w:rPr>
        <w:t>persons</w:t>
      </w:r>
      <w:r>
        <w:rPr>
          <w:color w:val="231F20"/>
          <w:spacing w:val="-9"/>
        </w:rPr>
        <w:t xml:space="preserve"> </w:t>
      </w:r>
      <w:r>
        <w:rPr>
          <w:color w:val="231F20"/>
        </w:rPr>
        <w:t>discharging</w:t>
      </w:r>
      <w:r>
        <w:rPr>
          <w:color w:val="231F20"/>
          <w:spacing w:val="-10"/>
        </w:rPr>
        <w:t xml:space="preserve"> </w:t>
      </w:r>
      <w:r>
        <w:rPr>
          <w:color w:val="231F20"/>
        </w:rPr>
        <w:t>managerial</w:t>
      </w:r>
      <w:r>
        <w:rPr>
          <w:color w:val="231F20"/>
          <w:spacing w:val="-7"/>
        </w:rPr>
        <w:t xml:space="preserve"> </w:t>
      </w:r>
      <w:r>
        <w:rPr>
          <w:color w:val="231F20"/>
        </w:rPr>
        <w:t>responsibilities</w:t>
      </w:r>
      <w:r>
        <w:rPr>
          <w:color w:val="231F20"/>
          <w:spacing w:val="-5"/>
        </w:rPr>
        <w:t xml:space="preserve"> </w:t>
      </w:r>
      <w:r>
        <w:rPr>
          <w:color w:val="231F20"/>
        </w:rPr>
        <w:t>(comprising</w:t>
      </w:r>
      <w:r>
        <w:rPr>
          <w:color w:val="231F20"/>
          <w:spacing w:val="-7"/>
        </w:rPr>
        <w:t xml:space="preserve"> </w:t>
      </w:r>
      <w:r>
        <w:rPr>
          <w:color w:val="231F20"/>
        </w:rPr>
        <w:t>the</w:t>
      </w:r>
      <w:r>
        <w:rPr>
          <w:color w:val="231F20"/>
          <w:spacing w:val="-7"/>
        </w:rPr>
        <w:t xml:space="preserve"> </w:t>
      </w:r>
      <w:r>
        <w:rPr>
          <w:color w:val="231F20"/>
        </w:rPr>
        <w:t>Directors</w:t>
      </w:r>
      <w:r>
        <w:rPr>
          <w:color w:val="231F20"/>
          <w:spacing w:val="-7"/>
        </w:rPr>
        <w:t xml:space="preserve"> </w:t>
      </w:r>
      <w:r>
        <w:rPr>
          <w:color w:val="231F20"/>
        </w:rPr>
        <w:t>only</w:t>
      </w:r>
      <w:r>
        <w:rPr>
          <w:color w:val="231F20"/>
          <w:spacing w:val="-9"/>
        </w:rPr>
        <w:t xml:space="preserve"> </w:t>
      </w:r>
      <w:r>
        <w:rPr>
          <w:color w:val="231F20"/>
        </w:rPr>
        <w:t>as</w:t>
      </w:r>
      <w:r>
        <w:rPr>
          <w:color w:val="231F20"/>
          <w:spacing w:val="-7"/>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rPr>
        <w:t>date</w:t>
      </w:r>
      <w:r>
        <w:rPr>
          <w:color w:val="231F20"/>
          <w:spacing w:val="-10"/>
        </w:rPr>
        <w:t xml:space="preserve"> </w:t>
      </w:r>
      <w:r>
        <w:rPr>
          <w:color w:val="231F20"/>
        </w:rPr>
        <w:t>of</w:t>
      </w:r>
      <w:r>
        <w:rPr>
          <w:color w:val="231F20"/>
          <w:spacing w:val="-7"/>
        </w:rPr>
        <w:t xml:space="preserve"> </w:t>
      </w:r>
      <w:r>
        <w:rPr>
          <w:color w:val="231F20"/>
        </w:rPr>
        <w:t>this Document) are required to comply with t</w:t>
      </w:r>
      <w:r>
        <w:rPr>
          <w:color w:val="020303"/>
        </w:rPr>
        <w:t>h</w:t>
      </w:r>
      <w:r>
        <w:rPr>
          <w:color w:val="231F20"/>
        </w:rPr>
        <w:t>e share dealing policy and the Board wi</w:t>
      </w:r>
      <w:r>
        <w:rPr>
          <w:color w:val="020303"/>
        </w:rPr>
        <w:t xml:space="preserve">ll </w:t>
      </w:r>
      <w:r>
        <w:rPr>
          <w:color w:val="231F20"/>
        </w:rPr>
        <w:t>be responsible for taking reasonab</w:t>
      </w:r>
      <w:r>
        <w:rPr>
          <w:color w:val="020303"/>
        </w:rPr>
        <w:t>l</w:t>
      </w:r>
      <w:r>
        <w:rPr>
          <w:color w:val="231F20"/>
        </w:rPr>
        <w:t>e s</w:t>
      </w:r>
      <w:r>
        <w:rPr>
          <w:color w:val="020303"/>
        </w:rPr>
        <w:t>t</w:t>
      </w:r>
      <w:r>
        <w:rPr>
          <w:color w:val="231F20"/>
        </w:rPr>
        <w:t>eps to ens</w:t>
      </w:r>
      <w:r>
        <w:rPr>
          <w:color w:val="020303"/>
        </w:rPr>
        <w:t>u</w:t>
      </w:r>
      <w:r>
        <w:rPr>
          <w:color w:val="231F20"/>
        </w:rPr>
        <w:t>re such</w:t>
      </w:r>
      <w:r>
        <w:rPr>
          <w:color w:val="231F20"/>
          <w:spacing w:val="-5"/>
        </w:rPr>
        <w:t xml:space="preserve"> </w:t>
      </w:r>
      <w:r>
        <w:rPr>
          <w:color w:val="231F20"/>
        </w:rPr>
        <w:t>compliance</w:t>
      </w:r>
      <w:r>
        <w:rPr>
          <w:color w:val="020303"/>
        </w:rPr>
        <w:t>.</w:t>
      </w:r>
    </w:p>
    <w:p w14:paraId="3164D806" w14:textId="77777777" w:rsidR="00783288" w:rsidRDefault="00783288">
      <w:pPr>
        <w:pStyle w:val="BodyText"/>
        <w:kinsoku w:val="0"/>
        <w:overflowPunct w:val="0"/>
        <w:spacing w:before="1"/>
      </w:pPr>
    </w:p>
    <w:p w14:paraId="5D016C15" w14:textId="205E27B7" w:rsidR="00DB2451" w:rsidRDefault="00E31420">
      <w:pPr>
        <w:pStyle w:val="BodyText"/>
        <w:kinsoku w:val="0"/>
        <w:overflowPunct w:val="0"/>
        <w:spacing w:before="79"/>
        <w:ind w:left="300" w:right="1190"/>
        <w:jc w:val="both"/>
        <w:rPr>
          <w:color w:val="231F20"/>
        </w:rPr>
      </w:pPr>
      <w:r>
        <w:rPr>
          <w:color w:val="231F20"/>
        </w:rPr>
        <w:t>The Company takes a zero-tolerance approach to bribery and corruption and has adopted an anti-bribery and corruption</w:t>
      </w:r>
      <w:r>
        <w:rPr>
          <w:color w:val="231F20"/>
          <w:spacing w:val="-12"/>
        </w:rPr>
        <w:t xml:space="preserve"> </w:t>
      </w:r>
      <w:r>
        <w:rPr>
          <w:color w:val="231F20"/>
        </w:rPr>
        <w:t>policy</w:t>
      </w:r>
      <w:r>
        <w:rPr>
          <w:color w:val="231F20"/>
          <w:spacing w:val="-10"/>
        </w:rPr>
        <w:t xml:space="preserve"> </w:t>
      </w:r>
      <w:r>
        <w:rPr>
          <w:color w:val="231F20"/>
        </w:rPr>
        <w:t>under</w:t>
      </w:r>
      <w:r>
        <w:rPr>
          <w:color w:val="231F20"/>
          <w:spacing w:val="-12"/>
        </w:rPr>
        <w:t xml:space="preserve"> </w:t>
      </w:r>
      <w:r>
        <w:rPr>
          <w:color w:val="231F20"/>
        </w:rPr>
        <w:t>which</w:t>
      </w:r>
      <w:r>
        <w:rPr>
          <w:color w:val="231F20"/>
          <w:spacing w:val="-11"/>
        </w:rPr>
        <w:t xml:space="preserve"> </w:t>
      </w:r>
      <w:r>
        <w:rPr>
          <w:color w:val="231F20"/>
        </w:rPr>
        <w:t>the</w:t>
      </w:r>
      <w:r>
        <w:rPr>
          <w:color w:val="231F20"/>
          <w:spacing w:val="-9"/>
        </w:rPr>
        <w:t xml:space="preserve"> </w:t>
      </w:r>
      <w:r>
        <w:rPr>
          <w:color w:val="231F20"/>
        </w:rPr>
        <w:t>Company</w:t>
      </w:r>
      <w:r>
        <w:rPr>
          <w:color w:val="231F20"/>
          <w:spacing w:val="-10"/>
        </w:rPr>
        <w:t xml:space="preserve"> </w:t>
      </w:r>
      <w:r>
        <w:rPr>
          <w:color w:val="231F20"/>
        </w:rPr>
        <w:t>is</w:t>
      </w:r>
      <w:r>
        <w:rPr>
          <w:color w:val="231F20"/>
          <w:spacing w:val="-10"/>
        </w:rPr>
        <w:t xml:space="preserve"> </w:t>
      </w:r>
      <w:r>
        <w:rPr>
          <w:color w:val="231F20"/>
        </w:rPr>
        <w:t>committed</w:t>
      </w:r>
      <w:r>
        <w:rPr>
          <w:color w:val="231F20"/>
          <w:spacing w:val="-11"/>
        </w:rPr>
        <w:t xml:space="preserve"> </w:t>
      </w:r>
      <w:r>
        <w:rPr>
          <w:color w:val="231F20"/>
        </w:rPr>
        <w:t>to</w:t>
      </w:r>
      <w:r>
        <w:rPr>
          <w:color w:val="231F20"/>
          <w:spacing w:val="-12"/>
        </w:rPr>
        <w:t xml:space="preserve"> </w:t>
      </w:r>
      <w:r>
        <w:rPr>
          <w:color w:val="231F20"/>
        </w:rPr>
        <w:t>conducting</w:t>
      </w:r>
      <w:r>
        <w:rPr>
          <w:color w:val="231F20"/>
          <w:spacing w:val="-11"/>
        </w:rPr>
        <w:t xml:space="preserve"> </w:t>
      </w:r>
      <w:r>
        <w:rPr>
          <w:color w:val="231F20"/>
        </w:rPr>
        <w:t>its</w:t>
      </w:r>
      <w:r>
        <w:rPr>
          <w:color w:val="231F20"/>
          <w:spacing w:val="-10"/>
        </w:rPr>
        <w:t xml:space="preserve"> </w:t>
      </w:r>
      <w:r>
        <w:rPr>
          <w:color w:val="231F20"/>
        </w:rPr>
        <w:t>business</w:t>
      </w:r>
      <w:r>
        <w:rPr>
          <w:color w:val="231F20"/>
          <w:spacing w:val="-10"/>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fair</w:t>
      </w:r>
      <w:r>
        <w:rPr>
          <w:color w:val="231F20"/>
          <w:spacing w:val="-14"/>
        </w:rPr>
        <w:t xml:space="preserve"> </w:t>
      </w:r>
      <w:r>
        <w:rPr>
          <w:color w:val="231F20"/>
        </w:rPr>
        <w:t>and</w:t>
      </w:r>
      <w:r>
        <w:rPr>
          <w:color w:val="231F20"/>
          <w:spacing w:val="-11"/>
        </w:rPr>
        <w:t xml:space="preserve"> </w:t>
      </w:r>
      <w:r>
        <w:rPr>
          <w:color w:val="231F20"/>
        </w:rPr>
        <w:t>ethical</w:t>
      </w:r>
      <w:r>
        <w:rPr>
          <w:color w:val="231F20"/>
          <w:spacing w:val="-9"/>
        </w:rPr>
        <w:t xml:space="preserve"> </w:t>
      </w:r>
      <w:r>
        <w:rPr>
          <w:color w:val="231F20"/>
        </w:rPr>
        <w:t>way</w:t>
      </w:r>
      <w:r>
        <w:rPr>
          <w:color w:val="231F20"/>
          <w:spacing w:val="-11"/>
        </w:rPr>
        <w:t xml:space="preserve"> </w:t>
      </w:r>
      <w:r>
        <w:rPr>
          <w:color w:val="231F20"/>
        </w:rPr>
        <w:t>without using bribes or corrupt practices to obtain unfair advantages in its business dealings and to implementing and enforcing effective systems to counter bribery and</w:t>
      </w:r>
      <w:r>
        <w:rPr>
          <w:color w:val="231F20"/>
          <w:spacing w:val="-9"/>
        </w:rPr>
        <w:t xml:space="preserve"> </w:t>
      </w:r>
      <w:r>
        <w:rPr>
          <w:color w:val="231F20"/>
        </w:rPr>
        <w:t>corruption</w:t>
      </w:r>
      <w:r w:rsidR="00DB2451">
        <w:rPr>
          <w:color w:val="231F20"/>
        </w:rPr>
        <w:t>.</w:t>
      </w:r>
    </w:p>
    <w:p w14:paraId="66B10444" w14:textId="1752C2A2" w:rsidR="00783288" w:rsidRDefault="00E31420">
      <w:pPr>
        <w:pStyle w:val="BodyText"/>
        <w:kinsoku w:val="0"/>
        <w:overflowPunct w:val="0"/>
        <w:spacing w:before="79"/>
        <w:ind w:left="300" w:right="1190"/>
        <w:jc w:val="both"/>
        <w:rPr>
          <w:color w:val="231F20"/>
        </w:rPr>
      </w:pPr>
      <w:r>
        <w:rPr>
          <w:color w:val="231F20"/>
        </w:rPr>
        <w:t>A</w:t>
      </w:r>
      <w:r>
        <w:rPr>
          <w:color w:val="231F20"/>
          <w:spacing w:val="-5"/>
        </w:rPr>
        <w:t xml:space="preserve"> </w:t>
      </w:r>
      <w:r>
        <w:rPr>
          <w:color w:val="231F20"/>
        </w:rPr>
        <w:t>Standard</w:t>
      </w:r>
      <w:r>
        <w:rPr>
          <w:color w:val="231F20"/>
          <w:spacing w:val="-7"/>
        </w:rPr>
        <w:t xml:space="preserve"> </w:t>
      </w:r>
      <w:r>
        <w:rPr>
          <w:color w:val="020303"/>
        </w:rPr>
        <w:t>Li</w:t>
      </w:r>
      <w:r>
        <w:rPr>
          <w:color w:val="231F20"/>
        </w:rPr>
        <w:t>st</w:t>
      </w:r>
      <w:r>
        <w:rPr>
          <w:color w:val="020303"/>
        </w:rPr>
        <w:t>i</w:t>
      </w:r>
      <w:r>
        <w:rPr>
          <w:color w:val="231F20"/>
        </w:rPr>
        <w:t>ng</w:t>
      </w:r>
      <w:r>
        <w:rPr>
          <w:color w:val="231F20"/>
          <w:spacing w:val="-6"/>
        </w:rPr>
        <w:t xml:space="preserve"> </w:t>
      </w:r>
      <w:r>
        <w:rPr>
          <w:color w:val="231F20"/>
        </w:rPr>
        <w:t>offers</w:t>
      </w:r>
      <w:r>
        <w:rPr>
          <w:color w:val="231F20"/>
          <w:spacing w:val="-6"/>
        </w:rPr>
        <w:t xml:space="preserve"> </w:t>
      </w:r>
      <w:r>
        <w:rPr>
          <w:color w:val="020303"/>
        </w:rPr>
        <w:t>l</w:t>
      </w:r>
      <w:r>
        <w:rPr>
          <w:color w:val="231F20"/>
        </w:rPr>
        <w:t>ess</w:t>
      </w:r>
      <w:r>
        <w:rPr>
          <w:color w:val="231F20"/>
          <w:spacing w:val="-8"/>
        </w:rPr>
        <w:t xml:space="preserve"> </w:t>
      </w:r>
      <w:r>
        <w:rPr>
          <w:color w:val="231F20"/>
        </w:rPr>
        <w:t>protectio</w:t>
      </w:r>
      <w:r>
        <w:rPr>
          <w:color w:val="020303"/>
        </w:rPr>
        <w:t>n</w:t>
      </w:r>
      <w:r>
        <w:rPr>
          <w:color w:val="020303"/>
          <w:spacing w:val="-5"/>
        </w:rPr>
        <w:t xml:space="preserve"> </w:t>
      </w:r>
      <w:r>
        <w:rPr>
          <w:color w:val="231F20"/>
        </w:rPr>
        <w:t>to</w:t>
      </w:r>
      <w:r>
        <w:rPr>
          <w:color w:val="231F20"/>
          <w:spacing w:val="-5"/>
        </w:rPr>
        <w:t xml:space="preserve"> </w:t>
      </w:r>
      <w:r>
        <w:rPr>
          <w:color w:val="231F20"/>
        </w:rPr>
        <w:t>S</w:t>
      </w:r>
      <w:r>
        <w:rPr>
          <w:color w:val="020303"/>
        </w:rPr>
        <w:t>h</w:t>
      </w:r>
      <w:r>
        <w:rPr>
          <w:color w:val="231F20"/>
        </w:rPr>
        <w:t>are</w:t>
      </w:r>
      <w:r>
        <w:rPr>
          <w:color w:val="020303"/>
        </w:rPr>
        <w:t>h</w:t>
      </w:r>
      <w:r>
        <w:rPr>
          <w:color w:val="231F20"/>
        </w:rPr>
        <w:t>olders</w:t>
      </w:r>
      <w:r>
        <w:rPr>
          <w:color w:val="231F20"/>
          <w:spacing w:val="-6"/>
        </w:rPr>
        <w:t xml:space="preserve"> </w:t>
      </w:r>
      <w:r>
        <w:rPr>
          <w:color w:val="231F20"/>
        </w:rPr>
        <w:t>than</w:t>
      </w:r>
      <w:r>
        <w:rPr>
          <w:color w:val="231F20"/>
          <w:spacing w:val="-5"/>
        </w:rPr>
        <w:t xml:space="preserve"> </w:t>
      </w:r>
      <w:r>
        <w:rPr>
          <w:color w:val="231F20"/>
        </w:rPr>
        <w:t>wo</w:t>
      </w:r>
      <w:r>
        <w:rPr>
          <w:color w:val="020303"/>
        </w:rPr>
        <w:t>u</w:t>
      </w:r>
      <w:r>
        <w:rPr>
          <w:color w:val="231F20"/>
        </w:rPr>
        <w:t>ld</w:t>
      </w:r>
      <w:r>
        <w:rPr>
          <w:color w:val="231F20"/>
          <w:spacing w:val="-6"/>
        </w:rPr>
        <w:t xml:space="preserve"> </w:t>
      </w:r>
      <w:r>
        <w:rPr>
          <w:color w:val="231F20"/>
        </w:rPr>
        <w:t>otherwise</w:t>
      </w:r>
      <w:r>
        <w:rPr>
          <w:color w:val="231F20"/>
          <w:spacing w:val="-5"/>
        </w:rPr>
        <w:t xml:space="preserve"> </w:t>
      </w:r>
      <w:r>
        <w:rPr>
          <w:color w:val="231F20"/>
        </w:rPr>
        <w:t>be</w:t>
      </w:r>
      <w:r>
        <w:rPr>
          <w:color w:val="231F20"/>
          <w:spacing w:val="-5"/>
        </w:rPr>
        <w:t xml:space="preserve"> </w:t>
      </w:r>
      <w:r>
        <w:rPr>
          <w:color w:val="231F20"/>
        </w:rPr>
        <w:t>t</w:t>
      </w:r>
      <w:r>
        <w:rPr>
          <w:color w:val="020303"/>
        </w:rPr>
        <w:t>h</w:t>
      </w:r>
      <w:r>
        <w:rPr>
          <w:color w:val="231F20"/>
        </w:rPr>
        <w:t>e</w:t>
      </w:r>
      <w:r>
        <w:rPr>
          <w:color w:val="231F20"/>
          <w:spacing w:val="-6"/>
        </w:rPr>
        <w:t xml:space="preserve"> </w:t>
      </w:r>
      <w:r>
        <w:rPr>
          <w:color w:val="231F20"/>
        </w:rPr>
        <w:t>case</w:t>
      </w:r>
      <w:r>
        <w:rPr>
          <w:color w:val="231F20"/>
          <w:spacing w:val="-10"/>
        </w:rPr>
        <w:t xml:space="preserve"> </w:t>
      </w:r>
      <w:r>
        <w:rPr>
          <w:color w:val="231F20"/>
        </w:rPr>
        <w:t>wit</w:t>
      </w:r>
      <w:r>
        <w:rPr>
          <w:color w:val="020303"/>
        </w:rPr>
        <w:t>h</w:t>
      </w:r>
      <w:r>
        <w:rPr>
          <w:color w:val="020303"/>
          <w:spacing w:val="-4"/>
        </w:rPr>
        <w:t xml:space="preserve"> </w:t>
      </w:r>
      <w:r>
        <w:rPr>
          <w:color w:val="231F20"/>
        </w:rPr>
        <w:t>a</w:t>
      </w:r>
      <w:r>
        <w:rPr>
          <w:color w:val="231F20"/>
          <w:spacing w:val="-5"/>
        </w:rPr>
        <w:t xml:space="preserve"> </w:t>
      </w:r>
      <w:r>
        <w:rPr>
          <w:color w:val="231F20"/>
        </w:rPr>
        <w:t>Pre</w:t>
      </w:r>
      <w:r>
        <w:rPr>
          <w:color w:val="020303"/>
        </w:rPr>
        <w:t>m</w:t>
      </w:r>
      <w:r>
        <w:rPr>
          <w:color w:val="231F20"/>
        </w:rPr>
        <w:t>ium</w:t>
      </w:r>
      <w:r>
        <w:rPr>
          <w:color w:val="231F20"/>
          <w:spacing w:val="-6"/>
        </w:rPr>
        <w:t xml:space="preserve"> </w:t>
      </w:r>
      <w:r>
        <w:rPr>
          <w:color w:val="020303"/>
        </w:rPr>
        <w:t>L</w:t>
      </w:r>
      <w:r>
        <w:rPr>
          <w:color w:val="231F20"/>
        </w:rPr>
        <w:t>ist</w:t>
      </w:r>
      <w:r>
        <w:rPr>
          <w:color w:val="020303"/>
        </w:rPr>
        <w:t>in</w:t>
      </w:r>
      <w:r>
        <w:rPr>
          <w:color w:val="231F20"/>
        </w:rPr>
        <w:t>g o</w:t>
      </w:r>
      <w:r>
        <w:rPr>
          <w:color w:val="020303"/>
        </w:rPr>
        <w:t xml:space="preserve">n </w:t>
      </w:r>
      <w:r>
        <w:rPr>
          <w:color w:val="231F20"/>
        </w:rPr>
        <w:t>t</w:t>
      </w:r>
      <w:r>
        <w:rPr>
          <w:color w:val="020303"/>
        </w:rPr>
        <w:t>h</w:t>
      </w:r>
      <w:r>
        <w:rPr>
          <w:color w:val="231F20"/>
        </w:rPr>
        <w:t>e Off</w:t>
      </w:r>
      <w:r>
        <w:rPr>
          <w:color w:val="020303"/>
        </w:rPr>
        <w:t>i</w:t>
      </w:r>
      <w:r>
        <w:rPr>
          <w:color w:val="231F20"/>
        </w:rPr>
        <w:t>c</w:t>
      </w:r>
      <w:r>
        <w:rPr>
          <w:color w:val="020303"/>
        </w:rPr>
        <w:t>i</w:t>
      </w:r>
      <w:r>
        <w:rPr>
          <w:color w:val="231F20"/>
        </w:rPr>
        <w:t>a</w:t>
      </w:r>
      <w:r>
        <w:rPr>
          <w:color w:val="020303"/>
        </w:rPr>
        <w:t>l Li</w:t>
      </w:r>
      <w:r>
        <w:rPr>
          <w:color w:val="231F20"/>
        </w:rPr>
        <w:t>s</w:t>
      </w:r>
      <w:r>
        <w:rPr>
          <w:color w:val="020303"/>
        </w:rPr>
        <w:t>t. F</w:t>
      </w:r>
      <w:r>
        <w:rPr>
          <w:color w:val="231F20"/>
        </w:rPr>
        <w:t>urt</w:t>
      </w:r>
      <w:r>
        <w:rPr>
          <w:color w:val="020303"/>
        </w:rPr>
        <w:t>h</w:t>
      </w:r>
      <w:r>
        <w:rPr>
          <w:color w:val="231F20"/>
        </w:rPr>
        <w:t>er deta</w:t>
      </w:r>
      <w:r>
        <w:rPr>
          <w:color w:val="020303"/>
        </w:rPr>
        <w:t>i</w:t>
      </w:r>
      <w:r>
        <w:rPr>
          <w:color w:val="231F20"/>
        </w:rPr>
        <w:t xml:space="preserve">ls on the consequences of a Standard </w:t>
      </w:r>
      <w:r>
        <w:rPr>
          <w:color w:val="020303"/>
        </w:rPr>
        <w:t>L</w:t>
      </w:r>
      <w:r>
        <w:rPr>
          <w:color w:val="231F20"/>
        </w:rPr>
        <w:t>ist</w:t>
      </w:r>
      <w:r>
        <w:rPr>
          <w:color w:val="020303"/>
        </w:rPr>
        <w:t>i</w:t>
      </w:r>
      <w:r>
        <w:rPr>
          <w:color w:val="231F20"/>
        </w:rPr>
        <w:t>ng are set out in t</w:t>
      </w:r>
      <w:r>
        <w:rPr>
          <w:color w:val="020303"/>
        </w:rPr>
        <w:t>h</w:t>
      </w:r>
      <w:r>
        <w:rPr>
          <w:color w:val="231F20"/>
        </w:rPr>
        <w:t>e sect</w:t>
      </w:r>
      <w:r>
        <w:rPr>
          <w:color w:val="020303"/>
        </w:rPr>
        <w:t>i</w:t>
      </w:r>
      <w:r>
        <w:rPr>
          <w:color w:val="231F20"/>
        </w:rPr>
        <w:t>on entit</w:t>
      </w:r>
      <w:r>
        <w:rPr>
          <w:color w:val="020303"/>
        </w:rPr>
        <w:t>l</w:t>
      </w:r>
      <w:r>
        <w:rPr>
          <w:color w:val="231F20"/>
        </w:rPr>
        <w:t>ed “Conseq</w:t>
      </w:r>
      <w:r>
        <w:rPr>
          <w:color w:val="020303"/>
        </w:rPr>
        <w:t>u</w:t>
      </w:r>
      <w:r>
        <w:rPr>
          <w:color w:val="231F20"/>
        </w:rPr>
        <w:t>ences of a Standard L</w:t>
      </w:r>
      <w:r>
        <w:rPr>
          <w:color w:val="020303"/>
        </w:rPr>
        <w:t>i</w:t>
      </w:r>
      <w:r>
        <w:rPr>
          <w:color w:val="231F20"/>
        </w:rPr>
        <w:t>sting” of this</w:t>
      </w:r>
      <w:r>
        <w:rPr>
          <w:color w:val="231F20"/>
          <w:spacing w:val="-7"/>
        </w:rPr>
        <w:t xml:space="preserve"> </w:t>
      </w:r>
      <w:r>
        <w:rPr>
          <w:color w:val="231F20"/>
        </w:rPr>
        <w:t>Document.</w:t>
      </w:r>
    </w:p>
    <w:p w14:paraId="2FFD9E8A" w14:textId="77777777" w:rsidR="00783288" w:rsidRDefault="00783288">
      <w:pPr>
        <w:pStyle w:val="BodyText"/>
        <w:kinsoku w:val="0"/>
        <w:overflowPunct w:val="0"/>
        <w:spacing w:before="6"/>
        <w:rPr>
          <w:sz w:val="17"/>
          <w:szCs w:val="17"/>
        </w:rPr>
      </w:pPr>
    </w:p>
    <w:p w14:paraId="2FB7D4F2" w14:textId="77777777" w:rsidR="00783288" w:rsidRDefault="00E31420">
      <w:pPr>
        <w:pStyle w:val="Heading1"/>
        <w:tabs>
          <w:tab w:val="left" w:pos="866"/>
        </w:tabs>
        <w:kinsoku w:val="0"/>
        <w:overflowPunct w:val="0"/>
        <w:rPr>
          <w:color w:val="020303"/>
        </w:rPr>
      </w:pPr>
      <w:r>
        <w:rPr>
          <w:color w:val="020303"/>
        </w:rPr>
        <w:t>5.</w:t>
      </w:r>
      <w:r>
        <w:rPr>
          <w:color w:val="020303"/>
        </w:rPr>
        <w:tab/>
        <w:t>Conflicts of Interest</w:t>
      </w:r>
    </w:p>
    <w:p w14:paraId="3A712653" w14:textId="77777777" w:rsidR="00783288" w:rsidRDefault="00783288">
      <w:pPr>
        <w:pStyle w:val="BodyText"/>
        <w:kinsoku w:val="0"/>
        <w:overflowPunct w:val="0"/>
        <w:spacing w:before="4"/>
        <w:rPr>
          <w:b/>
          <w:bCs/>
        </w:rPr>
      </w:pPr>
    </w:p>
    <w:p w14:paraId="21D812E6" w14:textId="77777777" w:rsidR="00783288" w:rsidRDefault="00E31420">
      <w:pPr>
        <w:pStyle w:val="BodyText"/>
        <w:kinsoku w:val="0"/>
        <w:overflowPunct w:val="0"/>
        <w:ind w:left="300"/>
        <w:jc w:val="both"/>
        <w:rPr>
          <w:color w:val="020303"/>
        </w:rPr>
      </w:pPr>
      <w:r>
        <w:rPr>
          <w:color w:val="020303"/>
        </w:rPr>
        <w:t>Potential areas for conflicts of interest for the Directors in relation to the Group include:</w:t>
      </w:r>
    </w:p>
    <w:p w14:paraId="7959C5BC" w14:textId="77777777" w:rsidR="00783288" w:rsidRDefault="00783288">
      <w:pPr>
        <w:pStyle w:val="BodyText"/>
        <w:kinsoku w:val="0"/>
        <w:overflowPunct w:val="0"/>
        <w:spacing w:before="1"/>
      </w:pPr>
    </w:p>
    <w:p w14:paraId="0403C8BE" w14:textId="77777777" w:rsidR="00783288" w:rsidRDefault="00E31420" w:rsidP="00512495">
      <w:pPr>
        <w:pStyle w:val="ListParagraph"/>
        <w:numPr>
          <w:ilvl w:val="0"/>
          <w:numId w:val="22"/>
        </w:numPr>
        <w:tabs>
          <w:tab w:val="left" w:pos="867"/>
        </w:tabs>
        <w:kinsoku w:val="0"/>
        <w:overflowPunct w:val="0"/>
        <w:ind w:right="1187"/>
        <w:jc w:val="both"/>
        <w:rPr>
          <w:rFonts w:ascii="Symbol" w:hAnsi="Symbol" w:cs="Symbol"/>
          <w:color w:val="020303"/>
          <w:sz w:val="18"/>
          <w:szCs w:val="18"/>
        </w:rPr>
      </w:pPr>
      <w:r>
        <w:rPr>
          <w:color w:val="020303"/>
          <w:sz w:val="18"/>
          <w:szCs w:val="18"/>
        </w:rPr>
        <w:t xml:space="preserve">the Directors have or may have interests (whether directorships, partnerships or otherwise) in other companies, partnerships, </w:t>
      </w:r>
      <w:proofErr w:type="gramStart"/>
      <w:r>
        <w:rPr>
          <w:color w:val="020303"/>
          <w:sz w:val="18"/>
          <w:szCs w:val="18"/>
        </w:rPr>
        <w:t>projects</w:t>
      </w:r>
      <w:proofErr w:type="gramEnd"/>
      <w:r>
        <w:rPr>
          <w:color w:val="020303"/>
          <w:sz w:val="18"/>
          <w:szCs w:val="18"/>
        </w:rPr>
        <w:t xml:space="preserve"> or ventures, in some cases of a similar nature to that of the Group. Therefore</w:t>
      </w:r>
      <w:r w:rsidR="008B0448">
        <w:rPr>
          <w:color w:val="020303"/>
          <w:sz w:val="18"/>
          <w:szCs w:val="18"/>
        </w:rPr>
        <w:t>,</w:t>
      </w:r>
      <w:r>
        <w:rPr>
          <w:color w:val="020303"/>
          <w:sz w:val="18"/>
          <w:szCs w:val="18"/>
        </w:rPr>
        <w:t xml:space="preserve"> the Directors may have a limited amount of time to dedicate to the business of the Group and, accordingly, they may have conflicts of interest in allocating management time to the Group and each aspects of the Group’s business. As such some aspects or the whole of the Group’s business may receive less of the Directors time and management attention than may be considered necessary or</w:t>
      </w:r>
      <w:r>
        <w:rPr>
          <w:color w:val="020303"/>
          <w:spacing w:val="-28"/>
          <w:sz w:val="18"/>
          <w:szCs w:val="18"/>
        </w:rPr>
        <w:t xml:space="preserve"> </w:t>
      </w:r>
      <w:proofErr w:type="gramStart"/>
      <w:r>
        <w:rPr>
          <w:color w:val="020303"/>
          <w:sz w:val="18"/>
          <w:szCs w:val="18"/>
        </w:rPr>
        <w:t>desirable;</w:t>
      </w:r>
      <w:proofErr w:type="gramEnd"/>
    </w:p>
    <w:p w14:paraId="2038D5DA" w14:textId="77777777" w:rsidR="00783288" w:rsidRDefault="00783288">
      <w:pPr>
        <w:pStyle w:val="BodyText"/>
        <w:kinsoku w:val="0"/>
        <w:overflowPunct w:val="0"/>
        <w:spacing w:before="1"/>
      </w:pPr>
    </w:p>
    <w:p w14:paraId="3F70C1D8" w14:textId="77777777" w:rsidR="00783288" w:rsidRDefault="00E31420" w:rsidP="00512495">
      <w:pPr>
        <w:pStyle w:val="ListParagraph"/>
        <w:numPr>
          <w:ilvl w:val="0"/>
          <w:numId w:val="22"/>
        </w:numPr>
        <w:tabs>
          <w:tab w:val="left" w:pos="867"/>
        </w:tabs>
        <w:kinsoku w:val="0"/>
        <w:overflowPunct w:val="0"/>
        <w:spacing w:line="237" w:lineRule="auto"/>
        <w:ind w:right="1190"/>
        <w:jc w:val="both"/>
        <w:rPr>
          <w:rFonts w:ascii="Symbol" w:hAnsi="Symbol" w:cs="Symbol"/>
          <w:color w:val="020303"/>
          <w:sz w:val="18"/>
          <w:szCs w:val="18"/>
        </w:rPr>
      </w:pPr>
      <w:r>
        <w:rPr>
          <w:color w:val="020303"/>
          <w:sz w:val="18"/>
          <w:szCs w:val="18"/>
        </w:rPr>
        <w:t>in</w:t>
      </w:r>
      <w:r>
        <w:rPr>
          <w:color w:val="020303"/>
          <w:spacing w:val="-10"/>
          <w:sz w:val="18"/>
          <w:szCs w:val="18"/>
        </w:rPr>
        <w:t xml:space="preserve"> </w:t>
      </w:r>
      <w:r>
        <w:rPr>
          <w:color w:val="020303"/>
          <w:sz w:val="18"/>
          <w:szCs w:val="18"/>
        </w:rPr>
        <w:t>the</w:t>
      </w:r>
      <w:r>
        <w:rPr>
          <w:color w:val="020303"/>
          <w:spacing w:val="-11"/>
          <w:sz w:val="18"/>
          <w:szCs w:val="18"/>
        </w:rPr>
        <w:t xml:space="preserve"> </w:t>
      </w:r>
      <w:r>
        <w:rPr>
          <w:color w:val="020303"/>
          <w:sz w:val="18"/>
          <w:szCs w:val="18"/>
        </w:rPr>
        <w:t>course</w:t>
      </w:r>
      <w:r>
        <w:rPr>
          <w:color w:val="020303"/>
          <w:spacing w:val="-9"/>
          <w:sz w:val="18"/>
          <w:szCs w:val="18"/>
        </w:rPr>
        <w:t xml:space="preserve"> </w:t>
      </w:r>
      <w:r>
        <w:rPr>
          <w:color w:val="020303"/>
          <w:sz w:val="18"/>
          <w:szCs w:val="18"/>
        </w:rPr>
        <w:t>of</w:t>
      </w:r>
      <w:r>
        <w:rPr>
          <w:color w:val="020303"/>
          <w:spacing w:val="-10"/>
          <w:sz w:val="18"/>
          <w:szCs w:val="18"/>
        </w:rPr>
        <w:t xml:space="preserve"> </w:t>
      </w:r>
      <w:r>
        <w:rPr>
          <w:color w:val="020303"/>
          <w:sz w:val="18"/>
          <w:szCs w:val="18"/>
        </w:rPr>
        <w:t>their</w:t>
      </w:r>
      <w:r>
        <w:rPr>
          <w:color w:val="020303"/>
          <w:spacing w:val="-9"/>
          <w:sz w:val="18"/>
          <w:szCs w:val="18"/>
        </w:rPr>
        <w:t xml:space="preserve"> </w:t>
      </w:r>
      <w:r>
        <w:rPr>
          <w:color w:val="020303"/>
          <w:sz w:val="18"/>
          <w:szCs w:val="18"/>
        </w:rPr>
        <w:t>other</w:t>
      </w:r>
      <w:r>
        <w:rPr>
          <w:color w:val="020303"/>
          <w:spacing w:val="-9"/>
          <w:sz w:val="18"/>
          <w:szCs w:val="18"/>
        </w:rPr>
        <w:t xml:space="preserve"> </w:t>
      </w:r>
      <w:r>
        <w:rPr>
          <w:color w:val="020303"/>
          <w:sz w:val="18"/>
          <w:szCs w:val="18"/>
        </w:rPr>
        <w:t>business</w:t>
      </w:r>
      <w:r>
        <w:rPr>
          <w:color w:val="020303"/>
          <w:spacing w:val="-9"/>
          <w:sz w:val="18"/>
          <w:szCs w:val="18"/>
        </w:rPr>
        <w:t xml:space="preserve"> </w:t>
      </w:r>
      <w:r>
        <w:rPr>
          <w:color w:val="020303"/>
          <w:sz w:val="18"/>
          <w:szCs w:val="18"/>
        </w:rPr>
        <w:t>activities,</w:t>
      </w:r>
      <w:r>
        <w:rPr>
          <w:color w:val="020303"/>
          <w:spacing w:val="-9"/>
          <w:sz w:val="18"/>
          <w:szCs w:val="18"/>
        </w:rPr>
        <w:t xml:space="preserve"> </w:t>
      </w:r>
      <w:r>
        <w:rPr>
          <w:color w:val="020303"/>
          <w:sz w:val="18"/>
          <w:szCs w:val="18"/>
        </w:rPr>
        <w:t>the</w:t>
      </w:r>
      <w:r>
        <w:rPr>
          <w:color w:val="020303"/>
          <w:spacing w:val="-10"/>
          <w:sz w:val="18"/>
          <w:szCs w:val="18"/>
        </w:rPr>
        <w:t xml:space="preserve"> </w:t>
      </w:r>
      <w:r>
        <w:rPr>
          <w:color w:val="020303"/>
          <w:sz w:val="18"/>
          <w:szCs w:val="18"/>
        </w:rPr>
        <w:t>Directors</w:t>
      </w:r>
      <w:r>
        <w:rPr>
          <w:color w:val="020303"/>
          <w:spacing w:val="-10"/>
          <w:sz w:val="18"/>
          <w:szCs w:val="18"/>
        </w:rPr>
        <w:t xml:space="preserve"> </w:t>
      </w:r>
      <w:r>
        <w:rPr>
          <w:color w:val="020303"/>
          <w:sz w:val="18"/>
          <w:szCs w:val="18"/>
        </w:rPr>
        <w:t>may</w:t>
      </w:r>
      <w:r>
        <w:rPr>
          <w:color w:val="020303"/>
          <w:spacing w:val="-10"/>
          <w:sz w:val="18"/>
          <w:szCs w:val="18"/>
        </w:rPr>
        <w:t xml:space="preserve"> </w:t>
      </w:r>
      <w:r>
        <w:rPr>
          <w:color w:val="020303"/>
          <w:sz w:val="18"/>
          <w:szCs w:val="18"/>
        </w:rPr>
        <w:t>become</w:t>
      </w:r>
      <w:r>
        <w:rPr>
          <w:color w:val="020303"/>
          <w:spacing w:val="-10"/>
          <w:sz w:val="18"/>
          <w:szCs w:val="18"/>
        </w:rPr>
        <w:t xml:space="preserve"> </w:t>
      </w:r>
      <w:r>
        <w:rPr>
          <w:color w:val="020303"/>
          <w:sz w:val="18"/>
          <w:szCs w:val="18"/>
        </w:rPr>
        <w:t>aware</w:t>
      </w:r>
      <w:r>
        <w:rPr>
          <w:color w:val="020303"/>
          <w:spacing w:val="-9"/>
          <w:sz w:val="18"/>
          <w:szCs w:val="18"/>
        </w:rPr>
        <w:t xml:space="preserve"> </w:t>
      </w:r>
      <w:r>
        <w:rPr>
          <w:color w:val="020303"/>
          <w:sz w:val="18"/>
          <w:szCs w:val="18"/>
        </w:rPr>
        <w:t>of</w:t>
      </w:r>
      <w:r>
        <w:rPr>
          <w:color w:val="020303"/>
          <w:spacing w:val="-9"/>
          <w:sz w:val="18"/>
          <w:szCs w:val="18"/>
        </w:rPr>
        <w:t xml:space="preserve"> </w:t>
      </w:r>
      <w:r>
        <w:rPr>
          <w:color w:val="020303"/>
          <w:sz w:val="18"/>
          <w:szCs w:val="18"/>
        </w:rPr>
        <w:t>investment</w:t>
      </w:r>
      <w:r>
        <w:rPr>
          <w:color w:val="020303"/>
          <w:spacing w:val="-10"/>
          <w:sz w:val="18"/>
          <w:szCs w:val="18"/>
        </w:rPr>
        <w:t xml:space="preserve"> </w:t>
      </w:r>
      <w:r>
        <w:rPr>
          <w:color w:val="020303"/>
          <w:sz w:val="18"/>
          <w:szCs w:val="18"/>
        </w:rPr>
        <w:t>and</w:t>
      </w:r>
      <w:r>
        <w:rPr>
          <w:color w:val="020303"/>
          <w:spacing w:val="-9"/>
          <w:sz w:val="18"/>
          <w:szCs w:val="18"/>
        </w:rPr>
        <w:t xml:space="preserve"> </w:t>
      </w:r>
      <w:r>
        <w:rPr>
          <w:color w:val="020303"/>
          <w:sz w:val="18"/>
          <w:szCs w:val="18"/>
        </w:rPr>
        <w:t>business opportunities</w:t>
      </w:r>
      <w:r>
        <w:rPr>
          <w:color w:val="020303"/>
          <w:spacing w:val="-9"/>
          <w:sz w:val="18"/>
          <w:szCs w:val="18"/>
        </w:rPr>
        <w:t xml:space="preserve"> </w:t>
      </w:r>
      <w:r>
        <w:rPr>
          <w:color w:val="020303"/>
          <w:sz w:val="18"/>
          <w:szCs w:val="18"/>
        </w:rPr>
        <w:t>which</w:t>
      </w:r>
      <w:r>
        <w:rPr>
          <w:color w:val="020303"/>
          <w:spacing w:val="-12"/>
          <w:sz w:val="18"/>
          <w:szCs w:val="18"/>
        </w:rPr>
        <w:t xml:space="preserve"> </w:t>
      </w:r>
      <w:r>
        <w:rPr>
          <w:color w:val="020303"/>
          <w:sz w:val="18"/>
          <w:szCs w:val="18"/>
        </w:rPr>
        <w:t>may</w:t>
      </w:r>
      <w:r>
        <w:rPr>
          <w:color w:val="020303"/>
          <w:spacing w:val="-13"/>
          <w:sz w:val="18"/>
          <w:szCs w:val="18"/>
        </w:rPr>
        <w:t xml:space="preserve"> </w:t>
      </w:r>
      <w:r>
        <w:rPr>
          <w:color w:val="020303"/>
          <w:sz w:val="18"/>
          <w:szCs w:val="18"/>
        </w:rPr>
        <w:t>be</w:t>
      </w:r>
      <w:r>
        <w:rPr>
          <w:color w:val="020303"/>
          <w:spacing w:val="-11"/>
          <w:sz w:val="18"/>
          <w:szCs w:val="18"/>
        </w:rPr>
        <w:t xml:space="preserve"> </w:t>
      </w:r>
      <w:r>
        <w:rPr>
          <w:color w:val="020303"/>
          <w:sz w:val="18"/>
          <w:szCs w:val="18"/>
        </w:rPr>
        <w:t>appropriate</w:t>
      </w:r>
      <w:r>
        <w:rPr>
          <w:color w:val="020303"/>
          <w:spacing w:val="-12"/>
          <w:sz w:val="18"/>
          <w:szCs w:val="18"/>
        </w:rPr>
        <w:t xml:space="preserve"> </w:t>
      </w:r>
      <w:r>
        <w:rPr>
          <w:color w:val="020303"/>
          <w:sz w:val="18"/>
          <w:szCs w:val="18"/>
        </w:rPr>
        <w:t>for</w:t>
      </w:r>
      <w:r>
        <w:rPr>
          <w:color w:val="020303"/>
          <w:spacing w:val="-12"/>
          <w:sz w:val="18"/>
          <w:szCs w:val="18"/>
        </w:rPr>
        <w:t xml:space="preserve"> </w:t>
      </w:r>
      <w:r>
        <w:rPr>
          <w:color w:val="020303"/>
          <w:sz w:val="18"/>
          <w:szCs w:val="18"/>
        </w:rPr>
        <w:t>presentation</w:t>
      </w:r>
      <w:r>
        <w:rPr>
          <w:color w:val="020303"/>
          <w:spacing w:val="-10"/>
          <w:sz w:val="18"/>
          <w:szCs w:val="18"/>
        </w:rPr>
        <w:t xml:space="preserve"> </w:t>
      </w:r>
      <w:r>
        <w:rPr>
          <w:color w:val="020303"/>
          <w:sz w:val="18"/>
          <w:szCs w:val="18"/>
        </w:rPr>
        <w:t>to</w:t>
      </w:r>
      <w:r>
        <w:rPr>
          <w:color w:val="020303"/>
          <w:spacing w:val="-11"/>
          <w:sz w:val="18"/>
          <w:szCs w:val="18"/>
        </w:rPr>
        <w:t xml:space="preserve"> </w:t>
      </w:r>
      <w:r>
        <w:rPr>
          <w:color w:val="020303"/>
          <w:sz w:val="18"/>
          <w:szCs w:val="18"/>
        </w:rPr>
        <w:t>the</w:t>
      </w:r>
      <w:r>
        <w:rPr>
          <w:color w:val="020303"/>
          <w:spacing w:val="-8"/>
          <w:sz w:val="18"/>
          <w:szCs w:val="18"/>
        </w:rPr>
        <w:t xml:space="preserve"> </w:t>
      </w:r>
      <w:r>
        <w:rPr>
          <w:color w:val="020303"/>
          <w:sz w:val="18"/>
          <w:szCs w:val="18"/>
        </w:rPr>
        <w:t>Group</w:t>
      </w:r>
      <w:r>
        <w:rPr>
          <w:color w:val="020303"/>
          <w:spacing w:val="-11"/>
          <w:sz w:val="18"/>
          <w:szCs w:val="18"/>
        </w:rPr>
        <w:t xml:space="preserve"> </w:t>
      </w:r>
      <w:r>
        <w:rPr>
          <w:color w:val="020303"/>
          <w:sz w:val="18"/>
          <w:szCs w:val="18"/>
        </w:rPr>
        <w:t>as</w:t>
      </w:r>
      <w:r>
        <w:rPr>
          <w:color w:val="020303"/>
          <w:spacing w:val="-9"/>
          <w:sz w:val="18"/>
          <w:szCs w:val="18"/>
        </w:rPr>
        <w:t xml:space="preserve"> </w:t>
      </w:r>
      <w:r>
        <w:rPr>
          <w:color w:val="020303"/>
          <w:sz w:val="18"/>
          <w:szCs w:val="18"/>
        </w:rPr>
        <w:t>well</w:t>
      </w:r>
      <w:r>
        <w:rPr>
          <w:color w:val="020303"/>
          <w:spacing w:val="-11"/>
          <w:sz w:val="18"/>
          <w:szCs w:val="18"/>
        </w:rPr>
        <w:t xml:space="preserve"> </w:t>
      </w:r>
      <w:r>
        <w:rPr>
          <w:color w:val="020303"/>
          <w:sz w:val="18"/>
          <w:szCs w:val="18"/>
        </w:rPr>
        <w:t>as</w:t>
      </w:r>
      <w:r>
        <w:rPr>
          <w:color w:val="020303"/>
          <w:spacing w:val="-11"/>
          <w:sz w:val="18"/>
          <w:szCs w:val="18"/>
        </w:rPr>
        <w:t xml:space="preserve"> </w:t>
      </w:r>
      <w:r>
        <w:rPr>
          <w:color w:val="020303"/>
          <w:sz w:val="18"/>
          <w:szCs w:val="18"/>
        </w:rPr>
        <w:t>the</w:t>
      </w:r>
      <w:r>
        <w:rPr>
          <w:color w:val="020303"/>
          <w:spacing w:val="-11"/>
          <w:sz w:val="18"/>
          <w:szCs w:val="18"/>
        </w:rPr>
        <w:t xml:space="preserve"> </w:t>
      </w:r>
      <w:r>
        <w:rPr>
          <w:color w:val="020303"/>
          <w:sz w:val="18"/>
          <w:szCs w:val="18"/>
        </w:rPr>
        <w:t>other</w:t>
      </w:r>
      <w:r>
        <w:rPr>
          <w:color w:val="020303"/>
          <w:spacing w:val="-10"/>
          <w:sz w:val="18"/>
          <w:szCs w:val="18"/>
        </w:rPr>
        <w:t xml:space="preserve"> </w:t>
      </w:r>
      <w:r>
        <w:rPr>
          <w:color w:val="020303"/>
          <w:sz w:val="18"/>
          <w:szCs w:val="18"/>
        </w:rPr>
        <w:t>entities</w:t>
      </w:r>
      <w:r>
        <w:rPr>
          <w:color w:val="020303"/>
          <w:spacing w:val="-8"/>
          <w:sz w:val="18"/>
          <w:szCs w:val="18"/>
        </w:rPr>
        <w:t xml:space="preserve"> </w:t>
      </w:r>
      <w:r>
        <w:rPr>
          <w:color w:val="020303"/>
          <w:sz w:val="18"/>
          <w:szCs w:val="18"/>
        </w:rPr>
        <w:t>with</w:t>
      </w:r>
      <w:r>
        <w:rPr>
          <w:color w:val="020303"/>
          <w:spacing w:val="-10"/>
          <w:sz w:val="18"/>
          <w:szCs w:val="18"/>
        </w:rPr>
        <w:t xml:space="preserve"> </w:t>
      </w:r>
      <w:r>
        <w:rPr>
          <w:color w:val="020303"/>
          <w:sz w:val="18"/>
          <w:szCs w:val="18"/>
        </w:rPr>
        <w:t>which they are affiliated (that are of a similar nature to the Company) and the Directors may have conflicts of interest in determining to which entity a particular opportunity should be presented to;</w:t>
      </w:r>
      <w:r>
        <w:rPr>
          <w:color w:val="020303"/>
          <w:spacing w:val="-14"/>
          <w:sz w:val="18"/>
          <w:szCs w:val="18"/>
        </w:rPr>
        <w:t xml:space="preserve"> </w:t>
      </w:r>
      <w:r>
        <w:rPr>
          <w:color w:val="020303"/>
          <w:sz w:val="18"/>
          <w:szCs w:val="18"/>
        </w:rPr>
        <w:t>and</w:t>
      </w:r>
    </w:p>
    <w:p w14:paraId="63C95767" w14:textId="77777777" w:rsidR="00783288" w:rsidRDefault="00783288">
      <w:pPr>
        <w:pStyle w:val="BodyText"/>
        <w:kinsoku w:val="0"/>
        <w:overflowPunct w:val="0"/>
        <w:spacing w:before="4"/>
      </w:pPr>
    </w:p>
    <w:p w14:paraId="3E2B05C0" w14:textId="77777777" w:rsidR="00783288" w:rsidRDefault="00E31420" w:rsidP="00512495">
      <w:pPr>
        <w:pStyle w:val="ListParagraph"/>
        <w:numPr>
          <w:ilvl w:val="0"/>
          <w:numId w:val="22"/>
        </w:numPr>
        <w:tabs>
          <w:tab w:val="left" w:pos="867"/>
        </w:tabs>
        <w:kinsoku w:val="0"/>
        <w:overflowPunct w:val="0"/>
        <w:ind w:right="1189"/>
        <w:jc w:val="both"/>
        <w:rPr>
          <w:rFonts w:ascii="Symbol" w:hAnsi="Symbol" w:cs="Symbol"/>
          <w:color w:val="020303"/>
          <w:sz w:val="18"/>
          <w:szCs w:val="18"/>
        </w:rPr>
      </w:pPr>
      <w:r>
        <w:rPr>
          <w:color w:val="020303"/>
          <w:sz w:val="18"/>
          <w:szCs w:val="18"/>
        </w:rPr>
        <w:t>The</w:t>
      </w:r>
      <w:r>
        <w:rPr>
          <w:color w:val="020303"/>
          <w:spacing w:val="-14"/>
          <w:sz w:val="18"/>
          <w:szCs w:val="18"/>
        </w:rPr>
        <w:t xml:space="preserve"> </w:t>
      </w:r>
      <w:r>
        <w:rPr>
          <w:color w:val="020303"/>
          <w:sz w:val="18"/>
          <w:szCs w:val="18"/>
        </w:rPr>
        <w:t>Directors</w:t>
      </w:r>
      <w:r>
        <w:rPr>
          <w:color w:val="020303"/>
          <w:spacing w:val="-13"/>
          <w:sz w:val="18"/>
          <w:szCs w:val="18"/>
        </w:rPr>
        <w:t xml:space="preserve"> </w:t>
      </w:r>
      <w:r>
        <w:rPr>
          <w:color w:val="020303"/>
          <w:sz w:val="18"/>
          <w:szCs w:val="18"/>
        </w:rPr>
        <w:t>have,</w:t>
      </w:r>
      <w:r>
        <w:rPr>
          <w:color w:val="020303"/>
          <w:spacing w:val="-14"/>
          <w:sz w:val="18"/>
          <w:szCs w:val="18"/>
        </w:rPr>
        <w:t xml:space="preserve"> </w:t>
      </w:r>
      <w:r>
        <w:rPr>
          <w:color w:val="020303"/>
          <w:sz w:val="18"/>
          <w:szCs w:val="18"/>
        </w:rPr>
        <w:t>or</w:t>
      </w:r>
      <w:r>
        <w:rPr>
          <w:color w:val="020303"/>
          <w:spacing w:val="-16"/>
          <w:sz w:val="18"/>
          <w:szCs w:val="18"/>
        </w:rPr>
        <w:t xml:space="preserve"> </w:t>
      </w:r>
      <w:r>
        <w:rPr>
          <w:color w:val="020303"/>
          <w:sz w:val="18"/>
          <w:szCs w:val="18"/>
        </w:rPr>
        <w:t>may</w:t>
      </w:r>
      <w:r>
        <w:rPr>
          <w:color w:val="020303"/>
          <w:spacing w:val="-15"/>
          <w:sz w:val="18"/>
          <w:szCs w:val="18"/>
        </w:rPr>
        <w:t xml:space="preserve"> </w:t>
      </w:r>
      <w:r>
        <w:rPr>
          <w:color w:val="020303"/>
          <w:sz w:val="18"/>
          <w:szCs w:val="18"/>
        </w:rPr>
        <w:t>come</w:t>
      </w:r>
      <w:r>
        <w:rPr>
          <w:color w:val="020303"/>
          <w:spacing w:val="-14"/>
          <w:sz w:val="18"/>
          <w:szCs w:val="18"/>
        </w:rPr>
        <w:t xml:space="preserve"> </w:t>
      </w:r>
      <w:r>
        <w:rPr>
          <w:color w:val="020303"/>
          <w:sz w:val="18"/>
          <w:szCs w:val="18"/>
        </w:rPr>
        <w:t>to</w:t>
      </w:r>
      <w:r>
        <w:rPr>
          <w:color w:val="020303"/>
          <w:spacing w:val="-16"/>
          <w:sz w:val="18"/>
          <w:szCs w:val="18"/>
        </w:rPr>
        <w:t xml:space="preserve"> </w:t>
      </w:r>
      <w:r>
        <w:rPr>
          <w:color w:val="020303"/>
          <w:sz w:val="18"/>
          <w:szCs w:val="18"/>
        </w:rPr>
        <w:t>have,</w:t>
      </w:r>
      <w:r>
        <w:rPr>
          <w:color w:val="020303"/>
          <w:spacing w:val="-16"/>
          <w:sz w:val="18"/>
          <w:szCs w:val="18"/>
        </w:rPr>
        <w:t xml:space="preserve"> </w:t>
      </w:r>
      <w:r>
        <w:rPr>
          <w:color w:val="020303"/>
          <w:sz w:val="18"/>
          <w:szCs w:val="18"/>
        </w:rPr>
        <w:t>other</w:t>
      </w:r>
      <w:r>
        <w:rPr>
          <w:color w:val="020303"/>
          <w:spacing w:val="-16"/>
          <w:sz w:val="18"/>
          <w:szCs w:val="18"/>
        </w:rPr>
        <w:t xml:space="preserve"> </w:t>
      </w:r>
      <w:r>
        <w:rPr>
          <w:color w:val="020303"/>
          <w:sz w:val="18"/>
          <w:szCs w:val="18"/>
        </w:rPr>
        <w:t>fiduciary</w:t>
      </w:r>
      <w:r>
        <w:rPr>
          <w:color w:val="020303"/>
          <w:spacing w:val="-15"/>
          <w:sz w:val="18"/>
          <w:szCs w:val="18"/>
        </w:rPr>
        <w:t xml:space="preserve"> </w:t>
      </w:r>
      <w:r>
        <w:rPr>
          <w:color w:val="020303"/>
          <w:sz w:val="18"/>
          <w:szCs w:val="18"/>
        </w:rPr>
        <w:t>obligations,</w:t>
      </w:r>
      <w:r>
        <w:rPr>
          <w:color w:val="020303"/>
          <w:spacing w:val="-16"/>
          <w:sz w:val="18"/>
          <w:szCs w:val="18"/>
        </w:rPr>
        <w:t xml:space="preserve"> </w:t>
      </w:r>
      <w:r>
        <w:rPr>
          <w:color w:val="020303"/>
          <w:sz w:val="18"/>
          <w:szCs w:val="18"/>
        </w:rPr>
        <w:t>including</w:t>
      </w:r>
      <w:r>
        <w:rPr>
          <w:color w:val="020303"/>
          <w:spacing w:val="-16"/>
          <w:sz w:val="18"/>
          <w:szCs w:val="18"/>
        </w:rPr>
        <w:t xml:space="preserve"> </w:t>
      </w:r>
      <w:r>
        <w:rPr>
          <w:color w:val="020303"/>
          <w:sz w:val="18"/>
          <w:szCs w:val="18"/>
        </w:rPr>
        <w:t>to</w:t>
      </w:r>
      <w:r>
        <w:rPr>
          <w:color w:val="020303"/>
          <w:spacing w:val="-16"/>
          <w:sz w:val="18"/>
          <w:szCs w:val="18"/>
        </w:rPr>
        <w:t xml:space="preserve"> </w:t>
      </w:r>
      <w:r>
        <w:rPr>
          <w:color w:val="020303"/>
          <w:sz w:val="18"/>
          <w:szCs w:val="18"/>
        </w:rPr>
        <w:t>other</w:t>
      </w:r>
      <w:r>
        <w:rPr>
          <w:color w:val="020303"/>
          <w:spacing w:val="-16"/>
          <w:sz w:val="18"/>
          <w:szCs w:val="18"/>
        </w:rPr>
        <w:t xml:space="preserve"> </w:t>
      </w:r>
      <w:r>
        <w:rPr>
          <w:color w:val="020303"/>
          <w:sz w:val="18"/>
          <w:szCs w:val="18"/>
        </w:rPr>
        <w:t>companies</w:t>
      </w:r>
      <w:r>
        <w:rPr>
          <w:color w:val="020303"/>
          <w:spacing w:val="-14"/>
          <w:sz w:val="18"/>
          <w:szCs w:val="18"/>
        </w:rPr>
        <w:t xml:space="preserve"> </w:t>
      </w:r>
      <w:r>
        <w:rPr>
          <w:color w:val="020303"/>
          <w:sz w:val="18"/>
          <w:szCs w:val="18"/>
        </w:rPr>
        <w:t>on</w:t>
      </w:r>
      <w:r>
        <w:rPr>
          <w:color w:val="020303"/>
          <w:spacing w:val="-13"/>
          <w:sz w:val="18"/>
          <w:szCs w:val="18"/>
        </w:rPr>
        <w:t xml:space="preserve"> </w:t>
      </w:r>
      <w:r>
        <w:rPr>
          <w:color w:val="020303"/>
          <w:sz w:val="18"/>
          <w:szCs w:val="18"/>
        </w:rPr>
        <w:t>whose board of directors they presently sit or to other companies whose board of directors they may join in the future. To the extent that they identify business opportunities that may be suitable for the Group or other companies on whose board of directors they may sit, the Directors will honour any pre-existing fiduciary obligations ahead of their obligations to the Group. Accordingly, they may refrain from presenting certain opportunities</w:t>
      </w:r>
      <w:r>
        <w:rPr>
          <w:color w:val="020303"/>
          <w:spacing w:val="-7"/>
          <w:sz w:val="18"/>
          <w:szCs w:val="18"/>
        </w:rPr>
        <w:t xml:space="preserve"> </w:t>
      </w:r>
      <w:r>
        <w:rPr>
          <w:color w:val="020303"/>
          <w:sz w:val="18"/>
          <w:szCs w:val="18"/>
        </w:rPr>
        <w:t>to</w:t>
      </w:r>
      <w:r>
        <w:rPr>
          <w:color w:val="020303"/>
          <w:spacing w:val="-8"/>
          <w:sz w:val="18"/>
          <w:szCs w:val="18"/>
        </w:rPr>
        <w:t xml:space="preserve"> </w:t>
      </w:r>
      <w:r>
        <w:rPr>
          <w:color w:val="020303"/>
          <w:sz w:val="18"/>
          <w:szCs w:val="18"/>
        </w:rPr>
        <w:t>the</w:t>
      </w:r>
      <w:r>
        <w:rPr>
          <w:color w:val="020303"/>
          <w:spacing w:val="-9"/>
          <w:sz w:val="18"/>
          <w:szCs w:val="18"/>
        </w:rPr>
        <w:t xml:space="preserve"> </w:t>
      </w:r>
      <w:r>
        <w:rPr>
          <w:color w:val="020303"/>
          <w:sz w:val="18"/>
          <w:szCs w:val="18"/>
        </w:rPr>
        <w:t>Group</w:t>
      </w:r>
      <w:r>
        <w:rPr>
          <w:color w:val="020303"/>
          <w:spacing w:val="-9"/>
          <w:sz w:val="18"/>
          <w:szCs w:val="18"/>
        </w:rPr>
        <w:t xml:space="preserve"> </w:t>
      </w:r>
      <w:r>
        <w:rPr>
          <w:color w:val="020303"/>
          <w:sz w:val="18"/>
          <w:szCs w:val="18"/>
        </w:rPr>
        <w:t>that</w:t>
      </w:r>
      <w:r>
        <w:rPr>
          <w:color w:val="020303"/>
          <w:spacing w:val="-9"/>
          <w:sz w:val="18"/>
          <w:szCs w:val="18"/>
        </w:rPr>
        <w:t xml:space="preserve"> </w:t>
      </w:r>
      <w:r>
        <w:rPr>
          <w:color w:val="020303"/>
          <w:sz w:val="18"/>
          <w:szCs w:val="18"/>
        </w:rPr>
        <w:t>come</w:t>
      </w:r>
      <w:r>
        <w:rPr>
          <w:color w:val="020303"/>
          <w:spacing w:val="-6"/>
          <w:sz w:val="18"/>
          <w:szCs w:val="18"/>
        </w:rPr>
        <w:t xml:space="preserve"> </w:t>
      </w:r>
      <w:r>
        <w:rPr>
          <w:color w:val="020303"/>
          <w:sz w:val="18"/>
          <w:szCs w:val="18"/>
        </w:rPr>
        <w:t>to</w:t>
      </w:r>
      <w:r>
        <w:rPr>
          <w:color w:val="020303"/>
          <w:spacing w:val="-9"/>
          <w:sz w:val="18"/>
          <w:szCs w:val="18"/>
        </w:rPr>
        <w:t xml:space="preserve"> </w:t>
      </w:r>
      <w:r>
        <w:rPr>
          <w:color w:val="020303"/>
          <w:sz w:val="18"/>
          <w:szCs w:val="18"/>
        </w:rPr>
        <w:t>their</w:t>
      </w:r>
      <w:r>
        <w:rPr>
          <w:color w:val="020303"/>
          <w:spacing w:val="-7"/>
          <w:sz w:val="18"/>
          <w:szCs w:val="18"/>
        </w:rPr>
        <w:t xml:space="preserve"> </w:t>
      </w:r>
      <w:r>
        <w:rPr>
          <w:color w:val="020303"/>
          <w:sz w:val="18"/>
          <w:szCs w:val="18"/>
        </w:rPr>
        <w:t>attention</w:t>
      </w:r>
      <w:r>
        <w:rPr>
          <w:color w:val="020303"/>
          <w:spacing w:val="-9"/>
          <w:sz w:val="18"/>
          <w:szCs w:val="18"/>
        </w:rPr>
        <w:t xml:space="preserve"> </w:t>
      </w:r>
      <w:r>
        <w:rPr>
          <w:color w:val="020303"/>
          <w:sz w:val="18"/>
          <w:szCs w:val="18"/>
        </w:rPr>
        <w:t>in</w:t>
      </w:r>
      <w:r>
        <w:rPr>
          <w:color w:val="020303"/>
          <w:spacing w:val="-9"/>
          <w:sz w:val="18"/>
          <w:szCs w:val="18"/>
        </w:rPr>
        <w:t xml:space="preserve"> </w:t>
      </w:r>
      <w:r>
        <w:rPr>
          <w:color w:val="020303"/>
          <w:sz w:val="18"/>
          <w:szCs w:val="18"/>
        </w:rPr>
        <w:t>the</w:t>
      </w:r>
      <w:r>
        <w:rPr>
          <w:color w:val="020303"/>
          <w:spacing w:val="-8"/>
          <w:sz w:val="18"/>
          <w:szCs w:val="18"/>
        </w:rPr>
        <w:t xml:space="preserve"> </w:t>
      </w:r>
      <w:r>
        <w:rPr>
          <w:color w:val="020303"/>
          <w:sz w:val="18"/>
          <w:szCs w:val="18"/>
        </w:rPr>
        <w:t>performance</w:t>
      </w:r>
      <w:r>
        <w:rPr>
          <w:color w:val="020303"/>
          <w:spacing w:val="-6"/>
          <w:sz w:val="18"/>
          <w:szCs w:val="18"/>
        </w:rPr>
        <w:t xml:space="preserve"> </w:t>
      </w:r>
      <w:r>
        <w:rPr>
          <w:color w:val="020303"/>
          <w:sz w:val="18"/>
          <w:szCs w:val="18"/>
        </w:rPr>
        <w:t>of</w:t>
      </w:r>
      <w:r>
        <w:rPr>
          <w:color w:val="020303"/>
          <w:spacing w:val="-9"/>
          <w:sz w:val="18"/>
          <w:szCs w:val="18"/>
        </w:rPr>
        <w:t xml:space="preserve"> </w:t>
      </w:r>
      <w:r>
        <w:rPr>
          <w:color w:val="020303"/>
          <w:sz w:val="18"/>
          <w:szCs w:val="18"/>
        </w:rPr>
        <w:t>their</w:t>
      </w:r>
      <w:r>
        <w:rPr>
          <w:color w:val="020303"/>
          <w:spacing w:val="-9"/>
          <w:sz w:val="18"/>
          <w:szCs w:val="18"/>
        </w:rPr>
        <w:t xml:space="preserve"> </w:t>
      </w:r>
      <w:r>
        <w:rPr>
          <w:color w:val="020303"/>
          <w:sz w:val="18"/>
          <w:szCs w:val="18"/>
        </w:rPr>
        <w:t>duties</w:t>
      </w:r>
      <w:r>
        <w:rPr>
          <w:color w:val="020303"/>
          <w:spacing w:val="-8"/>
          <w:sz w:val="18"/>
          <w:szCs w:val="18"/>
        </w:rPr>
        <w:t xml:space="preserve"> </w:t>
      </w:r>
      <w:r>
        <w:rPr>
          <w:color w:val="020303"/>
          <w:sz w:val="18"/>
          <w:szCs w:val="18"/>
        </w:rPr>
        <w:t>as</w:t>
      </w:r>
      <w:r>
        <w:rPr>
          <w:color w:val="020303"/>
          <w:spacing w:val="-7"/>
          <w:sz w:val="18"/>
          <w:szCs w:val="18"/>
        </w:rPr>
        <w:t xml:space="preserve"> </w:t>
      </w:r>
      <w:r>
        <w:rPr>
          <w:color w:val="020303"/>
          <w:sz w:val="18"/>
          <w:szCs w:val="18"/>
        </w:rPr>
        <w:t>directors</w:t>
      </w:r>
      <w:r>
        <w:rPr>
          <w:color w:val="020303"/>
          <w:spacing w:val="-7"/>
          <w:sz w:val="18"/>
          <w:szCs w:val="18"/>
        </w:rPr>
        <w:t xml:space="preserve"> </w:t>
      </w:r>
      <w:r>
        <w:rPr>
          <w:color w:val="020303"/>
          <w:sz w:val="18"/>
          <w:szCs w:val="18"/>
        </w:rPr>
        <w:t>of</w:t>
      </w:r>
      <w:r>
        <w:rPr>
          <w:color w:val="020303"/>
          <w:spacing w:val="-6"/>
          <w:sz w:val="18"/>
          <w:szCs w:val="18"/>
        </w:rPr>
        <w:t xml:space="preserve"> </w:t>
      </w:r>
      <w:r>
        <w:rPr>
          <w:color w:val="020303"/>
          <w:sz w:val="18"/>
          <w:szCs w:val="18"/>
        </w:rPr>
        <w:t>such other entities unless the other companies have declined to accept such opportunities or clearly lack the resources to take advantage of such</w:t>
      </w:r>
      <w:r>
        <w:rPr>
          <w:color w:val="020303"/>
          <w:spacing w:val="-3"/>
          <w:sz w:val="18"/>
          <w:szCs w:val="18"/>
        </w:rPr>
        <w:t xml:space="preserve"> </w:t>
      </w:r>
      <w:r>
        <w:rPr>
          <w:color w:val="020303"/>
          <w:sz w:val="18"/>
          <w:szCs w:val="18"/>
        </w:rPr>
        <w:t>opportunities.</w:t>
      </w:r>
    </w:p>
    <w:p w14:paraId="13886FD8" w14:textId="77777777" w:rsidR="00783288" w:rsidRDefault="00783288">
      <w:pPr>
        <w:pStyle w:val="BodyText"/>
        <w:kinsoku w:val="0"/>
        <w:overflowPunct w:val="0"/>
        <w:spacing w:before="10"/>
        <w:rPr>
          <w:sz w:val="17"/>
          <w:szCs w:val="17"/>
        </w:rPr>
      </w:pPr>
    </w:p>
    <w:p w14:paraId="743763D1" w14:textId="77777777" w:rsidR="00783288" w:rsidRDefault="00E31420">
      <w:pPr>
        <w:pStyle w:val="BodyText"/>
        <w:kinsoku w:val="0"/>
        <w:overflowPunct w:val="0"/>
        <w:ind w:left="300" w:right="1189"/>
        <w:jc w:val="both"/>
        <w:rPr>
          <w:color w:val="020303"/>
        </w:rPr>
      </w:pPr>
      <w:r>
        <w:rPr>
          <w:color w:val="020303"/>
        </w:rPr>
        <w:t>The Articles contain provisions whereby a director shall not vote on or be counted in the quorum of any Board meeting in respect of, any matter in which he has, directly or indirectly, any material interest.</w:t>
      </w:r>
    </w:p>
    <w:p w14:paraId="0BFD4B88" w14:textId="77777777" w:rsidR="00783288" w:rsidRDefault="00783288">
      <w:pPr>
        <w:pStyle w:val="BodyText"/>
        <w:kinsoku w:val="0"/>
        <w:overflowPunct w:val="0"/>
      </w:pPr>
    </w:p>
    <w:p w14:paraId="0F47449A" w14:textId="77777777" w:rsidR="00783288" w:rsidRDefault="00E31420">
      <w:pPr>
        <w:pStyle w:val="BodyText"/>
        <w:kinsoku w:val="0"/>
        <w:overflowPunct w:val="0"/>
        <w:ind w:left="300" w:right="1187"/>
        <w:jc w:val="both"/>
        <w:rPr>
          <w:color w:val="020303"/>
        </w:rPr>
      </w:pPr>
      <w:r>
        <w:rPr>
          <w:color w:val="020303"/>
        </w:rPr>
        <w:lastRenderedPageBreak/>
        <w:t>In accordance with the terms of the letters of appointment or service agreements entered into by each of the Directors,</w:t>
      </w:r>
      <w:r>
        <w:rPr>
          <w:color w:val="020303"/>
          <w:spacing w:val="-4"/>
        </w:rPr>
        <w:t xml:space="preserve"> </w:t>
      </w:r>
      <w:r>
        <w:rPr>
          <w:color w:val="020303"/>
        </w:rPr>
        <w:t>further</w:t>
      </w:r>
      <w:r>
        <w:rPr>
          <w:color w:val="020303"/>
          <w:spacing w:val="-7"/>
        </w:rPr>
        <w:t xml:space="preserve"> </w:t>
      </w:r>
      <w:r>
        <w:rPr>
          <w:color w:val="020303"/>
        </w:rPr>
        <w:t>details</w:t>
      </w:r>
      <w:r>
        <w:rPr>
          <w:color w:val="020303"/>
          <w:spacing w:val="-3"/>
        </w:rPr>
        <w:t xml:space="preserve"> </w:t>
      </w:r>
      <w:r>
        <w:rPr>
          <w:color w:val="020303"/>
        </w:rPr>
        <w:t>of</w:t>
      </w:r>
      <w:r>
        <w:rPr>
          <w:color w:val="020303"/>
          <w:spacing w:val="-4"/>
        </w:rPr>
        <w:t xml:space="preserve"> </w:t>
      </w:r>
      <w:r>
        <w:rPr>
          <w:color w:val="020303"/>
        </w:rPr>
        <w:t>which</w:t>
      </w:r>
      <w:r>
        <w:rPr>
          <w:color w:val="020303"/>
          <w:spacing w:val="-3"/>
        </w:rPr>
        <w:t xml:space="preserve"> </w:t>
      </w:r>
      <w:r>
        <w:rPr>
          <w:color w:val="020303"/>
        </w:rPr>
        <w:t>are</w:t>
      </w:r>
      <w:r>
        <w:rPr>
          <w:color w:val="020303"/>
          <w:spacing w:val="-6"/>
        </w:rPr>
        <w:t xml:space="preserve"> </w:t>
      </w:r>
      <w:r>
        <w:rPr>
          <w:color w:val="020303"/>
        </w:rPr>
        <w:t>set</w:t>
      </w:r>
      <w:r>
        <w:rPr>
          <w:color w:val="020303"/>
          <w:spacing w:val="-4"/>
        </w:rPr>
        <w:t xml:space="preserve"> </w:t>
      </w:r>
      <w:r>
        <w:rPr>
          <w:color w:val="020303"/>
        </w:rPr>
        <w:t>out</w:t>
      </w:r>
      <w:r>
        <w:rPr>
          <w:color w:val="020303"/>
          <w:spacing w:val="-6"/>
        </w:rPr>
        <w:t xml:space="preserve"> </w:t>
      </w:r>
      <w:r>
        <w:rPr>
          <w:color w:val="020303"/>
        </w:rPr>
        <w:t>in</w:t>
      </w:r>
      <w:r>
        <w:rPr>
          <w:color w:val="020303"/>
          <w:spacing w:val="-4"/>
        </w:rPr>
        <w:t xml:space="preserve"> </w:t>
      </w:r>
      <w:r>
        <w:rPr>
          <w:color w:val="020303"/>
        </w:rPr>
        <w:t>paragraph</w:t>
      </w:r>
      <w:r>
        <w:rPr>
          <w:color w:val="020303"/>
          <w:spacing w:val="-5"/>
        </w:rPr>
        <w:t xml:space="preserve"> </w:t>
      </w:r>
      <w:r>
        <w:rPr>
          <w:color w:val="020303"/>
        </w:rPr>
        <w:t>9</w:t>
      </w:r>
      <w:r>
        <w:rPr>
          <w:color w:val="020303"/>
          <w:spacing w:val="-3"/>
        </w:rPr>
        <w:t xml:space="preserve"> </w:t>
      </w:r>
      <w:r>
        <w:rPr>
          <w:color w:val="020303"/>
        </w:rPr>
        <w:t>of</w:t>
      </w:r>
      <w:r>
        <w:rPr>
          <w:color w:val="020303"/>
          <w:spacing w:val="-4"/>
        </w:rPr>
        <w:t xml:space="preserve"> </w:t>
      </w:r>
      <w:r>
        <w:rPr>
          <w:color w:val="020303"/>
        </w:rPr>
        <w:t>this</w:t>
      </w:r>
      <w:r>
        <w:rPr>
          <w:color w:val="020303"/>
          <w:spacing w:val="-3"/>
        </w:rPr>
        <w:t xml:space="preserve"> </w:t>
      </w:r>
      <w:r>
        <w:rPr>
          <w:color w:val="020303"/>
        </w:rPr>
        <w:t>Part</w:t>
      </w:r>
      <w:r>
        <w:rPr>
          <w:color w:val="020303"/>
          <w:spacing w:val="-4"/>
        </w:rPr>
        <w:t xml:space="preserve"> </w:t>
      </w:r>
      <w:r>
        <w:rPr>
          <w:color w:val="020303"/>
        </w:rPr>
        <w:t>VII</w:t>
      </w:r>
      <w:r>
        <w:rPr>
          <w:color w:val="020303"/>
          <w:spacing w:val="-5"/>
        </w:rPr>
        <w:t xml:space="preserve"> </w:t>
      </w:r>
      <w:r>
        <w:rPr>
          <w:color w:val="020303"/>
        </w:rPr>
        <w:t>of</w:t>
      </w:r>
      <w:r>
        <w:rPr>
          <w:color w:val="020303"/>
          <w:spacing w:val="-4"/>
        </w:rPr>
        <w:t xml:space="preserve"> </w:t>
      </w:r>
      <w:r>
        <w:rPr>
          <w:color w:val="020303"/>
        </w:rPr>
        <w:t>this</w:t>
      </w:r>
      <w:r>
        <w:rPr>
          <w:color w:val="020303"/>
          <w:spacing w:val="-3"/>
        </w:rPr>
        <w:t xml:space="preserve"> </w:t>
      </w:r>
      <w:r>
        <w:rPr>
          <w:color w:val="020303"/>
        </w:rPr>
        <w:t>Document,</w:t>
      </w:r>
      <w:r>
        <w:rPr>
          <w:color w:val="020303"/>
          <w:spacing w:val="-4"/>
        </w:rPr>
        <w:t xml:space="preserve"> </w:t>
      </w:r>
      <w:r>
        <w:rPr>
          <w:color w:val="020303"/>
        </w:rPr>
        <w:t>the</w:t>
      </w:r>
      <w:r>
        <w:rPr>
          <w:color w:val="020303"/>
          <w:spacing w:val="-4"/>
        </w:rPr>
        <w:t xml:space="preserve"> </w:t>
      </w:r>
      <w:r>
        <w:rPr>
          <w:color w:val="020303"/>
        </w:rPr>
        <w:t>Directors</w:t>
      </w:r>
      <w:r>
        <w:rPr>
          <w:color w:val="020303"/>
          <w:spacing w:val="-5"/>
        </w:rPr>
        <w:t xml:space="preserve"> </w:t>
      </w:r>
      <w:r>
        <w:rPr>
          <w:color w:val="020303"/>
        </w:rPr>
        <w:t>may</w:t>
      </w:r>
      <w:r>
        <w:rPr>
          <w:color w:val="020303"/>
          <w:spacing w:val="-6"/>
        </w:rPr>
        <w:t xml:space="preserve"> </w:t>
      </w:r>
      <w:r>
        <w:rPr>
          <w:color w:val="020303"/>
        </w:rPr>
        <w:t>be required to seek the agreement of the Board before accepting commitments outside their role in the Group, in addition to those already disclosed to the Company, which might give rise to a conflict of interest with any of their duties to the</w:t>
      </w:r>
      <w:r>
        <w:rPr>
          <w:color w:val="020303"/>
          <w:spacing w:val="-4"/>
        </w:rPr>
        <w:t xml:space="preserve"> </w:t>
      </w:r>
      <w:r>
        <w:rPr>
          <w:color w:val="020303"/>
        </w:rPr>
        <w:t>Group.</w:t>
      </w:r>
    </w:p>
    <w:p w14:paraId="3C1F7128" w14:textId="77777777" w:rsidR="00783288" w:rsidRDefault="00783288">
      <w:pPr>
        <w:pStyle w:val="BodyText"/>
        <w:kinsoku w:val="0"/>
        <w:overflowPunct w:val="0"/>
        <w:ind w:left="300" w:right="1187"/>
        <w:jc w:val="both"/>
        <w:rPr>
          <w:color w:val="020303"/>
        </w:rPr>
        <w:sectPr w:rsidR="00783288">
          <w:pgSz w:w="11900" w:h="16840"/>
          <w:pgMar w:top="1360" w:right="240" w:bottom="1160" w:left="1140" w:header="0" w:footer="891" w:gutter="0"/>
          <w:cols w:space="720"/>
          <w:noEndnote/>
        </w:sectPr>
      </w:pPr>
    </w:p>
    <w:p w14:paraId="1D44E1A0" w14:textId="57266DB9" w:rsidR="00783288" w:rsidRDefault="00E31420">
      <w:pPr>
        <w:pStyle w:val="Heading1"/>
        <w:kinsoku w:val="0"/>
        <w:overflowPunct w:val="0"/>
        <w:spacing w:before="74" w:line="477" w:lineRule="auto"/>
        <w:ind w:left="4082" w:right="4976" w:firstLine="383"/>
        <w:rPr>
          <w:color w:val="231F20"/>
          <w:spacing w:val="-3"/>
        </w:rPr>
      </w:pPr>
      <w:r>
        <w:rPr>
          <w:color w:val="231F20"/>
        </w:rPr>
        <w:lastRenderedPageBreak/>
        <w:t>PART III THE</w:t>
      </w:r>
      <w:r>
        <w:rPr>
          <w:color w:val="231F20"/>
          <w:spacing w:val="6"/>
        </w:rPr>
        <w:t xml:space="preserve"> </w:t>
      </w:r>
      <w:r w:rsidR="00E700B8">
        <w:rPr>
          <w:color w:val="231F20"/>
          <w:spacing w:val="6"/>
        </w:rPr>
        <w:t>PLACING</w:t>
      </w:r>
    </w:p>
    <w:p w14:paraId="769085A6" w14:textId="784C2EAA" w:rsidR="00783288" w:rsidRPr="004C0507" w:rsidRDefault="00E31420" w:rsidP="00512495">
      <w:pPr>
        <w:pStyle w:val="ListParagraph"/>
        <w:numPr>
          <w:ilvl w:val="0"/>
          <w:numId w:val="17"/>
        </w:numPr>
        <w:tabs>
          <w:tab w:val="left" w:pos="728"/>
        </w:tabs>
        <w:kinsoku w:val="0"/>
        <w:overflowPunct w:val="0"/>
        <w:spacing w:before="4"/>
        <w:rPr>
          <w:b/>
          <w:bCs/>
          <w:color w:val="0B0C0D"/>
          <w:sz w:val="18"/>
          <w:szCs w:val="18"/>
        </w:rPr>
      </w:pPr>
      <w:r w:rsidRPr="004C0507">
        <w:rPr>
          <w:b/>
          <w:bCs/>
          <w:color w:val="0B0C0D"/>
          <w:sz w:val="18"/>
          <w:szCs w:val="18"/>
        </w:rPr>
        <w:t xml:space="preserve">Description </w:t>
      </w:r>
      <w:r w:rsidRPr="004C0507">
        <w:rPr>
          <w:b/>
          <w:bCs/>
          <w:color w:val="231F20"/>
          <w:sz w:val="18"/>
          <w:szCs w:val="18"/>
        </w:rPr>
        <w:t>of the</w:t>
      </w:r>
      <w:r w:rsidRPr="004C0507">
        <w:rPr>
          <w:b/>
          <w:bCs/>
          <w:color w:val="231F20"/>
          <w:spacing w:val="-5"/>
          <w:sz w:val="18"/>
          <w:szCs w:val="18"/>
        </w:rPr>
        <w:t xml:space="preserve"> </w:t>
      </w:r>
      <w:r w:rsidR="00E700B8">
        <w:rPr>
          <w:b/>
          <w:bCs/>
          <w:color w:val="0B0C0D"/>
          <w:sz w:val="18"/>
          <w:szCs w:val="18"/>
        </w:rPr>
        <w:t>Placing</w:t>
      </w:r>
    </w:p>
    <w:p w14:paraId="216418EF" w14:textId="77777777" w:rsidR="00783288" w:rsidRPr="004C0507" w:rsidRDefault="00783288">
      <w:pPr>
        <w:pStyle w:val="BodyText"/>
        <w:kinsoku w:val="0"/>
        <w:overflowPunct w:val="0"/>
        <w:spacing w:before="3"/>
        <w:rPr>
          <w:b/>
          <w:bCs/>
        </w:rPr>
      </w:pPr>
    </w:p>
    <w:p w14:paraId="181D4465" w14:textId="0595D936" w:rsidR="00783288" w:rsidRPr="004C0507" w:rsidRDefault="00E31420">
      <w:pPr>
        <w:pStyle w:val="BodyText"/>
        <w:kinsoku w:val="0"/>
        <w:overflowPunct w:val="0"/>
        <w:spacing w:before="1"/>
        <w:ind w:left="300" w:right="1188"/>
        <w:jc w:val="both"/>
        <w:rPr>
          <w:color w:val="0B0C0D"/>
        </w:rPr>
      </w:pPr>
      <w:r w:rsidRPr="004C0507">
        <w:rPr>
          <w:color w:val="0B0C0D"/>
        </w:rPr>
        <w:t>Subject to and conditional upon Admission occurring by 8.00 a.m</w:t>
      </w:r>
      <w:r w:rsidRPr="00046867">
        <w:rPr>
          <w:color w:val="0B0C0D"/>
        </w:rPr>
        <w:t xml:space="preserve">. on or before </w:t>
      </w:r>
      <w:r w:rsidR="00046867" w:rsidRPr="00046867">
        <w:t>12 April</w:t>
      </w:r>
      <w:r w:rsidR="00384A46" w:rsidRPr="00046867">
        <w:rPr>
          <w:color w:val="0B0C0D"/>
        </w:rPr>
        <w:t xml:space="preserve"> 2021</w:t>
      </w:r>
      <w:r w:rsidR="006211BA" w:rsidRPr="00046867">
        <w:rPr>
          <w:color w:val="0B0C0D"/>
        </w:rPr>
        <w:t xml:space="preserve"> </w:t>
      </w:r>
      <w:r w:rsidRPr="004C0507">
        <w:rPr>
          <w:color w:val="0B0C0D"/>
        </w:rPr>
        <w:t>(or such later dates</w:t>
      </w:r>
      <w:r w:rsidRPr="004C0507">
        <w:rPr>
          <w:color w:val="0B0C0D"/>
          <w:spacing w:val="-4"/>
        </w:rPr>
        <w:t xml:space="preserve"> </w:t>
      </w:r>
      <w:r w:rsidRPr="004C0507">
        <w:rPr>
          <w:color w:val="0B0C0D"/>
        </w:rPr>
        <w:t>as</w:t>
      </w:r>
      <w:r w:rsidRPr="004C0507">
        <w:rPr>
          <w:color w:val="0B0C0D"/>
          <w:spacing w:val="-6"/>
        </w:rPr>
        <w:t xml:space="preserve"> </w:t>
      </w:r>
      <w:r w:rsidRPr="004C0507">
        <w:rPr>
          <w:color w:val="0B0C0D"/>
        </w:rPr>
        <w:t>might</w:t>
      </w:r>
      <w:r w:rsidRPr="004C0507">
        <w:rPr>
          <w:color w:val="0B0C0D"/>
          <w:spacing w:val="-6"/>
        </w:rPr>
        <w:t xml:space="preserve"> </w:t>
      </w:r>
      <w:r w:rsidRPr="004C0507">
        <w:rPr>
          <w:color w:val="0B0C0D"/>
        </w:rPr>
        <w:t>be</w:t>
      </w:r>
      <w:r w:rsidRPr="004C0507">
        <w:rPr>
          <w:color w:val="0B0C0D"/>
          <w:spacing w:val="-7"/>
        </w:rPr>
        <w:t xml:space="preserve"> </w:t>
      </w:r>
      <w:r w:rsidRPr="004C0507">
        <w:rPr>
          <w:color w:val="0B0C0D"/>
        </w:rPr>
        <w:t>agreed</w:t>
      </w:r>
      <w:r w:rsidRPr="004C0507">
        <w:rPr>
          <w:color w:val="0B0C0D"/>
          <w:spacing w:val="-6"/>
        </w:rPr>
        <w:t xml:space="preserve"> </w:t>
      </w:r>
      <w:r w:rsidRPr="00340CAA">
        <w:rPr>
          <w:color w:val="0B0C0D"/>
        </w:rPr>
        <w:t>between</w:t>
      </w:r>
      <w:r w:rsidRPr="00340CAA">
        <w:rPr>
          <w:color w:val="0B0C0D"/>
          <w:spacing w:val="-4"/>
        </w:rPr>
        <w:t xml:space="preserve"> </w:t>
      </w:r>
      <w:r w:rsidRPr="00340CAA">
        <w:rPr>
          <w:color w:val="0B0C0D"/>
        </w:rPr>
        <w:t>relevant</w:t>
      </w:r>
      <w:r w:rsidRPr="00340CAA">
        <w:rPr>
          <w:color w:val="0B0C0D"/>
          <w:spacing w:val="-4"/>
        </w:rPr>
        <w:t xml:space="preserve"> </w:t>
      </w:r>
      <w:r w:rsidRPr="00340CAA">
        <w:rPr>
          <w:color w:val="0B0C0D"/>
        </w:rPr>
        <w:t>parties</w:t>
      </w:r>
      <w:r w:rsidRPr="00340CAA">
        <w:rPr>
          <w:color w:val="0B0C0D"/>
          <w:spacing w:val="-7"/>
        </w:rPr>
        <w:t xml:space="preserve"> </w:t>
      </w:r>
      <w:r w:rsidRPr="00340CAA">
        <w:rPr>
          <w:color w:val="0B0C0D"/>
        </w:rPr>
        <w:t>provided</w:t>
      </w:r>
      <w:r w:rsidRPr="00340CAA">
        <w:rPr>
          <w:color w:val="0B0C0D"/>
          <w:spacing w:val="-6"/>
        </w:rPr>
        <w:t xml:space="preserve"> </w:t>
      </w:r>
      <w:r w:rsidRPr="00340CAA">
        <w:rPr>
          <w:color w:val="0B0C0D"/>
        </w:rPr>
        <w:t>such</w:t>
      </w:r>
      <w:r w:rsidRPr="00340CAA">
        <w:rPr>
          <w:color w:val="0B0C0D"/>
          <w:spacing w:val="-5"/>
        </w:rPr>
        <w:t xml:space="preserve"> </w:t>
      </w:r>
      <w:r w:rsidRPr="00340CAA">
        <w:rPr>
          <w:color w:val="0B0C0D"/>
        </w:rPr>
        <w:t>date</w:t>
      </w:r>
      <w:r w:rsidRPr="00340CAA">
        <w:rPr>
          <w:color w:val="0B0C0D"/>
          <w:spacing w:val="-6"/>
        </w:rPr>
        <w:t xml:space="preserve"> </w:t>
      </w:r>
      <w:r w:rsidRPr="00340CAA">
        <w:rPr>
          <w:color w:val="0B0C0D"/>
        </w:rPr>
        <w:t>is</w:t>
      </w:r>
      <w:r w:rsidRPr="00340CAA">
        <w:rPr>
          <w:color w:val="0B0C0D"/>
          <w:spacing w:val="-7"/>
        </w:rPr>
        <w:t xml:space="preserve"> </w:t>
      </w:r>
      <w:r w:rsidRPr="00340CAA">
        <w:rPr>
          <w:color w:val="0B0C0D"/>
        </w:rPr>
        <w:t>not</w:t>
      </w:r>
      <w:r w:rsidRPr="00340CAA">
        <w:rPr>
          <w:color w:val="0B0C0D"/>
          <w:spacing w:val="-6"/>
        </w:rPr>
        <w:t xml:space="preserve"> </w:t>
      </w:r>
      <w:r w:rsidRPr="00340CAA">
        <w:rPr>
          <w:color w:val="0B0C0D"/>
        </w:rPr>
        <w:t>later</w:t>
      </w:r>
      <w:r w:rsidRPr="00340CAA">
        <w:rPr>
          <w:color w:val="0B0C0D"/>
          <w:spacing w:val="-7"/>
        </w:rPr>
        <w:t xml:space="preserve"> </w:t>
      </w:r>
      <w:r w:rsidRPr="00340CAA">
        <w:rPr>
          <w:color w:val="0B0C0D"/>
        </w:rPr>
        <w:t>than</w:t>
      </w:r>
      <w:r w:rsidRPr="00340CAA">
        <w:rPr>
          <w:color w:val="0B0C0D"/>
          <w:spacing w:val="-7"/>
        </w:rPr>
        <w:t xml:space="preserve"> </w:t>
      </w:r>
      <w:r w:rsidRPr="00340CAA">
        <w:rPr>
          <w:color w:val="0B0C0D"/>
        </w:rPr>
        <w:t>the</w:t>
      </w:r>
      <w:r w:rsidRPr="00340CAA">
        <w:rPr>
          <w:color w:val="0B0C0D"/>
          <w:spacing w:val="-6"/>
        </w:rPr>
        <w:t xml:space="preserve"> </w:t>
      </w:r>
      <w:r w:rsidRPr="00340CAA">
        <w:rPr>
          <w:color w:val="0B0C0D"/>
        </w:rPr>
        <w:t>Long</w:t>
      </w:r>
      <w:r w:rsidRPr="00340CAA">
        <w:rPr>
          <w:color w:val="0B0C0D"/>
          <w:spacing w:val="-4"/>
        </w:rPr>
        <w:t xml:space="preserve"> </w:t>
      </w:r>
      <w:r w:rsidRPr="00340CAA">
        <w:rPr>
          <w:color w:val="0B0C0D"/>
        </w:rPr>
        <w:t>Stop</w:t>
      </w:r>
      <w:r w:rsidRPr="00340CAA">
        <w:rPr>
          <w:color w:val="0B0C0D"/>
          <w:spacing w:val="-6"/>
        </w:rPr>
        <w:t xml:space="preserve"> </w:t>
      </w:r>
      <w:r w:rsidRPr="00340CAA">
        <w:rPr>
          <w:color w:val="0B0C0D"/>
        </w:rPr>
        <w:t>Date),</w:t>
      </w:r>
      <w:r w:rsidRPr="00340CAA">
        <w:rPr>
          <w:color w:val="0B0C0D"/>
          <w:spacing w:val="-7"/>
        </w:rPr>
        <w:t xml:space="preserve"> </w:t>
      </w:r>
      <w:r w:rsidRPr="00340CAA">
        <w:rPr>
          <w:color w:val="0B0C0D"/>
        </w:rPr>
        <w:t>the Company</w:t>
      </w:r>
      <w:r w:rsidRPr="00340CAA">
        <w:rPr>
          <w:color w:val="0B0C0D"/>
          <w:spacing w:val="-7"/>
        </w:rPr>
        <w:t xml:space="preserve"> </w:t>
      </w:r>
      <w:r w:rsidRPr="00340CAA">
        <w:rPr>
          <w:color w:val="0B0C0D"/>
        </w:rPr>
        <w:t>will</w:t>
      </w:r>
      <w:r w:rsidRPr="00340CAA">
        <w:rPr>
          <w:color w:val="0B0C0D"/>
          <w:spacing w:val="-4"/>
        </w:rPr>
        <w:t xml:space="preserve"> </w:t>
      </w:r>
      <w:r w:rsidRPr="00340CAA">
        <w:rPr>
          <w:color w:val="0B0C0D"/>
        </w:rPr>
        <w:t>raise</w:t>
      </w:r>
      <w:r w:rsidRPr="00340CAA">
        <w:rPr>
          <w:color w:val="0B0C0D"/>
          <w:spacing w:val="-4"/>
        </w:rPr>
        <w:t xml:space="preserve"> </w:t>
      </w:r>
      <w:r w:rsidRPr="00340CAA">
        <w:rPr>
          <w:color w:val="0B0C0D"/>
        </w:rPr>
        <w:t>gross</w:t>
      </w:r>
      <w:r w:rsidRPr="00340CAA">
        <w:rPr>
          <w:color w:val="0B0C0D"/>
          <w:spacing w:val="-7"/>
        </w:rPr>
        <w:t xml:space="preserve"> </w:t>
      </w:r>
      <w:r w:rsidRPr="00340CAA">
        <w:rPr>
          <w:color w:val="0B0C0D"/>
        </w:rPr>
        <w:t>proceeds</w:t>
      </w:r>
      <w:r w:rsidRPr="00340CAA">
        <w:rPr>
          <w:color w:val="0B0C0D"/>
          <w:spacing w:val="-6"/>
        </w:rPr>
        <w:t xml:space="preserve"> </w:t>
      </w:r>
      <w:r w:rsidRPr="00340CAA">
        <w:rPr>
          <w:color w:val="0B0C0D"/>
        </w:rPr>
        <w:t>of</w:t>
      </w:r>
      <w:r w:rsidRPr="00340CAA">
        <w:rPr>
          <w:color w:val="0B0C0D"/>
          <w:spacing w:val="-4"/>
        </w:rPr>
        <w:t xml:space="preserve"> </w:t>
      </w:r>
      <w:r w:rsidRPr="00340CAA">
        <w:rPr>
          <w:color w:val="0B0C0D"/>
        </w:rPr>
        <w:t>£</w:t>
      </w:r>
      <w:r w:rsidR="00340CAA" w:rsidRPr="00340CAA">
        <w:t xml:space="preserve">800,000 </w:t>
      </w:r>
      <w:r w:rsidRPr="00340CAA">
        <w:rPr>
          <w:color w:val="0B0C0D"/>
        </w:rPr>
        <w:t>as</w:t>
      </w:r>
      <w:r w:rsidRPr="00340CAA">
        <w:rPr>
          <w:color w:val="0B0C0D"/>
          <w:spacing w:val="-4"/>
        </w:rPr>
        <w:t xml:space="preserve"> </w:t>
      </w:r>
      <w:r w:rsidRPr="00340CAA">
        <w:rPr>
          <w:color w:val="0B0C0D"/>
        </w:rPr>
        <w:t>a</w:t>
      </w:r>
      <w:r w:rsidRPr="00340CAA">
        <w:rPr>
          <w:color w:val="0B0C0D"/>
          <w:spacing w:val="-4"/>
        </w:rPr>
        <w:t xml:space="preserve"> </w:t>
      </w:r>
      <w:r w:rsidRPr="00340CAA">
        <w:rPr>
          <w:color w:val="0B0C0D"/>
        </w:rPr>
        <w:t>result</w:t>
      </w:r>
      <w:r w:rsidRPr="00340CAA">
        <w:rPr>
          <w:color w:val="0B0C0D"/>
          <w:spacing w:val="-6"/>
        </w:rPr>
        <w:t xml:space="preserve"> </w:t>
      </w:r>
      <w:r w:rsidRPr="00340CAA">
        <w:rPr>
          <w:color w:val="0B0C0D"/>
        </w:rPr>
        <w:t>of</w:t>
      </w:r>
      <w:r w:rsidRPr="00340CAA">
        <w:rPr>
          <w:color w:val="0B0C0D"/>
          <w:spacing w:val="-4"/>
        </w:rPr>
        <w:t xml:space="preserve"> </w:t>
      </w:r>
      <w:r w:rsidRPr="00340CAA">
        <w:rPr>
          <w:color w:val="0B0C0D"/>
        </w:rPr>
        <w:t>the</w:t>
      </w:r>
      <w:r w:rsidRPr="004C0507">
        <w:rPr>
          <w:color w:val="0B0C0D"/>
        </w:rPr>
        <w:t xml:space="preserve"> Placing. The terms of the </w:t>
      </w:r>
      <w:r w:rsidR="00B27A2B">
        <w:rPr>
          <w:color w:val="0B0C0D"/>
        </w:rPr>
        <w:t>Placing</w:t>
      </w:r>
      <w:r w:rsidR="00B27A2B" w:rsidRPr="004C0507">
        <w:rPr>
          <w:color w:val="0B0C0D"/>
        </w:rPr>
        <w:t xml:space="preserve"> </w:t>
      </w:r>
      <w:r w:rsidRPr="004C0507">
        <w:rPr>
          <w:color w:val="0B0C0D"/>
        </w:rPr>
        <w:t>are briefly summarised</w:t>
      </w:r>
      <w:r w:rsidRPr="004C0507">
        <w:rPr>
          <w:color w:val="0B0C0D"/>
          <w:spacing w:val="-11"/>
        </w:rPr>
        <w:t xml:space="preserve"> </w:t>
      </w:r>
      <w:r w:rsidRPr="004C0507">
        <w:rPr>
          <w:color w:val="0B0C0D"/>
        </w:rPr>
        <w:t>below:</w:t>
      </w:r>
    </w:p>
    <w:p w14:paraId="35D599AE" w14:textId="77777777" w:rsidR="00783288" w:rsidRPr="004C0507" w:rsidRDefault="00783288">
      <w:pPr>
        <w:pStyle w:val="BodyText"/>
        <w:kinsoku w:val="0"/>
        <w:overflowPunct w:val="0"/>
        <w:spacing w:before="2"/>
      </w:pPr>
    </w:p>
    <w:tbl>
      <w:tblPr>
        <w:tblW w:w="0" w:type="auto"/>
        <w:tblInd w:w="300" w:type="dxa"/>
        <w:tblLayout w:type="fixed"/>
        <w:tblCellMar>
          <w:left w:w="0" w:type="dxa"/>
          <w:right w:w="0" w:type="dxa"/>
        </w:tblCellMar>
        <w:tblLook w:val="0000" w:firstRow="0" w:lastRow="0" w:firstColumn="0" w:lastColumn="0" w:noHBand="0" w:noVBand="0"/>
      </w:tblPr>
      <w:tblGrid>
        <w:gridCol w:w="2285"/>
        <w:gridCol w:w="2535"/>
        <w:gridCol w:w="2057"/>
        <w:gridCol w:w="2141"/>
      </w:tblGrid>
      <w:tr w:rsidR="00783288" w:rsidRPr="004C0507" w14:paraId="000ED66C" w14:textId="77777777">
        <w:trPr>
          <w:trHeight w:val="621"/>
        </w:trPr>
        <w:tc>
          <w:tcPr>
            <w:tcW w:w="2285" w:type="dxa"/>
            <w:tcBorders>
              <w:top w:val="single" w:sz="4" w:space="0" w:color="231F20"/>
              <w:left w:val="single" w:sz="4" w:space="0" w:color="231F20"/>
              <w:bottom w:val="single" w:sz="4" w:space="0" w:color="231F20"/>
              <w:right w:val="single" w:sz="4" w:space="0" w:color="231F20"/>
            </w:tcBorders>
          </w:tcPr>
          <w:p w14:paraId="5E756A85" w14:textId="77777777" w:rsidR="00783288" w:rsidRPr="004C0507" w:rsidRDefault="00783288">
            <w:pPr>
              <w:pStyle w:val="TableParagraph"/>
              <w:kinsoku w:val="0"/>
              <w:overflowPunct w:val="0"/>
              <w:rPr>
                <w:rFonts w:ascii="Times New Roman" w:hAnsi="Times New Roman" w:cs="Times New Roman"/>
                <w:sz w:val="16"/>
                <w:szCs w:val="16"/>
              </w:rPr>
            </w:pPr>
          </w:p>
        </w:tc>
        <w:tc>
          <w:tcPr>
            <w:tcW w:w="2535" w:type="dxa"/>
            <w:tcBorders>
              <w:top w:val="single" w:sz="4" w:space="0" w:color="231F20"/>
              <w:left w:val="single" w:sz="4" w:space="0" w:color="231F20"/>
              <w:bottom w:val="single" w:sz="4" w:space="0" w:color="231F20"/>
              <w:right w:val="single" w:sz="4" w:space="0" w:color="231F20"/>
            </w:tcBorders>
          </w:tcPr>
          <w:p w14:paraId="59846700" w14:textId="77777777" w:rsidR="00783288" w:rsidRPr="004C0507" w:rsidRDefault="00E31420">
            <w:pPr>
              <w:pStyle w:val="TableParagraph"/>
              <w:kinsoku w:val="0"/>
              <w:overflowPunct w:val="0"/>
              <w:ind w:left="805" w:right="96" w:hanging="687"/>
              <w:rPr>
                <w:b/>
                <w:bCs/>
                <w:color w:val="0B0C0D"/>
                <w:sz w:val="18"/>
                <w:szCs w:val="18"/>
              </w:rPr>
            </w:pPr>
            <w:r w:rsidRPr="004C0507">
              <w:rPr>
                <w:b/>
                <w:bCs/>
                <w:color w:val="0B0C0D"/>
                <w:sz w:val="18"/>
                <w:szCs w:val="18"/>
              </w:rPr>
              <w:t>Ordinary Shares Issued on Admission</w:t>
            </w:r>
          </w:p>
        </w:tc>
        <w:tc>
          <w:tcPr>
            <w:tcW w:w="2057" w:type="dxa"/>
            <w:tcBorders>
              <w:top w:val="single" w:sz="4" w:space="0" w:color="231F20"/>
              <w:left w:val="single" w:sz="4" w:space="0" w:color="231F20"/>
              <w:bottom w:val="single" w:sz="4" w:space="0" w:color="231F20"/>
              <w:right w:val="single" w:sz="4" w:space="0" w:color="231F20"/>
            </w:tcBorders>
          </w:tcPr>
          <w:p w14:paraId="4770606A" w14:textId="77777777" w:rsidR="00783288" w:rsidRPr="004C0507" w:rsidRDefault="00E31420">
            <w:pPr>
              <w:pStyle w:val="TableParagraph"/>
              <w:kinsoku w:val="0"/>
              <w:overflowPunct w:val="0"/>
              <w:spacing w:line="201" w:lineRule="exact"/>
              <w:ind w:left="552"/>
              <w:rPr>
                <w:b/>
                <w:bCs/>
                <w:color w:val="0B0C0D"/>
                <w:sz w:val="18"/>
                <w:szCs w:val="18"/>
              </w:rPr>
            </w:pPr>
            <w:r w:rsidRPr="004C0507">
              <w:rPr>
                <w:b/>
                <w:bCs/>
                <w:color w:val="0B0C0D"/>
                <w:sz w:val="18"/>
                <w:szCs w:val="18"/>
              </w:rPr>
              <w:t>Issue Price</w:t>
            </w:r>
          </w:p>
        </w:tc>
        <w:tc>
          <w:tcPr>
            <w:tcW w:w="2141" w:type="dxa"/>
            <w:tcBorders>
              <w:top w:val="single" w:sz="4" w:space="0" w:color="231F20"/>
              <w:left w:val="single" w:sz="4" w:space="0" w:color="231F20"/>
              <w:bottom w:val="single" w:sz="4" w:space="0" w:color="231F20"/>
              <w:right w:val="single" w:sz="4" w:space="0" w:color="231F20"/>
            </w:tcBorders>
          </w:tcPr>
          <w:p w14:paraId="3D2F8E30" w14:textId="77777777" w:rsidR="00783288" w:rsidRPr="004C0507" w:rsidRDefault="00E31420">
            <w:pPr>
              <w:pStyle w:val="TableParagraph"/>
              <w:kinsoku w:val="0"/>
              <w:overflowPunct w:val="0"/>
              <w:ind w:left="377" w:right="370"/>
              <w:jc w:val="center"/>
              <w:rPr>
                <w:b/>
                <w:bCs/>
                <w:color w:val="0B0C0D"/>
                <w:sz w:val="18"/>
                <w:szCs w:val="18"/>
              </w:rPr>
            </w:pPr>
            <w:r w:rsidRPr="004C0507">
              <w:rPr>
                <w:b/>
                <w:bCs/>
                <w:color w:val="0B0C0D"/>
                <w:sz w:val="18"/>
                <w:szCs w:val="18"/>
              </w:rPr>
              <w:t>Gross Proceeds Raised</w:t>
            </w:r>
          </w:p>
          <w:p w14:paraId="646E8C72" w14:textId="77777777" w:rsidR="00783288" w:rsidRPr="004C0507" w:rsidRDefault="00E31420">
            <w:pPr>
              <w:pStyle w:val="TableParagraph"/>
              <w:kinsoku w:val="0"/>
              <w:overflowPunct w:val="0"/>
              <w:spacing w:line="193" w:lineRule="exact"/>
              <w:ind w:left="375" w:right="370"/>
              <w:jc w:val="center"/>
              <w:rPr>
                <w:b/>
                <w:bCs/>
                <w:color w:val="0B0C0D"/>
                <w:sz w:val="18"/>
                <w:szCs w:val="18"/>
              </w:rPr>
            </w:pPr>
            <w:r w:rsidRPr="004C0507">
              <w:rPr>
                <w:b/>
                <w:bCs/>
                <w:color w:val="0B0C0D"/>
                <w:sz w:val="18"/>
                <w:szCs w:val="18"/>
              </w:rPr>
              <w:t>(£)</w:t>
            </w:r>
          </w:p>
        </w:tc>
      </w:tr>
      <w:tr w:rsidR="00783288" w:rsidRPr="004C0507" w14:paraId="67270B7D" w14:textId="77777777">
        <w:trPr>
          <w:trHeight w:val="621"/>
        </w:trPr>
        <w:tc>
          <w:tcPr>
            <w:tcW w:w="2285" w:type="dxa"/>
            <w:tcBorders>
              <w:top w:val="single" w:sz="4" w:space="0" w:color="231F20"/>
              <w:left w:val="single" w:sz="4" w:space="0" w:color="231F20"/>
              <w:bottom w:val="single" w:sz="4" w:space="0" w:color="231F20"/>
              <w:right w:val="single" w:sz="4" w:space="0" w:color="231F20"/>
            </w:tcBorders>
          </w:tcPr>
          <w:p w14:paraId="2A508113" w14:textId="77777777" w:rsidR="00783288" w:rsidRPr="004C0507" w:rsidRDefault="00E31420">
            <w:pPr>
              <w:pStyle w:val="TableParagraph"/>
              <w:kinsoku w:val="0"/>
              <w:overflowPunct w:val="0"/>
              <w:spacing w:line="206" w:lineRule="exact"/>
              <w:ind w:left="107"/>
              <w:rPr>
                <w:color w:val="0B0C0D"/>
                <w:sz w:val="18"/>
                <w:szCs w:val="18"/>
              </w:rPr>
            </w:pPr>
            <w:r w:rsidRPr="004C0507">
              <w:rPr>
                <w:color w:val="0B0C0D"/>
                <w:sz w:val="18"/>
                <w:szCs w:val="18"/>
              </w:rPr>
              <w:t>Placing</w:t>
            </w:r>
          </w:p>
        </w:tc>
        <w:tc>
          <w:tcPr>
            <w:tcW w:w="2535" w:type="dxa"/>
            <w:tcBorders>
              <w:top w:val="single" w:sz="4" w:space="0" w:color="231F20"/>
              <w:left w:val="single" w:sz="4" w:space="0" w:color="231F20"/>
              <w:bottom w:val="single" w:sz="4" w:space="0" w:color="231F20"/>
              <w:right w:val="single" w:sz="4" w:space="0" w:color="231F20"/>
            </w:tcBorders>
          </w:tcPr>
          <w:p w14:paraId="6D746CBF" w14:textId="23386673" w:rsidR="00783288" w:rsidRPr="004C0507" w:rsidRDefault="00340CAA">
            <w:pPr>
              <w:pStyle w:val="TableParagraph"/>
              <w:kinsoku w:val="0"/>
              <w:overflowPunct w:val="0"/>
              <w:spacing w:line="206" w:lineRule="exact"/>
              <w:ind w:left="794" w:right="789"/>
              <w:jc w:val="center"/>
              <w:rPr>
                <w:color w:val="0B0C0D"/>
                <w:sz w:val="18"/>
                <w:szCs w:val="18"/>
              </w:rPr>
            </w:pPr>
            <w:r>
              <w:rPr>
                <w:sz w:val="18"/>
                <w:szCs w:val="18"/>
              </w:rPr>
              <w:t>8,000,000</w:t>
            </w:r>
          </w:p>
        </w:tc>
        <w:tc>
          <w:tcPr>
            <w:tcW w:w="2057" w:type="dxa"/>
            <w:tcBorders>
              <w:top w:val="single" w:sz="4" w:space="0" w:color="231F20"/>
              <w:left w:val="single" w:sz="4" w:space="0" w:color="231F20"/>
              <w:bottom w:val="single" w:sz="4" w:space="0" w:color="231F20"/>
              <w:right w:val="single" w:sz="4" w:space="0" w:color="231F20"/>
            </w:tcBorders>
          </w:tcPr>
          <w:p w14:paraId="267CDA18" w14:textId="7BEFB85F" w:rsidR="00783288" w:rsidRPr="004C0507" w:rsidRDefault="00B27A2B">
            <w:pPr>
              <w:pStyle w:val="TableParagraph"/>
              <w:kinsoku w:val="0"/>
              <w:overflowPunct w:val="0"/>
              <w:ind w:left="742" w:right="370" w:hanging="346"/>
              <w:rPr>
                <w:color w:val="0B0C0D"/>
                <w:sz w:val="18"/>
                <w:szCs w:val="18"/>
              </w:rPr>
            </w:pPr>
            <w:r>
              <w:rPr>
                <w:color w:val="0B0C0D"/>
                <w:sz w:val="18"/>
                <w:szCs w:val="18"/>
              </w:rPr>
              <w:t>Placing</w:t>
            </w:r>
            <w:r w:rsidRPr="004C0507">
              <w:rPr>
                <w:color w:val="0B0C0D"/>
                <w:sz w:val="18"/>
                <w:szCs w:val="18"/>
              </w:rPr>
              <w:t xml:space="preserve"> </w:t>
            </w:r>
            <w:r w:rsidR="00E31420" w:rsidRPr="004C0507">
              <w:rPr>
                <w:color w:val="0B0C0D"/>
                <w:sz w:val="18"/>
                <w:szCs w:val="18"/>
              </w:rPr>
              <w:t>Price (£</w:t>
            </w:r>
            <w:r w:rsidR="000F2D78">
              <w:rPr>
                <w:sz w:val="18"/>
                <w:szCs w:val="18"/>
              </w:rPr>
              <w:t>0.10p</w:t>
            </w:r>
            <w:r w:rsidR="00E31420" w:rsidRPr="004C0507">
              <w:rPr>
                <w:color w:val="0B0C0D"/>
                <w:sz w:val="18"/>
                <w:szCs w:val="18"/>
              </w:rPr>
              <w:t>)</w:t>
            </w:r>
          </w:p>
        </w:tc>
        <w:tc>
          <w:tcPr>
            <w:tcW w:w="2141" w:type="dxa"/>
            <w:tcBorders>
              <w:top w:val="single" w:sz="4" w:space="0" w:color="231F20"/>
              <w:left w:val="single" w:sz="4" w:space="0" w:color="231F20"/>
              <w:bottom w:val="single" w:sz="4" w:space="0" w:color="231F20"/>
              <w:right w:val="single" w:sz="4" w:space="0" w:color="231F20"/>
            </w:tcBorders>
          </w:tcPr>
          <w:p w14:paraId="1EC78431" w14:textId="01E0018C" w:rsidR="00783288" w:rsidRPr="004C0507" w:rsidRDefault="00E31420">
            <w:pPr>
              <w:pStyle w:val="TableParagraph"/>
              <w:kinsoku w:val="0"/>
              <w:overflowPunct w:val="0"/>
              <w:spacing w:line="206" w:lineRule="exact"/>
              <w:ind w:left="375" w:right="370"/>
              <w:jc w:val="center"/>
              <w:rPr>
                <w:color w:val="0B0C0D"/>
                <w:sz w:val="18"/>
                <w:szCs w:val="18"/>
              </w:rPr>
            </w:pPr>
            <w:r w:rsidRPr="004C0507">
              <w:rPr>
                <w:color w:val="0B0C0D"/>
                <w:sz w:val="18"/>
                <w:szCs w:val="18"/>
              </w:rPr>
              <w:t>£</w:t>
            </w:r>
            <w:r w:rsidR="00340CAA">
              <w:rPr>
                <w:sz w:val="18"/>
                <w:szCs w:val="18"/>
              </w:rPr>
              <w:t>800,000</w:t>
            </w:r>
          </w:p>
        </w:tc>
      </w:tr>
      <w:tr w:rsidR="00783288" w:rsidRPr="004C0507" w14:paraId="0194CEA7" w14:textId="77777777">
        <w:trPr>
          <w:trHeight w:val="414"/>
        </w:trPr>
        <w:tc>
          <w:tcPr>
            <w:tcW w:w="2285" w:type="dxa"/>
            <w:tcBorders>
              <w:top w:val="single" w:sz="4" w:space="0" w:color="231F20"/>
              <w:left w:val="single" w:sz="4" w:space="0" w:color="231F20"/>
              <w:bottom w:val="single" w:sz="4" w:space="0" w:color="231F20"/>
              <w:right w:val="single" w:sz="4" w:space="0" w:color="231F20"/>
            </w:tcBorders>
          </w:tcPr>
          <w:p w14:paraId="0024FF6F" w14:textId="77777777" w:rsidR="00783288" w:rsidRPr="004C0507" w:rsidRDefault="00E31420">
            <w:pPr>
              <w:pStyle w:val="TableParagraph"/>
              <w:kinsoku w:val="0"/>
              <w:overflowPunct w:val="0"/>
              <w:spacing w:line="201" w:lineRule="exact"/>
              <w:ind w:left="107"/>
              <w:rPr>
                <w:b/>
                <w:bCs/>
                <w:color w:val="0B0C0D"/>
                <w:sz w:val="18"/>
                <w:szCs w:val="18"/>
              </w:rPr>
            </w:pPr>
            <w:r w:rsidRPr="004C0507">
              <w:rPr>
                <w:b/>
                <w:bCs/>
                <w:color w:val="0B0C0D"/>
                <w:sz w:val="18"/>
                <w:szCs w:val="18"/>
              </w:rPr>
              <w:t>Total</w:t>
            </w:r>
          </w:p>
        </w:tc>
        <w:tc>
          <w:tcPr>
            <w:tcW w:w="2535" w:type="dxa"/>
            <w:tcBorders>
              <w:top w:val="single" w:sz="4" w:space="0" w:color="231F20"/>
              <w:left w:val="single" w:sz="4" w:space="0" w:color="231F20"/>
              <w:bottom w:val="single" w:sz="4" w:space="0" w:color="231F20"/>
              <w:right w:val="single" w:sz="4" w:space="0" w:color="231F20"/>
            </w:tcBorders>
          </w:tcPr>
          <w:p w14:paraId="26680192" w14:textId="3EDFBF31" w:rsidR="00783288" w:rsidRPr="004C0507" w:rsidRDefault="00340CAA">
            <w:pPr>
              <w:pStyle w:val="TableParagraph"/>
              <w:kinsoku w:val="0"/>
              <w:overflowPunct w:val="0"/>
              <w:spacing w:line="201" w:lineRule="exact"/>
              <w:ind w:left="795" w:right="789"/>
              <w:jc w:val="center"/>
              <w:rPr>
                <w:b/>
                <w:bCs/>
                <w:color w:val="0B0C0D"/>
                <w:sz w:val="18"/>
                <w:szCs w:val="18"/>
              </w:rPr>
            </w:pPr>
            <w:r>
              <w:rPr>
                <w:b/>
                <w:bCs/>
                <w:sz w:val="18"/>
                <w:szCs w:val="18"/>
                <w:u w:val="single"/>
              </w:rPr>
              <w:t>8,000,000</w:t>
            </w:r>
          </w:p>
        </w:tc>
        <w:tc>
          <w:tcPr>
            <w:tcW w:w="2057" w:type="dxa"/>
            <w:tcBorders>
              <w:top w:val="single" w:sz="4" w:space="0" w:color="231F20"/>
              <w:left w:val="single" w:sz="4" w:space="0" w:color="231F20"/>
              <w:bottom w:val="single" w:sz="4" w:space="0" w:color="231F20"/>
              <w:right w:val="single" w:sz="4" w:space="0" w:color="231F20"/>
            </w:tcBorders>
          </w:tcPr>
          <w:p w14:paraId="711AA5FB" w14:textId="311BF550" w:rsidR="00783288" w:rsidRDefault="00B27A2B">
            <w:pPr>
              <w:pStyle w:val="TableParagraph"/>
              <w:kinsoku w:val="0"/>
              <w:overflowPunct w:val="0"/>
              <w:spacing w:before="1" w:line="208" w:lineRule="exact"/>
              <w:ind w:left="742" w:right="370" w:hanging="346"/>
              <w:rPr>
                <w:color w:val="0B0C0D"/>
                <w:sz w:val="18"/>
                <w:szCs w:val="18"/>
              </w:rPr>
            </w:pPr>
            <w:r>
              <w:rPr>
                <w:color w:val="0B0C0D"/>
                <w:sz w:val="18"/>
                <w:szCs w:val="18"/>
              </w:rPr>
              <w:t>Placing</w:t>
            </w:r>
            <w:r w:rsidRPr="004C0507">
              <w:rPr>
                <w:color w:val="0B0C0D"/>
                <w:sz w:val="18"/>
                <w:szCs w:val="18"/>
              </w:rPr>
              <w:t xml:space="preserve"> </w:t>
            </w:r>
            <w:r w:rsidR="00E31420" w:rsidRPr="004C0507">
              <w:rPr>
                <w:color w:val="0B0C0D"/>
                <w:sz w:val="18"/>
                <w:szCs w:val="18"/>
              </w:rPr>
              <w:t>Price (£</w:t>
            </w:r>
            <w:r w:rsidR="00340CAA">
              <w:rPr>
                <w:color w:val="0B0C0D"/>
                <w:sz w:val="18"/>
                <w:szCs w:val="18"/>
              </w:rPr>
              <w:t>0.10p</w:t>
            </w:r>
            <w:r w:rsidR="00E31420" w:rsidRPr="004C0507">
              <w:rPr>
                <w:color w:val="0B0C0D"/>
                <w:sz w:val="18"/>
                <w:szCs w:val="18"/>
              </w:rPr>
              <w:t>)</w:t>
            </w:r>
          </w:p>
          <w:p w14:paraId="7F10F303" w14:textId="7ACEF85B" w:rsidR="00E25727" w:rsidRPr="004C0507" w:rsidRDefault="00E25727">
            <w:pPr>
              <w:pStyle w:val="TableParagraph"/>
              <w:kinsoku w:val="0"/>
              <w:overflowPunct w:val="0"/>
              <w:spacing w:before="1" w:line="208" w:lineRule="exact"/>
              <w:ind w:left="742" w:right="370" w:hanging="346"/>
              <w:rPr>
                <w:color w:val="0B0C0D"/>
                <w:sz w:val="18"/>
                <w:szCs w:val="18"/>
              </w:rPr>
            </w:pPr>
          </w:p>
        </w:tc>
        <w:tc>
          <w:tcPr>
            <w:tcW w:w="2141" w:type="dxa"/>
            <w:tcBorders>
              <w:top w:val="single" w:sz="4" w:space="0" w:color="231F20"/>
              <w:left w:val="single" w:sz="4" w:space="0" w:color="231F20"/>
              <w:bottom w:val="single" w:sz="4" w:space="0" w:color="231F20"/>
              <w:right w:val="single" w:sz="4" w:space="0" w:color="231F20"/>
            </w:tcBorders>
          </w:tcPr>
          <w:p w14:paraId="4847B26D" w14:textId="1831E3CB" w:rsidR="00783288" w:rsidRPr="004C0507" w:rsidRDefault="00E31420">
            <w:pPr>
              <w:pStyle w:val="TableParagraph"/>
              <w:kinsoku w:val="0"/>
              <w:overflowPunct w:val="0"/>
              <w:spacing w:line="201" w:lineRule="exact"/>
              <w:ind w:left="374" w:right="370"/>
              <w:jc w:val="center"/>
              <w:rPr>
                <w:b/>
                <w:bCs/>
                <w:color w:val="0B0C0D"/>
                <w:sz w:val="18"/>
                <w:szCs w:val="18"/>
              </w:rPr>
            </w:pPr>
            <w:r w:rsidRPr="004C0507">
              <w:rPr>
                <w:b/>
                <w:bCs/>
                <w:color w:val="0B0C0D"/>
                <w:sz w:val="18"/>
                <w:szCs w:val="18"/>
                <w:u w:val="single"/>
              </w:rPr>
              <w:t>£</w:t>
            </w:r>
            <w:r w:rsidR="00340CAA">
              <w:rPr>
                <w:b/>
                <w:bCs/>
                <w:sz w:val="18"/>
                <w:szCs w:val="18"/>
                <w:u w:val="single"/>
              </w:rPr>
              <w:t>800,000</w:t>
            </w:r>
          </w:p>
        </w:tc>
      </w:tr>
    </w:tbl>
    <w:p w14:paraId="44C881FB" w14:textId="77777777" w:rsidR="00783288" w:rsidRPr="004C0507" w:rsidRDefault="00783288">
      <w:pPr>
        <w:pStyle w:val="BodyText"/>
        <w:kinsoku w:val="0"/>
        <w:overflowPunct w:val="0"/>
        <w:spacing w:before="10"/>
        <w:rPr>
          <w:sz w:val="17"/>
          <w:szCs w:val="17"/>
        </w:rPr>
      </w:pPr>
    </w:p>
    <w:p w14:paraId="5B2F658E" w14:textId="7A0900E7" w:rsidR="00783288" w:rsidRPr="004C0507" w:rsidRDefault="00E31420">
      <w:pPr>
        <w:pStyle w:val="BodyText"/>
        <w:kinsoku w:val="0"/>
        <w:overflowPunct w:val="0"/>
        <w:ind w:left="300" w:right="1192"/>
        <w:jc w:val="both"/>
        <w:rPr>
          <w:color w:val="232325"/>
        </w:rPr>
      </w:pPr>
      <w:r w:rsidRPr="004C0507">
        <w:rPr>
          <w:color w:val="232325"/>
        </w:rPr>
        <w:t xml:space="preserve">After </w:t>
      </w:r>
      <w:r w:rsidRPr="004C0507">
        <w:rPr>
          <w:color w:val="0B0C0D"/>
        </w:rPr>
        <w:t>c</w:t>
      </w:r>
      <w:r w:rsidRPr="004C0507">
        <w:rPr>
          <w:color w:val="232325"/>
        </w:rPr>
        <w:t>o</w:t>
      </w:r>
      <w:r w:rsidRPr="004C0507">
        <w:rPr>
          <w:color w:val="0B0C0D"/>
        </w:rPr>
        <w:t>mmi</w:t>
      </w:r>
      <w:r w:rsidRPr="004C0507">
        <w:rPr>
          <w:color w:val="232325"/>
        </w:rPr>
        <w:t>ss</w:t>
      </w:r>
      <w:r w:rsidRPr="004C0507">
        <w:rPr>
          <w:color w:val="0B0C0D"/>
        </w:rPr>
        <w:t>ion</w:t>
      </w:r>
      <w:r w:rsidRPr="004C0507">
        <w:rPr>
          <w:color w:val="232325"/>
        </w:rPr>
        <w:t>s a</w:t>
      </w:r>
      <w:r w:rsidRPr="004C0507">
        <w:rPr>
          <w:color w:val="0B0C0D"/>
        </w:rPr>
        <w:t>nd other estim</w:t>
      </w:r>
      <w:r w:rsidRPr="004C0507">
        <w:rPr>
          <w:color w:val="232325"/>
        </w:rPr>
        <w:t>a</w:t>
      </w:r>
      <w:r w:rsidRPr="004C0507">
        <w:rPr>
          <w:color w:val="0B0C0D"/>
        </w:rPr>
        <w:t>ted f</w:t>
      </w:r>
      <w:r w:rsidRPr="004C0507">
        <w:rPr>
          <w:color w:val="232325"/>
        </w:rPr>
        <w:t>e</w:t>
      </w:r>
      <w:r w:rsidRPr="004C0507">
        <w:rPr>
          <w:color w:val="0B0C0D"/>
        </w:rPr>
        <w:t>e</w:t>
      </w:r>
      <w:r w:rsidRPr="004C0507">
        <w:rPr>
          <w:color w:val="232325"/>
        </w:rPr>
        <w:t xml:space="preserve">s </w:t>
      </w:r>
      <w:r w:rsidRPr="004C0507">
        <w:rPr>
          <w:color w:val="0B0C0D"/>
        </w:rPr>
        <w:t xml:space="preserve">and expenses in connection with the </w:t>
      </w:r>
      <w:r w:rsidR="00B27A2B">
        <w:rPr>
          <w:color w:val="0B0C0D"/>
        </w:rPr>
        <w:t>Placing</w:t>
      </w:r>
      <w:r w:rsidR="00B27A2B" w:rsidRPr="004C0507">
        <w:rPr>
          <w:color w:val="0B0C0D"/>
        </w:rPr>
        <w:t xml:space="preserve"> </w:t>
      </w:r>
      <w:r w:rsidRPr="004C0507">
        <w:rPr>
          <w:color w:val="0B0C0D"/>
        </w:rPr>
        <w:t>and Admission of approximately £</w:t>
      </w:r>
      <w:r w:rsidR="00CA7023">
        <w:t>100,000</w:t>
      </w:r>
      <w:r w:rsidR="00207F43">
        <w:t xml:space="preserve"> </w:t>
      </w:r>
      <w:r w:rsidRPr="004C0507">
        <w:rPr>
          <w:color w:val="0B0C0D"/>
        </w:rPr>
        <w:t>(exclusive of VAT)</w:t>
      </w:r>
      <w:r w:rsidRPr="004C0507">
        <w:rPr>
          <w:color w:val="232325"/>
        </w:rPr>
        <w:t>, t</w:t>
      </w:r>
      <w:r w:rsidRPr="004C0507">
        <w:rPr>
          <w:color w:val="0B0C0D"/>
        </w:rPr>
        <w:t>he Net Pr</w:t>
      </w:r>
      <w:r w:rsidRPr="004C0507">
        <w:rPr>
          <w:color w:val="232325"/>
        </w:rPr>
        <w:t>oc</w:t>
      </w:r>
      <w:r w:rsidRPr="004C0507">
        <w:rPr>
          <w:color w:val="0B0C0D"/>
        </w:rPr>
        <w:t xml:space="preserve">eeds </w:t>
      </w:r>
      <w:r w:rsidRPr="004C0507">
        <w:rPr>
          <w:color w:val="232325"/>
        </w:rPr>
        <w:t>ar</w:t>
      </w:r>
      <w:r w:rsidRPr="004C0507">
        <w:rPr>
          <w:color w:val="0B0C0D"/>
        </w:rPr>
        <w:t xml:space="preserve">e </w:t>
      </w:r>
      <w:r w:rsidRPr="004C0507">
        <w:rPr>
          <w:color w:val="232325"/>
        </w:rPr>
        <w:t>e</w:t>
      </w:r>
      <w:r w:rsidRPr="004C0507">
        <w:rPr>
          <w:color w:val="0B0C0D"/>
        </w:rPr>
        <w:t>stima</w:t>
      </w:r>
      <w:r w:rsidRPr="004C0507">
        <w:rPr>
          <w:color w:val="232325"/>
        </w:rPr>
        <w:t>t</w:t>
      </w:r>
      <w:r w:rsidRPr="004C0507">
        <w:rPr>
          <w:color w:val="0B0C0D"/>
        </w:rPr>
        <w:t>ed t</w:t>
      </w:r>
      <w:r w:rsidRPr="004C0507">
        <w:rPr>
          <w:color w:val="232325"/>
        </w:rPr>
        <w:t xml:space="preserve">o </w:t>
      </w:r>
      <w:r w:rsidRPr="004C0507">
        <w:rPr>
          <w:color w:val="0B0C0D"/>
        </w:rPr>
        <w:t>b</w:t>
      </w:r>
      <w:r w:rsidRPr="004C0507">
        <w:rPr>
          <w:color w:val="232325"/>
        </w:rPr>
        <w:t>e £</w:t>
      </w:r>
      <w:r w:rsidR="00CA7023">
        <w:t>700,000</w:t>
      </w:r>
      <w:r w:rsidR="00207F43">
        <w:t>.</w:t>
      </w:r>
    </w:p>
    <w:p w14:paraId="4457E90E" w14:textId="77777777" w:rsidR="00783288" w:rsidRPr="004C0507" w:rsidRDefault="00783288">
      <w:pPr>
        <w:pStyle w:val="BodyText"/>
        <w:kinsoku w:val="0"/>
        <w:overflowPunct w:val="0"/>
      </w:pPr>
    </w:p>
    <w:p w14:paraId="7B948A36" w14:textId="18799E08" w:rsidR="00783288" w:rsidRPr="004C0507" w:rsidRDefault="00E31420">
      <w:pPr>
        <w:pStyle w:val="BodyText"/>
        <w:kinsoku w:val="0"/>
        <w:overflowPunct w:val="0"/>
        <w:ind w:left="300"/>
        <w:jc w:val="both"/>
        <w:rPr>
          <w:color w:val="232325"/>
        </w:rPr>
      </w:pPr>
      <w:r w:rsidRPr="004C0507">
        <w:rPr>
          <w:color w:val="232325"/>
        </w:rPr>
        <w:t xml:space="preserve">The Investors participating in the </w:t>
      </w:r>
      <w:r w:rsidR="00B27A2B">
        <w:rPr>
          <w:color w:val="232325"/>
        </w:rPr>
        <w:t>Placing</w:t>
      </w:r>
      <w:r w:rsidR="00B27A2B" w:rsidRPr="004C0507">
        <w:rPr>
          <w:color w:val="232325"/>
        </w:rPr>
        <w:t xml:space="preserve"> </w:t>
      </w:r>
      <w:r w:rsidRPr="004C0507">
        <w:rPr>
          <w:color w:val="232325"/>
        </w:rPr>
        <w:t>can be categorised in the following terms:</w:t>
      </w:r>
    </w:p>
    <w:p w14:paraId="0C872871" w14:textId="77777777" w:rsidR="00783288" w:rsidRPr="004C0507" w:rsidRDefault="00783288">
      <w:pPr>
        <w:pStyle w:val="BodyText"/>
        <w:kinsoku w:val="0"/>
        <w:overflowPunct w:val="0"/>
      </w:pPr>
    </w:p>
    <w:tbl>
      <w:tblPr>
        <w:tblW w:w="0" w:type="auto"/>
        <w:tblInd w:w="300" w:type="dxa"/>
        <w:tblLayout w:type="fixed"/>
        <w:tblCellMar>
          <w:left w:w="0" w:type="dxa"/>
          <w:right w:w="0" w:type="dxa"/>
        </w:tblCellMar>
        <w:tblLook w:val="0000" w:firstRow="0" w:lastRow="0" w:firstColumn="0" w:lastColumn="0" w:noHBand="0" w:noVBand="0"/>
      </w:tblPr>
      <w:tblGrid>
        <w:gridCol w:w="2971"/>
        <w:gridCol w:w="6045"/>
      </w:tblGrid>
      <w:tr w:rsidR="00783288" w:rsidRPr="004C0507" w14:paraId="63B46CD3" w14:textId="77777777">
        <w:trPr>
          <w:trHeight w:val="827"/>
        </w:trPr>
        <w:tc>
          <w:tcPr>
            <w:tcW w:w="2971" w:type="dxa"/>
            <w:tcBorders>
              <w:top w:val="single" w:sz="4" w:space="0" w:color="231F20"/>
              <w:left w:val="single" w:sz="4" w:space="0" w:color="231F20"/>
              <w:bottom w:val="single" w:sz="4" w:space="0" w:color="231F20"/>
              <w:right w:val="single" w:sz="4" w:space="0" w:color="231F20"/>
            </w:tcBorders>
          </w:tcPr>
          <w:p w14:paraId="17C723BE" w14:textId="77777777" w:rsidR="00783288" w:rsidRPr="004C0507" w:rsidRDefault="00E31420">
            <w:pPr>
              <w:pStyle w:val="TableParagraph"/>
              <w:kinsoku w:val="0"/>
              <w:overflowPunct w:val="0"/>
              <w:spacing w:line="206" w:lineRule="exact"/>
              <w:ind w:left="107"/>
              <w:rPr>
                <w:color w:val="232325"/>
                <w:sz w:val="18"/>
                <w:szCs w:val="18"/>
              </w:rPr>
            </w:pPr>
            <w:r w:rsidRPr="004C0507">
              <w:rPr>
                <w:color w:val="232325"/>
                <w:sz w:val="18"/>
                <w:szCs w:val="18"/>
              </w:rPr>
              <w:t>Placing</w:t>
            </w:r>
          </w:p>
        </w:tc>
        <w:tc>
          <w:tcPr>
            <w:tcW w:w="6045" w:type="dxa"/>
            <w:tcBorders>
              <w:top w:val="single" w:sz="4" w:space="0" w:color="231F20"/>
              <w:left w:val="single" w:sz="4" w:space="0" w:color="231F20"/>
              <w:bottom w:val="single" w:sz="4" w:space="0" w:color="231F20"/>
              <w:right w:val="single" w:sz="4" w:space="0" w:color="231F20"/>
            </w:tcBorders>
          </w:tcPr>
          <w:p w14:paraId="4DB2E97E" w14:textId="217E7D1F" w:rsidR="00783288" w:rsidRPr="004C0507" w:rsidRDefault="00E31420">
            <w:pPr>
              <w:pStyle w:val="TableParagraph"/>
              <w:kinsoku w:val="0"/>
              <w:overflowPunct w:val="0"/>
              <w:ind w:left="107" w:right="97"/>
              <w:jc w:val="both"/>
              <w:rPr>
                <w:color w:val="0B0C0D"/>
                <w:sz w:val="18"/>
                <w:szCs w:val="18"/>
              </w:rPr>
            </w:pPr>
            <w:r w:rsidRPr="004C0507">
              <w:rPr>
                <w:color w:val="0B0C0D"/>
                <w:sz w:val="18"/>
                <w:szCs w:val="18"/>
              </w:rPr>
              <w:t xml:space="preserve">The </w:t>
            </w:r>
            <w:proofErr w:type="spellStart"/>
            <w:r w:rsidRPr="004C0507">
              <w:rPr>
                <w:color w:val="0B0C0D"/>
                <w:sz w:val="18"/>
                <w:szCs w:val="18"/>
              </w:rPr>
              <w:t>Placees</w:t>
            </w:r>
            <w:proofErr w:type="spellEnd"/>
            <w:r w:rsidRPr="004C0507">
              <w:rPr>
                <w:color w:val="0B0C0D"/>
                <w:sz w:val="18"/>
                <w:szCs w:val="18"/>
              </w:rPr>
              <w:t xml:space="preserve"> are </w:t>
            </w:r>
            <w:r w:rsidRPr="004C0507">
              <w:rPr>
                <w:color w:val="232325"/>
                <w:sz w:val="18"/>
                <w:szCs w:val="18"/>
              </w:rPr>
              <w:t xml:space="preserve">investment professionals and high net worth, sophisticated and </w:t>
            </w:r>
            <w:r w:rsidRPr="004C0507">
              <w:rPr>
                <w:color w:val="0B0C0D"/>
                <w:sz w:val="18"/>
                <w:szCs w:val="18"/>
              </w:rPr>
              <w:t>in</w:t>
            </w:r>
            <w:r w:rsidRPr="004C0507">
              <w:rPr>
                <w:color w:val="232325"/>
                <w:sz w:val="18"/>
                <w:szCs w:val="18"/>
              </w:rPr>
              <w:t>st</w:t>
            </w:r>
            <w:r w:rsidRPr="004C0507">
              <w:rPr>
                <w:color w:val="0B0C0D"/>
                <w:sz w:val="18"/>
                <w:szCs w:val="18"/>
              </w:rPr>
              <w:t>ituti</w:t>
            </w:r>
            <w:r w:rsidRPr="004C0507">
              <w:rPr>
                <w:color w:val="232325"/>
                <w:sz w:val="18"/>
                <w:szCs w:val="18"/>
              </w:rPr>
              <w:t>ona</w:t>
            </w:r>
            <w:r w:rsidRPr="004C0507">
              <w:rPr>
                <w:color w:val="0B0C0D"/>
                <w:sz w:val="18"/>
                <w:szCs w:val="18"/>
              </w:rPr>
              <w:t>l i</w:t>
            </w:r>
            <w:r w:rsidRPr="004C0507">
              <w:rPr>
                <w:color w:val="232325"/>
                <w:sz w:val="18"/>
                <w:szCs w:val="18"/>
              </w:rPr>
              <w:t>nvesto</w:t>
            </w:r>
            <w:r w:rsidRPr="004C0507">
              <w:rPr>
                <w:color w:val="0B0C0D"/>
                <w:sz w:val="18"/>
                <w:szCs w:val="18"/>
              </w:rPr>
              <w:t>r</w:t>
            </w:r>
            <w:r w:rsidRPr="004C0507">
              <w:rPr>
                <w:color w:val="232325"/>
                <w:sz w:val="18"/>
                <w:szCs w:val="18"/>
              </w:rPr>
              <w:t xml:space="preserve">s </w:t>
            </w:r>
            <w:r w:rsidRPr="004C0507">
              <w:rPr>
                <w:color w:val="0B0C0D"/>
                <w:sz w:val="18"/>
                <w:szCs w:val="18"/>
              </w:rPr>
              <w:t xml:space="preserve">in the UK. </w:t>
            </w:r>
            <w:proofErr w:type="spellStart"/>
            <w:r w:rsidRPr="004C0507">
              <w:rPr>
                <w:color w:val="0B0C0D"/>
                <w:sz w:val="18"/>
                <w:szCs w:val="18"/>
              </w:rPr>
              <w:t>Placees</w:t>
            </w:r>
            <w:proofErr w:type="spellEnd"/>
            <w:r w:rsidRPr="004C0507">
              <w:rPr>
                <w:color w:val="0B0C0D"/>
                <w:sz w:val="18"/>
                <w:szCs w:val="18"/>
              </w:rPr>
              <w:t xml:space="preserve"> have been introduced by </w:t>
            </w:r>
            <w:r w:rsidR="00B176F7">
              <w:rPr>
                <w:color w:val="0B0C0D"/>
                <w:sz w:val="18"/>
                <w:szCs w:val="18"/>
              </w:rPr>
              <w:t>Panmure Gordon</w:t>
            </w:r>
            <w:r w:rsidRPr="004C0507">
              <w:rPr>
                <w:color w:val="0B0C0D"/>
                <w:sz w:val="18"/>
                <w:szCs w:val="18"/>
              </w:rPr>
              <w:t>, as broker to the Company.</w:t>
            </w:r>
          </w:p>
        </w:tc>
      </w:tr>
    </w:tbl>
    <w:p w14:paraId="6BFF7B04" w14:textId="77777777" w:rsidR="00783288" w:rsidRDefault="00783288">
      <w:pPr>
        <w:pStyle w:val="BodyText"/>
        <w:kinsoku w:val="0"/>
        <w:overflowPunct w:val="0"/>
        <w:spacing w:before="10"/>
        <w:rPr>
          <w:sz w:val="17"/>
          <w:szCs w:val="17"/>
        </w:rPr>
      </w:pPr>
    </w:p>
    <w:p w14:paraId="431F4C1A" w14:textId="77777777" w:rsidR="00783288" w:rsidRDefault="00E31420">
      <w:pPr>
        <w:pStyle w:val="BodyText"/>
        <w:kinsoku w:val="0"/>
        <w:overflowPunct w:val="0"/>
        <w:ind w:left="300" w:right="1191"/>
        <w:jc w:val="both"/>
        <w:rPr>
          <w:color w:val="232325"/>
        </w:rPr>
      </w:pPr>
      <w:r>
        <w:rPr>
          <w:color w:val="0B0C0D"/>
        </w:rPr>
        <w:t xml:space="preserve">In </w:t>
      </w:r>
      <w:r>
        <w:rPr>
          <w:color w:val="232325"/>
        </w:rPr>
        <w:t>acc</w:t>
      </w:r>
      <w:r>
        <w:rPr>
          <w:color w:val="0B0C0D"/>
        </w:rPr>
        <w:t>ord</w:t>
      </w:r>
      <w:r>
        <w:rPr>
          <w:color w:val="232325"/>
        </w:rPr>
        <w:t>a</w:t>
      </w:r>
      <w:r>
        <w:rPr>
          <w:color w:val="0B0C0D"/>
        </w:rPr>
        <w:t>n</w:t>
      </w:r>
      <w:r>
        <w:rPr>
          <w:color w:val="232325"/>
        </w:rPr>
        <w:t>ce w</w:t>
      </w:r>
      <w:r>
        <w:rPr>
          <w:color w:val="0B0C0D"/>
        </w:rPr>
        <w:t>ith Li</w:t>
      </w:r>
      <w:r>
        <w:rPr>
          <w:color w:val="232325"/>
        </w:rPr>
        <w:t>s</w:t>
      </w:r>
      <w:r>
        <w:rPr>
          <w:color w:val="0B0C0D"/>
        </w:rPr>
        <w:t>tin</w:t>
      </w:r>
      <w:r>
        <w:rPr>
          <w:color w:val="232325"/>
        </w:rPr>
        <w:t xml:space="preserve">g </w:t>
      </w:r>
      <w:r>
        <w:rPr>
          <w:color w:val="0B0C0D"/>
        </w:rPr>
        <w:t>Rule 1</w:t>
      </w:r>
      <w:r>
        <w:rPr>
          <w:color w:val="232325"/>
        </w:rPr>
        <w:t>4</w:t>
      </w:r>
      <w:r>
        <w:rPr>
          <w:color w:val="231F20"/>
        </w:rPr>
        <w:t>.</w:t>
      </w:r>
      <w:r>
        <w:rPr>
          <w:color w:val="232325"/>
        </w:rPr>
        <w:t>3, o</w:t>
      </w:r>
      <w:r>
        <w:rPr>
          <w:color w:val="0B0C0D"/>
        </w:rPr>
        <w:t xml:space="preserve">n </w:t>
      </w:r>
      <w:r>
        <w:rPr>
          <w:color w:val="232325"/>
        </w:rPr>
        <w:t>Ad</w:t>
      </w:r>
      <w:r>
        <w:rPr>
          <w:color w:val="0B0C0D"/>
        </w:rPr>
        <w:t>mi</w:t>
      </w:r>
      <w:r>
        <w:rPr>
          <w:color w:val="232325"/>
        </w:rPr>
        <w:t>s</w:t>
      </w:r>
      <w:r>
        <w:rPr>
          <w:color w:val="0B0C0D"/>
        </w:rPr>
        <w:t>si</w:t>
      </w:r>
      <w:r>
        <w:rPr>
          <w:color w:val="232325"/>
        </w:rPr>
        <w:t>o</w:t>
      </w:r>
      <w:r>
        <w:rPr>
          <w:color w:val="0B0C0D"/>
        </w:rPr>
        <w:t xml:space="preserve">n </w:t>
      </w:r>
      <w:r>
        <w:rPr>
          <w:color w:val="232325"/>
        </w:rPr>
        <w:t>a</w:t>
      </w:r>
      <w:r>
        <w:rPr>
          <w:color w:val="0B0C0D"/>
        </w:rPr>
        <w:t>t le</w:t>
      </w:r>
      <w:r>
        <w:rPr>
          <w:color w:val="232325"/>
        </w:rPr>
        <w:t>as</w:t>
      </w:r>
      <w:r>
        <w:rPr>
          <w:color w:val="0B0C0D"/>
        </w:rPr>
        <w:t xml:space="preserve">t </w:t>
      </w:r>
      <w:r>
        <w:rPr>
          <w:color w:val="232325"/>
        </w:rPr>
        <w:t xml:space="preserve">25 </w:t>
      </w:r>
      <w:r>
        <w:rPr>
          <w:color w:val="0B0C0D"/>
        </w:rPr>
        <w:t>p</w:t>
      </w:r>
      <w:r>
        <w:rPr>
          <w:color w:val="232325"/>
        </w:rPr>
        <w:t>e</w:t>
      </w:r>
      <w:r>
        <w:rPr>
          <w:color w:val="0B0C0D"/>
        </w:rPr>
        <w:t xml:space="preserve">r </w:t>
      </w:r>
      <w:r>
        <w:rPr>
          <w:color w:val="232325"/>
        </w:rPr>
        <w:t>ce</w:t>
      </w:r>
      <w:r>
        <w:rPr>
          <w:color w:val="0B0C0D"/>
        </w:rPr>
        <w:t>n</w:t>
      </w:r>
      <w:r>
        <w:rPr>
          <w:color w:val="232325"/>
        </w:rPr>
        <w:t>t</w:t>
      </w:r>
      <w:r>
        <w:rPr>
          <w:color w:val="231F20"/>
        </w:rPr>
        <w:t xml:space="preserve">. </w:t>
      </w:r>
      <w:r>
        <w:rPr>
          <w:color w:val="232325"/>
        </w:rPr>
        <w:t>o</w:t>
      </w:r>
      <w:r>
        <w:rPr>
          <w:color w:val="0B0C0D"/>
        </w:rPr>
        <w:t>f th</w:t>
      </w:r>
      <w:r>
        <w:rPr>
          <w:color w:val="232325"/>
        </w:rPr>
        <w:t xml:space="preserve">e </w:t>
      </w:r>
      <w:r>
        <w:rPr>
          <w:color w:val="0B0C0D"/>
        </w:rPr>
        <w:t>Ordin</w:t>
      </w:r>
      <w:r>
        <w:rPr>
          <w:color w:val="232325"/>
        </w:rPr>
        <w:t>a</w:t>
      </w:r>
      <w:r>
        <w:rPr>
          <w:color w:val="0B0C0D"/>
        </w:rPr>
        <w:t>r</w:t>
      </w:r>
      <w:r>
        <w:rPr>
          <w:color w:val="232325"/>
        </w:rPr>
        <w:t xml:space="preserve">y </w:t>
      </w:r>
      <w:r>
        <w:rPr>
          <w:color w:val="0B0C0D"/>
        </w:rPr>
        <w:t>Sh</w:t>
      </w:r>
      <w:r>
        <w:rPr>
          <w:color w:val="232325"/>
        </w:rPr>
        <w:t>ar</w:t>
      </w:r>
      <w:r>
        <w:rPr>
          <w:color w:val="0B0C0D"/>
        </w:rPr>
        <w:t>e</w:t>
      </w:r>
      <w:r>
        <w:rPr>
          <w:color w:val="232325"/>
        </w:rPr>
        <w:t>s w</w:t>
      </w:r>
      <w:r>
        <w:rPr>
          <w:color w:val="0B0C0D"/>
        </w:rPr>
        <w:t xml:space="preserve">ill </w:t>
      </w:r>
      <w:r>
        <w:rPr>
          <w:color w:val="232325"/>
        </w:rPr>
        <w:t xml:space="preserve">be </w:t>
      </w:r>
      <w:r>
        <w:rPr>
          <w:color w:val="0B0C0D"/>
        </w:rPr>
        <w:t>in publi</w:t>
      </w:r>
      <w:r>
        <w:rPr>
          <w:color w:val="232325"/>
        </w:rPr>
        <w:t xml:space="preserve">c </w:t>
      </w:r>
      <w:r>
        <w:rPr>
          <w:color w:val="0B0C0D"/>
        </w:rPr>
        <w:t>hand</w:t>
      </w:r>
      <w:r>
        <w:rPr>
          <w:color w:val="232325"/>
        </w:rPr>
        <w:t xml:space="preserve">s (as </w:t>
      </w:r>
      <w:r>
        <w:rPr>
          <w:color w:val="0B0C0D"/>
        </w:rPr>
        <w:t>d</w:t>
      </w:r>
      <w:r>
        <w:rPr>
          <w:color w:val="232325"/>
        </w:rPr>
        <w:t>e</w:t>
      </w:r>
      <w:r>
        <w:rPr>
          <w:color w:val="0B0C0D"/>
        </w:rPr>
        <w:t>fin</w:t>
      </w:r>
      <w:r>
        <w:rPr>
          <w:color w:val="232325"/>
        </w:rPr>
        <w:t>e</w:t>
      </w:r>
      <w:r>
        <w:rPr>
          <w:color w:val="0B0C0D"/>
        </w:rPr>
        <w:t xml:space="preserve">d in </w:t>
      </w:r>
      <w:r>
        <w:rPr>
          <w:color w:val="232325"/>
        </w:rPr>
        <w:t>t</w:t>
      </w:r>
      <w:r>
        <w:rPr>
          <w:color w:val="0B0C0D"/>
        </w:rPr>
        <w:t>h</w:t>
      </w:r>
      <w:r>
        <w:rPr>
          <w:color w:val="232325"/>
        </w:rPr>
        <w:t xml:space="preserve">e </w:t>
      </w:r>
      <w:r>
        <w:rPr>
          <w:color w:val="0B0C0D"/>
        </w:rPr>
        <w:t>Li</w:t>
      </w:r>
      <w:r>
        <w:rPr>
          <w:color w:val="232325"/>
        </w:rPr>
        <w:t>s</w:t>
      </w:r>
      <w:r>
        <w:rPr>
          <w:color w:val="0B0C0D"/>
        </w:rPr>
        <w:t>tin</w:t>
      </w:r>
      <w:r>
        <w:rPr>
          <w:color w:val="232325"/>
        </w:rPr>
        <w:t xml:space="preserve">g </w:t>
      </w:r>
      <w:r>
        <w:rPr>
          <w:color w:val="0B0C0D"/>
        </w:rPr>
        <w:t>Rul</w:t>
      </w:r>
      <w:r>
        <w:rPr>
          <w:color w:val="232325"/>
        </w:rPr>
        <w:t>es</w:t>
      </w:r>
      <w:r>
        <w:rPr>
          <w:color w:val="0B0C0D"/>
        </w:rPr>
        <w:t>)</w:t>
      </w:r>
      <w:r>
        <w:rPr>
          <w:color w:val="232325"/>
        </w:rPr>
        <w:t>.</w:t>
      </w:r>
    </w:p>
    <w:p w14:paraId="22B760D5" w14:textId="77777777" w:rsidR="00783288" w:rsidRDefault="00783288">
      <w:pPr>
        <w:pStyle w:val="BodyText"/>
        <w:kinsoku w:val="0"/>
        <w:overflowPunct w:val="0"/>
      </w:pPr>
    </w:p>
    <w:p w14:paraId="700A879E" w14:textId="37C1BC85" w:rsidR="00783288" w:rsidRDefault="00E31420">
      <w:pPr>
        <w:pStyle w:val="BodyText"/>
        <w:kinsoku w:val="0"/>
        <w:overflowPunct w:val="0"/>
        <w:ind w:left="300" w:right="1190"/>
        <w:jc w:val="both"/>
        <w:rPr>
          <w:color w:val="050606"/>
        </w:rPr>
      </w:pPr>
      <w:r>
        <w:rPr>
          <w:color w:val="050606"/>
        </w:rPr>
        <w:t xml:space="preserve">At the </w:t>
      </w:r>
      <w:r w:rsidR="00CA44D9">
        <w:rPr>
          <w:color w:val="050606"/>
        </w:rPr>
        <w:t xml:space="preserve">Placing </w:t>
      </w:r>
      <w:r>
        <w:rPr>
          <w:color w:val="050606"/>
        </w:rPr>
        <w:t>Price, the Enlarged Ordinary Share Capital will have a market capitalisation of £</w:t>
      </w:r>
      <w:r w:rsidR="00FA102C">
        <w:rPr>
          <w:color w:val="050606"/>
        </w:rPr>
        <w:t>12.0 million</w:t>
      </w:r>
      <w:r w:rsidR="00925D95">
        <w:t xml:space="preserve"> </w:t>
      </w:r>
      <w:r>
        <w:rPr>
          <w:color w:val="050606"/>
        </w:rPr>
        <w:t xml:space="preserve">on Admission. The </w:t>
      </w:r>
      <w:r w:rsidR="00CA44D9">
        <w:rPr>
          <w:color w:val="050606"/>
        </w:rPr>
        <w:t>Placing Shares</w:t>
      </w:r>
      <w:r>
        <w:rPr>
          <w:color w:val="050606"/>
        </w:rPr>
        <w:t xml:space="preserve"> will be registered within ISIN GB00BF2F1X78 and SEDOL code BF2F1X7.</w:t>
      </w:r>
    </w:p>
    <w:p w14:paraId="5F01BA19" w14:textId="77777777" w:rsidR="00783288" w:rsidRDefault="00783288">
      <w:pPr>
        <w:pStyle w:val="BodyText"/>
        <w:kinsoku w:val="0"/>
        <w:overflowPunct w:val="0"/>
        <w:spacing w:before="5"/>
        <w:rPr>
          <w:sz w:val="17"/>
          <w:szCs w:val="17"/>
        </w:rPr>
      </w:pPr>
    </w:p>
    <w:p w14:paraId="604D3B1B" w14:textId="77777777" w:rsidR="00783288" w:rsidRDefault="00E31420" w:rsidP="00512495">
      <w:pPr>
        <w:pStyle w:val="Heading1"/>
        <w:numPr>
          <w:ilvl w:val="0"/>
          <w:numId w:val="17"/>
        </w:numPr>
        <w:tabs>
          <w:tab w:val="left" w:pos="728"/>
        </w:tabs>
        <w:kinsoku w:val="0"/>
        <w:overflowPunct w:val="0"/>
        <w:rPr>
          <w:color w:val="0B0C0D"/>
        </w:rPr>
      </w:pPr>
      <w:r>
        <w:rPr>
          <w:color w:val="0B0C0D"/>
        </w:rPr>
        <w:t>Adm</w:t>
      </w:r>
      <w:r>
        <w:rPr>
          <w:color w:val="232325"/>
        </w:rPr>
        <w:t>i</w:t>
      </w:r>
      <w:r>
        <w:rPr>
          <w:color w:val="0B0C0D"/>
        </w:rPr>
        <w:t>ssion and</w:t>
      </w:r>
      <w:r>
        <w:rPr>
          <w:color w:val="0B0C0D"/>
          <w:spacing w:val="-2"/>
        </w:rPr>
        <w:t xml:space="preserve"> </w:t>
      </w:r>
      <w:r>
        <w:rPr>
          <w:color w:val="0B0C0D"/>
        </w:rPr>
        <w:t>Deal</w:t>
      </w:r>
      <w:r>
        <w:rPr>
          <w:color w:val="232325"/>
        </w:rPr>
        <w:t>i</w:t>
      </w:r>
      <w:r>
        <w:rPr>
          <w:color w:val="0B0C0D"/>
        </w:rPr>
        <w:t>ngs</w:t>
      </w:r>
    </w:p>
    <w:p w14:paraId="0DE1557A" w14:textId="77777777" w:rsidR="00783288" w:rsidRDefault="00783288">
      <w:pPr>
        <w:pStyle w:val="BodyText"/>
        <w:kinsoku w:val="0"/>
        <w:overflowPunct w:val="0"/>
        <w:spacing w:before="6"/>
        <w:rPr>
          <w:b/>
          <w:bCs/>
        </w:rPr>
      </w:pPr>
    </w:p>
    <w:p w14:paraId="1898D48F" w14:textId="0EFBA039" w:rsidR="00783288" w:rsidRDefault="00E31420">
      <w:pPr>
        <w:pStyle w:val="BodyText"/>
        <w:kinsoku w:val="0"/>
        <w:overflowPunct w:val="0"/>
        <w:ind w:left="300" w:right="1188"/>
        <w:jc w:val="both"/>
        <w:rPr>
          <w:color w:val="0B0C0D"/>
        </w:rPr>
      </w:pPr>
      <w:r>
        <w:rPr>
          <w:color w:val="0B0C0D"/>
        </w:rPr>
        <w:t xml:space="preserve">The </w:t>
      </w:r>
      <w:r w:rsidR="00CA44D9">
        <w:rPr>
          <w:color w:val="0B0C0D"/>
        </w:rPr>
        <w:t xml:space="preserve">Placing </w:t>
      </w:r>
      <w:r>
        <w:rPr>
          <w:color w:val="0B0C0D"/>
        </w:rPr>
        <w:t>is condition</w:t>
      </w:r>
      <w:r>
        <w:rPr>
          <w:color w:val="232325"/>
        </w:rPr>
        <w:t>a</w:t>
      </w:r>
      <w:r>
        <w:rPr>
          <w:color w:val="0B0C0D"/>
        </w:rPr>
        <w:t>l only on Ad</w:t>
      </w:r>
      <w:r>
        <w:rPr>
          <w:color w:val="232325"/>
        </w:rPr>
        <w:t>m</w:t>
      </w:r>
      <w:r>
        <w:rPr>
          <w:color w:val="0B0C0D"/>
        </w:rPr>
        <w:t>is</w:t>
      </w:r>
      <w:r>
        <w:rPr>
          <w:color w:val="232325"/>
        </w:rPr>
        <w:t>s</w:t>
      </w:r>
      <w:r>
        <w:rPr>
          <w:color w:val="0B0C0D"/>
        </w:rPr>
        <w:t xml:space="preserve">ion occurring on or before 8.00 a.m. on or before </w:t>
      </w:r>
      <w:r w:rsidR="00176F97">
        <w:t>12 July</w:t>
      </w:r>
      <w:r w:rsidR="00384A46">
        <w:rPr>
          <w:color w:val="0B0C0D"/>
        </w:rPr>
        <w:t xml:space="preserve"> 2021</w:t>
      </w:r>
      <w:r w:rsidR="00176F97">
        <w:rPr>
          <w:color w:val="0B0C0D"/>
        </w:rPr>
        <w:t xml:space="preserve"> </w:t>
      </w:r>
      <w:r>
        <w:rPr>
          <w:color w:val="0B0C0D"/>
        </w:rPr>
        <w:t xml:space="preserve">(or such later date </w:t>
      </w:r>
      <w:r w:rsidR="00874BAC">
        <w:rPr>
          <w:color w:val="0B0C0D"/>
        </w:rPr>
        <w:t xml:space="preserve">as the relevant parties </w:t>
      </w:r>
      <w:r>
        <w:rPr>
          <w:color w:val="0B0C0D"/>
        </w:rPr>
        <w:t>may respectively agree</w:t>
      </w:r>
      <w:r>
        <w:rPr>
          <w:color w:val="0B0C0D"/>
          <w:spacing w:val="-7"/>
        </w:rPr>
        <w:t xml:space="preserve"> </w:t>
      </w:r>
      <w:r>
        <w:rPr>
          <w:color w:val="0B0C0D"/>
        </w:rPr>
        <w:t>with</w:t>
      </w:r>
      <w:r>
        <w:rPr>
          <w:color w:val="0B0C0D"/>
          <w:spacing w:val="-6"/>
        </w:rPr>
        <w:t xml:space="preserve"> </w:t>
      </w:r>
      <w:r>
        <w:rPr>
          <w:color w:val="0B0C0D"/>
        </w:rPr>
        <w:t>the</w:t>
      </w:r>
      <w:r>
        <w:rPr>
          <w:color w:val="0B0C0D"/>
          <w:spacing w:val="-6"/>
        </w:rPr>
        <w:t xml:space="preserve"> </w:t>
      </w:r>
      <w:r>
        <w:rPr>
          <w:color w:val="0B0C0D"/>
        </w:rPr>
        <w:t>Company</w:t>
      </w:r>
      <w:r>
        <w:rPr>
          <w:color w:val="0B0C0D"/>
          <w:spacing w:val="-9"/>
        </w:rPr>
        <w:t xml:space="preserve"> </w:t>
      </w:r>
      <w:r>
        <w:rPr>
          <w:color w:val="0B0C0D"/>
        </w:rPr>
        <w:t>but</w:t>
      </w:r>
      <w:r>
        <w:rPr>
          <w:color w:val="0B0C0D"/>
          <w:spacing w:val="-6"/>
        </w:rPr>
        <w:t xml:space="preserve"> </w:t>
      </w:r>
      <w:r>
        <w:rPr>
          <w:color w:val="0B0C0D"/>
        </w:rPr>
        <w:t>in</w:t>
      </w:r>
      <w:r>
        <w:rPr>
          <w:color w:val="0B0C0D"/>
          <w:spacing w:val="-9"/>
        </w:rPr>
        <w:t xml:space="preserve"> </w:t>
      </w:r>
      <w:r>
        <w:rPr>
          <w:color w:val="0B0C0D"/>
        </w:rPr>
        <w:t>any</w:t>
      </w:r>
      <w:r>
        <w:rPr>
          <w:color w:val="0B0C0D"/>
          <w:spacing w:val="-8"/>
        </w:rPr>
        <w:t xml:space="preserve"> </w:t>
      </w:r>
      <w:r>
        <w:rPr>
          <w:color w:val="0B0C0D"/>
        </w:rPr>
        <w:t>event</w:t>
      </w:r>
      <w:r>
        <w:rPr>
          <w:color w:val="0B0C0D"/>
          <w:spacing w:val="-7"/>
        </w:rPr>
        <w:t xml:space="preserve"> </w:t>
      </w:r>
      <w:r>
        <w:rPr>
          <w:color w:val="0B0C0D"/>
        </w:rPr>
        <w:t>not</w:t>
      </w:r>
      <w:r>
        <w:rPr>
          <w:color w:val="0B0C0D"/>
          <w:spacing w:val="-6"/>
        </w:rPr>
        <w:t xml:space="preserve"> </w:t>
      </w:r>
      <w:r>
        <w:rPr>
          <w:color w:val="0B0C0D"/>
        </w:rPr>
        <w:t>later</w:t>
      </w:r>
      <w:r>
        <w:rPr>
          <w:color w:val="0B0C0D"/>
          <w:spacing w:val="-7"/>
        </w:rPr>
        <w:t xml:space="preserve"> </w:t>
      </w:r>
      <w:r>
        <w:rPr>
          <w:color w:val="0B0C0D"/>
        </w:rPr>
        <w:t>than</w:t>
      </w:r>
      <w:r>
        <w:rPr>
          <w:color w:val="0B0C0D"/>
          <w:spacing w:val="-10"/>
        </w:rPr>
        <w:t xml:space="preserve"> </w:t>
      </w:r>
      <w:r>
        <w:rPr>
          <w:color w:val="0B0C0D"/>
        </w:rPr>
        <w:t>the</w:t>
      </w:r>
      <w:r>
        <w:rPr>
          <w:color w:val="0B0C0D"/>
          <w:spacing w:val="-9"/>
        </w:rPr>
        <w:t xml:space="preserve"> </w:t>
      </w:r>
      <w:r>
        <w:rPr>
          <w:color w:val="0B0C0D"/>
        </w:rPr>
        <w:t>Long</w:t>
      </w:r>
      <w:r>
        <w:rPr>
          <w:color w:val="0B0C0D"/>
          <w:spacing w:val="-5"/>
        </w:rPr>
        <w:t xml:space="preserve"> </w:t>
      </w:r>
      <w:r>
        <w:rPr>
          <w:color w:val="0B0C0D"/>
        </w:rPr>
        <w:t>Stop</w:t>
      </w:r>
      <w:r>
        <w:rPr>
          <w:color w:val="0B0C0D"/>
          <w:spacing w:val="-9"/>
        </w:rPr>
        <w:t xml:space="preserve"> </w:t>
      </w:r>
      <w:r>
        <w:rPr>
          <w:color w:val="0B0C0D"/>
        </w:rPr>
        <w:t>Date)</w:t>
      </w:r>
      <w:r>
        <w:rPr>
          <w:color w:val="0B0C0D"/>
          <w:spacing w:val="-8"/>
        </w:rPr>
        <w:t xml:space="preserve"> </w:t>
      </w:r>
      <w:r>
        <w:rPr>
          <w:color w:val="0B0C0D"/>
        </w:rPr>
        <w:t>(the</w:t>
      </w:r>
      <w:r>
        <w:rPr>
          <w:color w:val="0B0C0D"/>
          <w:spacing w:val="-6"/>
        </w:rPr>
        <w:t xml:space="preserve"> </w:t>
      </w:r>
      <w:r>
        <w:rPr>
          <w:color w:val="0B0C0D"/>
        </w:rPr>
        <w:t>“</w:t>
      </w:r>
      <w:r>
        <w:rPr>
          <w:b/>
          <w:bCs/>
          <w:color w:val="0B0C0D"/>
        </w:rPr>
        <w:t>Admission</w:t>
      </w:r>
      <w:r>
        <w:rPr>
          <w:b/>
          <w:bCs/>
          <w:color w:val="0B0C0D"/>
          <w:spacing w:val="-6"/>
        </w:rPr>
        <w:t xml:space="preserve"> </w:t>
      </w:r>
      <w:r>
        <w:rPr>
          <w:b/>
          <w:bCs/>
          <w:color w:val="0B0C0D"/>
        </w:rPr>
        <w:t>Condition”</w:t>
      </w:r>
      <w:r>
        <w:rPr>
          <w:color w:val="0B0C0D"/>
        </w:rPr>
        <w:t>).</w:t>
      </w:r>
      <w:r>
        <w:rPr>
          <w:color w:val="0B0C0D"/>
          <w:spacing w:val="-7"/>
        </w:rPr>
        <w:t xml:space="preserve"> </w:t>
      </w:r>
      <w:r>
        <w:rPr>
          <w:color w:val="0B0C0D"/>
        </w:rPr>
        <w:t xml:space="preserve">Please refer to paragraph 4 of this Part III in relation to the return of subscription funds to Investors </w:t>
      </w:r>
      <w:proofErr w:type="gramStart"/>
      <w:r>
        <w:rPr>
          <w:color w:val="0B0C0D"/>
        </w:rPr>
        <w:t>in the event that</w:t>
      </w:r>
      <w:proofErr w:type="gramEnd"/>
      <w:r>
        <w:rPr>
          <w:color w:val="0B0C0D"/>
        </w:rPr>
        <w:t xml:space="preserve"> the Admission Condition is not satisfied by the relevant</w:t>
      </w:r>
      <w:r>
        <w:rPr>
          <w:color w:val="0B0C0D"/>
          <w:spacing w:val="-8"/>
        </w:rPr>
        <w:t xml:space="preserve"> </w:t>
      </w:r>
      <w:r>
        <w:rPr>
          <w:color w:val="0B0C0D"/>
        </w:rPr>
        <w:t>date.</w:t>
      </w:r>
    </w:p>
    <w:p w14:paraId="3A1F1E02" w14:textId="77777777" w:rsidR="00783288" w:rsidRDefault="00783288">
      <w:pPr>
        <w:pStyle w:val="BodyText"/>
        <w:kinsoku w:val="0"/>
        <w:overflowPunct w:val="0"/>
        <w:spacing w:before="10"/>
        <w:rPr>
          <w:sz w:val="17"/>
          <w:szCs w:val="17"/>
        </w:rPr>
      </w:pPr>
    </w:p>
    <w:p w14:paraId="56CF0512" w14:textId="6C8311F7" w:rsidR="00783288" w:rsidRDefault="00E31420">
      <w:pPr>
        <w:pStyle w:val="BodyText"/>
        <w:kinsoku w:val="0"/>
        <w:overflowPunct w:val="0"/>
        <w:spacing w:before="1"/>
        <w:ind w:left="300" w:right="1190"/>
        <w:jc w:val="both"/>
        <w:rPr>
          <w:color w:val="232325"/>
        </w:rPr>
      </w:pPr>
      <w:r>
        <w:rPr>
          <w:color w:val="232325"/>
        </w:rPr>
        <w:t>A</w:t>
      </w:r>
      <w:r>
        <w:rPr>
          <w:color w:val="0B0C0D"/>
        </w:rPr>
        <w:t>dmi</w:t>
      </w:r>
      <w:r>
        <w:rPr>
          <w:color w:val="232325"/>
        </w:rPr>
        <w:t>ss</w:t>
      </w:r>
      <w:r>
        <w:rPr>
          <w:color w:val="0B0C0D"/>
        </w:rPr>
        <w:t>ion i</w:t>
      </w:r>
      <w:r>
        <w:rPr>
          <w:color w:val="232325"/>
        </w:rPr>
        <w:t>s ex</w:t>
      </w:r>
      <w:r>
        <w:rPr>
          <w:color w:val="0B0C0D"/>
        </w:rPr>
        <w:t>pe</w:t>
      </w:r>
      <w:r>
        <w:rPr>
          <w:color w:val="232325"/>
        </w:rPr>
        <w:t>cte</w:t>
      </w:r>
      <w:r>
        <w:rPr>
          <w:color w:val="0B0C0D"/>
        </w:rPr>
        <w:t xml:space="preserve">d </w:t>
      </w:r>
      <w:r>
        <w:rPr>
          <w:color w:val="232325"/>
        </w:rPr>
        <w:t xml:space="preserve">to take </w:t>
      </w:r>
      <w:r>
        <w:rPr>
          <w:color w:val="0B0C0D"/>
        </w:rPr>
        <w:t>pla</w:t>
      </w:r>
      <w:r>
        <w:rPr>
          <w:color w:val="232325"/>
        </w:rPr>
        <w:t>ce a</w:t>
      </w:r>
      <w:r>
        <w:rPr>
          <w:color w:val="0B0C0D"/>
        </w:rPr>
        <w:t>nd dealing</w:t>
      </w:r>
      <w:r>
        <w:rPr>
          <w:color w:val="232325"/>
        </w:rPr>
        <w:t>s i</w:t>
      </w:r>
      <w:r>
        <w:rPr>
          <w:color w:val="0B0C0D"/>
        </w:rPr>
        <w:t>n th</w:t>
      </w:r>
      <w:r>
        <w:rPr>
          <w:color w:val="232325"/>
        </w:rPr>
        <w:t>e Enlarged Ordi</w:t>
      </w:r>
      <w:r>
        <w:rPr>
          <w:color w:val="0B0C0D"/>
        </w:rPr>
        <w:t>n</w:t>
      </w:r>
      <w:r>
        <w:rPr>
          <w:color w:val="232325"/>
        </w:rPr>
        <w:t>ary S</w:t>
      </w:r>
      <w:r>
        <w:rPr>
          <w:color w:val="0B0C0D"/>
        </w:rPr>
        <w:t>h</w:t>
      </w:r>
      <w:r>
        <w:rPr>
          <w:color w:val="232325"/>
        </w:rPr>
        <w:t>a</w:t>
      </w:r>
      <w:r>
        <w:rPr>
          <w:color w:val="0B0C0D"/>
        </w:rPr>
        <w:t>r</w:t>
      </w:r>
      <w:r>
        <w:rPr>
          <w:color w:val="232325"/>
        </w:rPr>
        <w:t>e Capital a</w:t>
      </w:r>
      <w:r>
        <w:rPr>
          <w:color w:val="0B0C0D"/>
        </w:rPr>
        <w:t>r</w:t>
      </w:r>
      <w:r>
        <w:rPr>
          <w:color w:val="232325"/>
        </w:rPr>
        <w:t>e ex</w:t>
      </w:r>
      <w:r>
        <w:rPr>
          <w:color w:val="0B0C0D"/>
        </w:rPr>
        <w:t>p</w:t>
      </w:r>
      <w:r>
        <w:rPr>
          <w:color w:val="232325"/>
        </w:rPr>
        <w:t>ec</w:t>
      </w:r>
      <w:r>
        <w:rPr>
          <w:color w:val="0B0C0D"/>
        </w:rPr>
        <w:t xml:space="preserve">ted </w:t>
      </w:r>
      <w:r>
        <w:rPr>
          <w:color w:val="232325"/>
        </w:rPr>
        <w:t>t</w:t>
      </w:r>
      <w:r>
        <w:rPr>
          <w:color w:val="0B0C0D"/>
        </w:rPr>
        <w:t>o commen</w:t>
      </w:r>
      <w:r>
        <w:rPr>
          <w:color w:val="232325"/>
        </w:rPr>
        <w:t>ce o</w:t>
      </w:r>
      <w:r>
        <w:rPr>
          <w:color w:val="0B0C0D"/>
        </w:rPr>
        <w:t>n th</w:t>
      </w:r>
      <w:r>
        <w:rPr>
          <w:color w:val="232325"/>
        </w:rPr>
        <w:t xml:space="preserve">e </w:t>
      </w:r>
      <w:r>
        <w:rPr>
          <w:color w:val="0B0C0D"/>
        </w:rPr>
        <w:t>L</w:t>
      </w:r>
      <w:r>
        <w:rPr>
          <w:color w:val="232325"/>
        </w:rPr>
        <w:t>o</w:t>
      </w:r>
      <w:r>
        <w:rPr>
          <w:color w:val="0B0C0D"/>
        </w:rPr>
        <w:t>ndon St</w:t>
      </w:r>
      <w:r>
        <w:rPr>
          <w:color w:val="232325"/>
        </w:rPr>
        <w:t>oc</w:t>
      </w:r>
      <w:r>
        <w:rPr>
          <w:color w:val="0B0C0D"/>
        </w:rPr>
        <w:t>k E</w:t>
      </w:r>
      <w:r>
        <w:rPr>
          <w:color w:val="232325"/>
        </w:rPr>
        <w:t>xc</w:t>
      </w:r>
      <w:r>
        <w:rPr>
          <w:color w:val="0B0C0D"/>
        </w:rPr>
        <w:t>h</w:t>
      </w:r>
      <w:r>
        <w:rPr>
          <w:color w:val="232325"/>
        </w:rPr>
        <w:t>a</w:t>
      </w:r>
      <w:r>
        <w:rPr>
          <w:color w:val="0B0C0D"/>
        </w:rPr>
        <w:t>n</w:t>
      </w:r>
      <w:r>
        <w:rPr>
          <w:color w:val="232325"/>
        </w:rPr>
        <w:t>ge a</w:t>
      </w:r>
      <w:r>
        <w:rPr>
          <w:color w:val="0B0C0D"/>
        </w:rPr>
        <w:t xml:space="preserve">t </w:t>
      </w:r>
      <w:r>
        <w:rPr>
          <w:color w:val="232325"/>
        </w:rPr>
        <w:t>8</w:t>
      </w:r>
      <w:r>
        <w:rPr>
          <w:color w:val="231F20"/>
        </w:rPr>
        <w:t>.</w:t>
      </w:r>
      <w:r>
        <w:rPr>
          <w:color w:val="232325"/>
        </w:rPr>
        <w:t>0</w:t>
      </w:r>
      <w:r>
        <w:rPr>
          <w:color w:val="0B0C0D"/>
        </w:rPr>
        <w:t xml:space="preserve">0 </w:t>
      </w:r>
      <w:r>
        <w:rPr>
          <w:color w:val="232325"/>
        </w:rPr>
        <w:t>a.</w:t>
      </w:r>
      <w:r>
        <w:rPr>
          <w:color w:val="0B0C0D"/>
        </w:rPr>
        <w:t xml:space="preserve">m. </w:t>
      </w:r>
      <w:r>
        <w:rPr>
          <w:color w:val="232325"/>
        </w:rPr>
        <w:t>o</w:t>
      </w:r>
      <w:r>
        <w:rPr>
          <w:color w:val="0B0C0D"/>
        </w:rPr>
        <w:t xml:space="preserve">n </w:t>
      </w:r>
      <w:r w:rsidR="00046867">
        <w:t>12 July</w:t>
      </w:r>
      <w:r w:rsidR="00354720">
        <w:t xml:space="preserve"> </w:t>
      </w:r>
      <w:r>
        <w:rPr>
          <w:color w:val="0B0C0D"/>
        </w:rPr>
        <w:t>202</w:t>
      </w:r>
      <w:r w:rsidR="005450BE">
        <w:rPr>
          <w:color w:val="0B0C0D"/>
        </w:rPr>
        <w:t>1</w:t>
      </w:r>
      <w:r>
        <w:rPr>
          <w:color w:val="232325"/>
        </w:rPr>
        <w:t>.</w:t>
      </w:r>
    </w:p>
    <w:p w14:paraId="5F027547" w14:textId="77777777" w:rsidR="00783288" w:rsidRDefault="00783288">
      <w:pPr>
        <w:pStyle w:val="BodyText"/>
        <w:kinsoku w:val="0"/>
        <w:overflowPunct w:val="0"/>
      </w:pPr>
    </w:p>
    <w:p w14:paraId="7C5A1AA7" w14:textId="6D82D59A" w:rsidR="00783288" w:rsidRDefault="00E31420">
      <w:pPr>
        <w:pStyle w:val="BodyText"/>
        <w:kinsoku w:val="0"/>
        <w:overflowPunct w:val="0"/>
        <w:ind w:left="300" w:right="1189"/>
        <w:jc w:val="both"/>
        <w:rPr>
          <w:color w:val="232325"/>
        </w:rPr>
      </w:pPr>
      <w:r>
        <w:rPr>
          <w:color w:val="0B0C0D"/>
        </w:rPr>
        <w:t xml:space="preserve">The CREST accounts designated by Investors that have requested delivery of </w:t>
      </w:r>
      <w:r w:rsidR="00CA44D9">
        <w:rPr>
          <w:color w:val="0B0C0D"/>
        </w:rPr>
        <w:t xml:space="preserve">Placing </w:t>
      </w:r>
      <w:r>
        <w:rPr>
          <w:color w:val="0B0C0D"/>
        </w:rPr>
        <w:t>Shares in uncertificated form are expected to be credited with the relevant new Ordinary Shares on the date of Admission. Wh</w:t>
      </w:r>
      <w:r>
        <w:rPr>
          <w:color w:val="232325"/>
        </w:rPr>
        <w:t>e</w:t>
      </w:r>
      <w:r>
        <w:rPr>
          <w:color w:val="0B0C0D"/>
        </w:rPr>
        <w:t xml:space="preserve">re </w:t>
      </w:r>
      <w:r>
        <w:rPr>
          <w:color w:val="232325"/>
        </w:rPr>
        <w:t>a</w:t>
      </w:r>
      <w:r>
        <w:rPr>
          <w:color w:val="0B0C0D"/>
        </w:rPr>
        <w:t>ppli</w:t>
      </w:r>
      <w:r>
        <w:rPr>
          <w:color w:val="232325"/>
        </w:rPr>
        <w:t>ca</w:t>
      </w:r>
      <w:r>
        <w:rPr>
          <w:color w:val="0B0C0D"/>
        </w:rPr>
        <w:t>bl</w:t>
      </w:r>
      <w:r>
        <w:rPr>
          <w:color w:val="232325"/>
        </w:rPr>
        <w:t>e,</w:t>
      </w:r>
      <w:r>
        <w:rPr>
          <w:color w:val="232325"/>
          <w:spacing w:val="-12"/>
        </w:rPr>
        <w:t xml:space="preserve"> </w:t>
      </w:r>
      <w:r>
        <w:rPr>
          <w:color w:val="0B0C0D"/>
        </w:rPr>
        <w:t>d</w:t>
      </w:r>
      <w:r>
        <w:rPr>
          <w:color w:val="232325"/>
        </w:rPr>
        <w:t>e</w:t>
      </w:r>
      <w:r>
        <w:rPr>
          <w:color w:val="0B0C0D"/>
        </w:rPr>
        <w:t>finitive</w:t>
      </w:r>
      <w:r>
        <w:rPr>
          <w:color w:val="0B0C0D"/>
          <w:spacing w:val="-12"/>
        </w:rPr>
        <w:t xml:space="preserve"> </w:t>
      </w:r>
      <w:r>
        <w:rPr>
          <w:color w:val="232325"/>
        </w:rPr>
        <w:t>s</w:t>
      </w:r>
      <w:r>
        <w:rPr>
          <w:color w:val="0B0C0D"/>
        </w:rPr>
        <w:t>h</w:t>
      </w:r>
      <w:r>
        <w:rPr>
          <w:color w:val="232325"/>
        </w:rPr>
        <w:t>a</w:t>
      </w:r>
      <w:r>
        <w:rPr>
          <w:color w:val="0B0C0D"/>
        </w:rPr>
        <w:t>r</w:t>
      </w:r>
      <w:r>
        <w:rPr>
          <w:color w:val="232325"/>
        </w:rPr>
        <w:t>e</w:t>
      </w:r>
      <w:r>
        <w:rPr>
          <w:color w:val="232325"/>
          <w:spacing w:val="-11"/>
        </w:rPr>
        <w:t xml:space="preserve"> </w:t>
      </w:r>
      <w:r>
        <w:rPr>
          <w:color w:val="232325"/>
        </w:rPr>
        <w:t>ce</w:t>
      </w:r>
      <w:r>
        <w:rPr>
          <w:color w:val="0B0C0D"/>
        </w:rPr>
        <w:t>rtificate</w:t>
      </w:r>
      <w:r>
        <w:rPr>
          <w:color w:val="232325"/>
        </w:rPr>
        <w:t>s</w:t>
      </w:r>
      <w:r>
        <w:rPr>
          <w:color w:val="232325"/>
          <w:spacing w:val="-9"/>
        </w:rPr>
        <w:t xml:space="preserve"> </w:t>
      </w:r>
      <w:r>
        <w:rPr>
          <w:color w:val="0B0C0D"/>
        </w:rPr>
        <w:t>in</w:t>
      </w:r>
      <w:r>
        <w:rPr>
          <w:color w:val="0B0C0D"/>
          <w:spacing w:val="-10"/>
        </w:rPr>
        <w:t xml:space="preserve"> </w:t>
      </w:r>
      <w:r>
        <w:rPr>
          <w:color w:val="0B0C0D"/>
        </w:rPr>
        <w:t>respe</w:t>
      </w:r>
      <w:r>
        <w:rPr>
          <w:color w:val="232325"/>
        </w:rPr>
        <w:t>c</w:t>
      </w:r>
      <w:r>
        <w:rPr>
          <w:color w:val="0B0C0D"/>
        </w:rPr>
        <w:t>t</w:t>
      </w:r>
      <w:r>
        <w:rPr>
          <w:color w:val="0B0C0D"/>
          <w:spacing w:val="-9"/>
        </w:rPr>
        <w:t xml:space="preserve"> </w:t>
      </w:r>
      <w:r>
        <w:rPr>
          <w:color w:val="0B0C0D"/>
        </w:rPr>
        <w:t>of</w:t>
      </w:r>
      <w:r>
        <w:rPr>
          <w:color w:val="0B0C0D"/>
          <w:spacing w:val="-10"/>
        </w:rPr>
        <w:t xml:space="preserve"> </w:t>
      </w:r>
      <w:r>
        <w:rPr>
          <w:color w:val="0B0C0D"/>
        </w:rPr>
        <w:t>th</w:t>
      </w:r>
      <w:r>
        <w:rPr>
          <w:color w:val="232325"/>
        </w:rPr>
        <w:t>e</w:t>
      </w:r>
      <w:r>
        <w:rPr>
          <w:color w:val="232325"/>
          <w:spacing w:val="-10"/>
        </w:rPr>
        <w:t xml:space="preserve"> </w:t>
      </w:r>
      <w:r w:rsidR="00CA44D9">
        <w:rPr>
          <w:color w:val="0B0C0D"/>
        </w:rPr>
        <w:t>Placing</w:t>
      </w:r>
      <w:r w:rsidR="00CA44D9">
        <w:rPr>
          <w:color w:val="0B0C0D"/>
          <w:spacing w:val="-8"/>
        </w:rPr>
        <w:t xml:space="preserve"> </w:t>
      </w:r>
      <w:r>
        <w:rPr>
          <w:color w:val="0B0C0D"/>
        </w:rPr>
        <w:t>Sh</w:t>
      </w:r>
      <w:r>
        <w:rPr>
          <w:color w:val="232325"/>
        </w:rPr>
        <w:t>a</w:t>
      </w:r>
      <w:r>
        <w:rPr>
          <w:color w:val="0B0C0D"/>
        </w:rPr>
        <w:t>r</w:t>
      </w:r>
      <w:r>
        <w:rPr>
          <w:color w:val="232325"/>
        </w:rPr>
        <w:t>es</w:t>
      </w:r>
      <w:r>
        <w:rPr>
          <w:color w:val="232325"/>
          <w:spacing w:val="-9"/>
        </w:rPr>
        <w:t xml:space="preserve"> </w:t>
      </w:r>
      <w:r>
        <w:rPr>
          <w:color w:val="232325"/>
        </w:rPr>
        <w:t>of</w:t>
      </w:r>
      <w:r>
        <w:rPr>
          <w:color w:val="232325"/>
          <w:spacing w:val="-10"/>
        </w:rPr>
        <w:t xml:space="preserve"> </w:t>
      </w:r>
      <w:r>
        <w:rPr>
          <w:color w:val="232325"/>
        </w:rPr>
        <w:t>Investors</w:t>
      </w:r>
      <w:r>
        <w:rPr>
          <w:color w:val="232325"/>
          <w:spacing w:val="-9"/>
        </w:rPr>
        <w:t xml:space="preserve"> </w:t>
      </w:r>
      <w:r>
        <w:rPr>
          <w:color w:val="232325"/>
        </w:rPr>
        <w:t>that</w:t>
      </w:r>
      <w:r>
        <w:rPr>
          <w:color w:val="232325"/>
          <w:spacing w:val="-9"/>
        </w:rPr>
        <w:t xml:space="preserve"> </w:t>
      </w:r>
      <w:r>
        <w:rPr>
          <w:color w:val="232325"/>
        </w:rPr>
        <w:t>have</w:t>
      </w:r>
      <w:r>
        <w:rPr>
          <w:color w:val="232325"/>
          <w:spacing w:val="-10"/>
        </w:rPr>
        <w:t xml:space="preserve"> </w:t>
      </w:r>
      <w:r>
        <w:rPr>
          <w:color w:val="232325"/>
        </w:rPr>
        <w:t>requested</w:t>
      </w:r>
      <w:r>
        <w:rPr>
          <w:color w:val="232325"/>
          <w:spacing w:val="-12"/>
        </w:rPr>
        <w:t xml:space="preserve"> </w:t>
      </w:r>
      <w:r>
        <w:rPr>
          <w:color w:val="232325"/>
        </w:rPr>
        <w:t>delivery of</w:t>
      </w:r>
      <w:r>
        <w:rPr>
          <w:color w:val="232325"/>
          <w:spacing w:val="-2"/>
        </w:rPr>
        <w:t xml:space="preserve"> </w:t>
      </w:r>
      <w:r w:rsidR="00CA44D9">
        <w:rPr>
          <w:color w:val="232325"/>
        </w:rPr>
        <w:t>Placing</w:t>
      </w:r>
      <w:r w:rsidR="00CA44D9">
        <w:rPr>
          <w:color w:val="232325"/>
          <w:spacing w:val="-4"/>
        </w:rPr>
        <w:t xml:space="preserve"> </w:t>
      </w:r>
      <w:r>
        <w:rPr>
          <w:color w:val="232325"/>
        </w:rPr>
        <w:t>Shares</w:t>
      </w:r>
      <w:r>
        <w:rPr>
          <w:color w:val="232325"/>
          <w:spacing w:val="-3"/>
        </w:rPr>
        <w:t xml:space="preserve"> </w:t>
      </w:r>
      <w:r>
        <w:rPr>
          <w:color w:val="232325"/>
        </w:rPr>
        <w:t>in</w:t>
      </w:r>
      <w:r>
        <w:rPr>
          <w:color w:val="232325"/>
          <w:spacing w:val="-6"/>
        </w:rPr>
        <w:t xml:space="preserve"> </w:t>
      </w:r>
      <w:r>
        <w:rPr>
          <w:color w:val="232325"/>
        </w:rPr>
        <w:t>certificated</w:t>
      </w:r>
      <w:r>
        <w:rPr>
          <w:color w:val="232325"/>
          <w:spacing w:val="-4"/>
        </w:rPr>
        <w:t xml:space="preserve"> </w:t>
      </w:r>
      <w:r>
        <w:rPr>
          <w:color w:val="232325"/>
        </w:rPr>
        <w:t xml:space="preserve">form </w:t>
      </w:r>
      <w:r>
        <w:rPr>
          <w:color w:val="0B0C0D"/>
        </w:rPr>
        <w:t>are</w:t>
      </w:r>
      <w:r>
        <w:rPr>
          <w:color w:val="0B0C0D"/>
          <w:spacing w:val="-1"/>
        </w:rPr>
        <w:t xml:space="preserve"> </w:t>
      </w:r>
      <w:r>
        <w:rPr>
          <w:color w:val="0B0C0D"/>
        </w:rPr>
        <w:t>e</w:t>
      </w:r>
      <w:r>
        <w:rPr>
          <w:color w:val="232325"/>
        </w:rPr>
        <w:t>x</w:t>
      </w:r>
      <w:r>
        <w:rPr>
          <w:color w:val="0B0C0D"/>
        </w:rPr>
        <w:t>pected</w:t>
      </w:r>
      <w:r>
        <w:rPr>
          <w:color w:val="0B0C0D"/>
          <w:spacing w:val="-1"/>
        </w:rPr>
        <w:t xml:space="preserve"> </w:t>
      </w:r>
      <w:r>
        <w:rPr>
          <w:color w:val="0B0C0D"/>
        </w:rPr>
        <w:t>to</w:t>
      </w:r>
      <w:r>
        <w:rPr>
          <w:color w:val="0B0C0D"/>
          <w:spacing w:val="-4"/>
        </w:rPr>
        <w:t xml:space="preserve"> </w:t>
      </w:r>
      <w:r>
        <w:rPr>
          <w:color w:val="0B0C0D"/>
        </w:rPr>
        <w:t>b</w:t>
      </w:r>
      <w:r>
        <w:rPr>
          <w:color w:val="232325"/>
        </w:rPr>
        <w:t>e</w:t>
      </w:r>
      <w:r>
        <w:rPr>
          <w:color w:val="232325"/>
          <w:spacing w:val="-4"/>
        </w:rPr>
        <w:t xml:space="preserve"> </w:t>
      </w:r>
      <w:r>
        <w:rPr>
          <w:color w:val="0B0C0D"/>
        </w:rPr>
        <w:t>d</w:t>
      </w:r>
      <w:r>
        <w:rPr>
          <w:color w:val="232325"/>
        </w:rPr>
        <w:t>es</w:t>
      </w:r>
      <w:r>
        <w:rPr>
          <w:color w:val="0B0C0D"/>
        </w:rPr>
        <w:t>pa</w:t>
      </w:r>
      <w:r>
        <w:rPr>
          <w:color w:val="232325"/>
        </w:rPr>
        <w:t>tc</w:t>
      </w:r>
      <w:r>
        <w:rPr>
          <w:color w:val="0B0C0D"/>
        </w:rPr>
        <w:t>h</w:t>
      </w:r>
      <w:r>
        <w:rPr>
          <w:color w:val="232325"/>
        </w:rPr>
        <w:t>e</w:t>
      </w:r>
      <w:r>
        <w:rPr>
          <w:color w:val="0B0C0D"/>
        </w:rPr>
        <w:t>d</w:t>
      </w:r>
      <w:r>
        <w:rPr>
          <w:color w:val="232325"/>
        </w:rPr>
        <w:t>,</w:t>
      </w:r>
      <w:r>
        <w:rPr>
          <w:color w:val="232325"/>
          <w:spacing w:val="-4"/>
        </w:rPr>
        <w:t xml:space="preserve"> </w:t>
      </w:r>
      <w:r>
        <w:rPr>
          <w:color w:val="0B0C0D"/>
        </w:rPr>
        <w:t>by</w:t>
      </w:r>
      <w:r>
        <w:rPr>
          <w:color w:val="0B0C0D"/>
          <w:spacing w:val="-3"/>
        </w:rPr>
        <w:t xml:space="preserve"> </w:t>
      </w:r>
      <w:r>
        <w:rPr>
          <w:color w:val="0B0C0D"/>
        </w:rPr>
        <w:t>p</w:t>
      </w:r>
      <w:r>
        <w:rPr>
          <w:color w:val="232325"/>
        </w:rPr>
        <w:t>os</w:t>
      </w:r>
      <w:r>
        <w:rPr>
          <w:color w:val="0B0C0D"/>
        </w:rPr>
        <w:t>t</w:t>
      </w:r>
      <w:r>
        <w:rPr>
          <w:color w:val="0B0C0D"/>
          <w:spacing w:val="-4"/>
        </w:rPr>
        <w:t xml:space="preserve"> </w:t>
      </w:r>
      <w:r>
        <w:rPr>
          <w:color w:val="232325"/>
        </w:rPr>
        <w:t>a</w:t>
      </w:r>
      <w:r>
        <w:rPr>
          <w:color w:val="0B0C0D"/>
        </w:rPr>
        <w:t>t</w:t>
      </w:r>
      <w:r>
        <w:rPr>
          <w:color w:val="0B0C0D"/>
          <w:spacing w:val="-4"/>
        </w:rPr>
        <w:t xml:space="preserve"> </w:t>
      </w:r>
      <w:r>
        <w:rPr>
          <w:color w:val="0B0C0D"/>
        </w:rPr>
        <w:t>th</w:t>
      </w:r>
      <w:r>
        <w:rPr>
          <w:color w:val="232325"/>
        </w:rPr>
        <w:t>e</w:t>
      </w:r>
      <w:r>
        <w:rPr>
          <w:color w:val="232325"/>
          <w:spacing w:val="-3"/>
        </w:rPr>
        <w:t xml:space="preserve"> </w:t>
      </w:r>
      <w:r>
        <w:rPr>
          <w:color w:val="0B0C0D"/>
        </w:rPr>
        <w:t>ri</w:t>
      </w:r>
      <w:r>
        <w:rPr>
          <w:color w:val="232325"/>
        </w:rPr>
        <w:t>sk</w:t>
      </w:r>
      <w:r>
        <w:rPr>
          <w:color w:val="232325"/>
          <w:spacing w:val="-6"/>
        </w:rPr>
        <w:t xml:space="preserve"> </w:t>
      </w:r>
      <w:r>
        <w:rPr>
          <w:color w:val="232325"/>
        </w:rPr>
        <w:t>o</w:t>
      </w:r>
      <w:r>
        <w:rPr>
          <w:color w:val="0B0C0D"/>
        </w:rPr>
        <w:t>f</w:t>
      </w:r>
      <w:r>
        <w:rPr>
          <w:color w:val="0B0C0D"/>
          <w:spacing w:val="-2"/>
        </w:rPr>
        <w:t xml:space="preserve"> </w:t>
      </w:r>
      <w:r>
        <w:rPr>
          <w:color w:val="232325"/>
        </w:rPr>
        <w:t>t</w:t>
      </w:r>
      <w:r>
        <w:rPr>
          <w:color w:val="0B0C0D"/>
        </w:rPr>
        <w:t>h</w:t>
      </w:r>
      <w:r>
        <w:rPr>
          <w:color w:val="232325"/>
        </w:rPr>
        <w:t>e</w:t>
      </w:r>
      <w:r>
        <w:rPr>
          <w:color w:val="232325"/>
          <w:spacing w:val="-1"/>
        </w:rPr>
        <w:t xml:space="preserve"> </w:t>
      </w:r>
      <w:r>
        <w:rPr>
          <w:color w:val="0B0C0D"/>
        </w:rPr>
        <w:t>r</w:t>
      </w:r>
      <w:r>
        <w:rPr>
          <w:color w:val="232325"/>
        </w:rPr>
        <w:t>ec</w:t>
      </w:r>
      <w:r>
        <w:rPr>
          <w:color w:val="0B0C0D"/>
        </w:rPr>
        <w:t>ipi</w:t>
      </w:r>
      <w:r>
        <w:rPr>
          <w:color w:val="232325"/>
        </w:rPr>
        <w:t>e</w:t>
      </w:r>
      <w:r>
        <w:rPr>
          <w:color w:val="0B0C0D"/>
        </w:rPr>
        <w:t>nt</w:t>
      </w:r>
      <w:r>
        <w:rPr>
          <w:color w:val="232325"/>
        </w:rPr>
        <w:t>s</w:t>
      </w:r>
      <w:r>
        <w:rPr>
          <w:color w:val="0B0C0D"/>
        </w:rPr>
        <w:t>,</w:t>
      </w:r>
      <w:r>
        <w:rPr>
          <w:color w:val="0B0C0D"/>
          <w:spacing w:val="-4"/>
        </w:rPr>
        <w:t xml:space="preserve"> </w:t>
      </w:r>
      <w:r>
        <w:rPr>
          <w:color w:val="0B0C0D"/>
        </w:rPr>
        <w:t>t</w:t>
      </w:r>
      <w:r>
        <w:rPr>
          <w:color w:val="232325"/>
        </w:rPr>
        <w:t>o</w:t>
      </w:r>
      <w:r>
        <w:rPr>
          <w:color w:val="232325"/>
          <w:spacing w:val="-4"/>
        </w:rPr>
        <w:t xml:space="preserve"> </w:t>
      </w:r>
      <w:r>
        <w:rPr>
          <w:color w:val="0B0C0D"/>
        </w:rPr>
        <w:t>the relev</w:t>
      </w:r>
      <w:r>
        <w:rPr>
          <w:color w:val="232325"/>
        </w:rPr>
        <w:t>a</w:t>
      </w:r>
      <w:r>
        <w:rPr>
          <w:color w:val="0B0C0D"/>
        </w:rPr>
        <w:t>nt</w:t>
      </w:r>
      <w:r>
        <w:rPr>
          <w:color w:val="0B0C0D"/>
          <w:spacing w:val="-5"/>
        </w:rPr>
        <w:t xml:space="preserve"> </w:t>
      </w:r>
      <w:r>
        <w:rPr>
          <w:color w:val="0B0C0D"/>
        </w:rPr>
        <w:t>Investor</w:t>
      </w:r>
      <w:r>
        <w:rPr>
          <w:color w:val="0B0C0D"/>
          <w:spacing w:val="-4"/>
        </w:rPr>
        <w:t xml:space="preserve"> </w:t>
      </w:r>
      <w:r>
        <w:rPr>
          <w:color w:val="0B0C0D"/>
        </w:rPr>
        <w:t>n</w:t>
      </w:r>
      <w:r>
        <w:rPr>
          <w:color w:val="232325"/>
        </w:rPr>
        <w:t>ot</w:t>
      </w:r>
      <w:r>
        <w:rPr>
          <w:color w:val="232325"/>
          <w:spacing w:val="-4"/>
        </w:rPr>
        <w:t xml:space="preserve"> </w:t>
      </w:r>
      <w:r>
        <w:rPr>
          <w:color w:val="0B0C0D"/>
        </w:rPr>
        <w:t>l</w:t>
      </w:r>
      <w:r>
        <w:rPr>
          <w:color w:val="232325"/>
        </w:rPr>
        <w:t>ate</w:t>
      </w:r>
      <w:r>
        <w:rPr>
          <w:color w:val="0B0C0D"/>
        </w:rPr>
        <w:t>r</w:t>
      </w:r>
      <w:r>
        <w:rPr>
          <w:color w:val="0B0C0D"/>
          <w:spacing w:val="-4"/>
        </w:rPr>
        <w:t xml:space="preserve"> </w:t>
      </w:r>
      <w:r>
        <w:rPr>
          <w:color w:val="232325"/>
        </w:rPr>
        <w:t>t</w:t>
      </w:r>
      <w:r>
        <w:rPr>
          <w:color w:val="0B0C0D"/>
        </w:rPr>
        <w:t>h</w:t>
      </w:r>
      <w:r>
        <w:rPr>
          <w:color w:val="232325"/>
        </w:rPr>
        <w:t>a</w:t>
      </w:r>
      <w:r>
        <w:rPr>
          <w:color w:val="0B0C0D"/>
        </w:rPr>
        <w:t>n</w:t>
      </w:r>
      <w:r>
        <w:rPr>
          <w:color w:val="0B0C0D"/>
          <w:spacing w:val="-6"/>
        </w:rPr>
        <w:t xml:space="preserve"> </w:t>
      </w:r>
      <w:r>
        <w:rPr>
          <w:color w:val="0B0C0D"/>
        </w:rPr>
        <w:t>the</w:t>
      </w:r>
      <w:r>
        <w:rPr>
          <w:color w:val="0B0C0D"/>
          <w:spacing w:val="-4"/>
        </w:rPr>
        <w:t xml:space="preserve"> </w:t>
      </w:r>
      <w:r>
        <w:rPr>
          <w:color w:val="0B0C0D"/>
        </w:rPr>
        <w:t>week</w:t>
      </w:r>
      <w:r>
        <w:rPr>
          <w:color w:val="0B0C0D"/>
          <w:spacing w:val="-3"/>
        </w:rPr>
        <w:t xml:space="preserve"> </w:t>
      </w:r>
      <w:r>
        <w:rPr>
          <w:color w:val="0B0C0D"/>
        </w:rPr>
        <w:t>commencing</w:t>
      </w:r>
      <w:r>
        <w:rPr>
          <w:color w:val="0B0C0D"/>
          <w:spacing w:val="-4"/>
        </w:rPr>
        <w:t xml:space="preserve"> </w:t>
      </w:r>
      <w:r w:rsidR="002D53F1">
        <w:t>12 July</w:t>
      </w:r>
      <w:r w:rsidR="00EB6C74">
        <w:t xml:space="preserve"> </w:t>
      </w:r>
      <w:r w:rsidR="00874BAC">
        <w:t>2021</w:t>
      </w:r>
      <w:r>
        <w:rPr>
          <w:color w:val="232325"/>
        </w:rPr>
        <w:t>.</w:t>
      </w:r>
      <w:r>
        <w:rPr>
          <w:color w:val="232325"/>
          <w:spacing w:val="-4"/>
        </w:rPr>
        <w:t xml:space="preserve"> </w:t>
      </w:r>
      <w:r>
        <w:rPr>
          <w:color w:val="0B0C0D"/>
        </w:rPr>
        <w:t>No</w:t>
      </w:r>
      <w:r>
        <w:rPr>
          <w:color w:val="0B0C0D"/>
          <w:spacing w:val="-4"/>
        </w:rPr>
        <w:t xml:space="preserve"> </w:t>
      </w:r>
      <w:r>
        <w:rPr>
          <w:color w:val="232325"/>
        </w:rPr>
        <w:t>t</w:t>
      </w:r>
      <w:r>
        <w:rPr>
          <w:color w:val="0B0C0D"/>
        </w:rPr>
        <w:t>empo</w:t>
      </w:r>
      <w:r>
        <w:rPr>
          <w:color w:val="232325"/>
        </w:rPr>
        <w:t>ra</w:t>
      </w:r>
      <w:r>
        <w:rPr>
          <w:color w:val="0B0C0D"/>
        </w:rPr>
        <w:t>r</w:t>
      </w:r>
      <w:r>
        <w:rPr>
          <w:color w:val="232325"/>
        </w:rPr>
        <w:t>y</w:t>
      </w:r>
      <w:r>
        <w:rPr>
          <w:color w:val="232325"/>
          <w:spacing w:val="-6"/>
        </w:rPr>
        <w:t xml:space="preserve"> </w:t>
      </w:r>
      <w:r>
        <w:rPr>
          <w:color w:val="0B0C0D"/>
        </w:rPr>
        <w:t>do</w:t>
      </w:r>
      <w:r>
        <w:rPr>
          <w:color w:val="232325"/>
        </w:rPr>
        <w:t>c</w:t>
      </w:r>
      <w:r>
        <w:rPr>
          <w:color w:val="0B0C0D"/>
        </w:rPr>
        <w:t>um</w:t>
      </w:r>
      <w:r>
        <w:rPr>
          <w:color w:val="232325"/>
        </w:rPr>
        <w:t>e</w:t>
      </w:r>
      <w:r>
        <w:rPr>
          <w:color w:val="0B0C0D"/>
        </w:rPr>
        <w:t>nt</w:t>
      </w:r>
      <w:r>
        <w:rPr>
          <w:color w:val="232325"/>
        </w:rPr>
        <w:t>s</w:t>
      </w:r>
      <w:r>
        <w:rPr>
          <w:color w:val="232325"/>
          <w:spacing w:val="-4"/>
        </w:rPr>
        <w:t xml:space="preserve"> </w:t>
      </w:r>
      <w:r>
        <w:rPr>
          <w:color w:val="0B0C0D"/>
        </w:rPr>
        <w:t>of</w:t>
      </w:r>
      <w:r>
        <w:rPr>
          <w:color w:val="0B0C0D"/>
          <w:spacing w:val="-4"/>
        </w:rPr>
        <w:t xml:space="preserve"> </w:t>
      </w:r>
      <w:r>
        <w:rPr>
          <w:color w:val="232325"/>
        </w:rPr>
        <w:t>t</w:t>
      </w:r>
      <w:r>
        <w:rPr>
          <w:color w:val="0B0C0D"/>
        </w:rPr>
        <w:t>itl</w:t>
      </w:r>
      <w:r>
        <w:rPr>
          <w:color w:val="232325"/>
        </w:rPr>
        <w:t>e</w:t>
      </w:r>
      <w:r>
        <w:rPr>
          <w:color w:val="232325"/>
          <w:spacing w:val="-4"/>
        </w:rPr>
        <w:t xml:space="preserve"> </w:t>
      </w:r>
      <w:r>
        <w:rPr>
          <w:color w:val="232325"/>
        </w:rPr>
        <w:t>w</w:t>
      </w:r>
      <w:r>
        <w:rPr>
          <w:color w:val="0B0C0D"/>
        </w:rPr>
        <w:t>ill</w:t>
      </w:r>
      <w:r>
        <w:rPr>
          <w:color w:val="0B0C0D"/>
          <w:spacing w:val="-4"/>
        </w:rPr>
        <w:t xml:space="preserve"> </w:t>
      </w:r>
      <w:r>
        <w:rPr>
          <w:color w:val="0B0C0D"/>
        </w:rPr>
        <w:t>b</w:t>
      </w:r>
      <w:r>
        <w:rPr>
          <w:color w:val="232325"/>
        </w:rPr>
        <w:t xml:space="preserve">e </w:t>
      </w:r>
      <w:r>
        <w:rPr>
          <w:color w:val="0B0C0D"/>
        </w:rPr>
        <w:t>i</w:t>
      </w:r>
      <w:r>
        <w:rPr>
          <w:color w:val="232325"/>
        </w:rPr>
        <w:t>ss</w:t>
      </w:r>
      <w:r>
        <w:rPr>
          <w:color w:val="0B0C0D"/>
        </w:rPr>
        <w:t>u</w:t>
      </w:r>
      <w:r>
        <w:rPr>
          <w:color w:val="232325"/>
        </w:rPr>
        <w:t xml:space="preserve">ed. </w:t>
      </w:r>
      <w:r>
        <w:rPr>
          <w:color w:val="0B0C0D"/>
        </w:rPr>
        <w:t>Pri</w:t>
      </w:r>
      <w:r>
        <w:rPr>
          <w:color w:val="232325"/>
        </w:rPr>
        <w:t>o</w:t>
      </w:r>
      <w:r>
        <w:rPr>
          <w:color w:val="0B0C0D"/>
        </w:rPr>
        <w:t xml:space="preserve">r </w:t>
      </w:r>
      <w:r>
        <w:rPr>
          <w:color w:val="232325"/>
        </w:rPr>
        <w:t>to t</w:t>
      </w:r>
      <w:r>
        <w:rPr>
          <w:color w:val="0B0C0D"/>
        </w:rPr>
        <w:t>h</w:t>
      </w:r>
      <w:r>
        <w:rPr>
          <w:color w:val="232325"/>
        </w:rPr>
        <w:t>e des</w:t>
      </w:r>
      <w:r>
        <w:rPr>
          <w:color w:val="0B0C0D"/>
        </w:rPr>
        <w:t>p</w:t>
      </w:r>
      <w:r>
        <w:rPr>
          <w:color w:val="232325"/>
        </w:rPr>
        <w:t>atc</w:t>
      </w:r>
      <w:r>
        <w:rPr>
          <w:color w:val="0B0C0D"/>
        </w:rPr>
        <w:t xml:space="preserve">h </w:t>
      </w:r>
      <w:r>
        <w:rPr>
          <w:color w:val="232325"/>
        </w:rPr>
        <w:t>o</w:t>
      </w:r>
      <w:r>
        <w:rPr>
          <w:color w:val="0B0C0D"/>
        </w:rPr>
        <w:t>f d</w:t>
      </w:r>
      <w:r>
        <w:rPr>
          <w:color w:val="232325"/>
        </w:rPr>
        <w:t>e</w:t>
      </w:r>
      <w:r>
        <w:rPr>
          <w:color w:val="0B0C0D"/>
        </w:rPr>
        <w:t>finiti</w:t>
      </w:r>
      <w:r>
        <w:rPr>
          <w:color w:val="232325"/>
        </w:rPr>
        <w:t>ve s</w:t>
      </w:r>
      <w:r>
        <w:rPr>
          <w:color w:val="0B0C0D"/>
        </w:rPr>
        <w:t>h</w:t>
      </w:r>
      <w:r>
        <w:rPr>
          <w:color w:val="232325"/>
        </w:rPr>
        <w:t>a</w:t>
      </w:r>
      <w:r>
        <w:rPr>
          <w:color w:val="0B0C0D"/>
        </w:rPr>
        <w:t xml:space="preserve">re </w:t>
      </w:r>
      <w:r>
        <w:rPr>
          <w:color w:val="232325"/>
        </w:rPr>
        <w:t>ce</w:t>
      </w:r>
      <w:r>
        <w:rPr>
          <w:color w:val="0B0C0D"/>
        </w:rPr>
        <w:t>rtifi</w:t>
      </w:r>
      <w:r>
        <w:rPr>
          <w:color w:val="232325"/>
        </w:rPr>
        <w:t xml:space="preserve">cates </w:t>
      </w:r>
      <w:r>
        <w:rPr>
          <w:color w:val="0B0C0D"/>
        </w:rPr>
        <w:t>in r</w:t>
      </w:r>
      <w:r>
        <w:rPr>
          <w:color w:val="232325"/>
        </w:rPr>
        <w:t>es</w:t>
      </w:r>
      <w:r>
        <w:rPr>
          <w:color w:val="0B0C0D"/>
        </w:rPr>
        <w:t>p</w:t>
      </w:r>
      <w:r>
        <w:rPr>
          <w:color w:val="232325"/>
        </w:rPr>
        <w:t>e</w:t>
      </w:r>
      <w:r>
        <w:rPr>
          <w:color w:val="0B0C0D"/>
        </w:rPr>
        <w:t xml:space="preserve">ct </w:t>
      </w:r>
      <w:r>
        <w:rPr>
          <w:color w:val="232325"/>
        </w:rPr>
        <w:t>o</w:t>
      </w:r>
      <w:r>
        <w:rPr>
          <w:color w:val="0B0C0D"/>
        </w:rPr>
        <w:t xml:space="preserve">f </w:t>
      </w:r>
      <w:r>
        <w:rPr>
          <w:color w:val="232325"/>
        </w:rPr>
        <w:t>a</w:t>
      </w:r>
      <w:r>
        <w:rPr>
          <w:color w:val="0B0C0D"/>
        </w:rPr>
        <w:t>ny new Ordin</w:t>
      </w:r>
      <w:r>
        <w:rPr>
          <w:color w:val="232325"/>
        </w:rPr>
        <w:t>a</w:t>
      </w:r>
      <w:r>
        <w:rPr>
          <w:color w:val="0B0C0D"/>
        </w:rPr>
        <w:t>r</w:t>
      </w:r>
      <w:r>
        <w:rPr>
          <w:color w:val="232325"/>
        </w:rPr>
        <w:t xml:space="preserve">y </w:t>
      </w:r>
      <w:r>
        <w:rPr>
          <w:color w:val="0B0C0D"/>
        </w:rPr>
        <w:t>Sh</w:t>
      </w:r>
      <w:r>
        <w:rPr>
          <w:color w:val="232325"/>
        </w:rPr>
        <w:t>a</w:t>
      </w:r>
      <w:r>
        <w:rPr>
          <w:color w:val="0B0C0D"/>
        </w:rPr>
        <w:t>r</w:t>
      </w:r>
      <w:r>
        <w:rPr>
          <w:color w:val="232325"/>
        </w:rPr>
        <w:t>es w</w:t>
      </w:r>
      <w:r>
        <w:rPr>
          <w:color w:val="0B0C0D"/>
        </w:rPr>
        <w:t xml:space="preserve">hich </w:t>
      </w:r>
      <w:r>
        <w:rPr>
          <w:color w:val="232325"/>
        </w:rPr>
        <w:t>a</w:t>
      </w:r>
      <w:r>
        <w:rPr>
          <w:color w:val="0B0C0D"/>
        </w:rPr>
        <w:t>r</w:t>
      </w:r>
      <w:r>
        <w:rPr>
          <w:color w:val="232325"/>
        </w:rPr>
        <w:t>e he</w:t>
      </w:r>
      <w:r>
        <w:rPr>
          <w:color w:val="0B0C0D"/>
        </w:rPr>
        <w:t xml:space="preserve">ld in </w:t>
      </w:r>
      <w:r>
        <w:rPr>
          <w:color w:val="232325"/>
        </w:rPr>
        <w:t>ce</w:t>
      </w:r>
      <w:r>
        <w:rPr>
          <w:color w:val="0B0C0D"/>
        </w:rPr>
        <w:t>r</w:t>
      </w:r>
      <w:r>
        <w:rPr>
          <w:color w:val="232325"/>
        </w:rPr>
        <w:t>t</w:t>
      </w:r>
      <w:r>
        <w:rPr>
          <w:color w:val="0B0C0D"/>
        </w:rPr>
        <w:t>ifi</w:t>
      </w:r>
      <w:r>
        <w:rPr>
          <w:color w:val="232325"/>
        </w:rPr>
        <w:t>cated fo</w:t>
      </w:r>
      <w:r>
        <w:rPr>
          <w:color w:val="0B0C0D"/>
        </w:rPr>
        <w:t>rm</w:t>
      </w:r>
      <w:r>
        <w:rPr>
          <w:color w:val="232325"/>
        </w:rPr>
        <w:t xml:space="preserve">, </w:t>
      </w:r>
      <w:r>
        <w:rPr>
          <w:color w:val="0B0C0D"/>
        </w:rPr>
        <w:t>tr</w:t>
      </w:r>
      <w:r>
        <w:rPr>
          <w:color w:val="232325"/>
        </w:rPr>
        <w:t>a</w:t>
      </w:r>
      <w:r>
        <w:rPr>
          <w:color w:val="0B0C0D"/>
        </w:rPr>
        <w:t>n</w:t>
      </w:r>
      <w:r>
        <w:rPr>
          <w:color w:val="232325"/>
        </w:rPr>
        <w:t>s</w:t>
      </w:r>
      <w:r>
        <w:rPr>
          <w:color w:val="0B0C0D"/>
        </w:rPr>
        <w:t>f</w:t>
      </w:r>
      <w:r>
        <w:rPr>
          <w:color w:val="232325"/>
        </w:rPr>
        <w:t>e</w:t>
      </w:r>
      <w:r>
        <w:rPr>
          <w:color w:val="0B0C0D"/>
        </w:rPr>
        <w:t>r</w:t>
      </w:r>
      <w:r>
        <w:rPr>
          <w:color w:val="232325"/>
        </w:rPr>
        <w:t>s o</w:t>
      </w:r>
      <w:r>
        <w:rPr>
          <w:color w:val="0B0C0D"/>
        </w:rPr>
        <w:t>f th</w:t>
      </w:r>
      <w:r>
        <w:rPr>
          <w:color w:val="232325"/>
        </w:rPr>
        <w:t>os</w:t>
      </w:r>
      <w:r>
        <w:rPr>
          <w:color w:val="0B0C0D"/>
        </w:rPr>
        <w:t>e Ordin</w:t>
      </w:r>
      <w:r>
        <w:rPr>
          <w:color w:val="232325"/>
        </w:rPr>
        <w:t>a</w:t>
      </w:r>
      <w:r>
        <w:rPr>
          <w:color w:val="0B0C0D"/>
        </w:rPr>
        <w:t>r</w:t>
      </w:r>
      <w:r>
        <w:rPr>
          <w:color w:val="232325"/>
        </w:rPr>
        <w:t>y S</w:t>
      </w:r>
      <w:r>
        <w:rPr>
          <w:color w:val="0B0C0D"/>
        </w:rPr>
        <w:t>h</w:t>
      </w:r>
      <w:r>
        <w:rPr>
          <w:color w:val="232325"/>
        </w:rPr>
        <w:t>a</w:t>
      </w:r>
      <w:r>
        <w:rPr>
          <w:color w:val="0B0C0D"/>
        </w:rPr>
        <w:t>r</w:t>
      </w:r>
      <w:r>
        <w:rPr>
          <w:color w:val="232325"/>
        </w:rPr>
        <w:t>es w</w:t>
      </w:r>
      <w:r>
        <w:rPr>
          <w:color w:val="0B0C0D"/>
        </w:rPr>
        <w:t xml:space="preserve">ill </w:t>
      </w:r>
      <w:r>
        <w:rPr>
          <w:color w:val="232325"/>
        </w:rPr>
        <w:t>be cer</w:t>
      </w:r>
      <w:r>
        <w:rPr>
          <w:color w:val="0B0C0D"/>
        </w:rPr>
        <w:t>tifi</w:t>
      </w:r>
      <w:r>
        <w:rPr>
          <w:color w:val="232325"/>
        </w:rPr>
        <w:t xml:space="preserve">ed </w:t>
      </w:r>
      <w:r>
        <w:rPr>
          <w:color w:val="0B0C0D"/>
        </w:rPr>
        <w:t>ag</w:t>
      </w:r>
      <w:r>
        <w:rPr>
          <w:color w:val="232325"/>
        </w:rPr>
        <w:t>ai</w:t>
      </w:r>
      <w:r>
        <w:rPr>
          <w:color w:val="0B0C0D"/>
        </w:rPr>
        <w:t>n</w:t>
      </w:r>
      <w:r>
        <w:rPr>
          <w:color w:val="232325"/>
        </w:rPr>
        <w:t xml:space="preserve">st </w:t>
      </w:r>
      <w:r>
        <w:rPr>
          <w:color w:val="0B0C0D"/>
        </w:rPr>
        <w:t>the re</w:t>
      </w:r>
      <w:r>
        <w:rPr>
          <w:color w:val="232325"/>
        </w:rPr>
        <w:t>g</w:t>
      </w:r>
      <w:r>
        <w:rPr>
          <w:color w:val="0B0C0D"/>
        </w:rPr>
        <w:t>i</w:t>
      </w:r>
      <w:r>
        <w:rPr>
          <w:color w:val="232325"/>
        </w:rPr>
        <w:t>ste</w:t>
      </w:r>
      <w:r>
        <w:rPr>
          <w:color w:val="0B0C0D"/>
        </w:rPr>
        <w:t xml:space="preserve">r </w:t>
      </w:r>
      <w:r>
        <w:rPr>
          <w:color w:val="232325"/>
        </w:rPr>
        <w:t>o</w:t>
      </w:r>
      <w:r>
        <w:rPr>
          <w:color w:val="0B0C0D"/>
        </w:rPr>
        <w:t xml:space="preserve">f </w:t>
      </w:r>
      <w:r>
        <w:rPr>
          <w:color w:val="232325"/>
        </w:rPr>
        <w:t>members of t</w:t>
      </w:r>
      <w:r>
        <w:rPr>
          <w:color w:val="0B0C0D"/>
        </w:rPr>
        <w:t>h</w:t>
      </w:r>
      <w:r>
        <w:rPr>
          <w:color w:val="232325"/>
        </w:rPr>
        <w:t>e Com</w:t>
      </w:r>
      <w:r>
        <w:rPr>
          <w:color w:val="0B0C0D"/>
        </w:rPr>
        <w:t>p</w:t>
      </w:r>
      <w:r>
        <w:rPr>
          <w:color w:val="232325"/>
        </w:rPr>
        <w:t>a</w:t>
      </w:r>
      <w:r>
        <w:rPr>
          <w:color w:val="0B0C0D"/>
        </w:rPr>
        <w:t>n</w:t>
      </w:r>
      <w:r>
        <w:rPr>
          <w:color w:val="232325"/>
        </w:rPr>
        <w:t>y.</w:t>
      </w:r>
    </w:p>
    <w:p w14:paraId="27BD6E28" w14:textId="77777777" w:rsidR="00783288" w:rsidRDefault="00783288">
      <w:pPr>
        <w:pStyle w:val="BodyText"/>
        <w:kinsoku w:val="0"/>
        <w:overflowPunct w:val="0"/>
        <w:ind w:left="300" w:right="1189"/>
        <w:jc w:val="both"/>
        <w:rPr>
          <w:color w:val="232325"/>
        </w:rPr>
        <w:sectPr w:rsidR="00783288">
          <w:pgSz w:w="11900" w:h="16840"/>
          <w:pgMar w:top="1360" w:right="240" w:bottom="1160" w:left="1140" w:header="0" w:footer="891" w:gutter="0"/>
          <w:cols w:space="720"/>
          <w:noEndnote/>
        </w:sectPr>
      </w:pPr>
    </w:p>
    <w:p w14:paraId="2937C72E" w14:textId="77777777" w:rsidR="00783288" w:rsidRDefault="00E31420">
      <w:pPr>
        <w:pStyle w:val="BodyText"/>
        <w:kinsoku w:val="0"/>
        <w:overflowPunct w:val="0"/>
        <w:spacing w:before="65"/>
        <w:ind w:left="300"/>
        <w:jc w:val="both"/>
        <w:rPr>
          <w:color w:val="0B0C0D"/>
        </w:rPr>
      </w:pPr>
      <w:r>
        <w:rPr>
          <w:color w:val="0B0C0D"/>
        </w:rPr>
        <w:lastRenderedPageBreak/>
        <w:t>Th</w:t>
      </w:r>
      <w:r>
        <w:rPr>
          <w:color w:val="232325"/>
        </w:rPr>
        <w:t>e O</w:t>
      </w:r>
      <w:r>
        <w:rPr>
          <w:color w:val="0B0C0D"/>
        </w:rPr>
        <w:t>rdinar</w:t>
      </w:r>
      <w:r>
        <w:rPr>
          <w:color w:val="232325"/>
        </w:rPr>
        <w:t>y S</w:t>
      </w:r>
      <w:r>
        <w:rPr>
          <w:color w:val="0B0C0D"/>
        </w:rPr>
        <w:t>h</w:t>
      </w:r>
      <w:r>
        <w:rPr>
          <w:color w:val="232325"/>
        </w:rPr>
        <w:t>a</w:t>
      </w:r>
      <w:r>
        <w:rPr>
          <w:color w:val="0B0C0D"/>
        </w:rPr>
        <w:t>r</w:t>
      </w:r>
      <w:r>
        <w:rPr>
          <w:color w:val="232325"/>
        </w:rPr>
        <w:t>es a</w:t>
      </w:r>
      <w:r>
        <w:rPr>
          <w:color w:val="0B0C0D"/>
        </w:rPr>
        <w:t>r</w:t>
      </w:r>
      <w:r>
        <w:rPr>
          <w:color w:val="232325"/>
        </w:rPr>
        <w:t xml:space="preserve">e </w:t>
      </w:r>
      <w:r>
        <w:rPr>
          <w:color w:val="0B0C0D"/>
        </w:rPr>
        <w:t>in r</w:t>
      </w:r>
      <w:r>
        <w:rPr>
          <w:color w:val="232325"/>
        </w:rPr>
        <w:t>eg</w:t>
      </w:r>
      <w:r>
        <w:rPr>
          <w:color w:val="0B0C0D"/>
        </w:rPr>
        <w:t>i</w:t>
      </w:r>
      <w:r>
        <w:rPr>
          <w:color w:val="232325"/>
        </w:rPr>
        <w:t>s</w:t>
      </w:r>
      <w:r>
        <w:rPr>
          <w:color w:val="0B0C0D"/>
        </w:rPr>
        <w:t>t</w:t>
      </w:r>
      <w:r>
        <w:rPr>
          <w:color w:val="232325"/>
        </w:rPr>
        <w:t>e</w:t>
      </w:r>
      <w:r>
        <w:rPr>
          <w:color w:val="0B0C0D"/>
        </w:rPr>
        <w:t>r</w:t>
      </w:r>
      <w:r>
        <w:rPr>
          <w:color w:val="232325"/>
        </w:rPr>
        <w:t>e</w:t>
      </w:r>
      <w:r>
        <w:rPr>
          <w:color w:val="0B0C0D"/>
        </w:rPr>
        <w:t xml:space="preserve">d form </w:t>
      </w:r>
      <w:r>
        <w:rPr>
          <w:color w:val="232325"/>
        </w:rPr>
        <w:t>a</w:t>
      </w:r>
      <w:r>
        <w:rPr>
          <w:color w:val="0B0C0D"/>
        </w:rPr>
        <w:t xml:space="preserve">nd </w:t>
      </w:r>
      <w:r>
        <w:rPr>
          <w:color w:val="232325"/>
        </w:rPr>
        <w:t xml:space="preserve">may </w:t>
      </w:r>
      <w:r>
        <w:rPr>
          <w:color w:val="0B0C0D"/>
        </w:rPr>
        <w:t>b</w:t>
      </w:r>
      <w:r>
        <w:rPr>
          <w:color w:val="232325"/>
        </w:rPr>
        <w:t xml:space="preserve">e </w:t>
      </w:r>
      <w:r>
        <w:rPr>
          <w:color w:val="0B0C0D"/>
        </w:rPr>
        <w:t>h</w:t>
      </w:r>
      <w:r>
        <w:rPr>
          <w:color w:val="232325"/>
        </w:rPr>
        <w:t>e</w:t>
      </w:r>
      <w:r>
        <w:rPr>
          <w:color w:val="0B0C0D"/>
        </w:rPr>
        <w:t xml:space="preserve">ld in </w:t>
      </w:r>
      <w:r>
        <w:rPr>
          <w:color w:val="232325"/>
        </w:rPr>
        <w:t>ce</w:t>
      </w:r>
      <w:r>
        <w:rPr>
          <w:color w:val="0B0C0D"/>
        </w:rPr>
        <w:t xml:space="preserve">rtificated </w:t>
      </w:r>
      <w:r>
        <w:rPr>
          <w:color w:val="232325"/>
        </w:rPr>
        <w:t>o</w:t>
      </w:r>
      <w:r>
        <w:rPr>
          <w:color w:val="0B0C0D"/>
        </w:rPr>
        <w:t xml:space="preserve">r </w:t>
      </w:r>
      <w:r>
        <w:rPr>
          <w:color w:val="232325"/>
        </w:rPr>
        <w:t>u</w:t>
      </w:r>
      <w:r>
        <w:rPr>
          <w:color w:val="0B0C0D"/>
        </w:rPr>
        <w:t>n</w:t>
      </w:r>
      <w:r>
        <w:rPr>
          <w:color w:val="232325"/>
        </w:rPr>
        <w:t>ce</w:t>
      </w:r>
      <w:r>
        <w:rPr>
          <w:color w:val="0B0C0D"/>
        </w:rPr>
        <w:t>rtific</w:t>
      </w:r>
      <w:r>
        <w:rPr>
          <w:color w:val="232325"/>
        </w:rPr>
        <w:t>a</w:t>
      </w:r>
      <w:r>
        <w:rPr>
          <w:color w:val="0B0C0D"/>
        </w:rPr>
        <w:t>t</w:t>
      </w:r>
      <w:r>
        <w:rPr>
          <w:color w:val="232325"/>
        </w:rPr>
        <w:t>e</w:t>
      </w:r>
      <w:r>
        <w:rPr>
          <w:color w:val="0B0C0D"/>
        </w:rPr>
        <w:t>d for</w:t>
      </w:r>
      <w:r>
        <w:rPr>
          <w:color w:val="232325"/>
        </w:rPr>
        <w:t>m</w:t>
      </w:r>
      <w:r>
        <w:rPr>
          <w:color w:val="0B0C0D"/>
        </w:rPr>
        <w:t>.</w:t>
      </w:r>
    </w:p>
    <w:p w14:paraId="5BE0F099" w14:textId="77777777" w:rsidR="00783288" w:rsidRDefault="00783288">
      <w:pPr>
        <w:pStyle w:val="BodyText"/>
        <w:kinsoku w:val="0"/>
        <w:overflowPunct w:val="0"/>
        <w:spacing w:before="8"/>
        <w:rPr>
          <w:sz w:val="17"/>
          <w:szCs w:val="17"/>
        </w:rPr>
      </w:pPr>
    </w:p>
    <w:p w14:paraId="5F7B02F5" w14:textId="4425CC83" w:rsidR="00783288" w:rsidRDefault="005D6FE4" w:rsidP="00512495">
      <w:pPr>
        <w:pStyle w:val="Heading1"/>
        <w:numPr>
          <w:ilvl w:val="0"/>
          <w:numId w:val="17"/>
        </w:numPr>
        <w:tabs>
          <w:tab w:val="left" w:pos="728"/>
        </w:tabs>
        <w:kinsoku w:val="0"/>
        <w:overflowPunct w:val="0"/>
        <w:rPr>
          <w:color w:val="0B0C0D"/>
        </w:rPr>
      </w:pPr>
      <w:r>
        <w:rPr>
          <w:color w:val="0B0C0D"/>
        </w:rPr>
        <w:t xml:space="preserve">Placing </w:t>
      </w:r>
      <w:r w:rsidR="00E31420">
        <w:rPr>
          <w:color w:val="0B0C0D"/>
        </w:rPr>
        <w:t>Arrangements</w:t>
      </w:r>
    </w:p>
    <w:p w14:paraId="0D2D67FE" w14:textId="77777777" w:rsidR="00783288" w:rsidRDefault="00783288">
      <w:pPr>
        <w:pStyle w:val="BodyText"/>
        <w:kinsoku w:val="0"/>
        <w:overflowPunct w:val="0"/>
        <w:spacing w:before="3"/>
        <w:rPr>
          <w:b/>
          <w:bCs/>
        </w:rPr>
      </w:pPr>
    </w:p>
    <w:p w14:paraId="34D29395" w14:textId="7D4548BE" w:rsidR="00783288" w:rsidRDefault="00E31420" w:rsidP="00FE358B">
      <w:pPr>
        <w:pStyle w:val="BodyText"/>
        <w:kinsoku w:val="0"/>
        <w:overflowPunct w:val="0"/>
        <w:spacing w:before="1"/>
        <w:ind w:left="300" w:right="1187"/>
        <w:jc w:val="both"/>
      </w:pPr>
      <w:r>
        <w:rPr>
          <w:color w:val="0B0C0D"/>
        </w:rPr>
        <w:t>The terms of the Placing are governed by a Placing Agreement. Fu</w:t>
      </w:r>
      <w:r>
        <w:rPr>
          <w:color w:val="232325"/>
        </w:rPr>
        <w:t>rt</w:t>
      </w:r>
      <w:r>
        <w:rPr>
          <w:color w:val="0B0C0D"/>
        </w:rPr>
        <w:t>her detail</w:t>
      </w:r>
      <w:r>
        <w:rPr>
          <w:color w:val="232325"/>
        </w:rPr>
        <w:t>s o</w:t>
      </w:r>
      <w:r>
        <w:rPr>
          <w:color w:val="0B0C0D"/>
        </w:rPr>
        <w:t xml:space="preserve">f </w:t>
      </w:r>
      <w:r>
        <w:rPr>
          <w:color w:val="232325"/>
        </w:rPr>
        <w:t>t</w:t>
      </w:r>
      <w:r>
        <w:rPr>
          <w:color w:val="0B0C0D"/>
        </w:rPr>
        <w:t>h</w:t>
      </w:r>
      <w:r>
        <w:rPr>
          <w:color w:val="232325"/>
        </w:rPr>
        <w:t xml:space="preserve">e </w:t>
      </w:r>
      <w:r>
        <w:rPr>
          <w:color w:val="0B0C0D"/>
        </w:rPr>
        <w:t>Pl</w:t>
      </w:r>
      <w:r>
        <w:rPr>
          <w:color w:val="232325"/>
        </w:rPr>
        <w:t>aci</w:t>
      </w:r>
      <w:r>
        <w:rPr>
          <w:color w:val="0B0C0D"/>
        </w:rPr>
        <w:t>n</w:t>
      </w:r>
      <w:r>
        <w:rPr>
          <w:color w:val="232325"/>
        </w:rPr>
        <w:t>g Ag</w:t>
      </w:r>
      <w:r>
        <w:rPr>
          <w:color w:val="0B0C0D"/>
        </w:rPr>
        <w:t>r</w:t>
      </w:r>
      <w:r>
        <w:rPr>
          <w:color w:val="232325"/>
        </w:rPr>
        <w:t>eeme</w:t>
      </w:r>
      <w:r>
        <w:rPr>
          <w:color w:val="0B0C0D"/>
        </w:rPr>
        <w:t xml:space="preserve">nt </w:t>
      </w:r>
      <w:r>
        <w:rPr>
          <w:color w:val="232325"/>
        </w:rPr>
        <w:t>a</w:t>
      </w:r>
      <w:r>
        <w:rPr>
          <w:color w:val="0B0C0D"/>
        </w:rPr>
        <w:t>r</w:t>
      </w:r>
      <w:r>
        <w:rPr>
          <w:color w:val="232325"/>
        </w:rPr>
        <w:t>e s</w:t>
      </w:r>
      <w:r>
        <w:rPr>
          <w:color w:val="0B0C0D"/>
        </w:rPr>
        <w:t xml:space="preserve">et </w:t>
      </w:r>
      <w:r>
        <w:rPr>
          <w:color w:val="232325"/>
        </w:rPr>
        <w:t>o</w:t>
      </w:r>
      <w:r>
        <w:rPr>
          <w:color w:val="0B0C0D"/>
        </w:rPr>
        <w:t>u</w:t>
      </w:r>
      <w:r>
        <w:rPr>
          <w:color w:val="232325"/>
        </w:rPr>
        <w:t xml:space="preserve">t in </w:t>
      </w:r>
      <w:r>
        <w:rPr>
          <w:color w:val="0B0C0D"/>
        </w:rPr>
        <w:t>p</w:t>
      </w:r>
      <w:r>
        <w:rPr>
          <w:color w:val="232325"/>
        </w:rPr>
        <w:t>a</w:t>
      </w:r>
      <w:r>
        <w:rPr>
          <w:color w:val="0B0C0D"/>
        </w:rPr>
        <w:t>ra</w:t>
      </w:r>
      <w:r>
        <w:rPr>
          <w:color w:val="232325"/>
        </w:rPr>
        <w:t>g</w:t>
      </w:r>
      <w:r>
        <w:rPr>
          <w:color w:val="0B0C0D"/>
        </w:rPr>
        <w:t>r</w:t>
      </w:r>
      <w:r>
        <w:rPr>
          <w:color w:val="232325"/>
        </w:rPr>
        <w:t>a</w:t>
      </w:r>
      <w:r>
        <w:rPr>
          <w:color w:val="0B0C0D"/>
        </w:rPr>
        <w:t xml:space="preserve">ph 14.1 </w:t>
      </w:r>
      <w:r>
        <w:rPr>
          <w:color w:val="232325"/>
        </w:rPr>
        <w:t>o</w:t>
      </w:r>
      <w:r>
        <w:rPr>
          <w:color w:val="0B0C0D"/>
        </w:rPr>
        <w:t>f Pa</w:t>
      </w:r>
      <w:r>
        <w:rPr>
          <w:color w:val="232325"/>
        </w:rPr>
        <w:t xml:space="preserve">rt </w:t>
      </w:r>
      <w:r>
        <w:rPr>
          <w:color w:val="0B0C0D"/>
        </w:rPr>
        <w:t>VII</w:t>
      </w:r>
      <w:r>
        <w:rPr>
          <w:color w:val="232325"/>
        </w:rPr>
        <w:t xml:space="preserve">. Pursuant to the terms of the Placing Agreement, </w:t>
      </w:r>
      <w:r w:rsidR="005450BE">
        <w:rPr>
          <w:color w:val="232325"/>
        </w:rPr>
        <w:t>Panmure Gordon</w:t>
      </w:r>
      <w:r>
        <w:rPr>
          <w:color w:val="232325"/>
        </w:rPr>
        <w:t xml:space="preserve"> has agreed to use </w:t>
      </w:r>
      <w:r>
        <w:rPr>
          <w:color w:val="0B0C0D"/>
        </w:rPr>
        <w:t>i</w:t>
      </w:r>
      <w:r>
        <w:rPr>
          <w:color w:val="232325"/>
        </w:rPr>
        <w:t xml:space="preserve">ts </w:t>
      </w:r>
      <w:r>
        <w:rPr>
          <w:color w:val="0B0C0D"/>
        </w:rPr>
        <w:t>rea</w:t>
      </w:r>
      <w:r>
        <w:rPr>
          <w:color w:val="232325"/>
        </w:rPr>
        <w:t>so</w:t>
      </w:r>
      <w:r>
        <w:rPr>
          <w:color w:val="0B0C0D"/>
        </w:rPr>
        <w:t>nable endea</w:t>
      </w:r>
      <w:r>
        <w:rPr>
          <w:color w:val="232325"/>
        </w:rPr>
        <w:t>vo</w:t>
      </w:r>
      <w:r>
        <w:rPr>
          <w:color w:val="0B0C0D"/>
        </w:rPr>
        <w:t>ur</w:t>
      </w:r>
      <w:r>
        <w:rPr>
          <w:color w:val="232325"/>
        </w:rPr>
        <w:t xml:space="preserve">s to </w:t>
      </w:r>
      <w:r>
        <w:rPr>
          <w:color w:val="0B0C0D"/>
        </w:rPr>
        <w:t>pr</w:t>
      </w:r>
      <w:r>
        <w:rPr>
          <w:color w:val="232325"/>
        </w:rPr>
        <w:t>oc</w:t>
      </w:r>
      <w:r>
        <w:rPr>
          <w:color w:val="0B0C0D"/>
        </w:rPr>
        <w:t>ure sub</w:t>
      </w:r>
      <w:r>
        <w:rPr>
          <w:color w:val="232325"/>
        </w:rPr>
        <w:t>sc</w:t>
      </w:r>
      <w:r>
        <w:rPr>
          <w:color w:val="0B0C0D"/>
        </w:rPr>
        <w:t>riber</w:t>
      </w:r>
      <w:r>
        <w:rPr>
          <w:color w:val="232325"/>
        </w:rPr>
        <w:t xml:space="preserve">s </w:t>
      </w:r>
      <w:r>
        <w:rPr>
          <w:color w:val="0B0C0D"/>
        </w:rPr>
        <w:t>f</w:t>
      </w:r>
      <w:r>
        <w:rPr>
          <w:color w:val="232325"/>
        </w:rPr>
        <w:t>o</w:t>
      </w:r>
      <w:r>
        <w:rPr>
          <w:color w:val="0B0C0D"/>
        </w:rPr>
        <w:t xml:space="preserve">r </w:t>
      </w:r>
      <w:r>
        <w:rPr>
          <w:color w:val="232325"/>
        </w:rPr>
        <w:t>t</w:t>
      </w:r>
      <w:r>
        <w:rPr>
          <w:color w:val="0B0C0D"/>
        </w:rPr>
        <w:t>h</w:t>
      </w:r>
      <w:r>
        <w:rPr>
          <w:color w:val="232325"/>
        </w:rPr>
        <w:t xml:space="preserve">e </w:t>
      </w:r>
      <w:r>
        <w:rPr>
          <w:color w:val="0B0C0D"/>
        </w:rPr>
        <w:t>Pl</w:t>
      </w:r>
      <w:r>
        <w:rPr>
          <w:color w:val="232325"/>
        </w:rPr>
        <w:t>a</w:t>
      </w:r>
      <w:r>
        <w:rPr>
          <w:color w:val="0B0C0D"/>
        </w:rPr>
        <w:t>cin</w:t>
      </w:r>
      <w:r>
        <w:rPr>
          <w:color w:val="232325"/>
        </w:rPr>
        <w:t>g S</w:t>
      </w:r>
      <w:r>
        <w:rPr>
          <w:color w:val="0B0C0D"/>
        </w:rPr>
        <w:t>h</w:t>
      </w:r>
      <w:r>
        <w:rPr>
          <w:color w:val="232325"/>
        </w:rPr>
        <w:t>ares a</w:t>
      </w:r>
      <w:r>
        <w:rPr>
          <w:color w:val="0B0C0D"/>
        </w:rPr>
        <w:t xml:space="preserve">t the </w:t>
      </w:r>
      <w:r w:rsidR="00613813">
        <w:rPr>
          <w:color w:val="0B0C0D"/>
        </w:rPr>
        <w:t xml:space="preserve">Placing </w:t>
      </w:r>
      <w:r>
        <w:rPr>
          <w:color w:val="0B0C0D"/>
        </w:rPr>
        <w:t xml:space="preserve">Price. </w:t>
      </w:r>
      <w:r w:rsidR="005450BE">
        <w:rPr>
          <w:color w:val="0B0C0D"/>
        </w:rPr>
        <w:t>Panmure Gordon</w:t>
      </w:r>
      <w:r>
        <w:rPr>
          <w:color w:val="0B0C0D"/>
        </w:rPr>
        <w:t xml:space="preserve"> </w:t>
      </w:r>
      <w:r>
        <w:rPr>
          <w:color w:val="232325"/>
        </w:rPr>
        <w:t>ma</w:t>
      </w:r>
      <w:r>
        <w:rPr>
          <w:color w:val="0B0C0D"/>
        </w:rPr>
        <w:t xml:space="preserve">y </w:t>
      </w:r>
      <w:r>
        <w:rPr>
          <w:color w:val="232325"/>
        </w:rPr>
        <w:t>te</w:t>
      </w:r>
      <w:r>
        <w:rPr>
          <w:color w:val="0B0C0D"/>
        </w:rPr>
        <w:t>rm</w:t>
      </w:r>
      <w:r>
        <w:rPr>
          <w:color w:val="232325"/>
        </w:rPr>
        <w:t>i</w:t>
      </w:r>
      <w:r>
        <w:rPr>
          <w:color w:val="0B0C0D"/>
        </w:rPr>
        <w:t>n</w:t>
      </w:r>
      <w:r>
        <w:rPr>
          <w:color w:val="232325"/>
        </w:rPr>
        <w:t>at</w:t>
      </w:r>
      <w:r>
        <w:rPr>
          <w:color w:val="0B0C0D"/>
        </w:rPr>
        <w:t>e</w:t>
      </w:r>
      <w:r>
        <w:rPr>
          <w:color w:val="0B0C0D"/>
          <w:spacing w:val="-7"/>
        </w:rPr>
        <w:t xml:space="preserve"> </w:t>
      </w:r>
      <w:r>
        <w:rPr>
          <w:color w:val="232325"/>
        </w:rPr>
        <w:t>t</w:t>
      </w:r>
      <w:r>
        <w:rPr>
          <w:color w:val="0B0C0D"/>
        </w:rPr>
        <w:t>h</w:t>
      </w:r>
      <w:r>
        <w:rPr>
          <w:color w:val="232325"/>
        </w:rPr>
        <w:t>e</w:t>
      </w:r>
      <w:r>
        <w:rPr>
          <w:color w:val="232325"/>
          <w:spacing w:val="-6"/>
        </w:rPr>
        <w:t xml:space="preserve"> </w:t>
      </w:r>
      <w:r>
        <w:rPr>
          <w:color w:val="0B0C0D"/>
        </w:rPr>
        <w:t>Pl</w:t>
      </w:r>
      <w:r>
        <w:rPr>
          <w:color w:val="232325"/>
        </w:rPr>
        <w:t>a</w:t>
      </w:r>
      <w:r>
        <w:rPr>
          <w:color w:val="0B0C0D"/>
        </w:rPr>
        <w:t>cing</w:t>
      </w:r>
      <w:r>
        <w:rPr>
          <w:color w:val="0B0C0D"/>
          <w:spacing w:val="-6"/>
        </w:rPr>
        <w:t xml:space="preserve"> </w:t>
      </w:r>
      <w:r>
        <w:rPr>
          <w:color w:val="0B0C0D"/>
        </w:rPr>
        <w:t>Agre</w:t>
      </w:r>
      <w:r>
        <w:rPr>
          <w:color w:val="232325"/>
        </w:rPr>
        <w:t>eme</w:t>
      </w:r>
      <w:r>
        <w:rPr>
          <w:color w:val="0B0C0D"/>
        </w:rPr>
        <w:t>nt</w:t>
      </w:r>
      <w:r>
        <w:rPr>
          <w:color w:val="0B0C0D"/>
          <w:spacing w:val="-6"/>
        </w:rPr>
        <w:t xml:space="preserve"> </w:t>
      </w:r>
      <w:r>
        <w:rPr>
          <w:color w:val="0B0C0D"/>
        </w:rPr>
        <w:t>(</w:t>
      </w:r>
      <w:r>
        <w:rPr>
          <w:color w:val="232325"/>
        </w:rPr>
        <w:t>a</w:t>
      </w:r>
      <w:r>
        <w:rPr>
          <w:color w:val="0B0C0D"/>
        </w:rPr>
        <w:t>nd</w:t>
      </w:r>
      <w:r>
        <w:rPr>
          <w:color w:val="0B0C0D"/>
          <w:spacing w:val="-7"/>
        </w:rPr>
        <w:t xml:space="preserve"> </w:t>
      </w:r>
      <w:r>
        <w:rPr>
          <w:color w:val="0B0C0D"/>
        </w:rPr>
        <w:t>th</w:t>
      </w:r>
      <w:r>
        <w:rPr>
          <w:color w:val="232325"/>
        </w:rPr>
        <w:t>e</w:t>
      </w:r>
      <w:r>
        <w:rPr>
          <w:color w:val="232325"/>
          <w:spacing w:val="-6"/>
        </w:rPr>
        <w:t xml:space="preserve"> </w:t>
      </w:r>
      <w:r>
        <w:rPr>
          <w:color w:val="232325"/>
        </w:rPr>
        <w:t>a</w:t>
      </w:r>
      <w:r>
        <w:rPr>
          <w:color w:val="0B0C0D"/>
        </w:rPr>
        <w:t>r</w:t>
      </w:r>
      <w:r>
        <w:rPr>
          <w:color w:val="232325"/>
        </w:rPr>
        <w:t>ra</w:t>
      </w:r>
      <w:r>
        <w:rPr>
          <w:color w:val="0B0C0D"/>
        </w:rPr>
        <w:t>n</w:t>
      </w:r>
      <w:r>
        <w:rPr>
          <w:color w:val="232325"/>
        </w:rPr>
        <w:t>ge</w:t>
      </w:r>
      <w:r>
        <w:rPr>
          <w:color w:val="0B0C0D"/>
        </w:rPr>
        <w:t>m</w:t>
      </w:r>
      <w:r>
        <w:rPr>
          <w:color w:val="232325"/>
        </w:rPr>
        <w:t>e</w:t>
      </w:r>
      <w:r>
        <w:rPr>
          <w:color w:val="0B0C0D"/>
        </w:rPr>
        <w:t>nt</w:t>
      </w:r>
      <w:r>
        <w:rPr>
          <w:color w:val="232325"/>
        </w:rPr>
        <w:t>s</w:t>
      </w:r>
      <w:r>
        <w:rPr>
          <w:color w:val="232325"/>
          <w:spacing w:val="-6"/>
        </w:rPr>
        <w:t xml:space="preserve"> </w:t>
      </w:r>
      <w:r>
        <w:rPr>
          <w:color w:val="232325"/>
        </w:rPr>
        <w:t>provided</w:t>
      </w:r>
      <w:r>
        <w:rPr>
          <w:color w:val="232325"/>
          <w:spacing w:val="-6"/>
        </w:rPr>
        <w:t xml:space="preserve"> </w:t>
      </w:r>
      <w:r>
        <w:rPr>
          <w:color w:val="232325"/>
        </w:rPr>
        <w:t>for</w:t>
      </w:r>
      <w:r>
        <w:rPr>
          <w:color w:val="232325"/>
          <w:spacing w:val="-7"/>
        </w:rPr>
        <w:t xml:space="preserve"> </w:t>
      </w:r>
      <w:r>
        <w:rPr>
          <w:color w:val="232325"/>
        </w:rPr>
        <w:t>thereunder</w:t>
      </w:r>
      <w:r>
        <w:rPr>
          <w:color w:val="0B0C0D"/>
        </w:rPr>
        <w:t>)</w:t>
      </w:r>
      <w:r>
        <w:rPr>
          <w:color w:val="0B0C0D"/>
          <w:spacing w:val="-8"/>
        </w:rPr>
        <w:t xml:space="preserve"> </w:t>
      </w:r>
      <w:r>
        <w:rPr>
          <w:color w:val="232325"/>
        </w:rPr>
        <w:t>a</w:t>
      </w:r>
      <w:r>
        <w:rPr>
          <w:color w:val="0B0C0D"/>
        </w:rPr>
        <w:t>t</w:t>
      </w:r>
      <w:r>
        <w:rPr>
          <w:color w:val="0B0C0D"/>
          <w:spacing w:val="-6"/>
        </w:rPr>
        <w:t xml:space="preserve"> </w:t>
      </w:r>
      <w:r>
        <w:rPr>
          <w:color w:val="232325"/>
        </w:rPr>
        <w:t>a</w:t>
      </w:r>
      <w:r>
        <w:rPr>
          <w:color w:val="0B0C0D"/>
        </w:rPr>
        <w:t>n</w:t>
      </w:r>
      <w:r>
        <w:rPr>
          <w:color w:val="232325"/>
        </w:rPr>
        <w:t>y</w:t>
      </w:r>
      <w:r>
        <w:rPr>
          <w:color w:val="232325"/>
          <w:spacing w:val="-8"/>
        </w:rPr>
        <w:t xml:space="preserve"> </w:t>
      </w:r>
      <w:r>
        <w:rPr>
          <w:color w:val="0B0C0D"/>
        </w:rPr>
        <w:t>tim</w:t>
      </w:r>
      <w:r>
        <w:rPr>
          <w:color w:val="232325"/>
        </w:rPr>
        <w:t>e</w:t>
      </w:r>
      <w:r>
        <w:rPr>
          <w:color w:val="232325"/>
          <w:spacing w:val="-6"/>
        </w:rPr>
        <w:t xml:space="preserve"> </w:t>
      </w:r>
      <w:r>
        <w:rPr>
          <w:color w:val="0B0C0D"/>
        </w:rPr>
        <w:t>p</w:t>
      </w:r>
      <w:r>
        <w:rPr>
          <w:color w:val="232325"/>
        </w:rPr>
        <w:t>r</w:t>
      </w:r>
      <w:r>
        <w:rPr>
          <w:color w:val="0B0C0D"/>
        </w:rPr>
        <w:t>i</w:t>
      </w:r>
      <w:r>
        <w:rPr>
          <w:color w:val="232325"/>
        </w:rPr>
        <w:t>o</w:t>
      </w:r>
      <w:r>
        <w:rPr>
          <w:color w:val="0B0C0D"/>
        </w:rPr>
        <w:t>r</w:t>
      </w:r>
      <w:r>
        <w:rPr>
          <w:color w:val="0B0C0D"/>
          <w:spacing w:val="-7"/>
        </w:rPr>
        <w:t xml:space="preserve"> </w:t>
      </w:r>
      <w:r>
        <w:rPr>
          <w:color w:val="0B0C0D"/>
        </w:rPr>
        <w:t>t</w:t>
      </w:r>
      <w:r>
        <w:rPr>
          <w:color w:val="232325"/>
        </w:rPr>
        <w:t>o</w:t>
      </w:r>
      <w:r>
        <w:rPr>
          <w:color w:val="232325"/>
          <w:spacing w:val="-6"/>
        </w:rPr>
        <w:t xml:space="preserve"> </w:t>
      </w:r>
      <w:r>
        <w:rPr>
          <w:color w:val="232325"/>
        </w:rPr>
        <w:t>A</w:t>
      </w:r>
      <w:r>
        <w:rPr>
          <w:color w:val="0B0C0D"/>
        </w:rPr>
        <w:t>dmi</w:t>
      </w:r>
      <w:r>
        <w:rPr>
          <w:color w:val="232325"/>
        </w:rPr>
        <w:t>ssio</w:t>
      </w:r>
      <w:r>
        <w:rPr>
          <w:color w:val="0B0C0D"/>
        </w:rPr>
        <w:t>n</w:t>
      </w:r>
      <w:r>
        <w:rPr>
          <w:color w:val="0B0C0D"/>
          <w:spacing w:val="-7"/>
        </w:rPr>
        <w:t xml:space="preserve"> </w:t>
      </w:r>
      <w:r>
        <w:rPr>
          <w:color w:val="0B0C0D"/>
        </w:rPr>
        <w:t xml:space="preserve">in </w:t>
      </w:r>
      <w:r>
        <w:rPr>
          <w:color w:val="232325"/>
        </w:rPr>
        <w:t>ce</w:t>
      </w:r>
      <w:r>
        <w:rPr>
          <w:color w:val="0B0C0D"/>
        </w:rPr>
        <w:t>r</w:t>
      </w:r>
      <w:r>
        <w:rPr>
          <w:color w:val="232325"/>
        </w:rPr>
        <w:t>ta</w:t>
      </w:r>
      <w:r>
        <w:rPr>
          <w:color w:val="0B0C0D"/>
        </w:rPr>
        <w:t xml:space="preserve">in </w:t>
      </w:r>
      <w:r>
        <w:rPr>
          <w:color w:val="232325"/>
        </w:rPr>
        <w:t>c</w:t>
      </w:r>
      <w:r>
        <w:rPr>
          <w:color w:val="0B0C0D"/>
        </w:rPr>
        <w:t>ir</w:t>
      </w:r>
      <w:r>
        <w:rPr>
          <w:color w:val="232325"/>
        </w:rPr>
        <w:t>c</w:t>
      </w:r>
      <w:r>
        <w:rPr>
          <w:color w:val="0B0C0D"/>
        </w:rPr>
        <w:t>um</w:t>
      </w:r>
      <w:r>
        <w:rPr>
          <w:color w:val="232325"/>
        </w:rPr>
        <w:t>s</w:t>
      </w:r>
      <w:r>
        <w:rPr>
          <w:color w:val="0B0C0D"/>
        </w:rPr>
        <w:t>t</w:t>
      </w:r>
      <w:r>
        <w:rPr>
          <w:color w:val="232325"/>
        </w:rPr>
        <w:t>a</w:t>
      </w:r>
      <w:r>
        <w:rPr>
          <w:color w:val="0B0C0D"/>
        </w:rPr>
        <w:t>n</w:t>
      </w:r>
      <w:r>
        <w:rPr>
          <w:color w:val="232325"/>
        </w:rPr>
        <w:t>c</w:t>
      </w:r>
      <w:r>
        <w:rPr>
          <w:color w:val="0B0C0D"/>
        </w:rPr>
        <w:t>e</w:t>
      </w:r>
      <w:r>
        <w:rPr>
          <w:color w:val="232325"/>
        </w:rPr>
        <w:t xml:space="preserve">s </w:t>
      </w:r>
      <w:r>
        <w:rPr>
          <w:color w:val="0B0C0D"/>
        </w:rPr>
        <w:t>(in</w:t>
      </w:r>
      <w:r>
        <w:rPr>
          <w:color w:val="232325"/>
        </w:rPr>
        <w:t>c</w:t>
      </w:r>
      <w:r>
        <w:rPr>
          <w:color w:val="0B0C0D"/>
        </w:rPr>
        <w:t>lud</w:t>
      </w:r>
      <w:r>
        <w:rPr>
          <w:color w:val="232325"/>
        </w:rPr>
        <w:t>i</w:t>
      </w:r>
      <w:r>
        <w:rPr>
          <w:color w:val="0B0C0D"/>
        </w:rPr>
        <w:t>n</w:t>
      </w:r>
      <w:r>
        <w:rPr>
          <w:color w:val="232325"/>
        </w:rPr>
        <w:t xml:space="preserve">g </w:t>
      </w:r>
      <w:r>
        <w:rPr>
          <w:color w:val="0B0C0D"/>
        </w:rPr>
        <w:t>f</w:t>
      </w:r>
      <w:r>
        <w:rPr>
          <w:color w:val="232325"/>
        </w:rPr>
        <w:t>o</w:t>
      </w:r>
      <w:r>
        <w:rPr>
          <w:color w:val="0B0C0D"/>
        </w:rPr>
        <w:t>r a m</w:t>
      </w:r>
      <w:r>
        <w:rPr>
          <w:color w:val="232325"/>
        </w:rPr>
        <w:t>a</w:t>
      </w:r>
      <w:r>
        <w:rPr>
          <w:color w:val="0B0C0D"/>
        </w:rPr>
        <w:t>t</w:t>
      </w:r>
      <w:r>
        <w:rPr>
          <w:color w:val="232325"/>
        </w:rPr>
        <w:t>eria</w:t>
      </w:r>
      <w:r>
        <w:rPr>
          <w:color w:val="0B0C0D"/>
        </w:rPr>
        <w:t>l br</w:t>
      </w:r>
      <w:r>
        <w:rPr>
          <w:color w:val="232325"/>
        </w:rPr>
        <w:t>eac</w:t>
      </w:r>
      <w:r>
        <w:rPr>
          <w:color w:val="0B0C0D"/>
        </w:rPr>
        <w:t xml:space="preserve">h </w:t>
      </w:r>
      <w:r>
        <w:rPr>
          <w:color w:val="232325"/>
        </w:rPr>
        <w:t>o</w:t>
      </w:r>
      <w:r>
        <w:rPr>
          <w:color w:val="0B0C0D"/>
        </w:rPr>
        <w:t xml:space="preserve">f </w:t>
      </w:r>
      <w:r>
        <w:rPr>
          <w:color w:val="232325"/>
        </w:rPr>
        <w:t>warra</w:t>
      </w:r>
      <w:r>
        <w:rPr>
          <w:color w:val="0B0C0D"/>
        </w:rPr>
        <w:t>nt</w:t>
      </w:r>
      <w:r>
        <w:rPr>
          <w:color w:val="232325"/>
        </w:rPr>
        <w:t>y</w:t>
      </w:r>
      <w:r>
        <w:rPr>
          <w:color w:val="0B0C0D"/>
        </w:rPr>
        <w:t>). If thi</w:t>
      </w:r>
      <w:r>
        <w:rPr>
          <w:color w:val="232325"/>
        </w:rPr>
        <w:t xml:space="preserve">s </w:t>
      </w:r>
      <w:r>
        <w:rPr>
          <w:color w:val="0B0C0D"/>
        </w:rPr>
        <w:t>ri</w:t>
      </w:r>
      <w:r>
        <w:rPr>
          <w:color w:val="232325"/>
        </w:rPr>
        <w:t>g</w:t>
      </w:r>
      <w:r>
        <w:rPr>
          <w:color w:val="0B0C0D"/>
        </w:rPr>
        <w:t>ht i</w:t>
      </w:r>
      <w:r>
        <w:rPr>
          <w:color w:val="232325"/>
        </w:rPr>
        <w:t xml:space="preserve">s exercised, </w:t>
      </w:r>
      <w:r>
        <w:rPr>
          <w:color w:val="0B0C0D"/>
        </w:rPr>
        <w:t>th</w:t>
      </w:r>
      <w:r>
        <w:rPr>
          <w:color w:val="232325"/>
        </w:rPr>
        <w:t xml:space="preserve">e </w:t>
      </w:r>
      <w:r>
        <w:rPr>
          <w:color w:val="0B0C0D"/>
        </w:rPr>
        <w:t>Pl</w:t>
      </w:r>
      <w:r>
        <w:rPr>
          <w:color w:val="232325"/>
        </w:rPr>
        <w:t>ac</w:t>
      </w:r>
      <w:r>
        <w:rPr>
          <w:color w:val="0B0C0D"/>
        </w:rPr>
        <w:t>i</w:t>
      </w:r>
      <w:r>
        <w:rPr>
          <w:color w:val="232325"/>
        </w:rPr>
        <w:t>ng a</w:t>
      </w:r>
      <w:r>
        <w:rPr>
          <w:color w:val="0B0C0D"/>
        </w:rPr>
        <w:t>n</w:t>
      </w:r>
      <w:r>
        <w:rPr>
          <w:color w:val="232325"/>
        </w:rPr>
        <w:t>d t</w:t>
      </w:r>
      <w:r>
        <w:rPr>
          <w:color w:val="0B0C0D"/>
        </w:rPr>
        <w:t>h</w:t>
      </w:r>
      <w:r>
        <w:rPr>
          <w:color w:val="232325"/>
        </w:rPr>
        <w:t>ese arra</w:t>
      </w:r>
      <w:r>
        <w:rPr>
          <w:color w:val="0B0C0D"/>
        </w:rPr>
        <w:t>n</w:t>
      </w:r>
      <w:r>
        <w:rPr>
          <w:color w:val="232325"/>
        </w:rPr>
        <w:t>ge</w:t>
      </w:r>
      <w:r>
        <w:rPr>
          <w:color w:val="0B0C0D"/>
        </w:rPr>
        <w:t>m</w:t>
      </w:r>
      <w:r>
        <w:rPr>
          <w:color w:val="232325"/>
        </w:rPr>
        <w:t>e</w:t>
      </w:r>
      <w:r>
        <w:rPr>
          <w:color w:val="0B0C0D"/>
        </w:rPr>
        <w:t>nt</w:t>
      </w:r>
      <w:r>
        <w:rPr>
          <w:color w:val="232325"/>
        </w:rPr>
        <w:t>s w</w:t>
      </w:r>
      <w:r>
        <w:rPr>
          <w:color w:val="0B0C0D"/>
        </w:rPr>
        <w:t xml:space="preserve">ill </w:t>
      </w:r>
      <w:proofErr w:type="gramStart"/>
      <w:r>
        <w:rPr>
          <w:color w:val="0B0C0D"/>
        </w:rPr>
        <w:t>l</w:t>
      </w:r>
      <w:r>
        <w:rPr>
          <w:color w:val="232325"/>
        </w:rPr>
        <w:t>a</w:t>
      </w:r>
      <w:r>
        <w:rPr>
          <w:color w:val="0B0C0D"/>
        </w:rPr>
        <w:t>pse</w:t>
      </w:r>
      <w:proofErr w:type="gramEnd"/>
      <w:r>
        <w:rPr>
          <w:color w:val="0B0C0D"/>
        </w:rPr>
        <w:t xml:space="preserve"> an</w:t>
      </w:r>
      <w:r>
        <w:rPr>
          <w:color w:val="232325"/>
        </w:rPr>
        <w:t>d a</w:t>
      </w:r>
      <w:r>
        <w:rPr>
          <w:color w:val="0B0C0D"/>
        </w:rPr>
        <w:t>n</w:t>
      </w:r>
      <w:r>
        <w:rPr>
          <w:color w:val="232325"/>
        </w:rPr>
        <w:t xml:space="preserve">y </w:t>
      </w:r>
      <w:r>
        <w:rPr>
          <w:color w:val="0B0C0D"/>
        </w:rPr>
        <w:t>m</w:t>
      </w:r>
      <w:r>
        <w:rPr>
          <w:color w:val="232325"/>
        </w:rPr>
        <w:t>o</w:t>
      </w:r>
      <w:r>
        <w:rPr>
          <w:color w:val="0B0C0D"/>
        </w:rPr>
        <w:t>ni</w:t>
      </w:r>
      <w:r>
        <w:rPr>
          <w:color w:val="232325"/>
        </w:rPr>
        <w:t xml:space="preserve">es </w:t>
      </w:r>
      <w:r>
        <w:rPr>
          <w:color w:val="0B0C0D"/>
        </w:rPr>
        <w:t>r</w:t>
      </w:r>
      <w:r>
        <w:rPr>
          <w:color w:val="232325"/>
        </w:rPr>
        <w:t>ece</w:t>
      </w:r>
      <w:r>
        <w:rPr>
          <w:color w:val="0B0C0D"/>
        </w:rPr>
        <w:t>i</w:t>
      </w:r>
      <w:r>
        <w:rPr>
          <w:color w:val="232325"/>
        </w:rPr>
        <w:t xml:space="preserve">ved </w:t>
      </w:r>
      <w:r>
        <w:rPr>
          <w:color w:val="0B0C0D"/>
        </w:rPr>
        <w:t>i</w:t>
      </w:r>
      <w:r>
        <w:rPr>
          <w:color w:val="232325"/>
        </w:rPr>
        <w:t xml:space="preserve">n </w:t>
      </w:r>
      <w:r>
        <w:rPr>
          <w:color w:val="0B0C0D"/>
        </w:rPr>
        <w:t>r</w:t>
      </w:r>
      <w:r>
        <w:rPr>
          <w:color w:val="232325"/>
        </w:rPr>
        <w:t>es</w:t>
      </w:r>
      <w:r>
        <w:rPr>
          <w:color w:val="0B0C0D"/>
        </w:rPr>
        <w:t>p</w:t>
      </w:r>
      <w:r>
        <w:rPr>
          <w:color w:val="232325"/>
        </w:rPr>
        <w:t>ec</w:t>
      </w:r>
      <w:r>
        <w:rPr>
          <w:color w:val="0B0C0D"/>
        </w:rPr>
        <w:t xml:space="preserve">t </w:t>
      </w:r>
      <w:r>
        <w:rPr>
          <w:color w:val="232325"/>
        </w:rPr>
        <w:t xml:space="preserve">of </w:t>
      </w:r>
      <w:r>
        <w:rPr>
          <w:color w:val="0B0C0D"/>
        </w:rPr>
        <w:t>the Pl</w:t>
      </w:r>
      <w:r>
        <w:rPr>
          <w:color w:val="232325"/>
        </w:rPr>
        <w:t>aci</w:t>
      </w:r>
      <w:r>
        <w:rPr>
          <w:color w:val="0B0C0D"/>
        </w:rPr>
        <w:t>n</w:t>
      </w:r>
      <w:r>
        <w:rPr>
          <w:color w:val="232325"/>
        </w:rPr>
        <w:t>g w</w:t>
      </w:r>
      <w:r>
        <w:rPr>
          <w:color w:val="0B0C0D"/>
        </w:rPr>
        <w:t>i</w:t>
      </w:r>
      <w:r>
        <w:rPr>
          <w:color w:val="232325"/>
        </w:rPr>
        <w:t>l</w:t>
      </w:r>
      <w:r>
        <w:rPr>
          <w:color w:val="0B0C0D"/>
        </w:rPr>
        <w:t>l be r</w:t>
      </w:r>
      <w:r>
        <w:rPr>
          <w:color w:val="232325"/>
        </w:rPr>
        <w:t>e</w:t>
      </w:r>
      <w:r>
        <w:rPr>
          <w:color w:val="0B0C0D"/>
        </w:rPr>
        <w:t>t</w:t>
      </w:r>
      <w:r>
        <w:rPr>
          <w:color w:val="232325"/>
        </w:rPr>
        <w:t>u</w:t>
      </w:r>
      <w:r>
        <w:rPr>
          <w:color w:val="0B0C0D"/>
        </w:rPr>
        <w:t>rn</w:t>
      </w:r>
      <w:r>
        <w:rPr>
          <w:color w:val="232325"/>
        </w:rPr>
        <w:t>e</w:t>
      </w:r>
      <w:r>
        <w:rPr>
          <w:color w:val="0B0C0D"/>
        </w:rPr>
        <w:t xml:space="preserve">d to </w:t>
      </w:r>
      <w:r>
        <w:rPr>
          <w:color w:val="232325"/>
        </w:rPr>
        <w:t>a</w:t>
      </w:r>
      <w:r>
        <w:rPr>
          <w:color w:val="0B0C0D"/>
        </w:rPr>
        <w:t>p</w:t>
      </w:r>
      <w:r>
        <w:rPr>
          <w:color w:val="232325"/>
        </w:rPr>
        <w:t>p</w:t>
      </w:r>
      <w:r>
        <w:rPr>
          <w:color w:val="0B0C0D"/>
        </w:rPr>
        <w:t>li</w:t>
      </w:r>
      <w:r>
        <w:rPr>
          <w:color w:val="232325"/>
        </w:rPr>
        <w:t>ca</w:t>
      </w:r>
      <w:r>
        <w:rPr>
          <w:color w:val="0B0C0D"/>
        </w:rPr>
        <w:t>nt</w:t>
      </w:r>
      <w:r>
        <w:rPr>
          <w:color w:val="232325"/>
        </w:rPr>
        <w:t>s w</w:t>
      </w:r>
      <w:r>
        <w:rPr>
          <w:color w:val="0B0C0D"/>
        </w:rPr>
        <w:t>i</w:t>
      </w:r>
      <w:r>
        <w:rPr>
          <w:color w:val="232325"/>
        </w:rPr>
        <w:t>t</w:t>
      </w:r>
      <w:r>
        <w:rPr>
          <w:color w:val="0B0C0D"/>
        </w:rPr>
        <w:t>h</w:t>
      </w:r>
      <w:r>
        <w:rPr>
          <w:color w:val="232325"/>
        </w:rPr>
        <w:t>o</w:t>
      </w:r>
      <w:r>
        <w:rPr>
          <w:color w:val="0B0C0D"/>
        </w:rPr>
        <w:t>u</w:t>
      </w:r>
      <w:r>
        <w:rPr>
          <w:color w:val="232325"/>
        </w:rPr>
        <w:t xml:space="preserve">t </w:t>
      </w:r>
      <w:r>
        <w:rPr>
          <w:color w:val="0B0C0D"/>
        </w:rPr>
        <w:t>i</w:t>
      </w:r>
      <w:r>
        <w:rPr>
          <w:color w:val="232325"/>
        </w:rPr>
        <w:t>nte</w:t>
      </w:r>
      <w:r>
        <w:rPr>
          <w:color w:val="0B0C0D"/>
        </w:rPr>
        <w:t>r</w:t>
      </w:r>
      <w:r>
        <w:rPr>
          <w:color w:val="232325"/>
        </w:rPr>
        <w:t>es</w:t>
      </w:r>
      <w:r>
        <w:rPr>
          <w:color w:val="0B0C0D"/>
        </w:rPr>
        <w:t>t b</w:t>
      </w:r>
      <w:r>
        <w:rPr>
          <w:color w:val="232325"/>
        </w:rPr>
        <w:t xml:space="preserve">y </w:t>
      </w:r>
      <w:r w:rsidR="005450BE">
        <w:rPr>
          <w:color w:val="232325"/>
        </w:rPr>
        <w:t>Panmure Gordon</w:t>
      </w:r>
      <w:r>
        <w:rPr>
          <w:color w:val="231F20"/>
        </w:rPr>
        <w:t>.</w:t>
      </w:r>
    </w:p>
    <w:p w14:paraId="4ACED36C" w14:textId="77777777" w:rsidR="00783288" w:rsidRDefault="00783288">
      <w:pPr>
        <w:pStyle w:val="BodyText"/>
        <w:kinsoku w:val="0"/>
        <w:overflowPunct w:val="0"/>
        <w:spacing w:before="7"/>
        <w:rPr>
          <w:sz w:val="17"/>
          <w:szCs w:val="17"/>
        </w:rPr>
      </w:pPr>
    </w:p>
    <w:p w14:paraId="7B91BC35" w14:textId="77777777" w:rsidR="00783288" w:rsidRDefault="00E31420" w:rsidP="00512495">
      <w:pPr>
        <w:pStyle w:val="Heading1"/>
        <w:numPr>
          <w:ilvl w:val="0"/>
          <w:numId w:val="17"/>
        </w:numPr>
        <w:tabs>
          <w:tab w:val="left" w:pos="728"/>
        </w:tabs>
        <w:kinsoku w:val="0"/>
        <w:overflowPunct w:val="0"/>
        <w:rPr>
          <w:color w:val="050606"/>
        </w:rPr>
      </w:pPr>
      <w:r>
        <w:rPr>
          <w:color w:val="050606"/>
        </w:rPr>
        <w:t>Allocation and</w:t>
      </w:r>
      <w:r>
        <w:rPr>
          <w:color w:val="050606"/>
          <w:spacing w:val="1"/>
        </w:rPr>
        <w:t xml:space="preserve"> </w:t>
      </w:r>
      <w:r>
        <w:rPr>
          <w:color w:val="050606"/>
        </w:rPr>
        <w:t>Pricing</w:t>
      </w:r>
    </w:p>
    <w:p w14:paraId="20EE45A0" w14:textId="77777777" w:rsidR="00783288" w:rsidRDefault="00783288">
      <w:pPr>
        <w:pStyle w:val="BodyText"/>
        <w:kinsoku w:val="0"/>
        <w:overflowPunct w:val="0"/>
        <w:spacing w:before="3"/>
        <w:rPr>
          <w:b/>
          <w:bCs/>
        </w:rPr>
      </w:pPr>
    </w:p>
    <w:p w14:paraId="6FF1D514" w14:textId="7B3A5FC4" w:rsidR="00783288" w:rsidRDefault="00E31420">
      <w:pPr>
        <w:pStyle w:val="BodyText"/>
        <w:kinsoku w:val="0"/>
        <w:overflowPunct w:val="0"/>
        <w:spacing w:before="1"/>
        <w:ind w:left="300" w:right="1191"/>
        <w:jc w:val="both"/>
        <w:rPr>
          <w:color w:val="050606"/>
        </w:rPr>
      </w:pPr>
      <w:r>
        <w:rPr>
          <w:color w:val="050606"/>
        </w:rPr>
        <w:t xml:space="preserve">All Ordinary Shares issued pursuant to the </w:t>
      </w:r>
      <w:r w:rsidR="00613813">
        <w:rPr>
          <w:color w:val="050606"/>
        </w:rPr>
        <w:t xml:space="preserve">Placing </w:t>
      </w:r>
      <w:r>
        <w:rPr>
          <w:color w:val="050606"/>
        </w:rPr>
        <w:t xml:space="preserve">will be issued at the </w:t>
      </w:r>
      <w:r w:rsidR="00613813">
        <w:rPr>
          <w:color w:val="050606"/>
        </w:rPr>
        <w:t xml:space="preserve">Placing </w:t>
      </w:r>
      <w:r>
        <w:rPr>
          <w:color w:val="050606"/>
        </w:rPr>
        <w:t xml:space="preserve">Price, which has been determined by the Directors after consultation with </w:t>
      </w:r>
      <w:r w:rsidR="00CE7F94">
        <w:rPr>
          <w:color w:val="050606"/>
        </w:rPr>
        <w:t>Panmure Gordon</w:t>
      </w:r>
      <w:r>
        <w:rPr>
          <w:color w:val="050606"/>
        </w:rPr>
        <w:t>.</w:t>
      </w:r>
    </w:p>
    <w:p w14:paraId="2B8844D2" w14:textId="77777777" w:rsidR="00783288" w:rsidRDefault="00783288">
      <w:pPr>
        <w:pStyle w:val="BodyText"/>
        <w:kinsoku w:val="0"/>
        <w:overflowPunct w:val="0"/>
      </w:pPr>
    </w:p>
    <w:p w14:paraId="25C4FD23" w14:textId="660494A3" w:rsidR="00783288" w:rsidRDefault="00E31420">
      <w:pPr>
        <w:pStyle w:val="BodyText"/>
        <w:kinsoku w:val="0"/>
        <w:overflowPunct w:val="0"/>
        <w:ind w:left="300" w:right="1190"/>
        <w:jc w:val="both"/>
        <w:rPr>
          <w:color w:val="2D2D2F"/>
        </w:rPr>
      </w:pPr>
      <w:r>
        <w:rPr>
          <w:color w:val="050606"/>
        </w:rPr>
        <w:t xml:space="preserve">In respect of the Placing, allocations have been determined by agreement between the Directors </w:t>
      </w:r>
      <w:r w:rsidR="00367632">
        <w:rPr>
          <w:color w:val="050606"/>
        </w:rPr>
        <w:t xml:space="preserve">and </w:t>
      </w:r>
      <w:r w:rsidR="001E6F82">
        <w:rPr>
          <w:color w:val="050606"/>
        </w:rPr>
        <w:t>Panmure Gordon</w:t>
      </w:r>
      <w:r>
        <w:rPr>
          <w:color w:val="050606"/>
        </w:rPr>
        <w:t xml:space="preserve"> after indications of interest from prospective </w:t>
      </w:r>
      <w:proofErr w:type="spellStart"/>
      <w:r>
        <w:rPr>
          <w:color w:val="050606"/>
        </w:rPr>
        <w:t>Placees</w:t>
      </w:r>
      <w:proofErr w:type="spellEnd"/>
      <w:r>
        <w:rPr>
          <w:color w:val="050606"/>
        </w:rPr>
        <w:t xml:space="preserve"> were received. A number of factors were considered in deciding the basis of allocations under the Placing, including the level and nature</w:t>
      </w:r>
      <w:r>
        <w:rPr>
          <w:color w:val="050606"/>
          <w:spacing w:val="-6"/>
        </w:rPr>
        <w:t xml:space="preserve"> </w:t>
      </w:r>
      <w:r>
        <w:rPr>
          <w:color w:val="050606"/>
        </w:rPr>
        <w:t>of</w:t>
      </w:r>
      <w:r>
        <w:rPr>
          <w:color w:val="050606"/>
          <w:spacing w:val="-6"/>
        </w:rPr>
        <w:t xml:space="preserve"> </w:t>
      </w:r>
      <w:r>
        <w:rPr>
          <w:color w:val="050606"/>
        </w:rPr>
        <w:t>the</w:t>
      </w:r>
      <w:r>
        <w:rPr>
          <w:color w:val="050606"/>
          <w:spacing w:val="-6"/>
        </w:rPr>
        <w:t xml:space="preserve"> </w:t>
      </w:r>
      <w:r>
        <w:rPr>
          <w:color w:val="050606"/>
        </w:rPr>
        <w:t>demand</w:t>
      </w:r>
      <w:r>
        <w:rPr>
          <w:color w:val="050606"/>
          <w:spacing w:val="-6"/>
        </w:rPr>
        <w:t xml:space="preserve"> </w:t>
      </w:r>
      <w:r>
        <w:rPr>
          <w:color w:val="050606"/>
        </w:rPr>
        <w:t>for</w:t>
      </w:r>
      <w:r>
        <w:rPr>
          <w:color w:val="050606"/>
          <w:spacing w:val="-7"/>
        </w:rPr>
        <w:t xml:space="preserve"> </w:t>
      </w:r>
      <w:r>
        <w:rPr>
          <w:color w:val="050606"/>
        </w:rPr>
        <w:t>the</w:t>
      </w:r>
      <w:r>
        <w:rPr>
          <w:color w:val="050606"/>
          <w:spacing w:val="-6"/>
        </w:rPr>
        <w:t xml:space="preserve"> </w:t>
      </w:r>
      <w:r>
        <w:rPr>
          <w:color w:val="050606"/>
        </w:rPr>
        <w:t>Ordinary</w:t>
      </w:r>
      <w:r>
        <w:rPr>
          <w:color w:val="050606"/>
          <w:spacing w:val="-8"/>
        </w:rPr>
        <w:t xml:space="preserve"> </w:t>
      </w:r>
      <w:r>
        <w:rPr>
          <w:color w:val="050606"/>
        </w:rPr>
        <w:t>Shares,</w:t>
      </w:r>
      <w:r>
        <w:rPr>
          <w:color w:val="050606"/>
          <w:spacing w:val="-6"/>
        </w:rPr>
        <w:t xml:space="preserve"> </w:t>
      </w:r>
      <w:r>
        <w:rPr>
          <w:color w:val="050606"/>
        </w:rPr>
        <w:t>investor</w:t>
      </w:r>
      <w:r>
        <w:rPr>
          <w:color w:val="050606"/>
          <w:spacing w:val="-9"/>
        </w:rPr>
        <w:t xml:space="preserve"> </w:t>
      </w:r>
      <w:r>
        <w:rPr>
          <w:color w:val="050606"/>
        </w:rPr>
        <w:t>profile</w:t>
      </w:r>
      <w:r>
        <w:rPr>
          <w:color w:val="050606"/>
          <w:spacing w:val="-8"/>
        </w:rPr>
        <w:t xml:space="preserve"> </w:t>
      </w:r>
      <w:r>
        <w:rPr>
          <w:color w:val="050606"/>
        </w:rPr>
        <w:t>and</w:t>
      </w:r>
      <w:r>
        <w:rPr>
          <w:color w:val="050606"/>
          <w:spacing w:val="-6"/>
        </w:rPr>
        <w:t xml:space="preserve"> </w:t>
      </w:r>
      <w:r>
        <w:rPr>
          <w:color w:val="050606"/>
        </w:rPr>
        <w:t>the</w:t>
      </w:r>
      <w:r>
        <w:rPr>
          <w:color w:val="050606"/>
          <w:spacing w:val="-6"/>
        </w:rPr>
        <w:t xml:space="preserve"> </w:t>
      </w:r>
      <w:r>
        <w:rPr>
          <w:color w:val="050606"/>
        </w:rPr>
        <w:t>firm</w:t>
      </w:r>
      <w:r>
        <w:rPr>
          <w:color w:val="050606"/>
          <w:spacing w:val="-6"/>
        </w:rPr>
        <w:t xml:space="preserve"> </w:t>
      </w:r>
      <w:r>
        <w:rPr>
          <w:color w:val="050606"/>
        </w:rPr>
        <w:t>through</w:t>
      </w:r>
      <w:r>
        <w:rPr>
          <w:color w:val="050606"/>
          <w:spacing w:val="-5"/>
        </w:rPr>
        <w:t xml:space="preserve"> </w:t>
      </w:r>
      <w:r>
        <w:rPr>
          <w:color w:val="050606"/>
        </w:rPr>
        <w:t>which</w:t>
      </w:r>
      <w:r>
        <w:rPr>
          <w:color w:val="050606"/>
          <w:spacing w:val="-6"/>
        </w:rPr>
        <w:t xml:space="preserve"> </w:t>
      </w:r>
      <w:r>
        <w:rPr>
          <w:color w:val="050606"/>
        </w:rPr>
        <w:t>the</w:t>
      </w:r>
      <w:r>
        <w:rPr>
          <w:color w:val="050606"/>
          <w:spacing w:val="-9"/>
        </w:rPr>
        <w:t xml:space="preserve"> </w:t>
      </w:r>
      <w:r>
        <w:rPr>
          <w:color w:val="050606"/>
        </w:rPr>
        <w:t>application</w:t>
      </w:r>
      <w:r>
        <w:rPr>
          <w:color w:val="050606"/>
          <w:spacing w:val="-6"/>
        </w:rPr>
        <w:t xml:space="preserve"> </w:t>
      </w:r>
      <w:r>
        <w:rPr>
          <w:color w:val="050606"/>
        </w:rPr>
        <w:t>was</w:t>
      </w:r>
      <w:r>
        <w:rPr>
          <w:color w:val="050606"/>
          <w:spacing w:val="-6"/>
        </w:rPr>
        <w:t xml:space="preserve"> </w:t>
      </w:r>
      <w:r>
        <w:rPr>
          <w:color w:val="050606"/>
        </w:rPr>
        <w:t>to</w:t>
      </w:r>
      <w:r>
        <w:rPr>
          <w:color w:val="050606"/>
          <w:spacing w:val="-6"/>
        </w:rPr>
        <w:t xml:space="preserve"> </w:t>
      </w:r>
      <w:r>
        <w:rPr>
          <w:color w:val="050606"/>
        </w:rPr>
        <w:t>be made, if</w:t>
      </w:r>
      <w:r>
        <w:rPr>
          <w:color w:val="050606"/>
          <w:spacing w:val="-3"/>
        </w:rPr>
        <w:t xml:space="preserve"> </w:t>
      </w:r>
      <w:r>
        <w:rPr>
          <w:color w:val="050606"/>
        </w:rPr>
        <w:t>any</w:t>
      </w:r>
      <w:r>
        <w:rPr>
          <w:color w:val="2D2D2F"/>
        </w:rPr>
        <w:t>.</w:t>
      </w:r>
    </w:p>
    <w:p w14:paraId="1130012F" w14:textId="77777777" w:rsidR="00783288" w:rsidRDefault="00783288">
      <w:pPr>
        <w:pStyle w:val="BodyText"/>
        <w:kinsoku w:val="0"/>
        <w:overflowPunct w:val="0"/>
        <w:spacing w:before="1"/>
      </w:pPr>
    </w:p>
    <w:p w14:paraId="79AA16E7" w14:textId="58C7158B" w:rsidR="00783288" w:rsidRDefault="00E31420">
      <w:pPr>
        <w:pStyle w:val="BodyText"/>
        <w:kinsoku w:val="0"/>
        <w:overflowPunct w:val="0"/>
        <w:ind w:left="300" w:right="1192"/>
        <w:jc w:val="both"/>
        <w:rPr>
          <w:color w:val="050606"/>
        </w:rPr>
      </w:pPr>
      <w:r>
        <w:rPr>
          <w:color w:val="050606"/>
        </w:rPr>
        <w:t>Allocations</w:t>
      </w:r>
      <w:r>
        <w:rPr>
          <w:color w:val="050606"/>
          <w:spacing w:val="-7"/>
        </w:rPr>
        <w:t xml:space="preserve"> </w:t>
      </w:r>
      <w:r>
        <w:rPr>
          <w:color w:val="050606"/>
        </w:rPr>
        <w:t>have</w:t>
      </w:r>
      <w:r>
        <w:rPr>
          <w:color w:val="050606"/>
          <w:spacing w:val="-6"/>
        </w:rPr>
        <w:t xml:space="preserve"> </w:t>
      </w:r>
      <w:r>
        <w:rPr>
          <w:color w:val="050606"/>
        </w:rPr>
        <w:t>been</w:t>
      </w:r>
      <w:r>
        <w:rPr>
          <w:color w:val="050606"/>
          <w:spacing w:val="-8"/>
        </w:rPr>
        <w:t xml:space="preserve"> </w:t>
      </w:r>
      <w:r>
        <w:rPr>
          <w:color w:val="050606"/>
        </w:rPr>
        <w:t>managed</w:t>
      </w:r>
      <w:r>
        <w:rPr>
          <w:color w:val="050606"/>
          <w:spacing w:val="-6"/>
        </w:rPr>
        <w:t xml:space="preserve"> </w:t>
      </w:r>
      <w:r>
        <w:rPr>
          <w:color w:val="050606"/>
        </w:rPr>
        <w:t>by</w:t>
      </w:r>
      <w:r>
        <w:rPr>
          <w:color w:val="050606"/>
          <w:spacing w:val="-8"/>
        </w:rPr>
        <w:t xml:space="preserve"> </w:t>
      </w:r>
      <w:r>
        <w:rPr>
          <w:color w:val="050606"/>
        </w:rPr>
        <w:t>the</w:t>
      </w:r>
      <w:r>
        <w:rPr>
          <w:color w:val="050606"/>
          <w:spacing w:val="-6"/>
        </w:rPr>
        <w:t xml:space="preserve"> </w:t>
      </w:r>
      <w:r>
        <w:rPr>
          <w:color w:val="050606"/>
        </w:rPr>
        <w:t>Directors</w:t>
      </w:r>
      <w:r>
        <w:rPr>
          <w:color w:val="050606"/>
          <w:spacing w:val="-6"/>
        </w:rPr>
        <w:t xml:space="preserve"> </w:t>
      </w:r>
      <w:r>
        <w:rPr>
          <w:color w:val="050606"/>
        </w:rPr>
        <w:t>and</w:t>
      </w:r>
      <w:r>
        <w:rPr>
          <w:color w:val="050606"/>
          <w:spacing w:val="-6"/>
        </w:rPr>
        <w:t xml:space="preserve"> </w:t>
      </w:r>
      <w:r w:rsidR="001E6F82">
        <w:rPr>
          <w:color w:val="050606"/>
        </w:rPr>
        <w:t>Panmure Gordon</w:t>
      </w:r>
      <w:r>
        <w:rPr>
          <w:color w:val="050606"/>
          <w:spacing w:val="-6"/>
        </w:rPr>
        <w:t xml:space="preserve"> </w:t>
      </w:r>
      <w:r>
        <w:rPr>
          <w:color w:val="050606"/>
        </w:rPr>
        <w:t>so</w:t>
      </w:r>
      <w:r>
        <w:rPr>
          <w:color w:val="050606"/>
          <w:spacing w:val="-6"/>
        </w:rPr>
        <w:t xml:space="preserve"> </w:t>
      </w:r>
      <w:r>
        <w:rPr>
          <w:color w:val="050606"/>
        </w:rPr>
        <w:t>that</w:t>
      </w:r>
      <w:r>
        <w:rPr>
          <w:color w:val="050606"/>
          <w:spacing w:val="-6"/>
        </w:rPr>
        <w:t xml:space="preserve"> </w:t>
      </w:r>
      <w:r>
        <w:rPr>
          <w:color w:val="050606"/>
        </w:rPr>
        <w:t>the</w:t>
      </w:r>
      <w:r>
        <w:rPr>
          <w:color w:val="050606"/>
          <w:spacing w:val="-6"/>
        </w:rPr>
        <w:t xml:space="preserve"> </w:t>
      </w:r>
      <w:r>
        <w:rPr>
          <w:color w:val="050606"/>
        </w:rPr>
        <w:t>Company</w:t>
      </w:r>
      <w:r>
        <w:rPr>
          <w:color w:val="050606"/>
          <w:spacing w:val="-8"/>
        </w:rPr>
        <w:t xml:space="preserve"> </w:t>
      </w:r>
      <w:r>
        <w:rPr>
          <w:color w:val="050606"/>
        </w:rPr>
        <w:t>shall</w:t>
      </w:r>
      <w:r>
        <w:rPr>
          <w:color w:val="050606"/>
          <w:spacing w:val="-8"/>
        </w:rPr>
        <w:t xml:space="preserve"> </w:t>
      </w:r>
      <w:r>
        <w:rPr>
          <w:color w:val="050606"/>
        </w:rPr>
        <w:t>have</w:t>
      </w:r>
      <w:r>
        <w:rPr>
          <w:color w:val="050606"/>
          <w:spacing w:val="-6"/>
        </w:rPr>
        <w:t xml:space="preserve"> </w:t>
      </w:r>
      <w:r>
        <w:rPr>
          <w:color w:val="050606"/>
        </w:rPr>
        <w:t>sufficient</w:t>
      </w:r>
      <w:r>
        <w:rPr>
          <w:color w:val="050606"/>
          <w:spacing w:val="-6"/>
        </w:rPr>
        <w:t xml:space="preserve"> </w:t>
      </w:r>
      <w:r>
        <w:rPr>
          <w:color w:val="050606"/>
        </w:rPr>
        <w:t>shares in public hands, in accordance with Listing Rule</w:t>
      </w:r>
      <w:r>
        <w:rPr>
          <w:color w:val="050606"/>
          <w:spacing w:val="1"/>
        </w:rPr>
        <w:t xml:space="preserve"> </w:t>
      </w:r>
      <w:r>
        <w:rPr>
          <w:color w:val="050606"/>
        </w:rPr>
        <w:t>14.2.2.</w:t>
      </w:r>
    </w:p>
    <w:p w14:paraId="0D3D89EB" w14:textId="77777777" w:rsidR="00783288" w:rsidRDefault="00783288">
      <w:pPr>
        <w:pStyle w:val="BodyText"/>
        <w:kinsoku w:val="0"/>
        <w:overflowPunct w:val="0"/>
        <w:spacing w:before="9"/>
        <w:rPr>
          <w:sz w:val="17"/>
          <w:szCs w:val="17"/>
        </w:rPr>
      </w:pPr>
    </w:p>
    <w:p w14:paraId="0CE0A25D" w14:textId="04418424" w:rsidR="00783288" w:rsidRDefault="00E31420">
      <w:pPr>
        <w:pStyle w:val="BodyText"/>
        <w:kinsoku w:val="0"/>
        <w:overflowPunct w:val="0"/>
        <w:ind w:left="300" w:right="1192"/>
        <w:jc w:val="both"/>
        <w:rPr>
          <w:color w:val="050606"/>
        </w:rPr>
      </w:pPr>
      <w:r>
        <w:rPr>
          <w:color w:val="050606"/>
        </w:rPr>
        <w:t>The</w:t>
      </w:r>
      <w:r>
        <w:rPr>
          <w:color w:val="050606"/>
          <w:spacing w:val="-4"/>
        </w:rPr>
        <w:t xml:space="preserve"> </w:t>
      </w:r>
      <w:r>
        <w:rPr>
          <w:color w:val="050606"/>
        </w:rPr>
        <w:t>rights</w:t>
      </w:r>
      <w:r>
        <w:rPr>
          <w:color w:val="050606"/>
          <w:spacing w:val="-3"/>
        </w:rPr>
        <w:t xml:space="preserve"> </w:t>
      </w:r>
      <w:r>
        <w:rPr>
          <w:color w:val="050606"/>
        </w:rPr>
        <w:t>attaching</w:t>
      </w:r>
      <w:r>
        <w:rPr>
          <w:color w:val="050606"/>
          <w:spacing w:val="-4"/>
        </w:rPr>
        <w:t xml:space="preserve"> </w:t>
      </w:r>
      <w:r>
        <w:rPr>
          <w:color w:val="050606"/>
        </w:rPr>
        <w:t>to</w:t>
      </w:r>
      <w:r>
        <w:rPr>
          <w:color w:val="050606"/>
          <w:spacing w:val="-4"/>
        </w:rPr>
        <w:t xml:space="preserve"> </w:t>
      </w:r>
      <w:r>
        <w:rPr>
          <w:color w:val="050606"/>
        </w:rPr>
        <w:t>the</w:t>
      </w:r>
      <w:r>
        <w:rPr>
          <w:color w:val="050606"/>
          <w:spacing w:val="-4"/>
        </w:rPr>
        <w:t xml:space="preserve"> </w:t>
      </w:r>
      <w:r w:rsidR="00613813">
        <w:rPr>
          <w:color w:val="050606"/>
        </w:rPr>
        <w:t>Placing</w:t>
      </w:r>
      <w:r w:rsidR="00613813">
        <w:rPr>
          <w:color w:val="050606"/>
          <w:spacing w:val="-4"/>
        </w:rPr>
        <w:t xml:space="preserve"> </w:t>
      </w:r>
      <w:r>
        <w:rPr>
          <w:color w:val="050606"/>
        </w:rPr>
        <w:t>Shares</w:t>
      </w:r>
      <w:r>
        <w:rPr>
          <w:color w:val="050606"/>
          <w:spacing w:val="-3"/>
        </w:rPr>
        <w:t xml:space="preserve"> </w:t>
      </w:r>
      <w:r>
        <w:rPr>
          <w:color w:val="050606"/>
        </w:rPr>
        <w:t>will</w:t>
      </w:r>
      <w:r>
        <w:rPr>
          <w:color w:val="050606"/>
          <w:spacing w:val="-4"/>
        </w:rPr>
        <w:t xml:space="preserve"> </w:t>
      </w:r>
      <w:r>
        <w:rPr>
          <w:color w:val="050606"/>
        </w:rPr>
        <w:t>be</w:t>
      </w:r>
      <w:r>
        <w:rPr>
          <w:color w:val="050606"/>
          <w:spacing w:val="-4"/>
        </w:rPr>
        <w:t xml:space="preserve"> </w:t>
      </w:r>
      <w:r>
        <w:rPr>
          <w:color w:val="050606"/>
        </w:rPr>
        <w:t>uniform</w:t>
      </w:r>
      <w:r>
        <w:rPr>
          <w:color w:val="050606"/>
          <w:spacing w:val="-3"/>
        </w:rPr>
        <w:t xml:space="preserve"> </w:t>
      </w:r>
      <w:r>
        <w:rPr>
          <w:color w:val="050606"/>
        </w:rPr>
        <w:t>in</w:t>
      </w:r>
      <w:r>
        <w:rPr>
          <w:color w:val="050606"/>
          <w:spacing w:val="-2"/>
        </w:rPr>
        <w:t xml:space="preserve"> </w:t>
      </w:r>
      <w:r>
        <w:rPr>
          <w:color w:val="050606"/>
        </w:rPr>
        <w:t>all</w:t>
      </w:r>
      <w:r>
        <w:rPr>
          <w:color w:val="050606"/>
          <w:spacing w:val="-4"/>
        </w:rPr>
        <w:t xml:space="preserve"> </w:t>
      </w:r>
      <w:r>
        <w:rPr>
          <w:color w:val="050606"/>
        </w:rPr>
        <w:t>respects</w:t>
      </w:r>
      <w:r>
        <w:rPr>
          <w:color w:val="050606"/>
          <w:spacing w:val="-3"/>
        </w:rPr>
        <w:t xml:space="preserve"> </w:t>
      </w:r>
      <w:r>
        <w:rPr>
          <w:color w:val="050606"/>
        </w:rPr>
        <w:t>and</w:t>
      </w:r>
      <w:r>
        <w:rPr>
          <w:color w:val="050606"/>
          <w:spacing w:val="-4"/>
        </w:rPr>
        <w:t xml:space="preserve"> </w:t>
      </w:r>
      <w:proofErr w:type="gramStart"/>
      <w:r>
        <w:rPr>
          <w:color w:val="050606"/>
        </w:rPr>
        <w:t>all</w:t>
      </w:r>
      <w:r>
        <w:rPr>
          <w:color w:val="050606"/>
          <w:spacing w:val="-6"/>
        </w:rPr>
        <w:t xml:space="preserve"> </w:t>
      </w:r>
      <w:r>
        <w:rPr>
          <w:color w:val="050606"/>
        </w:rPr>
        <w:t>of</w:t>
      </w:r>
      <w:proofErr w:type="gramEnd"/>
      <w:r>
        <w:rPr>
          <w:color w:val="050606"/>
          <w:spacing w:val="-3"/>
        </w:rPr>
        <w:t xml:space="preserve"> </w:t>
      </w:r>
      <w:r>
        <w:rPr>
          <w:color w:val="050606"/>
        </w:rPr>
        <w:t>the</w:t>
      </w:r>
      <w:r>
        <w:rPr>
          <w:color w:val="050606"/>
          <w:spacing w:val="-4"/>
        </w:rPr>
        <w:t xml:space="preserve"> </w:t>
      </w:r>
      <w:r>
        <w:rPr>
          <w:color w:val="050606"/>
        </w:rPr>
        <w:t>Ordinary</w:t>
      </w:r>
      <w:r>
        <w:rPr>
          <w:color w:val="050606"/>
          <w:spacing w:val="-6"/>
        </w:rPr>
        <w:t xml:space="preserve"> </w:t>
      </w:r>
      <w:r>
        <w:rPr>
          <w:color w:val="050606"/>
        </w:rPr>
        <w:t>Shares</w:t>
      </w:r>
      <w:r>
        <w:rPr>
          <w:color w:val="050606"/>
          <w:spacing w:val="-3"/>
        </w:rPr>
        <w:t xml:space="preserve"> </w:t>
      </w:r>
      <w:r>
        <w:rPr>
          <w:color w:val="050606"/>
        </w:rPr>
        <w:t>will</w:t>
      </w:r>
      <w:r>
        <w:rPr>
          <w:color w:val="050606"/>
          <w:spacing w:val="-4"/>
        </w:rPr>
        <w:t xml:space="preserve"> </w:t>
      </w:r>
      <w:r>
        <w:rPr>
          <w:color w:val="050606"/>
        </w:rPr>
        <w:t>form a single class for all</w:t>
      </w:r>
      <w:r>
        <w:rPr>
          <w:color w:val="050606"/>
          <w:spacing w:val="-5"/>
        </w:rPr>
        <w:t xml:space="preserve"> </w:t>
      </w:r>
      <w:r>
        <w:rPr>
          <w:color w:val="050606"/>
        </w:rPr>
        <w:t>purposes.</w:t>
      </w:r>
    </w:p>
    <w:p w14:paraId="20C180C9" w14:textId="77777777" w:rsidR="00783288" w:rsidRDefault="00783288">
      <w:pPr>
        <w:pStyle w:val="BodyText"/>
        <w:kinsoku w:val="0"/>
        <w:overflowPunct w:val="0"/>
        <w:spacing w:before="1"/>
      </w:pPr>
    </w:p>
    <w:p w14:paraId="3A765EEF" w14:textId="511581AC" w:rsidR="00783288" w:rsidRDefault="00E31420">
      <w:pPr>
        <w:pStyle w:val="BodyText"/>
        <w:kinsoku w:val="0"/>
        <w:overflowPunct w:val="0"/>
        <w:ind w:left="300" w:right="1191"/>
        <w:jc w:val="both"/>
        <w:rPr>
          <w:color w:val="050606"/>
        </w:rPr>
      </w:pPr>
      <w:r>
        <w:rPr>
          <w:color w:val="050606"/>
        </w:rPr>
        <w:t xml:space="preserve">Subject to the Admission Condition, each Investor has agreed to subscribe for </w:t>
      </w:r>
      <w:r w:rsidR="00613813">
        <w:rPr>
          <w:color w:val="050606"/>
        </w:rPr>
        <w:t xml:space="preserve">Placing </w:t>
      </w:r>
      <w:r>
        <w:rPr>
          <w:color w:val="050606"/>
        </w:rPr>
        <w:t xml:space="preserve">Shares at the </w:t>
      </w:r>
      <w:r w:rsidR="00613813">
        <w:rPr>
          <w:color w:val="050606"/>
        </w:rPr>
        <w:t xml:space="preserve">Placing </w:t>
      </w:r>
      <w:r>
        <w:rPr>
          <w:color w:val="050606"/>
        </w:rPr>
        <w:t>Price. To the fullest extent permitted by law, Investors will not be entitled to rescind their agreement at any time.</w:t>
      </w:r>
    </w:p>
    <w:p w14:paraId="6A24CE57" w14:textId="77777777" w:rsidR="00783288" w:rsidRDefault="00783288">
      <w:pPr>
        <w:pStyle w:val="BodyText"/>
        <w:kinsoku w:val="0"/>
        <w:overflowPunct w:val="0"/>
        <w:spacing w:before="7"/>
        <w:rPr>
          <w:sz w:val="17"/>
          <w:szCs w:val="17"/>
        </w:rPr>
      </w:pPr>
    </w:p>
    <w:p w14:paraId="210CBF71" w14:textId="77777777" w:rsidR="00783288" w:rsidRDefault="00E31420" w:rsidP="00512495">
      <w:pPr>
        <w:pStyle w:val="Heading1"/>
        <w:numPr>
          <w:ilvl w:val="0"/>
          <w:numId w:val="17"/>
        </w:numPr>
        <w:tabs>
          <w:tab w:val="left" w:pos="728"/>
        </w:tabs>
        <w:kinsoku w:val="0"/>
        <w:overflowPunct w:val="0"/>
        <w:rPr>
          <w:color w:val="231F20"/>
        </w:rPr>
      </w:pPr>
      <w:r>
        <w:rPr>
          <w:color w:val="231F20"/>
        </w:rPr>
        <w:t>Payment and return of</w:t>
      </w:r>
      <w:r>
        <w:rPr>
          <w:color w:val="231F20"/>
          <w:spacing w:val="1"/>
        </w:rPr>
        <w:t xml:space="preserve"> </w:t>
      </w:r>
      <w:r>
        <w:rPr>
          <w:color w:val="231F20"/>
        </w:rPr>
        <w:t>funds</w:t>
      </w:r>
    </w:p>
    <w:p w14:paraId="011911BE" w14:textId="77777777" w:rsidR="00783288" w:rsidRDefault="00783288">
      <w:pPr>
        <w:pStyle w:val="BodyText"/>
        <w:kinsoku w:val="0"/>
        <w:overflowPunct w:val="0"/>
        <w:spacing w:before="4"/>
        <w:rPr>
          <w:b/>
          <w:bCs/>
        </w:rPr>
      </w:pPr>
    </w:p>
    <w:p w14:paraId="39CA68A3" w14:textId="35996F70" w:rsidR="00783288" w:rsidRDefault="00E31420">
      <w:pPr>
        <w:pStyle w:val="BodyText"/>
        <w:kinsoku w:val="0"/>
        <w:overflowPunct w:val="0"/>
        <w:ind w:left="300" w:right="1191"/>
        <w:jc w:val="both"/>
        <w:rPr>
          <w:color w:val="231F20"/>
        </w:rPr>
      </w:pPr>
      <w:r>
        <w:rPr>
          <w:color w:val="050606"/>
        </w:rPr>
        <w:t xml:space="preserve">Each </w:t>
      </w:r>
      <w:proofErr w:type="spellStart"/>
      <w:r>
        <w:rPr>
          <w:color w:val="050606"/>
        </w:rPr>
        <w:t>Placee</w:t>
      </w:r>
      <w:proofErr w:type="spellEnd"/>
      <w:r>
        <w:rPr>
          <w:color w:val="050606"/>
        </w:rPr>
        <w:t xml:space="preserve"> has irrevocably undertaken to pay the </w:t>
      </w:r>
      <w:r w:rsidR="00613813">
        <w:rPr>
          <w:color w:val="050606"/>
        </w:rPr>
        <w:t>Placing Price</w:t>
      </w:r>
      <w:r>
        <w:rPr>
          <w:color w:val="050606"/>
        </w:rPr>
        <w:t xml:space="preserve"> for the Placing Shares allocated to them </w:t>
      </w:r>
      <w:r w:rsidR="00CE7F94">
        <w:rPr>
          <w:color w:val="050606"/>
        </w:rPr>
        <w:t>as set out in the terms and conditions of the</w:t>
      </w:r>
      <w:r>
        <w:rPr>
          <w:color w:val="050606"/>
        </w:rPr>
        <w:t xml:space="preserve"> Placing</w:t>
      </w:r>
      <w:r>
        <w:rPr>
          <w:color w:val="231F20"/>
        </w:rPr>
        <w:t>.</w:t>
      </w:r>
    </w:p>
    <w:p w14:paraId="251CFB0D" w14:textId="77777777" w:rsidR="00783288" w:rsidRDefault="00783288">
      <w:pPr>
        <w:pStyle w:val="BodyText"/>
        <w:kinsoku w:val="0"/>
        <w:overflowPunct w:val="0"/>
        <w:spacing w:before="11"/>
        <w:rPr>
          <w:sz w:val="17"/>
          <w:szCs w:val="17"/>
        </w:rPr>
      </w:pPr>
    </w:p>
    <w:p w14:paraId="63D7EBC0" w14:textId="4DAFB682" w:rsidR="00783288" w:rsidRDefault="00E31420">
      <w:pPr>
        <w:pStyle w:val="BodyText"/>
        <w:kinsoku w:val="0"/>
        <w:overflowPunct w:val="0"/>
        <w:ind w:left="300" w:right="1192"/>
        <w:jc w:val="both"/>
        <w:rPr>
          <w:color w:val="231F20"/>
        </w:rPr>
      </w:pPr>
      <w:proofErr w:type="gramStart"/>
      <w:r>
        <w:rPr>
          <w:color w:val="231F20"/>
        </w:rPr>
        <w:t>In the event that</w:t>
      </w:r>
      <w:proofErr w:type="gramEnd"/>
      <w:r>
        <w:rPr>
          <w:color w:val="231F20"/>
        </w:rPr>
        <w:t xml:space="preserve"> Admission </w:t>
      </w:r>
      <w:r w:rsidR="00CE7F94">
        <w:rPr>
          <w:color w:val="231F20"/>
        </w:rPr>
        <w:t>does not occur by the</w:t>
      </w:r>
      <w:r>
        <w:rPr>
          <w:color w:val="231F20"/>
        </w:rPr>
        <w:t xml:space="preserve"> relevant date, in accordance</w:t>
      </w:r>
      <w:r>
        <w:rPr>
          <w:color w:val="231F20"/>
          <w:spacing w:val="-12"/>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Placing</w:t>
      </w:r>
      <w:r>
        <w:rPr>
          <w:color w:val="231F20"/>
          <w:spacing w:val="-12"/>
        </w:rPr>
        <w:t xml:space="preserve"> </w:t>
      </w:r>
      <w:r>
        <w:rPr>
          <w:color w:val="231F20"/>
        </w:rPr>
        <w:t>Agreement,</w:t>
      </w:r>
      <w:r>
        <w:rPr>
          <w:color w:val="231F20"/>
          <w:spacing w:val="-12"/>
        </w:rPr>
        <w:t xml:space="preserve"> </w:t>
      </w:r>
      <w:r w:rsidR="002856B0">
        <w:rPr>
          <w:color w:val="231F20"/>
        </w:rPr>
        <w:t xml:space="preserve">Panmure Gordon </w:t>
      </w:r>
      <w:r>
        <w:rPr>
          <w:color w:val="231F20"/>
        </w:rPr>
        <w:t>will</w:t>
      </w:r>
      <w:r>
        <w:rPr>
          <w:color w:val="231F20"/>
          <w:spacing w:val="-10"/>
        </w:rPr>
        <w:t xml:space="preserve"> </w:t>
      </w:r>
      <w:r>
        <w:rPr>
          <w:color w:val="231F20"/>
        </w:rPr>
        <w:t>arrange</w:t>
      </w:r>
      <w:r>
        <w:rPr>
          <w:color w:val="231F20"/>
          <w:spacing w:val="-10"/>
        </w:rPr>
        <w:t xml:space="preserve"> </w:t>
      </w:r>
      <w:r>
        <w:rPr>
          <w:color w:val="231F20"/>
        </w:rPr>
        <w:t>for</w:t>
      </w:r>
      <w:r>
        <w:rPr>
          <w:color w:val="231F20"/>
          <w:spacing w:val="-13"/>
        </w:rPr>
        <w:t xml:space="preserve"> </w:t>
      </w:r>
      <w:r>
        <w:rPr>
          <w:color w:val="231F20"/>
        </w:rPr>
        <w:t>monies</w:t>
      </w:r>
      <w:r>
        <w:rPr>
          <w:color w:val="231F20"/>
          <w:spacing w:val="-9"/>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returned</w:t>
      </w:r>
      <w:r>
        <w:rPr>
          <w:color w:val="231F20"/>
          <w:spacing w:val="-12"/>
        </w:rPr>
        <w:t xml:space="preserve"> </w:t>
      </w:r>
      <w:r>
        <w:rPr>
          <w:color w:val="231F20"/>
        </w:rPr>
        <w:t>to</w:t>
      </w:r>
      <w:r>
        <w:rPr>
          <w:color w:val="231F20"/>
          <w:spacing w:val="-10"/>
        </w:rPr>
        <w:t xml:space="preserve"> </w:t>
      </w:r>
      <w:r>
        <w:rPr>
          <w:color w:val="231F20"/>
        </w:rPr>
        <w:t>applicants</w:t>
      </w:r>
      <w:r>
        <w:rPr>
          <w:color w:val="231F20"/>
          <w:spacing w:val="-11"/>
        </w:rPr>
        <w:t xml:space="preserve"> </w:t>
      </w:r>
      <w:r>
        <w:rPr>
          <w:color w:val="231F20"/>
        </w:rPr>
        <w:t>for</w:t>
      </w:r>
      <w:r>
        <w:rPr>
          <w:color w:val="231F20"/>
          <w:spacing w:val="-12"/>
        </w:rPr>
        <w:t xml:space="preserve"> </w:t>
      </w:r>
      <w:r>
        <w:rPr>
          <w:color w:val="231F20"/>
        </w:rPr>
        <w:t>Placing Shares, without interest, and at their own</w:t>
      </w:r>
      <w:r>
        <w:rPr>
          <w:color w:val="231F20"/>
          <w:spacing w:val="-8"/>
        </w:rPr>
        <w:t xml:space="preserve"> </w:t>
      </w:r>
      <w:r>
        <w:rPr>
          <w:color w:val="231F20"/>
        </w:rPr>
        <w:t>risk.</w:t>
      </w:r>
    </w:p>
    <w:p w14:paraId="65B78AC7" w14:textId="77777777" w:rsidR="00783288" w:rsidRDefault="00783288">
      <w:pPr>
        <w:pStyle w:val="BodyText"/>
        <w:kinsoku w:val="0"/>
        <w:overflowPunct w:val="0"/>
        <w:spacing w:before="9"/>
        <w:rPr>
          <w:sz w:val="17"/>
          <w:szCs w:val="17"/>
        </w:rPr>
      </w:pPr>
    </w:p>
    <w:p w14:paraId="4D53DC25" w14:textId="347CF26E" w:rsidR="00783288" w:rsidRDefault="00E31420">
      <w:pPr>
        <w:pStyle w:val="BodyText"/>
        <w:kinsoku w:val="0"/>
        <w:overflowPunct w:val="0"/>
        <w:ind w:left="300" w:right="1192"/>
        <w:jc w:val="both"/>
        <w:rPr>
          <w:color w:val="231F20"/>
        </w:rPr>
      </w:pPr>
      <w:r>
        <w:rPr>
          <w:color w:val="231F20"/>
        </w:rPr>
        <w:t xml:space="preserve">No expenses will be charged by the Company to Investors in connection with the </w:t>
      </w:r>
      <w:r w:rsidR="00613813">
        <w:rPr>
          <w:color w:val="231F20"/>
        </w:rPr>
        <w:t>Placing</w:t>
      </w:r>
      <w:r>
        <w:rPr>
          <w:color w:val="231F20"/>
        </w:rPr>
        <w:t xml:space="preserve">. Details regarding </w:t>
      </w:r>
      <w:r>
        <w:rPr>
          <w:color w:val="050606"/>
        </w:rPr>
        <w:t>liability for stamp duty and stamp duty reserve tax is as set out in Part VI of this Document</w:t>
      </w:r>
      <w:r>
        <w:rPr>
          <w:color w:val="231F20"/>
        </w:rPr>
        <w:t>.</w:t>
      </w:r>
    </w:p>
    <w:p w14:paraId="253147D7" w14:textId="77777777" w:rsidR="00783288" w:rsidRDefault="00783288">
      <w:pPr>
        <w:pStyle w:val="BodyText"/>
        <w:kinsoku w:val="0"/>
        <w:overflowPunct w:val="0"/>
        <w:spacing w:before="7"/>
        <w:rPr>
          <w:sz w:val="17"/>
          <w:szCs w:val="17"/>
        </w:rPr>
      </w:pPr>
    </w:p>
    <w:p w14:paraId="6E9DD91F" w14:textId="77777777" w:rsidR="00783288" w:rsidRDefault="00E31420" w:rsidP="00512495">
      <w:pPr>
        <w:pStyle w:val="Heading1"/>
        <w:numPr>
          <w:ilvl w:val="0"/>
          <w:numId w:val="17"/>
        </w:numPr>
        <w:tabs>
          <w:tab w:val="left" w:pos="728"/>
        </w:tabs>
        <w:kinsoku w:val="0"/>
        <w:overflowPunct w:val="0"/>
        <w:spacing w:before="1"/>
        <w:rPr>
          <w:color w:val="050606"/>
        </w:rPr>
      </w:pPr>
      <w:r>
        <w:rPr>
          <w:color w:val="050606"/>
        </w:rPr>
        <w:t>CREST</w:t>
      </w:r>
    </w:p>
    <w:p w14:paraId="389F682F" w14:textId="77777777" w:rsidR="00783288" w:rsidRDefault="00783288">
      <w:pPr>
        <w:pStyle w:val="BodyText"/>
        <w:kinsoku w:val="0"/>
        <w:overflowPunct w:val="0"/>
        <w:spacing w:before="5"/>
        <w:rPr>
          <w:b/>
          <w:bCs/>
        </w:rPr>
      </w:pPr>
    </w:p>
    <w:p w14:paraId="56969057" w14:textId="507DA0EE" w:rsidR="00783288" w:rsidRDefault="00E31420" w:rsidP="00321300">
      <w:pPr>
        <w:pStyle w:val="BodyText"/>
        <w:kinsoku w:val="0"/>
        <w:overflowPunct w:val="0"/>
        <w:spacing w:before="1"/>
        <w:ind w:left="300" w:right="1187"/>
        <w:jc w:val="both"/>
        <w:rPr>
          <w:color w:val="050606"/>
        </w:rPr>
      </w:pPr>
      <w:r>
        <w:rPr>
          <w:color w:val="050606"/>
        </w:rPr>
        <w:t xml:space="preserve">CREST is a paperless settlement procedure enabling securities to be evidenced otherwise than by a certificate </w:t>
      </w:r>
      <w:r>
        <w:rPr>
          <w:color w:val="2D2D2F"/>
        </w:rPr>
        <w:t>a</w:t>
      </w:r>
      <w:r>
        <w:rPr>
          <w:color w:val="050606"/>
        </w:rPr>
        <w:t>nd</w:t>
      </w:r>
      <w:r>
        <w:rPr>
          <w:color w:val="050606"/>
          <w:spacing w:val="-5"/>
        </w:rPr>
        <w:t xml:space="preserve"> </w:t>
      </w:r>
      <w:r>
        <w:rPr>
          <w:color w:val="050606"/>
        </w:rPr>
        <w:t>transferred</w:t>
      </w:r>
      <w:r>
        <w:rPr>
          <w:color w:val="050606"/>
          <w:spacing w:val="-4"/>
        </w:rPr>
        <w:t xml:space="preserve"> </w:t>
      </w:r>
      <w:r>
        <w:rPr>
          <w:color w:val="050606"/>
        </w:rPr>
        <w:t>otherwise</w:t>
      </w:r>
      <w:r>
        <w:rPr>
          <w:color w:val="050606"/>
          <w:spacing w:val="-5"/>
        </w:rPr>
        <w:t xml:space="preserve"> </w:t>
      </w:r>
      <w:r>
        <w:rPr>
          <w:color w:val="050606"/>
        </w:rPr>
        <w:t>than</w:t>
      </w:r>
      <w:r>
        <w:rPr>
          <w:color w:val="050606"/>
          <w:spacing w:val="-6"/>
        </w:rPr>
        <w:t xml:space="preserve"> </w:t>
      </w:r>
      <w:r>
        <w:rPr>
          <w:color w:val="050606"/>
        </w:rPr>
        <w:t>by</w:t>
      </w:r>
      <w:r>
        <w:rPr>
          <w:color w:val="050606"/>
          <w:spacing w:val="-3"/>
        </w:rPr>
        <w:t xml:space="preserve"> </w:t>
      </w:r>
      <w:r>
        <w:rPr>
          <w:color w:val="050606"/>
        </w:rPr>
        <w:t>written</w:t>
      </w:r>
      <w:r>
        <w:rPr>
          <w:color w:val="050606"/>
          <w:spacing w:val="-5"/>
        </w:rPr>
        <w:t xml:space="preserve"> </w:t>
      </w:r>
      <w:r>
        <w:rPr>
          <w:color w:val="050606"/>
        </w:rPr>
        <w:t>instrument.</w:t>
      </w:r>
      <w:r>
        <w:rPr>
          <w:color w:val="050606"/>
          <w:spacing w:val="-4"/>
        </w:rPr>
        <w:t xml:space="preserve"> </w:t>
      </w:r>
      <w:r>
        <w:rPr>
          <w:color w:val="050606"/>
        </w:rPr>
        <w:t>The</w:t>
      </w:r>
      <w:r>
        <w:rPr>
          <w:color w:val="050606"/>
          <w:spacing w:val="-5"/>
        </w:rPr>
        <w:t xml:space="preserve"> </w:t>
      </w:r>
      <w:r>
        <w:rPr>
          <w:color w:val="050606"/>
        </w:rPr>
        <w:t>Articles</w:t>
      </w:r>
      <w:r>
        <w:rPr>
          <w:color w:val="050606"/>
          <w:spacing w:val="-3"/>
        </w:rPr>
        <w:t xml:space="preserve"> </w:t>
      </w:r>
      <w:r>
        <w:rPr>
          <w:color w:val="050606"/>
        </w:rPr>
        <w:t>permit</w:t>
      </w:r>
      <w:r>
        <w:rPr>
          <w:color w:val="050606"/>
          <w:spacing w:val="-4"/>
        </w:rPr>
        <w:t xml:space="preserve"> </w:t>
      </w:r>
      <w:r>
        <w:rPr>
          <w:color w:val="050606"/>
        </w:rPr>
        <w:t>the</w:t>
      </w:r>
      <w:r>
        <w:rPr>
          <w:color w:val="050606"/>
          <w:spacing w:val="-5"/>
        </w:rPr>
        <w:t xml:space="preserve"> </w:t>
      </w:r>
      <w:r>
        <w:rPr>
          <w:color w:val="050606"/>
        </w:rPr>
        <w:t>holding</w:t>
      </w:r>
      <w:r>
        <w:rPr>
          <w:color w:val="050606"/>
          <w:spacing w:val="-4"/>
        </w:rPr>
        <w:t xml:space="preserve"> </w:t>
      </w:r>
      <w:r>
        <w:rPr>
          <w:color w:val="050606"/>
        </w:rPr>
        <w:t>of</w:t>
      </w:r>
      <w:r>
        <w:rPr>
          <w:color w:val="050606"/>
          <w:spacing w:val="-5"/>
        </w:rPr>
        <w:t xml:space="preserve"> </w:t>
      </w:r>
      <w:r>
        <w:rPr>
          <w:color w:val="050606"/>
        </w:rPr>
        <w:t>Ordinary</w:t>
      </w:r>
      <w:r>
        <w:rPr>
          <w:color w:val="050606"/>
          <w:spacing w:val="-6"/>
        </w:rPr>
        <w:t xml:space="preserve"> </w:t>
      </w:r>
      <w:r>
        <w:rPr>
          <w:color w:val="050606"/>
        </w:rPr>
        <w:t>Shares</w:t>
      </w:r>
      <w:r>
        <w:rPr>
          <w:color w:val="050606"/>
          <w:spacing w:val="-3"/>
        </w:rPr>
        <w:t xml:space="preserve"> </w:t>
      </w:r>
      <w:r>
        <w:rPr>
          <w:color w:val="050606"/>
        </w:rPr>
        <w:t>under</w:t>
      </w:r>
      <w:r>
        <w:rPr>
          <w:color w:val="050606"/>
          <w:spacing w:val="-5"/>
        </w:rPr>
        <w:t xml:space="preserve"> </w:t>
      </w:r>
      <w:r>
        <w:rPr>
          <w:color w:val="050606"/>
        </w:rPr>
        <w:t>the CREST</w:t>
      </w:r>
      <w:r>
        <w:rPr>
          <w:color w:val="050606"/>
          <w:spacing w:val="-11"/>
        </w:rPr>
        <w:t xml:space="preserve"> </w:t>
      </w:r>
      <w:r>
        <w:rPr>
          <w:color w:val="050606"/>
        </w:rPr>
        <w:t>system.</w:t>
      </w:r>
      <w:r>
        <w:rPr>
          <w:color w:val="050606"/>
          <w:spacing w:val="-9"/>
        </w:rPr>
        <w:t xml:space="preserve"> </w:t>
      </w:r>
      <w:r>
        <w:rPr>
          <w:color w:val="050606"/>
        </w:rPr>
        <w:t>The</w:t>
      </w:r>
      <w:r>
        <w:rPr>
          <w:color w:val="050606"/>
          <w:spacing w:val="-11"/>
        </w:rPr>
        <w:t xml:space="preserve"> </w:t>
      </w:r>
      <w:r>
        <w:rPr>
          <w:color w:val="050606"/>
        </w:rPr>
        <w:t>Ordinary</w:t>
      </w:r>
      <w:r>
        <w:rPr>
          <w:color w:val="050606"/>
          <w:spacing w:val="-13"/>
        </w:rPr>
        <w:t xml:space="preserve"> </w:t>
      </w:r>
      <w:r>
        <w:rPr>
          <w:color w:val="050606"/>
        </w:rPr>
        <w:t>Shares</w:t>
      </w:r>
      <w:r>
        <w:rPr>
          <w:color w:val="050606"/>
          <w:spacing w:val="-9"/>
        </w:rPr>
        <w:t xml:space="preserve"> </w:t>
      </w:r>
      <w:r>
        <w:rPr>
          <w:color w:val="050606"/>
        </w:rPr>
        <w:t>were</w:t>
      </w:r>
      <w:r>
        <w:rPr>
          <w:color w:val="050606"/>
          <w:spacing w:val="-9"/>
        </w:rPr>
        <w:t xml:space="preserve"> </w:t>
      </w:r>
      <w:r>
        <w:rPr>
          <w:color w:val="050606"/>
        </w:rPr>
        <w:t>admitted</w:t>
      </w:r>
      <w:r>
        <w:rPr>
          <w:color w:val="050606"/>
          <w:spacing w:val="-11"/>
        </w:rPr>
        <w:t xml:space="preserve"> </w:t>
      </w:r>
      <w:r>
        <w:rPr>
          <w:color w:val="050606"/>
        </w:rPr>
        <w:t>to</w:t>
      </w:r>
      <w:r>
        <w:rPr>
          <w:color w:val="050606"/>
          <w:spacing w:val="-11"/>
        </w:rPr>
        <w:t xml:space="preserve"> </w:t>
      </w:r>
      <w:r>
        <w:rPr>
          <w:color w:val="050606"/>
        </w:rPr>
        <w:t>CREST</w:t>
      </w:r>
      <w:r>
        <w:rPr>
          <w:color w:val="050606"/>
          <w:spacing w:val="-11"/>
        </w:rPr>
        <w:t xml:space="preserve"> </w:t>
      </w:r>
      <w:r>
        <w:rPr>
          <w:color w:val="050606"/>
        </w:rPr>
        <w:t>with</w:t>
      </w:r>
      <w:r>
        <w:rPr>
          <w:color w:val="050606"/>
          <w:spacing w:val="-9"/>
        </w:rPr>
        <w:t xml:space="preserve"> </w:t>
      </w:r>
      <w:r>
        <w:rPr>
          <w:color w:val="050606"/>
        </w:rPr>
        <w:t>effect</w:t>
      </w:r>
      <w:r>
        <w:rPr>
          <w:color w:val="050606"/>
          <w:spacing w:val="-10"/>
        </w:rPr>
        <w:t xml:space="preserve"> </w:t>
      </w:r>
      <w:r>
        <w:rPr>
          <w:color w:val="050606"/>
        </w:rPr>
        <w:t>from</w:t>
      </w:r>
      <w:r>
        <w:rPr>
          <w:color w:val="050606"/>
          <w:spacing w:val="-10"/>
        </w:rPr>
        <w:t xml:space="preserve"> </w:t>
      </w:r>
      <w:r>
        <w:rPr>
          <w:color w:val="050606"/>
        </w:rPr>
        <w:t>IPO</w:t>
      </w:r>
      <w:r>
        <w:rPr>
          <w:color w:val="050606"/>
          <w:spacing w:val="-10"/>
        </w:rPr>
        <w:t xml:space="preserve"> </w:t>
      </w:r>
      <w:r>
        <w:rPr>
          <w:color w:val="050606"/>
        </w:rPr>
        <w:t>Admission</w:t>
      </w:r>
      <w:r>
        <w:rPr>
          <w:color w:val="050606"/>
          <w:spacing w:val="-11"/>
        </w:rPr>
        <w:t xml:space="preserve"> </w:t>
      </w:r>
      <w:r>
        <w:rPr>
          <w:color w:val="050606"/>
        </w:rPr>
        <w:t>on</w:t>
      </w:r>
      <w:r>
        <w:rPr>
          <w:color w:val="050606"/>
          <w:spacing w:val="-11"/>
        </w:rPr>
        <w:t xml:space="preserve"> </w:t>
      </w:r>
      <w:r>
        <w:rPr>
          <w:color w:val="050606"/>
        </w:rPr>
        <w:t>29</w:t>
      </w:r>
      <w:r>
        <w:rPr>
          <w:color w:val="050606"/>
          <w:spacing w:val="-9"/>
        </w:rPr>
        <w:t xml:space="preserve"> </w:t>
      </w:r>
      <w:r>
        <w:rPr>
          <w:color w:val="050606"/>
        </w:rPr>
        <w:t>August</w:t>
      </w:r>
      <w:r>
        <w:rPr>
          <w:color w:val="050606"/>
          <w:spacing w:val="-8"/>
        </w:rPr>
        <w:t xml:space="preserve"> </w:t>
      </w:r>
      <w:r>
        <w:rPr>
          <w:color w:val="050606"/>
        </w:rPr>
        <w:t xml:space="preserve">2017. Accordingly, </w:t>
      </w:r>
      <w:r>
        <w:rPr>
          <w:color w:val="2D2D2F"/>
        </w:rPr>
        <w:t>s</w:t>
      </w:r>
      <w:r>
        <w:rPr>
          <w:color w:val="050606"/>
        </w:rPr>
        <w:t>ettlement of tr</w:t>
      </w:r>
      <w:r>
        <w:rPr>
          <w:color w:val="2D2D2F"/>
        </w:rPr>
        <w:t>a</w:t>
      </w:r>
      <w:r>
        <w:rPr>
          <w:color w:val="050606"/>
        </w:rPr>
        <w:t>n</w:t>
      </w:r>
      <w:r>
        <w:rPr>
          <w:color w:val="2D2D2F"/>
        </w:rPr>
        <w:t>s</w:t>
      </w:r>
      <w:r>
        <w:rPr>
          <w:color w:val="050606"/>
        </w:rPr>
        <w:t>action</w:t>
      </w:r>
      <w:r>
        <w:rPr>
          <w:color w:val="2D2D2F"/>
        </w:rPr>
        <w:t xml:space="preserve">s </w:t>
      </w:r>
      <w:r>
        <w:rPr>
          <w:color w:val="050606"/>
        </w:rPr>
        <w:t>in the Ordinary Shares may take place within the CREST system if any Sh</w:t>
      </w:r>
      <w:r>
        <w:rPr>
          <w:color w:val="2D2D2F"/>
        </w:rPr>
        <w:t>a</w:t>
      </w:r>
      <w:r>
        <w:rPr>
          <w:color w:val="050606"/>
        </w:rPr>
        <w:t>reholder so</w:t>
      </w:r>
      <w:r>
        <w:rPr>
          <w:color w:val="050606"/>
          <w:spacing w:val="-2"/>
        </w:rPr>
        <w:t xml:space="preserve"> </w:t>
      </w:r>
      <w:proofErr w:type="spellStart"/>
      <w:r>
        <w:rPr>
          <w:color w:val="050606"/>
        </w:rPr>
        <w:t>wishes</w:t>
      </w:r>
      <w:r>
        <w:rPr>
          <w:color w:val="2D2D2F"/>
        </w:rPr>
        <w:t>.</w:t>
      </w:r>
      <w:r>
        <w:rPr>
          <w:color w:val="050606"/>
        </w:rPr>
        <w:t>CREST</w:t>
      </w:r>
      <w:proofErr w:type="spellEnd"/>
      <w:r>
        <w:rPr>
          <w:color w:val="050606"/>
        </w:rPr>
        <w:t xml:space="preserve"> is a voluntary system and Shareholders who wish to receive and retain certificates for their securities will be</w:t>
      </w:r>
      <w:r>
        <w:rPr>
          <w:color w:val="050606"/>
          <w:spacing w:val="-9"/>
        </w:rPr>
        <w:t xml:space="preserve"> </w:t>
      </w:r>
      <w:r>
        <w:rPr>
          <w:color w:val="050606"/>
        </w:rPr>
        <w:t>able</w:t>
      </w:r>
      <w:r>
        <w:rPr>
          <w:color w:val="050606"/>
          <w:spacing w:val="-11"/>
        </w:rPr>
        <w:t xml:space="preserve"> </w:t>
      </w:r>
      <w:r>
        <w:rPr>
          <w:color w:val="050606"/>
        </w:rPr>
        <w:t>to</w:t>
      </w:r>
      <w:r>
        <w:rPr>
          <w:color w:val="050606"/>
          <w:spacing w:val="-11"/>
        </w:rPr>
        <w:t xml:space="preserve"> </w:t>
      </w:r>
      <w:r>
        <w:rPr>
          <w:color w:val="050606"/>
        </w:rPr>
        <w:t>do</w:t>
      </w:r>
      <w:r>
        <w:rPr>
          <w:color w:val="050606"/>
          <w:spacing w:val="-11"/>
        </w:rPr>
        <w:t xml:space="preserve"> </w:t>
      </w:r>
      <w:r>
        <w:rPr>
          <w:color w:val="050606"/>
        </w:rPr>
        <w:t>so.</w:t>
      </w:r>
      <w:r>
        <w:rPr>
          <w:color w:val="050606"/>
          <w:spacing w:val="-11"/>
        </w:rPr>
        <w:t xml:space="preserve"> </w:t>
      </w:r>
      <w:r>
        <w:rPr>
          <w:color w:val="050606"/>
        </w:rPr>
        <w:t>The</w:t>
      </w:r>
      <w:r>
        <w:rPr>
          <w:color w:val="050606"/>
          <w:spacing w:val="-8"/>
        </w:rPr>
        <w:t xml:space="preserve"> </w:t>
      </w:r>
      <w:r>
        <w:rPr>
          <w:color w:val="050606"/>
        </w:rPr>
        <w:t>Investors</w:t>
      </w:r>
      <w:r>
        <w:rPr>
          <w:color w:val="050606"/>
          <w:spacing w:val="-10"/>
        </w:rPr>
        <w:t xml:space="preserve"> </w:t>
      </w:r>
      <w:r>
        <w:rPr>
          <w:color w:val="050606"/>
        </w:rPr>
        <w:t>may</w:t>
      </w:r>
      <w:r>
        <w:rPr>
          <w:color w:val="050606"/>
          <w:spacing w:val="-10"/>
        </w:rPr>
        <w:t xml:space="preserve"> </w:t>
      </w:r>
      <w:r>
        <w:rPr>
          <w:color w:val="050606"/>
        </w:rPr>
        <w:t>elect</w:t>
      </w:r>
      <w:r>
        <w:rPr>
          <w:color w:val="050606"/>
          <w:spacing w:val="-9"/>
        </w:rPr>
        <w:t xml:space="preserve"> </w:t>
      </w:r>
      <w:r>
        <w:rPr>
          <w:color w:val="050606"/>
        </w:rPr>
        <w:t>to</w:t>
      </w:r>
      <w:r>
        <w:rPr>
          <w:color w:val="050606"/>
          <w:spacing w:val="-9"/>
        </w:rPr>
        <w:t xml:space="preserve"> </w:t>
      </w:r>
      <w:r>
        <w:rPr>
          <w:color w:val="050606"/>
        </w:rPr>
        <w:t>receive</w:t>
      </w:r>
      <w:r>
        <w:rPr>
          <w:color w:val="050606"/>
          <w:spacing w:val="-9"/>
        </w:rPr>
        <w:t xml:space="preserve"> </w:t>
      </w:r>
      <w:r>
        <w:rPr>
          <w:color w:val="050606"/>
        </w:rPr>
        <w:t>such</w:t>
      </w:r>
      <w:r>
        <w:rPr>
          <w:color w:val="050606"/>
          <w:spacing w:val="-11"/>
        </w:rPr>
        <w:t xml:space="preserve"> </w:t>
      </w:r>
      <w:r>
        <w:rPr>
          <w:color w:val="050606"/>
        </w:rPr>
        <w:t>new</w:t>
      </w:r>
      <w:r>
        <w:rPr>
          <w:color w:val="050606"/>
          <w:spacing w:val="-13"/>
        </w:rPr>
        <w:t xml:space="preserve"> </w:t>
      </w:r>
      <w:r>
        <w:rPr>
          <w:color w:val="050606"/>
        </w:rPr>
        <w:t>Ordinary</w:t>
      </w:r>
      <w:r>
        <w:rPr>
          <w:color w:val="050606"/>
          <w:spacing w:val="-10"/>
        </w:rPr>
        <w:t xml:space="preserve"> </w:t>
      </w:r>
      <w:r>
        <w:rPr>
          <w:color w:val="050606"/>
        </w:rPr>
        <w:t>Shares</w:t>
      </w:r>
      <w:r>
        <w:rPr>
          <w:color w:val="050606"/>
          <w:spacing w:val="-10"/>
        </w:rPr>
        <w:t xml:space="preserve"> </w:t>
      </w:r>
      <w:r>
        <w:rPr>
          <w:color w:val="050606"/>
        </w:rPr>
        <w:t>in</w:t>
      </w:r>
      <w:r>
        <w:rPr>
          <w:color w:val="050606"/>
          <w:spacing w:val="-11"/>
        </w:rPr>
        <w:t xml:space="preserve"> </w:t>
      </w:r>
      <w:r>
        <w:rPr>
          <w:color w:val="050606"/>
        </w:rPr>
        <w:t>uncertificated</w:t>
      </w:r>
      <w:r>
        <w:rPr>
          <w:color w:val="050606"/>
          <w:spacing w:val="-9"/>
        </w:rPr>
        <w:t xml:space="preserve"> </w:t>
      </w:r>
      <w:r>
        <w:rPr>
          <w:color w:val="050606"/>
        </w:rPr>
        <w:t>form</w:t>
      </w:r>
      <w:r>
        <w:rPr>
          <w:color w:val="050606"/>
          <w:spacing w:val="-9"/>
        </w:rPr>
        <w:t xml:space="preserve"> </w:t>
      </w:r>
      <w:r>
        <w:rPr>
          <w:color w:val="050606"/>
        </w:rPr>
        <w:t>if</w:t>
      </w:r>
      <w:r>
        <w:rPr>
          <w:color w:val="050606"/>
          <w:spacing w:val="-11"/>
        </w:rPr>
        <w:t xml:space="preserve"> </w:t>
      </w:r>
      <w:r>
        <w:rPr>
          <w:color w:val="050606"/>
        </w:rPr>
        <w:t>such</w:t>
      </w:r>
      <w:r>
        <w:rPr>
          <w:color w:val="050606"/>
          <w:spacing w:val="-11"/>
        </w:rPr>
        <w:t xml:space="preserve"> </w:t>
      </w:r>
      <w:r>
        <w:rPr>
          <w:color w:val="050606"/>
        </w:rPr>
        <w:t>person is a system-member (as defined in the CREST Regulations) in relation to</w:t>
      </w:r>
      <w:r>
        <w:rPr>
          <w:color w:val="050606"/>
          <w:spacing w:val="-7"/>
        </w:rPr>
        <w:t xml:space="preserve"> </w:t>
      </w:r>
      <w:r>
        <w:rPr>
          <w:color w:val="050606"/>
        </w:rPr>
        <w:t>CREST.</w:t>
      </w:r>
    </w:p>
    <w:p w14:paraId="692C3504" w14:textId="77777777" w:rsidR="00783288" w:rsidRDefault="00783288">
      <w:pPr>
        <w:pStyle w:val="BodyText"/>
        <w:kinsoku w:val="0"/>
        <w:overflowPunct w:val="0"/>
        <w:spacing w:before="6"/>
        <w:rPr>
          <w:sz w:val="17"/>
          <w:szCs w:val="17"/>
        </w:rPr>
      </w:pPr>
    </w:p>
    <w:p w14:paraId="5FFACB5E" w14:textId="77777777" w:rsidR="00783288" w:rsidRDefault="00E31420" w:rsidP="00512495">
      <w:pPr>
        <w:pStyle w:val="Heading1"/>
        <w:numPr>
          <w:ilvl w:val="0"/>
          <w:numId w:val="17"/>
        </w:numPr>
        <w:tabs>
          <w:tab w:val="left" w:pos="728"/>
        </w:tabs>
        <w:kinsoku w:val="0"/>
        <w:overflowPunct w:val="0"/>
        <w:rPr>
          <w:color w:val="0B0C0D"/>
        </w:rPr>
      </w:pPr>
      <w:r>
        <w:rPr>
          <w:color w:val="050606"/>
        </w:rPr>
        <w:t>Selling</w:t>
      </w:r>
      <w:r>
        <w:rPr>
          <w:color w:val="050606"/>
          <w:spacing w:val="-1"/>
        </w:rPr>
        <w:t xml:space="preserve"> </w:t>
      </w:r>
      <w:r>
        <w:rPr>
          <w:color w:val="0B0C0D"/>
        </w:rPr>
        <w:t>Restrictions</w:t>
      </w:r>
    </w:p>
    <w:p w14:paraId="3358CB16" w14:textId="77777777" w:rsidR="00783288" w:rsidRDefault="00783288">
      <w:pPr>
        <w:pStyle w:val="BodyText"/>
        <w:kinsoku w:val="0"/>
        <w:overflowPunct w:val="0"/>
        <w:spacing w:before="4"/>
        <w:rPr>
          <w:b/>
          <w:bCs/>
        </w:rPr>
      </w:pPr>
    </w:p>
    <w:p w14:paraId="7073E115" w14:textId="0382B396" w:rsidR="00783288" w:rsidRDefault="00E31420">
      <w:pPr>
        <w:pStyle w:val="BodyText"/>
        <w:kinsoku w:val="0"/>
        <w:overflowPunct w:val="0"/>
        <w:ind w:left="300" w:right="1188"/>
        <w:jc w:val="both"/>
        <w:rPr>
          <w:color w:val="050606"/>
        </w:rPr>
      </w:pPr>
      <w:r>
        <w:rPr>
          <w:color w:val="050606"/>
        </w:rPr>
        <w:t>The Ordinary Shares will not be registered under the US Securities Act or the securities laws of any state or other jurisdiction</w:t>
      </w:r>
      <w:r>
        <w:rPr>
          <w:color w:val="050606"/>
          <w:spacing w:val="-10"/>
        </w:rPr>
        <w:t xml:space="preserve"> </w:t>
      </w:r>
      <w:r>
        <w:rPr>
          <w:color w:val="050606"/>
        </w:rPr>
        <w:t>of</w:t>
      </w:r>
      <w:r>
        <w:rPr>
          <w:color w:val="050606"/>
          <w:spacing w:val="-9"/>
        </w:rPr>
        <w:t xml:space="preserve"> </w:t>
      </w:r>
      <w:r>
        <w:rPr>
          <w:color w:val="050606"/>
        </w:rPr>
        <w:t>the</w:t>
      </w:r>
      <w:r>
        <w:rPr>
          <w:color w:val="050606"/>
          <w:spacing w:val="-9"/>
        </w:rPr>
        <w:t xml:space="preserve"> </w:t>
      </w:r>
      <w:r>
        <w:rPr>
          <w:color w:val="050606"/>
        </w:rPr>
        <w:t>United</w:t>
      </w:r>
      <w:r>
        <w:rPr>
          <w:color w:val="050606"/>
          <w:spacing w:val="-9"/>
        </w:rPr>
        <w:t xml:space="preserve"> </w:t>
      </w:r>
      <w:r>
        <w:rPr>
          <w:color w:val="050606"/>
        </w:rPr>
        <w:t>States</w:t>
      </w:r>
      <w:r>
        <w:rPr>
          <w:color w:val="050606"/>
          <w:spacing w:val="-10"/>
        </w:rPr>
        <w:t xml:space="preserve"> </w:t>
      </w:r>
      <w:r>
        <w:rPr>
          <w:color w:val="050606"/>
        </w:rPr>
        <w:t>and</w:t>
      </w:r>
      <w:r>
        <w:rPr>
          <w:color w:val="050606"/>
          <w:spacing w:val="-9"/>
        </w:rPr>
        <w:t xml:space="preserve"> </w:t>
      </w:r>
      <w:r>
        <w:rPr>
          <w:color w:val="050606"/>
        </w:rPr>
        <w:t>may</w:t>
      </w:r>
      <w:r>
        <w:rPr>
          <w:color w:val="050606"/>
          <w:spacing w:val="-11"/>
        </w:rPr>
        <w:t xml:space="preserve"> </w:t>
      </w:r>
      <w:r>
        <w:rPr>
          <w:color w:val="050606"/>
        </w:rPr>
        <w:t>not</w:t>
      </w:r>
      <w:r>
        <w:rPr>
          <w:color w:val="050606"/>
          <w:spacing w:val="-9"/>
        </w:rPr>
        <w:t xml:space="preserve"> </w:t>
      </w:r>
      <w:r>
        <w:rPr>
          <w:color w:val="050606"/>
        </w:rPr>
        <w:t>be</w:t>
      </w:r>
      <w:r>
        <w:rPr>
          <w:color w:val="050606"/>
          <w:spacing w:val="-9"/>
        </w:rPr>
        <w:t xml:space="preserve"> </w:t>
      </w:r>
      <w:r>
        <w:rPr>
          <w:color w:val="050606"/>
        </w:rPr>
        <w:t>taken</w:t>
      </w:r>
      <w:r>
        <w:rPr>
          <w:color w:val="050606"/>
          <w:spacing w:val="-9"/>
        </w:rPr>
        <w:t xml:space="preserve"> </w:t>
      </w:r>
      <w:r>
        <w:rPr>
          <w:color w:val="050606"/>
        </w:rPr>
        <w:t>up,</w:t>
      </w:r>
      <w:r>
        <w:rPr>
          <w:color w:val="050606"/>
          <w:spacing w:val="-9"/>
        </w:rPr>
        <w:t xml:space="preserve"> </w:t>
      </w:r>
      <w:r>
        <w:rPr>
          <w:color w:val="050606"/>
        </w:rPr>
        <w:t>offered,</w:t>
      </w:r>
      <w:r>
        <w:rPr>
          <w:color w:val="050606"/>
          <w:spacing w:val="-9"/>
        </w:rPr>
        <w:t xml:space="preserve"> </w:t>
      </w:r>
      <w:r>
        <w:rPr>
          <w:color w:val="050606"/>
        </w:rPr>
        <w:t>sold,</w:t>
      </w:r>
      <w:r>
        <w:rPr>
          <w:color w:val="050606"/>
          <w:spacing w:val="-10"/>
        </w:rPr>
        <w:t xml:space="preserve"> </w:t>
      </w:r>
      <w:r>
        <w:rPr>
          <w:color w:val="050606"/>
        </w:rPr>
        <w:t>resold,</w:t>
      </w:r>
      <w:r>
        <w:rPr>
          <w:color w:val="050606"/>
          <w:spacing w:val="-9"/>
        </w:rPr>
        <w:t xml:space="preserve"> </w:t>
      </w:r>
      <w:r>
        <w:rPr>
          <w:color w:val="050606"/>
        </w:rPr>
        <w:t>transferred,</w:t>
      </w:r>
      <w:r>
        <w:rPr>
          <w:color w:val="050606"/>
          <w:spacing w:val="-9"/>
        </w:rPr>
        <w:t xml:space="preserve"> </w:t>
      </w:r>
      <w:r>
        <w:rPr>
          <w:color w:val="050606"/>
        </w:rPr>
        <w:t>delivered</w:t>
      </w:r>
      <w:r>
        <w:rPr>
          <w:color w:val="050606"/>
          <w:spacing w:val="-9"/>
        </w:rPr>
        <w:t xml:space="preserve"> </w:t>
      </w:r>
      <w:r>
        <w:rPr>
          <w:color w:val="050606"/>
        </w:rPr>
        <w:t>or</w:t>
      </w:r>
      <w:r>
        <w:rPr>
          <w:color w:val="050606"/>
          <w:spacing w:val="-12"/>
        </w:rPr>
        <w:t xml:space="preserve"> </w:t>
      </w:r>
      <w:r>
        <w:rPr>
          <w:color w:val="050606"/>
        </w:rPr>
        <w:t xml:space="preserve">distributed, directly or indirectly, within into or in the United States. The </w:t>
      </w:r>
      <w:r w:rsidR="00613813">
        <w:rPr>
          <w:color w:val="050606"/>
        </w:rPr>
        <w:t xml:space="preserve">Placing </w:t>
      </w:r>
      <w:r>
        <w:rPr>
          <w:color w:val="050606"/>
        </w:rPr>
        <w:t>is being made by means of offering the Placing Shares to certain institutional and other investors in the UK and elsewhere outside the United States in accordance with Regulation S. The Company has not been and will not be registered under the US Investment Company Act and Shareholders will not be entitled to the benefits of that</w:t>
      </w:r>
      <w:r>
        <w:rPr>
          <w:color w:val="050606"/>
          <w:spacing w:val="-20"/>
        </w:rPr>
        <w:t xml:space="preserve"> </w:t>
      </w:r>
      <w:r>
        <w:rPr>
          <w:color w:val="050606"/>
        </w:rPr>
        <w:t>Act.</w:t>
      </w:r>
    </w:p>
    <w:p w14:paraId="288ED785" w14:textId="77777777" w:rsidR="00783288" w:rsidRDefault="00783288">
      <w:pPr>
        <w:pStyle w:val="BodyText"/>
        <w:kinsoku w:val="0"/>
        <w:overflowPunct w:val="0"/>
        <w:ind w:left="300" w:right="1188"/>
        <w:jc w:val="both"/>
        <w:rPr>
          <w:color w:val="050606"/>
        </w:rPr>
        <w:sectPr w:rsidR="00783288">
          <w:pgSz w:w="11900" w:h="16840"/>
          <w:pgMar w:top="1360" w:right="240" w:bottom="1160" w:left="1140" w:header="0" w:footer="891" w:gutter="0"/>
          <w:cols w:space="720"/>
          <w:noEndnote/>
        </w:sectPr>
      </w:pPr>
    </w:p>
    <w:p w14:paraId="0AEECA95" w14:textId="77777777" w:rsidR="00783288" w:rsidRDefault="00E31420">
      <w:pPr>
        <w:pStyle w:val="Heading1"/>
        <w:kinsoku w:val="0"/>
        <w:overflowPunct w:val="0"/>
        <w:spacing w:before="80"/>
        <w:ind w:left="377" w:right="1273"/>
        <w:jc w:val="center"/>
        <w:rPr>
          <w:color w:val="0B0C0D"/>
        </w:rPr>
      </w:pPr>
      <w:r>
        <w:rPr>
          <w:color w:val="231F20"/>
        </w:rPr>
        <w:lastRenderedPageBreak/>
        <w:t xml:space="preserve">PART </w:t>
      </w:r>
      <w:r>
        <w:rPr>
          <w:color w:val="0B0C0D"/>
        </w:rPr>
        <w:t>IV</w:t>
      </w:r>
    </w:p>
    <w:p w14:paraId="05DE71A0" w14:textId="77777777" w:rsidR="00783288" w:rsidRDefault="00783288">
      <w:pPr>
        <w:pStyle w:val="BodyText"/>
        <w:kinsoku w:val="0"/>
        <w:overflowPunct w:val="0"/>
        <w:spacing w:before="1"/>
        <w:rPr>
          <w:b/>
          <w:bCs/>
        </w:rPr>
      </w:pPr>
    </w:p>
    <w:p w14:paraId="41B9C325" w14:textId="77777777" w:rsidR="00783288" w:rsidRDefault="00E31420">
      <w:pPr>
        <w:pStyle w:val="BodyText"/>
        <w:kinsoku w:val="0"/>
        <w:overflowPunct w:val="0"/>
        <w:ind w:left="378" w:right="1273"/>
        <w:jc w:val="center"/>
        <w:rPr>
          <w:b/>
          <w:bCs/>
          <w:color w:val="231F20"/>
        </w:rPr>
      </w:pPr>
      <w:r>
        <w:rPr>
          <w:b/>
          <w:bCs/>
          <w:color w:val="231F20"/>
        </w:rPr>
        <w:t>HISTORICAL FINANCIAL INFORMATION OF THE COMPANY</w:t>
      </w:r>
    </w:p>
    <w:p w14:paraId="0E8028E1" w14:textId="77777777" w:rsidR="00783288" w:rsidRDefault="00783288">
      <w:pPr>
        <w:pStyle w:val="BodyText"/>
        <w:kinsoku w:val="0"/>
        <w:overflowPunct w:val="0"/>
        <w:spacing w:before="4"/>
        <w:rPr>
          <w:b/>
          <w:bCs/>
        </w:rPr>
      </w:pPr>
    </w:p>
    <w:p w14:paraId="65ACE952" w14:textId="64837E2E" w:rsidR="00783288" w:rsidRDefault="00E31420">
      <w:pPr>
        <w:pStyle w:val="BodyText"/>
        <w:kinsoku w:val="0"/>
        <w:overflowPunct w:val="0"/>
        <w:ind w:left="300" w:right="1191"/>
        <w:jc w:val="both"/>
        <w:rPr>
          <w:color w:val="231F20"/>
        </w:rPr>
      </w:pPr>
      <w:r>
        <w:rPr>
          <w:color w:val="231F20"/>
        </w:rPr>
        <w:t xml:space="preserve">On </w:t>
      </w:r>
      <w:r w:rsidR="00397086">
        <w:rPr>
          <w:color w:val="231F20"/>
        </w:rPr>
        <w:t xml:space="preserve">30 April </w:t>
      </w:r>
      <w:r>
        <w:rPr>
          <w:color w:val="231F20"/>
        </w:rPr>
        <w:t>202</w:t>
      </w:r>
      <w:r w:rsidR="00397086">
        <w:rPr>
          <w:color w:val="231F20"/>
        </w:rPr>
        <w:t>1</w:t>
      </w:r>
      <w:r>
        <w:rPr>
          <w:color w:val="231F20"/>
        </w:rPr>
        <w:t xml:space="preserve"> the Company published its </w:t>
      </w:r>
      <w:r w:rsidR="00397086">
        <w:rPr>
          <w:color w:val="231F20"/>
        </w:rPr>
        <w:t xml:space="preserve">2020 </w:t>
      </w:r>
      <w:r>
        <w:rPr>
          <w:color w:val="231F20"/>
        </w:rPr>
        <w:t xml:space="preserve">Annual Report, which contains the Company’s audited financial statements for the year ended 31 December </w:t>
      </w:r>
      <w:r w:rsidR="00397086">
        <w:rPr>
          <w:color w:val="231F20"/>
        </w:rPr>
        <w:t>2020</w:t>
      </w:r>
      <w:r>
        <w:rPr>
          <w:color w:val="231F20"/>
        </w:rPr>
        <w:t>.</w:t>
      </w:r>
    </w:p>
    <w:p w14:paraId="357FE7B9" w14:textId="77777777" w:rsidR="00783288" w:rsidRDefault="00783288">
      <w:pPr>
        <w:pStyle w:val="BodyText"/>
        <w:kinsoku w:val="0"/>
        <w:overflowPunct w:val="0"/>
      </w:pPr>
    </w:p>
    <w:p w14:paraId="06E9847E" w14:textId="77777777" w:rsidR="00783288" w:rsidRDefault="00E31420">
      <w:pPr>
        <w:pStyle w:val="BodyText"/>
        <w:kinsoku w:val="0"/>
        <w:overflowPunct w:val="0"/>
        <w:spacing w:before="1"/>
        <w:ind w:left="300" w:right="1191"/>
        <w:jc w:val="both"/>
        <w:rPr>
          <w:color w:val="231F20"/>
        </w:rPr>
      </w:pPr>
      <w:r>
        <w:rPr>
          <w:color w:val="231F20"/>
        </w:rPr>
        <w:t>The</w:t>
      </w:r>
      <w:r>
        <w:rPr>
          <w:color w:val="231F20"/>
          <w:spacing w:val="-6"/>
        </w:rPr>
        <w:t xml:space="preserve"> </w:t>
      </w:r>
      <w:r>
        <w:rPr>
          <w:color w:val="231F20"/>
        </w:rPr>
        <w:t>audited</w:t>
      </w:r>
      <w:r>
        <w:rPr>
          <w:color w:val="231F20"/>
          <w:spacing w:val="-7"/>
        </w:rPr>
        <w:t xml:space="preserve"> </w:t>
      </w:r>
      <w:r>
        <w:rPr>
          <w:color w:val="231F20"/>
        </w:rPr>
        <w:t>historical</w:t>
      </w:r>
      <w:r>
        <w:rPr>
          <w:color w:val="231F20"/>
          <w:spacing w:val="-7"/>
        </w:rPr>
        <w:t xml:space="preserve"> </w:t>
      </w:r>
      <w:r>
        <w:rPr>
          <w:color w:val="231F20"/>
        </w:rPr>
        <w:t>financial</w:t>
      </w:r>
      <w:r>
        <w:rPr>
          <w:color w:val="231F20"/>
          <w:spacing w:val="-7"/>
        </w:rPr>
        <w:t xml:space="preserve"> </w:t>
      </w:r>
      <w:r>
        <w:rPr>
          <w:color w:val="231F20"/>
        </w:rPr>
        <w:t>information</w:t>
      </w:r>
      <w:r>
        <w:rPr>
          <w:color w:val="231F20"/>
          <w:spacing w:val="-5"/>
        </w:rPr>
        <w:t xml:space="preserve"> </w:t>
      </w:r>
      <w:r>
        <w:rPr>
          <w:color w:val="231F20"/>
        </w:rPr>
        <w:t>referred</w:t>
      </w:r>
      <w:r>
        <w:rPr>
          <w:color w:val="231F20"/>
          <w:spacing w:val="-7"/>
        </w:rPr>
        <w:t xml:space="preserve"> </w:t>
      </w:r>
      <w:r>
        <w:rPr>
          <w:color w:val="231F20"/>
        </w:rPr>
        <w:t>to</w:t>
      </w:r>
      <w:r>
        <w:rPr>
          <w:color w:val="231F20"/>
          <w:spacing w:val="-5"/>
        </w:rPr>
        <w:t xml:space="preserve"> </w:t>
      </w:r>
      <w:r>
        <w:rPr>
          <w:color w:val="231F20"/>
        </w:rPr>
        <w:t>above</w:t>
      </w:r>
      <w:r>
        <w:rPr>
          <w:color w:val="231F20"/>
          <w:spacing w:val="-6"/>
        </w:rPr>
        <w:t xml:space="preserve"> </w:t>
      </w:r>
      <w:r>
        <w:rPr>
          <w:color w:val="231F20"/>
        </w:rPr>
        <w:t>was</w:t>
      </w:r>
      <w:r>
        <w:rPr>
          <w:color w:val="231F20"/>
          <w:spacing w:val="-4"/>
        </w:rPr>
        <w:t xml:space="preserve"> </w:t>
      </w:r>
      <w:r>
        <w:rPr>
          <w:color w:val="231F20"/>
        </w:rPr>
        <w:t>audited</w:t>
      </w:r>
      <w:r>
        <w:rPr>
          <w:color w:val="231F20"/>
          <w:spacing w:val="-7"/>
        </w:rPr>
        <w:t xml:space="preserve"> </w:t>
      </w:r>
      <w:r>
        <w:rPr>
          <w:color w:val="231F20"/>
        </w:rPr>
        <w:t>by</w:t>
      </w:r>
      <w:r>
        <w:rPr>
          <w:color w:val="231F20"/>
          <w:spacing w:val="-7"/>
        </w:rPr>
        <w:t xml:space="preserve"> </w:t>
      </w:r>
      <w:r>
        <w:rPr>
          <w:color w:val="231F20"/>
        </w:rPr>
        <w:t>PKF</w:t>
      </w:r>
      <w:r>
        <w:rPr>
          <w:color w:val="231F20"/>
          <w:spacing w:val="-7"/>
        </w:rPr>
        <w:t xml:space="preserve"> </w:t>
      </w:r>
      <w:r>
        <w:rPr>
          <w:color w:val="231F20"/>
        </w:rPr>
        <w:t>Littlejohn</w:t>
      </w:r>
      <w:r>
        <w:rPr>
          <w:color w:val="231F20"/>
          <w:spacing w:val="-7"/>
        </w:rPr>
        <w:t xml:space="preserve"> </w:t>
      </w:r>
      <w:r>
        <w:rPr>
          <w:color w:val="231F20"/>
        </w:rPr>
        <w:t>LLP.</w:t>
      </w:r>
      <w:r>
        <w:rPr>
          <w:color w:val="231F20"/>
          <w:spacing w:val="37"/>
        </w:rPr>
        <w:t xml:space="preserve"> </w:t>
      </w:r>
      <w:r>
        <w:rPr>
          <w:color w:val="231F20"/>
        </w:rPr>
        <w:t>The</w:t>
      </w:r>
      <w:r>
        <w:rPr>
          <w:color w:val="231F20"/>
          <w:spacing w:val="-5"/>
        </w:rPr>
        <w:t xml:space="preserve"> </w:t>
      </w:r>
      <w:r>
        <w:rPr>
          <w:color w:val="231F20"/>
        </w:rPr>
        <w:t>reports</w:t>
      </w:r>
      <w:r>
        <w:rPr>
          <w:color w:val="231F20"/>
          <w:spacing w:val="-4"/>
        </w:rPr>
        <w:t xml:space="preserve"> </w:t>
      </w:r>
      <w:r>
        <w:rPr>
          <w:color w:val="231F20"/>
        </w:rPr>
        <w:t>were without qualification and contained no statements under section 498(2) or (3) of CA 2006 and were prepared in accordance with International Financial Reporting Standards and are being incorporated by reference into this prospectus in accordance with Prospectus rule 2.4.1 as detailed</w:t>
      </w:r>
      <w:r>
        <w:rPr>
          <w:color w:val="231F20"/>
          <w:spacing w:val="-4"/>
        </w:rPr>
        <w:t xml:space="preserve"> </w:t>
      </w:r>
      <w:r>
        <w:rPr>
          <w:color w:val="231F20"/>
        </w:rPr>
        <w:t>below.</w:t>
      </w:r>
    </w:p>
    <w:p w14:paraId="72BD0345" w14:textId="77777777" w:rsidR="00783288" w:rsidRDefault="00783288">
      <w:pPr>
        <w:pStyle w:val="BodyText"/>
        <w:kinsoku w:val="0"/>
        <w:overflowPunct w:val="0"/>
        <w:spacing w:before="11"/>
        <w:rPr>
          <w:sz w:val="17"/>
          <w:szCs w:val="17"/>
        </w:rPr>
      </w:pPr>
    </w:p>
    <w:p w14:paraId="17205A13" w14:textId="54B308B2" w:rsidR="00783288" w:rsidRDefault="00E31420" w:rsidP="00B325E0">
      <w:pPr>
        <w:pStyle w:val="BodyText"/>
        <w:kinsoku w:val="0"/>
        <w:overflowPunct w:val="0"/>
        <w:ind w:left="300" w:right="1306"/>
        <w:jc w:val="both"/>
        <w:rPr>
          <w:color w:val="231F20"/>
        </w:rPr>
      </w:pPr>
      <w:r>
        <w:rPr>
          <w:color w:val="231F20"/>
        </w:rPr>
        <w:t>This Document should be read and construed in conjunction with</w:t>
      </w:r>
      <w:r w:rsidR="00397086">
        <w:rPr>
          <w:color w:val="231F20"/>
        </w:rPr>
        <w:t xml:space="preserve"> </w:t>
      </w:r>
      <w:r>
        <w:rPr>
          <w:color w:val="231F20"/>
        </w:rPr>
        <w:t>the</w:t>
      </w:r>
      <w:r>
        <w:rPr>
          <w:color w:val="231F20"/>
          <w:spacing w:val="-12"/>
        </w:rPr>
        <w:t xml:space="preserve"> </w:t>
      </w:r>
      <w:r>
        <w:rPr>
          <w:color w:val="231F20"/>
        </w:rPr>
        <w:t>annual</w:t>
      </w:r>
      <w:r>
        <w:rPr>
          <w:color w:val="231F20"/>
          <w:spacing w:val="-11"/>
        </w:rPr>
        <w:t xml:space="preserve"> </w:t>
      </w:r>
      <w:r>
        <w:rPr>
          <w:color w:val="231F20"/>
        </w:rPr>
        <w:t>report</w:t>
      </w:r>
      <w:r>
        <w:rPr>
          <w:color w:val="231F20"/>
          <w:spacing w:val="-11"/>
        </w:rPr>
        <w:t xml:space="preserve"> </w:t>
      </w:r>
      <w:r>
        <w:rPr>
          <w:color w:val="231F20"/>
        </w:rPr>
        <w:t>and</w:t>
      </w:r>
      <w:r>
        <w:rPr>
          <w:color w:val="231F20"/>
          <w:spacing w:val="-11"/>
        </w:rPr>
        <w:t xml:space="preserve"> </w:t>
      </w:r>
      <w:r>
        <w:rPr>
          <w:color w:val="231F20"/>
        </w:rPr>
        <w:t>accounts</w:t>
      </w:r>
      <w:r>
        <w:rPr>
          <w:color w:val="231F20"/>
          <w:spacing w:val="-13"/>
        </w:rPr>
        <w:t xml:space="preserve"> </w:t>
      </w:r>
      <w:r>
        <w:rPr>
          <w:color w:val="231F20"/>
        </w:rPr>
        <w:t>of</w:t>
      </w:r>
      <w:r>
        <w:rPr>
          <w:color w:val="231F20"/>
          <w:spacing w:val="-11"/>
        </w:rPr>
        <w:t xml:space="preserve"> </w:t>
      </w:r>
      <w:r>
        <w:rPr>
          <w:color w:val="231F20"/>
        </w:rPr>
        <w:t>the</w:t>
      </w:r>
      <w:r>
        <w:rPr>
          <w:color w:val="231F20"/>
          <w:spacing w:val="-13"/>
        </w:rPr>
        <w:t xml:space="preserve"> </w:t>
      </w:r>
      <w:r>
        <w:rPr>
          <w:color w:val="231F20"/>
        </w:rPr>
        <w:t>Group</w:t>
      </w:r>
      <w:r>
        <w:rPr>
          <w:color w:val="231F20"/>
          <w:spacing w:val="-12"/>
        </w:rPr>
        <w:t xml:space="preserve"> </w:t>
      </w:r>
      <w:r>
        <w:rPr>
          <w:color w:val="231F20"/>
        </w:rPr>
        <w:t>for</w:t>
      </w:r>
      <w:r>
        <w:rPr>
          <w:color w:val="231F20"/>
          <w:spacing w:val="-12"/>
        </w:rPr>
        <w:t xml:space="preserve"> </w:t>
      </w:r>
      <w:r>
        <w:rPr>
          <w:color w:val="231F20"/>
        </w:rPr>
        <w:t>the</w:t>
      </w:r>
      <w:r>
        <w:rPr>
          <w:color w:val="231F20"/>
          <w:spacing w:val="-11"/>
        </w:rPr>
        <w:t xml:space="preserve"> </w:t>
      </w:r>
      <w:r>
        <w:rPr>
          <w:color w:val="231F20"/>
        </w:rPr>
        <w:t>financial</w:t>
      </w:r>
      <w:r>
        <w:rPr>
          <w:color w:val="231F20"/>
          <w:spacing w:val="-13"/>
        </w:rPr>
        <w:t xml:space="preserve"> </w:t>
      </w:r>
      <w:r>
        <w:rPr>
          <w:color w:val="231F20"/>
        </w:rPr>
        <w:t>year</w:t>
      </w:r>
      <w:r>
        <w:rPr>
          <w:color w:val="231F20"/>
          <w:spacing w:val="-12"/>
        </w:rPr>
        <w:t xml:space="preserve"> </w:t>
      </w:r>
      <w:r>
        <w:rPr>
          <w:color w:val="231F20"/>
        </w:rPr>
        <w:t>ended</w:t>
      </w:r>
      <w:r>
        <w:rPr>
          <w:color w:val="231F20"/>
          <w:spacing w:val="-13"/>
        </w:rPr>
        <w:t xml:space="preserve"> </w:t>
      </w:r>
      <w:r>
        <w:rPr>
          <w:color w:val="231F20"/>
        </w:rPr>
        <w:t>31</w:t>
      </w:r>
      <w:r>
        <w:rPr>
          <w:color w:val="231F20"/>
          <w:spacing w:val="-11"/>
        </w:rPr>
        <w:t xml:space="preserve"> </w:t>
      </w:r>
      <w:r>
        <w:rPr>
          <w:color w:val="231F20"/>
        </w:rPr>
        <w:t>December</w:t>
      </w:r>
      <w:r>
        <w:rPr>
          <w:color w:val="231F20"/>
          <w:spacing w:val="-12"/>
        </w:rPr>
        <w:t xml:space="preserve"> </w:t>
      </w:r>
      <w:r w:rsidR="00D97B45">
        <w:rPr>
          <w:color w:val="231F20"/>
        </w:rPr>
        <w:t>2</w:t>
      </w:r>
      <w:r w:rsidR="00D97B45" w:rsidRPr="008B19C8">
        <w:rPr>
          <w:color w:val="231F20"/>
        </w:rPr>
        <w:t>020</w:t>
      </w:r>
      <w:r w:rsidR="00D97B45">
        <w:rPr>
          <w:color w:val="231F20"/>
          <w:spacing w:val="-13"/>
        </w:rPr>
        <w:t xml:space="preserve"> </w:t>
      </w:r>
      <w:r>
        <w:rPr>
          <w:color w:val="231F20"/>
        </w:rPr>
        <w:t>together with the audit reports on them</w:t>
      </w:r>
      <w:r w:rsidR="00397086">
        <w:rPr>
          <w:color w:val="231F20"/>
        </w:rPr>
        <w:t xml:space="preserve">. </w:t>
      </w:r>
      <w:r>
        <w:rPr>
          <w:color w:val="231F20"/>
        </w:rPr>
        <w:t>The following list is intended to enable investors to identify easily specific items of information which have been incorporated</w:t>
      </w:r>
      <w:r>
        <w:rPr>
          <w:color w:val="231F20"/>
          <w:spacing w:val="-10"/>
        </w:rPr>
        <w:t xml:space="preserve"> </w:t>
      </w:r>
      <w:r>
        <w:rPr>
          <w:color w:val="231F20"/>
        </w:rPr>
        <w:t>by</w:t>
      </w:r>
      <w:r>
        <w:rPr>
          <w:color w:val="231F20"/>
          <w:spacing w:val="-11"/>
        </w:rPr>
        <w:t xml:space="preserve"> </w:t>
      </w:r>
      <w:r>
        <w:rPr>
          <w:color w:val="231F20"/>
        </w:rPr>
        <w:t>reference</w:t>
      </w:r>
      <w:r>
        <w:rPr>
          <w:color w:val="231F20"/>
          <w:spacing w:val="-9"/>
        </w:rPr>
        <w:t xml:space="preserve"> </w:t>
      </w:r>
      <w:r>
        <w:rPr>
          <w:color w:val="231F20"/>
        </w:rPr>
        <w:t>into</w:t>
      </w:r>
      <w:r>
        <w:rPr>
          <w:color w:val="231F20"/>
          <w:spacing w:val="-12"/>
        </w:rPr>
        <w:t xml:space="preserve"> </w:t>
      </w:r>
      <w:r>
        <w:rPr>
          <w:color w:val="231F20"/>
        </w:rPr>
        <w:t>this</w:t>
      </w:r>
      <w:r>
        <w:rPr>
          <w:color w:val="231F20"/>
          <w:spacing w:val="-10"/>
        </w:rPr>
        <w:t xml:space="preserve"> </w:t>
      </w:r>
      <w:r>
        <w:rPr>
          <w:color w:val="231F20"/>
        </w:rPr>
        <w:t>prospectus.</w:t>
      </w:r>
      <w:r>
        <w:rPr>
          <w:color w:val="231F20"/>
          <w:spacing w:val="-10"/>
        </w:rPr>
        <w:t xml:space="preserve"> </w:t>
      </w:r>
      <w:r>
        <w:rPr>
          <w:color w:val="231F20"/>
        </w:rPr>
        <w:t>The</w:t>
      </w:r>
      <w:r>
        <w:rPr>
          <w:color w:val="231F20"/>
          <w:spacing w:val="-9"/>
        </w:rPr>
        <w:t xml:space="preserve"> </w:t>
      </w:r>
      <w:r>
        <w:rPr>
          <w:color w:val="231F20"/>
        </w:rPr>
        <w:t>parts</w:t>
      </w:r>
      <w:r>
        <w:rPr>
          <w:color w:val="231F20"/>
          <w:spacing w:val="-11"/>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Document</w:t>
      </w:r>
      <w:r>
        <w:rPr>
          <w:color w:val="231F20"/>
          <w:spacing w:val="-9"/>
        </w:rPr>
        <w:t xml:space="preserve"> </w:t>
      </w:r>
      <w:r>
        <w:rPr>
          <w:color w:val="231F20"/>
        </w:rPr>
        <w:t>which</w:t>
      </w:r>
      <w:r>
        <w:rPr>
          <w:color w:val="231F20"/>
          <w:spacing w:val="-10"/>
        </w:rPr>
        <w:t xml:space="preserve"> </w:t>
      </w:r>
      <w:r>
        <w:rPr>
          <w:color w:val="231F20"/>
        </w:rPr>
        <w:t>are</w:t>
      </w:r>
      <w:r>
        <w:rPr>
          <w:color w:val="231F20"/>
          <w:spacing w:val="-9"/>
        </w:rPr>
        <w:t xml:space="preserve"> </w:t>
      </w:r>
      <w:r>
        <w:rPr>
          <w:color w:val="231F20"/>
        </w:rPr>
        <w:t>not</w:t>
      </w:r>
      <w:r>
        <w:rPr>
          <w:color w:val="231F20"/>
          <w:spacing w:val="-12"/>
        </w:rPr>
        <w:t xml:space="preserve"> </w:t>
      </w:r>
      <w:r>
        <w:rPr>
          <w:color w:val="231F20"/>
        </w:rPr>
        <w:t>incorporated</w:t>
      </w:r>
      <w:r>
        <w:rPr>
          <w:color w:val="231F20"/>
          <w:spacing w:val="-9"/>
        </w:rPr>
        <w:t xml:space="preserve"> </w:t>
      </w:r>
      <w:r>
        <w:rPr>
          <w:color w:val="231F20"/>
        </w:rPr>
        <w:t>by</w:t>
      </w:r>
      <w:r>
        <w:rPr>
          <w:color w:val="231F20"/>
          <w:spacing w:val="-11"/>
        </w:rPr>
        <w:t xml:space="preserve"> </w:t>
      </w:r>
      <w:r>
        <w:rPr>
          <w:color w:val="231F20"/>
        </w:rPr>
        <w:t>reference are</w:t>
      </w:r>
      <w:r>
        <w:rPr>
          <w:color w:val="231F20"/>
          <w:spacing w:val="-4"/>
        </w:rPr>
        <w:t xml:space="preserve"> </w:t>
      </w:r>
      <w:r>
        <w:rPr>
          <w:color w:val="231F20"/>
        </w:rPr>
        <w:t>either</w:t>
      </w:r>
      <w:r>
        <w:rPr>
          <w:color w:val="231F20"/>
          <w:spacing w:val="-4"/>
        </w:rPr>
        <w:t xml:space="preserve"> </w:t>
      </w:r>
      <w:r>
        <w:rPr>
          <w:color w:val="231F20"/>
        </w:rPr>
        <w:t>not</w:t>
      </w:r>
      <w:r>
        <w:rPr>
          <w:color w:val="231F20"/>
          <w:spacing w:val="-4"/>
        </w:rPr>
        <w:t xml:space="preserve"> </w:t>
      </w:r>
      <w:r>
        <w:rPr>
          <w:color w:val="231F20"/>
        </w:rPr>
        <w:t>relevant</w:t>
      </w:r>
      <w:r>
        <w:rPr>
          <w:color w:val="231F20"/>
          <w:spacing w:val="-3"/>
        </w:rPr>
        <w:t xml:space="preserve"> </w:t>
      </w:r>
      <w:r>
        <w:rPr>
          <w:color w:val="231F20"/>
        </w:rPr>
        <w:t>for</w:t>
      </w:r>
      <w:r>
        <w:rPr>
          <w:color w:val="231F20"/>
          <w:spacing w:val="-4"/>
        </w:rPr>
        <w:t xml:space="preserve"> </w:t>
      </w:r>
      <w:r>
        <w:rPr>
          <w:color w:val="231F20"/>
        </w:rPr>
        <w:t>investors</w:t>
      </w:r>
      <w:r>
        <w:rPr>
          <w:color w:val="231F20"/>
          <w:spacing w:val="-3"/>
        </w:rPr>
        <w:t xml:space="preserve"> </w:t>
      </w:r>
      <w:r>
        <w:rPr>
          <w:color w:val="231F20"/>
        </w:rPr>
        <w:t>or</w:t>
      </w:r>
      <w:r>
        <w:rPr>
          <w:color w:val="231F20"/>
          <w:spacing w:val="-3"/>
        </w:rPr>
        <w:t xml:space="preserve"> </w:t>
      </w:r>
      <w:r>
        <w:rPr>
          <w:color w:val="231F20"/>
        </w:rPr>
        <w:t>are</w:t>
      </w:r>
      <w:r>
        <w:rPr>
          <w:color w:val="231F20"/>
          <w:spacing w:val="-4"/>
        </w:rPr>
        <w:t xml:space="preserve"> </w:t>
      </w:r>
      <w:r>
        <w:rPr>
          <w:color w:val="231F20"/>
        </w:rPr>
        <w:t>covered</w:t>
      </w:r>
      <w:r>
        <w:rPr>
          <w:color w:val="231F20"/>
          <w:spacing w:val="-4"/>
        </w:rPr>
        <w:t xml:space="preserve"> </w:t>
      </w:r>
      <w:r>
        <w:rPr>
          <w:color w:val="231F20"/>
        </w:rPr>
        <w:t>elsewhere</w:t>
      </w:r>
      <w:r>
        <w:rPr>
          <w:color w:val="231F20"/>
          <w:spacing w:val="-2"/>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prospectus.</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extent</w:t>
      </w:r>
      <w:r>
        <w:rPr>
          <w:color w:val="231F20"/>
          <w:spacing w:val="-4"/>
        </w:rPr>
        <w:t xml:space="preserve"> </w:t>
      </w:r>
      <w:r>
        <w:rPr>
          <w:color w:val="231F20"/>
        </w:rPr>
        <w:t>that</w:t>
      </w:r>
      <w:r>
        <w:rPr>
          <w:color w:val="231F20"/>
          <w:spacing w:val="-3"/>
        </w:rPr>
        <w:t xml:space="preserve"> </w:t>
      </w:r>
      <w:r>
        <w:rPr>
          <w:color w:val="231F20"/>
        </w:rPr>
        <w:t>any</w:t>
      </w:r>
      <w:r>
        <w:rPr>
          <w:color w:val="231F20"/>
          <w:spacing w:val="-6"/>
        </w:rPr>
        <w:t xml:space="preserve"> </w:t>
      </w:r>
      <w:r>
        <w:rPr>
          <w:color w:val="231F20"/>
        </w:rPr>
        <w:t>part</w:t>
      </w:r>
      <w:r>
        <w:rPr>
          <w:color w:val="231F20"/>
          <w:spacing w:val="-4"/>
        </w:rPr>
        <w:t xml:space="preserve"> </w:t>
      </w:r>
      <w:r>
        <w:rPr>
          <w:color w:val="231F20"/>
        </w:rPr>
        <w:t>of</w:t>
      </w:r>
      <w:r>
        <w:rPr>
          <w:color w:val="231F20"/>
          <w:spacing w:val="-3"/>
        </w:rPr>
        <w:t xml:space="preserve"> </w:t>
      </w:r>
      <w:r>
        <w:rPr>
          <w:color w:val="231F20"/>
        </w:rPr>
        <w:t>any information referred to below itself contains information which is incorporated by reference, such information will not form part of this</w:t>
      </w:r>
      <w:r>
        <w:rPr>
          <w:color w:val="231F20"/>
          <w:spacing w:val="-1"/>
        </w:rPr>
        <w:t xml:space="preserve"> </w:t>
      </w:r>
      <w:r>
        <w:rPr>
          <w:color w:val="231F20"/>
        </w:rPr>
        <w:t>Document.</w:t>
      </w:r>
    </w:p>
    <w:p w14:paraId="2C164606" w14:textId="77777777" w:rsidR="00783288" w:rsidRDefault="00783288">
      <w:pPr>
        <w:pStyle w:val="BodyText"/>
        <w:kinsoku w:val="0"/>
        <w:overflowPunct w:val="0"/>
        <w:spacing w:before="8"/>
        <w:rPr>
          <w:sz w:val="17"/>
          <w:szCs w:val="17"/>
        </w:rPr>
      </w:pPr>
    </w:p>
    <w:p w14:paraId="6D8912AB" w14:textId="13BF2233" w:rsidR="00783288" w:rsidRDefault="00E31420">
      <w:pPr>
        <w:pStyle w:val="Heading1"/>
        <w:kinsoku w:val="0"/>
        <w:overflowPunct w:val="0"/>
        <w:spacing w:before="1"/>
        <w:rPr>
          <w:color w:val="231F20"/>
        </w:rPr>
      </w:pPr>
      <w:r>
        <w:rPr>
          <w:color w:val="231F20"/>
        </w:rPr>
        <w:t xml:space="preserve">IFRS financial statements for the year ended 31 December </w:t>
      </w:r>
      <w:r w:rsidR="00D97B45">
        <w:rPr>
          <w:color w:val="231F20"/>
        </w:rPr>
        <w:t xml:space="preserve">2020 </w:t>
      </w:r>
      <w:r>
        <w:rPr>
          <w:color w:val="231F20"/>
        </w:rPr>
        <w:t>and the auditors’ report thereon.</w:t>
      </w:r>
    </w:p>
    <w:p w14:paraId="3E9E16B1" w14:textId="77777777" w:rsidR="00783288" w:rsidRDefault="00783288">
      <w:pPr>
        <w:pStyle w:val="BodyText"/>
        <w:kinsoku w:val="0"/>
        <w:overflowPunct w:val="0"/>
        <w:spacing w:before="3"/>
        <w:rPr>
          <w:b/>
          <w:bCs/>
        </w:rPr>
      </w:pPr>
    </w:p>
    <w:p w14:paraId="51D965C8" w14:textId="268FCD6E" w:rsidR="00783288" w:rsidRDefault="00E31420">
      <w:pPr>
        <w:pStyle w:val="BodyText"/>
        <w:kinsoku w:val="0"/>
        <w:overflowPunct w:val="0"/>
        <w:ind w:left="300" w:right="1189"/>
        <w:rPr>
          <w:color w:val="231F20"/>
        </w:rPr>
      </w:pPr>
      <w:r>
        <w:rPr>
          <w:color w:val="231F20"/>
        </w:rPr>
        <w:t xml:space="preserve">The page numbers below refer to the relevant pages of the annual report and accounts of the Company for the year ended 31 December </w:t>
      </w:r>
      <w:r w:rsidR="00627583">
        <w:rPr>
          <w:color w:val="231F20"/>
        </w:rPr>
        <w:t>2020</w:t>
      </w:r>
      <w:r>
        <w:rPr>
          <w:color w:val="231F20"/>
        </w:rPr>
        <w:t>:</w:t>
      </w:r>
    </w:p>
    <w:p w14:paraId="1C228F90" w14:textId="2F7C70A5" w:rsidR="00783288" w:rsidRDefault="00E31420" w:rsidP="00512495">
      <w:pPr>
        <w:pStyle w:val="ListParagraph"/>
        <w:numPr>
          <w:ilvl w:val="0"/>
          <w:numId w:val="16"/>
        </w:numPr>
        <w:tabs>
          <w:tab w:val="left" w:pos="1020"/>
        </w:tabs>
        <w:kinsoku w:val="0"/>
        <w:overflowPunct w:val="0"/>
        <w:spacing w:before="1" w:line="219" w:lineRule="exact"/>
        <w:ind w:left="1020"/>
        <w:rPr>
          <w:color w:val="231F20"/>
          <w:sz w:val="18"/>
          <w:szCs w:val="18"/>
        </w:rPr>
      </w:pPr>
      <w:r>
        <w:rPr>
          <w:color w:val="231F20"/>
          <w:sz w:val="18"/>
          <w:szCs w:val="18"/>
        </w:rPr>
        <w:t>Chairman’s statement</w:t>
      </w:r>
      <w:r w:rsidR="00627583">
        <w:rPr>
          <w:color w:val="231F20"/>
          <w:sz w:val="18"/>
          <w:szCs w:val="18"/>
        </w:rPr>
        <w:t xml:space="preserve"> </w:t>
      </w:r>
      <w:r>
        <w:rPr>
          <w:color w:val="231F20"/>
          <w:sz w:val="18"/>
          <w:szCs w:val="18"/>
        </w:rPr>
        <w:t>– page</w:t>
      </w:r>
      <w:r>
        <w:rPr>
          <w:color w:val="231F20"/>
          <w:spacing w:val="-1"/>
          <w:sz w:val="18"/>
          <w:szCs w:val="18"/>
        </w:rPr>
        <w:t xml:space="preserve"> </w:t>
      </w:r>
      <w:proofErr w:type="gramStart"/>
      <w:r>
        <w:rPr>
          <w:color w:val="231F20"/>
          <w:sz w:val="18"/>
          <w:szCs w:val="18"/>
        </w:rPr>
        <w:t>2;</w:t>
      </w:r>
      <w:proofErr w:type="gramEnd"/>
    </w:p>
    <w:p w14:paraId="2892475D" w14:textId="289144ED" w:rsidR="00627583" w:rsidRDefault="00627583" w:rsidP="00512495">
      <w:pPr>
        <w:pStyle w:val="ListParagraph"/>
        <w:numPr>
          <w:ilvl w:val="0"/>
          <w:numId w:val="16"/>
        </w:numPr>
        <w:tabs>
          <w:tab w:val="left" w:pos="1020"/>
        </w:tabs>
        <w:kinsoku w:val="0"/>
        <w:overflowPunct w:val="0"/>
        <w:spacing w:before="1" w:line="219" w:lineRule="exact"/>
        <w:ind w:left="1020"/>
        <w:rPr>
          <w:color w:val="231F20"/>
          <w:sz w:val="18"/>
          <w:szCs w:val="18"/>
        </w:rPr>
      </w:pPr>
      <w:r>
        <w:rPr>
          <w:color w:val="231F20"/>
          <w:sz w:val="18"/>
          <w:szCs w:val="18"/>
        </w:rPr>
        <w:t xml:space="preserve">Group strategic report – page </w:t>
      </w:r>
      <w:proofErr w:type="gramStart"/>
      <w:r>
        <w:rPr>
          <w:color w:val="231F20"/>
          <w:sz w:val="18"/>
          <w:szCs w:val="18"/>
        </w:rPr>
        <w:t>4;</w:t>
      </w:r>
      <w:proofErr w:type="gramEnd"/>
    </w:p>
    <w:p w14:paraId="74EA3BFC" w14:textId="53FA27E8" w:rsidR="00783288" w:rsidRDefault="00E31420" w:rsidP="00512495">
      <w:pPr>
        <w:pStyle w:val="ListParagraph"/>
        <w:numPr>
          <w:ilvl w:val="0"/>
          <w:numId w:val="16"/>
        </w:numPr>
        <w:tabs>
          <w:tab w:val="left" w:pos="1020"/>
        </w:tabs>
        <w:kinsoku w:val="0"/>
        <w:overflowPunct w:val="0"/>
        <w:spacing w:line="218" w:lineRule="exact"/>
        <w:ind w:left="1020"/>
        <w:rPr>
          <w:color w:val="231F20"/>
          <w:sz w:val="18"/>
          <w:szCs w:val="18"/>
        </w:rPr>
      </w:pPr>
      <w:r>
        <w:rPr>
          <w:color w:val="231F20"/>
          <w:sz w:val="18"/>
          <w:szCs w:val="18"/>
        </w:rPr>
        <w:t>Independent auditor’s report – page</w:t>
      </w:r>
      <w:r>
        <w:rPr>
          <w:color w:val="231F20"/>
          <w:spacing w:val="-4"/>
          <w:sz w:val="18"/>
          <w:szCs w:val="18"/>
        </w:rPr>
        <w:t xml:space="preserve"> </w:t>
      </w:r>
      <w:proofErr w:type="gramStart"/>
      <w:r>
        <w:rPr>
          <w:color w:val="231F20"/>
          <w:sz w:val="18"/>
          <w:szCs w:val="18"/>
        </w:rPr>
        <w:t>1</w:t>
      </w:r>
      <w:r w:rsidR="00627583">
        <w:rPr>
          <w:color w:val="231F20"/>
          <w:sz w:val="18"/>
          <w:szCs w:val="18"/>
        </w:rPr>
        <w:t>7</w:t>
      </w:r>
      <w:r>
        <w:rPr>
          <w:color w:val="231F20"/>
          <w:sz w:val="18"/>
          <w:szCs w:val="18"/>
        </w:rPr>
        <w:t>;</w:t>
      </w:r>
      <w:proofErr w:type="gramEnd"/>
    </w:p>
    <w:p w14:paraId="590C26FC" w14:textId="3ED9D170" w:rsidR="00783288" w:rsidRDefault="00E31420" w:rsidP="00512495">
      <w:pPr>
        <w:pStyle w:val="ListParagraph"/>
        <w:numPr>
          <w:ilvl w:val="0"/>
          <w:numId w:val="16"/>
        </w:numPr>
        <w:tabs>
          <w:tab w:val="left" w:pos="1020"/>
        </w:tabs>
        <w:kinsoku w:val="0"/>
        <w:overflowPunct w:val="0"/>
        <w:spacing w:line="219" w:lineRule="exact"/>
        <w:ind w:left="1020"/>
        <w:rPr>
          <w:color w:val="231F20"/>
          <w:sz w:val="18"/>
          <w:szCs w:val="18"/>
        </w:rPr>
      </w:pPr>
      <w:r>
        <w:rPr>
          <w:color w:val="231F20"/>
          <w:sz w:val="18"/>
          <w:szCs w:val="18"/>
        </w:rPr>
        <w:t>Group statement of comprehensive income – page</w:t>
      </w:r>
      <w:r>
        <w:rPr>
          <w:color w:val="231F20"/>
          <w:spacing w:val="-4"/>
          <w:sz w:val="18"/>
          <w:szCs w:val="18"/>
        </w:rPr>
        <w:t xml:space="preserve"> </w:t>
      </w:r>
      <w:proofErr w:type="gramStart"/>
      <w:r>
        <w:rPr>
          <w:color w:val="231F20"/>
          <w:sz w:val="18"/>
          <w:szCs w:val="18"/>
        </w:rPr>
        <w:t>2</w:t>
      </w:r>
      <w:r w:rsidR="00627583">
        <w:rPr>
          <w:color w:val="231F20"/>
          <w:sz w:val="18"/>
          <w:szCs w:val="18"/>
        </w:rPr>
        <w:t>2</w:t>
      </w:r>
      <w:r>
        <w:rPr>
          <w:color w:val="231F20"/>
          <w:sz w:val="18"/>
          <w:szCs w:val="18"/>
        </w:rPr>
        <w:t>;</w:t>
      </w:r>
      <w:proofErr w:type="gramEnd"/>
    </w:p>
    <w:p w14:paraId="424075E0" w14:textId="45448D94" w:rsidR="00783288" w:rsidRDefault="00E31420" w:rsidP="00512495">
      <w:pPr>
        <w:pStyle w:val="ListParagraph"/>
        <w:numPr>
          <w:ilvl w:val="0"/>
          <w:numId w:val="16"/>
        </w:numPr>
        <w:tabs>
          <w:tab w:val="left" w:pos="1020"/>
        </w:tabs>
        <w:kinsoku w:val="0"/>
        <w:overflowPunct w:val="0"/>
        <w:spacing w:before="1" w:line="219" w:lineRule="exact"/>
        <w:ind w:left="1020"/>
        <w:rPr>
          <w:color w:val="231F20"/>
          <w:sz w:val="18"/>
          <w:szCs w:val="18"/>
        </w:rPr>
      </w:pPr>
      <w:r>
        <w:rPr>
          <w:color w:val="231F20"/>
          <w:sz w:val="18"/>
          <w:szCs w:val="18"/>
        </w:rPr>
        <w:t>Statement of financial position – page</w:t>
      </w:r>
      <w:r>
        <w:rPr>
          <w:color w:val="231F20"/>
          <w:spacing w:val="-2"/>
          <w:sz w:val="18"/>
          <w:szCs w:val="18"/>
        </w:rPr>
        <w:t xml:space="preserve"> </w:t>
      </w:r>
      <w:proofErr w:type="gramStart"/>
      <w:r>
        <w:rPr>
          <w:color w:val="231F20"/>
          <w:sz w:val="18"/>
          <w:szCs w:val="18"/>
        </w:rPr>
        <w:t>2</w:t>
      </w:r>
      <w:r w:rsidR="00627583">
        <w:rPr>
          <w:color w:val="231F20"/>
          <w:sz w:val="18"/>
          <w:szCs w:val="18"/>
        </w:rPr>
        <w:t>3</w:t>
      </w:r>
      <w:r>
        <w:rPr>
          <w:color w:val="231F20"/>
          <w:sz w:val="18"/>
          <w:szCs w:val="18"/>
        </w:rPr>
        <w:t>;</w:t>
      </w:r>
      <w:proofErr w:type="gramEnd"/>
    </w:p>
    <w:p w14:paraId="3DF6F488" w14:textId="71F84313" w:rsidR="00783288" w:rsidRDefault="00E31420" w:rsidP="00512495">
      <w:pPr>
        <w:pStyle w:val="ListParagraph"/>
        <w:numPr>
          <w:ilvl w:val="0"/>
          <w:numId w:val="16"/>
        </w:numPr>
        <w:tabs>
          <w:tab w:val="left" w:pos="1020"/>
        </w:tabs>
        <w:kinsoku w:val="0"/>
        <w:overflowPunct w:val="0"/>
        <w:spacing w:line="218" w:lineRule="exact"/>
        <w:ind w:left="1020"/>
        <w:rPr>
          <w:color w:val="231F20"/>
          <w:sz w:val="18"/>
          <w:szCs w:val="18"/>
        </w:rPr>
      </w:pPr>
      <w:r>
        <w:rPr>
          <w:color w:val="231F20"/>
          <w:sz w:val="18"/>
          <w:szCs w:val="18"/>
        </w:rPr>
        <w:t>Group statement of changes in equity – page</w:t>
      </w:r>
      <w:r>
        <w:rPr>
          <w:color w:val="231F20"/>
          <w:spacing w:val="-2"/>
          <w:sz w:val="18"/>
          <w:szCs w:val="18"/>
        </w:rPr>
        <w:t xml:space="preserve"> </w:t>
      </w:r>
      <w:proofErr w:type="gramStart"/>
      <w:r>
        <w:rPr>
          <w:color w:val="231F20"/>
          <w:sz w:val="18"/>
          <w:szCs w:val="18"/>
        </w:rPr>
        <w:t>2</w:t>
      </w:r>
      <w:r w:rsidR="00627583">
        <w:rPr>
          <w:color w:val="231F20"/>
          <w:sz w:val="18"/>
          <w:szCs w:val="18"/>
        </w:rPr>
        <w:t>4;</w:t>
      </w:r>
      <w:proofErr w:type="gramEnd"/>
    </w:p>
    <w:p w14:paraId="460FDD4C" w14:textId="5C3227B6" w:rsidR="00783288" w:rsidRDefault="00E31420" w:rsidP="00512495">
      <w:pPr>
        <w:pStyle w:val="ListParagraph"/>
        <w:numPr>
          <w:ilvl w:val="0"/>
          <w:numId w:val="16"/>
        </w:numPr>
        <w:tabs>
          <w:tab w:val="left" w:pos="1020"/>
        </w:tabs>
        <w:kinsoku w:val="0"/>
        <w:overflowPunct w:val="0"/>
        <w:spacing w:line="219" w:lineRule="exact"/>
        <w:ind w:left="1020"/>
        <w:rPr>
          <w:color w:val="231F20"/>
          <w:sz w:val="18"/>
          <w:szCs w:val="18"/>
        </w:rPr>
      </w:pPr>
      <w:r>
        <w:rPr>
          <w:color w:val="231F20"/>
          <w:sz w:val="18"/>
          <w:szCs w:val="18"/>
        </w:rPr>
        <w:t>Company statement of changes in equity – page</w:t>
      </w:r>
      <w:r>
        <w:rPr>
          <w:color w:val="231F20"/>
          <w:spacing w:val="-7"/>
          <w:sz w:val="18"/>
          <w:szCs w:val="18"/>
        </w:rPr>
        <w:t xml:space="preserve"> </w:t>
      </w:r>
      <w:proofErr w:type="gramStart"/>
      <w:r>
        <w:rPr>
          <w:color w:val="231F20"/>
          <w:sz w:val="18"/>
          <w:szCs w:val="18"/>
        </w:rPr>
        <w:t>2</w:t>
      </w:r>
      <w:r w:rsidR="00627583">
        <w:rPr>
          <w:color w:val="231F20"/>
          <w:sz w:val="18"/>
          <w:szCs w:val="18"/>
        </w:rPr>
        <w:t>5</w:t>
      </w:r>
      <w:r>
        <w:rPr>
          <w:color w:val="231F20"/>
          <w:sz w:val="18"/>
          <w:szCs w:val="18"/>
        </w:rPr>
        <w:t>;</w:t>
      </w:r>
      <w:proofErr w:type="gramEnd"/>
    </w:p>
    <w:p w14:paraId="69A988EB" w14:textId="0B2A5C0B" w:rsidR="00783288" w:rsidRDefault="00E31420" w:rsidP="00512495">
      <w:pPr>
        <w:pStyle w:val="ListParagraph"/>
        <w:numPr>
          <w:ilvl w:val="0"/>
          <w:numId w:val="16"/>
        </w:numPr>
        <w:tabs>
          <w:tab w:val="left" w:pos="1020"/>
        </w:tabs>
        <w:kinsoku w:val="0"/>
        <w:overflowPunct w:val="0"/>
        <w:spacing w:line="219" w:lineRule="exact"/>
        <w:ind w:left="1020"/>
        <w:rPr>
          <w:color w:val="231F20"/>
          <w:sz w:val="18"/>
          <w:szCs w:val="18"/>
        </w:rPr>
      </w:pPr>
      <w:r>
        <w:rPr>
          <w:color w:val="231F20"/>
          <w:sz w:val="18"/>
          <w:szCs w:val="18"/>
        </w:rPr>
        <w:t>Statement of cash flows – page</w:t>
      </w:r>
      <w:r>
        <w:rPr>
          <w:color w:val="231F20"/>
          <w:spacing w:val="-5"/>
          <w:sz w:val="18"/>
          <w:szCs w:val="18"/>
        </w:rPr>
        <w:t xml:space="preserve"> </w:t>
      </w:r>
      <w:proofErr w:type="gramStart"/>
      <w:r>
        <w:rPr>
          <w:color w:val="231F20"/>
          <w:sz w:val="18"/>
          <w:szCs w:val="18"/>
        </w:rPr>
        <w:t>2</w:t>
      </w:r>
      <w:r w:rsidR="00627583">
        <w:rPr>
          <w:color w:val="231F20"/>
          <w:sz w:val="18"/>
          <w:szCs w:val="18"/>
        </w:rPr>
        <w:t>6</w:t>
      </w:r>
      <w:r>
        <w:rPr>
          <w:color w:val="231F20"/>
          <w:sz w:val="18"/>
          <w:szCs w:val="18"/>
        </w:rPr>
        <w:t>;</w:t>
      </w:r>
      <w:proofErr w:type="gramEnd"/>
    </w:p>
    <w:p w14:paraId="27F6972F" w14:textId="3FE1974F" w:rsidR="00783288" w:rsidRDefault="00E31420" w:rsidP="00512495">
      <w:pPr>
        <w:pStyle w:val="ListParagraph"/>
        <w:numPr>
          <w:ilvl w:val="0"/>
          <w:numId w:val="16"/>
        </w:numPr>
        <w:tabs>
          <w:tab w:val="left" w:pos="1020"/>
        </w:tabs>
        <w:kinsoku w:val="0"/>
        <w:overflowPunct w:val="0"/>
        <w:spacing w:line="219" w:lineRule="exact"/>
        <w:ind w:left="1020"/>
        <w:rPr>
          <w:color w:val="231F20"/>
          <w:sz w:val="18"/>
          <w:szCs w:val="18"/>
        </w:rPr>
      </w:pPr>
      <w:r>
        <w:rPr>
          <w:color w:val="231F20"/>
          <w:sz w:val="18"/>
          <w:szCs w:val="18"/>
        </w:rPr>
        <w:t>Notes</w:t>
      </w:r>
      <w:r>
        <w:rPr>
          <w:color w:val="231F20"/>
          <w:spacing w:val="-5"/>
          <w:sz w:val="18"/>
          <w:szCs w:val="18"/>
        </w:rPr>
        <w:t xml:space="preserve"> </w:t>
      </w:r>
      <w:r>
        <w:rPr>
          <w:color w:val="231F20"/>
          <w:sz w:val="18"/>
          <w:szCs w:val="18"/>
        </w:rPr>
        <w:t>to</w:t>
      </w:r>
      <w:r>
        <w:rPr>
          <w:color w:val="231F20"/>
          <w:spacing w:val="-4"/>
          <w:sz w:val="18"/>
          <w:szCs w:val="18"/>
        </w:rPr>
        <w:t xml:space="preserve"> </w:t>
      </w:r>
      <w:r>
        <w:rPr>
          <w:color w:val="231F20"/>
          <w:sz w:val="18"/>
          <w:szCs w:val="18"/>
        </w:rPr>
        <w:t>the</w:t>
      </w:r>
      <w:r>
        <w:rPr>
          <w:color w:val="231F20"/>
          <w:spacing w:val="-5"/>
          <w:sz w:val="18"/>
          <w:szCs w:val="18"/>
        </w:rPr>
        <w:t xml:space="preserve"> </w:t>
      </w:r>
      <w:r>
        <w:rPr>
          <w:color w:val="231F20"/>
          <w:sz w:val="18"/>
          <w:szCs w:val="18"/>
        </w:rPr>
        <w:t>financial</w:t>
      </w:r>
      <w:r>
        <w:rPr>
          <w:color w:val="231F20"/>
          <w:spacing w:val="-5"/>
          <w:sz w:val="18"/>
          <w:szCs w:val="18"/>
        </w:rPr>
        <w:t xml:space="preserve"> </w:t>
      </w:r>
      <w:r>
        <w:rPr>
          <w:color w:val="231F20"/>
          <w:sz w:val="18"/>
          <w:szCs w:val="18"/>
        </w:rPr>
        <w:t>statements</w:t>
      </w:r>
      <w:r>
        <w:rPr>
          <w:color w:val="231F20"/>
          <w:spacing w:val="-2"/>
          <w:sz w:val="18"/>
          <w:szCs w:val="18"/>
        </w:rPr>
        <w:t xml:space="preserve"> </w:t>
      </w:r>
      <w:r>
        <w:rPr>
          <w:color w:val="231F20"/>
          <w:sz w:val="18"/>
          <w:szCs w:val="18"/>
        </w:rPr>
        <w:t>(including</w:t>
      </w:r>
      <w:r>
        <w:rPr>
          <w:color w:val="231F20"/>
          <w:spacing w:val="-5"/>
          <w:sz w:val="18"/>
          <w:szCs w:val="18"/>
        </w:rPr>
        <w:t xml:space="preserve"> </w:t>
      </w:r>
      <w:r>
        <w:rPr>
          <w:color w:val="231F20"/>
          <w:sz w:val="18"/>
          <w:szCs w:val="18"/>
        </w:rPr>
        <w:t>a</w:t>
      </w:r>
      <w:r>
        <w:rPr>
          <w:color w:val="231F20"/>
          <w:spacing w:val="-5"/>
          <w:sz w:val="18"/>
          <w:szCs w:val="18"/>
        </w:rPr>
        <w:t xml:space="preserve"> </w:t>
      </w:r>
      <w:r>
        <w:rPr>
          <w:color w:val="231F20"/>
          <w:sz w:val="18"/>
          <w:szCs w:val="18"/>
        </w:rPr>
        <w:t>summary</w:t>
      </w:r>
      <w:r>
        <w:rPr>
          <w:color w:val="231F20"/>
          <w:spacing w:val="-5"/>
          <w:sz w:val="18"/>
          <w:szCs w:val="18"/>
        </w:rPr>
        <w:t xml:space="preserve"> </w:t>
      </w:r>
      <w:r>
        <w:rPr>
          <w:color w:val="231F20"/>
          <w:sz w:val="18"/>
          <w:szCs w:val="18"/>
        </w:rPr>
        <w:t>of</w:t>
      </w:r>
      <w:r>
        <w:rPr>
          <w:color w:val="231F20"/>
          <w:spacing w:val="-5"/>
          <w:sz w:val="18"/>
          <w:szCs w:val="18"/>
        </w:rPr>
        <w:t xml:space="preserve"> </w:t>
      </w:r>
      <w:r>
        <w:rPr>
          <w:color w:val="231F20"/>
          <w:sz w:val="18"/>
          <w:szCs w:val="18"/>
        </w:rPr>
        <w:t>significant</w:t>
      </w:r>
      <w:r>
        <w:rPr>
          <w:color w:val="231F20"/>
          <w:spacing w:val="-3"/>
          <w:sz w:val="18"/>
          <w:szCs w:val="18"/>
        </w:rPr>
        <w:t xml:space="preserve"> </w:t>
      </w:r>
      <w:r>
        <w:rPr>
          <w:color w:val="231F20"/>
          <w:sz w:val="18"/>
          <w:szCs w:val="18"/>
        </w:rPr>
        <w:t>accounting</w:t>
      </w:r>
      <w:r>
        <w:rPr>
          <w:color w:val="231F20"/>
          <w:spacing w:val="-5"/>
          <w:sz w:val="18"/>
          <w:szCs w:val="18"/>
        </w:rPr>
        <w:t xml:space="preserve"> </w:t>
      </w:r>
      <w:r>
        <w:rPr>
          <w:color w:val="231F20"/>
          <w:sz w:val="18"/>
          <w:szCs w:val="18"/>
        </w:rPr>
        <w:t>policies)</w:t>
      </w:r>
      <w:r>
        <w:rPr>
          <w:color w:val="231F20"/>
          <w:spacing w:val="-3"/>
          <w:sz w:val="18"/>
          <w:szCs w:val="18"/>
        </w:rPr>
        <w:t xml:space="preserve"> </w:t>
      </w:r>
      <w:r>
        <w:rPr>
          <w:color w:val="231F20"/>
          <w:sz w:val="18"/>
          <w:szCs w:val="18"/>
        </w:rPr>
        <w:t>–</w:t>
      </w:r>
      <w:r>
        <w:rPr>
          <w:color w:val="231F20"/>
          <w:spacing w:val="-5"/>
          <w:sz w:val="18"/>
          <w:szCs w:val="18"/>
        </w:rPr>
        <w:t xml:space="preserve"> </w:t>
      </w:r>
      <w:r>
        <w:rPr>
          <w:color w:val="231F20"/>
          <w:sz w:val="18"/>
          <w:szCs w:val="18"/>
        </w:rPr>
        <w:t>page</w:t>
      </w:r>
      <w:r>
        <w:rPr>
          <w:color w:val="231F20"/>
          <w:spacing w:val="-3"/>
          <w:sz w:val="18"/>
          <w:szCs w:val="18"/>
        </w:rPr>
        <w:t xml:space="preserve"> </w:t>
      </w:r>
      <w:r>
        <w:rPr>
          <w:color w:val="231F20"/>
          <w:sz w:val="18"/>
          <w:szCs w:val="18"/>
        </w:rPr>
        <w:t>2</w:t>
      </w:r>
      <w:r w:rsidR="00627583">
        <w:rPr>
          <w:color w:val="231F20"/>
          <w:sz w:val="18"/>
          <w:szCs w:val="18"/>
        </w:rPr>
        <w:t>7</w:t>
      </w:r>
      <w:r>
        <w:rPr>
          <w:color w:val="231F20"/>
          <w:spacing w:val="-3"/>
          <w:sz w:val="18"/>
          <w:szCs w:val="18"/>
        </w:rPr>
        <w:t xml:space="preserve"> </w:t>
      </w:r>
      <w:r>
        <w:rPr>
          <w:color w:val="231F20"/>
          <w:sz w:val="18"/>
          <w:szCs w:val="18"/>
        </w:rPr>
        <w:t>–</w:t>
      </w:r>
      <w:r>
        <w:rPr>
          <w:color w:val="231F20"/>
          <w:spacing w:val="-5"/>
          <w:sz w:val="18"/>
          <w:szCs w:val="18"/>
        </w:rPr>
        <w:t xml:space="preserve"> </w:t>
      </w:r>
      <w:r>
        <w:rPr>
          <w:color w:val="231F20"/>
          <w:sz w:val="18"/>
          <w:szCs w:val="18"/>
        </w:rPr>
        <w:t>4</w:t>
      </w:r>
      <w:r w:rsidR="00627583">
        <w:rPr>
          <w:color w:val="231F20"/>
          <w:sz w:val="18"/>
          <w:szCs w:val="18"/>
        </w:rPr>
        <w:t>4</w:t>
      </w:r>
      <w:r>
        <w:rPr>
          <w:color w:val="231F20"/>
          <w:sz w:val="18"/>
          <w:szCs w:val="18"/>
        </w:rPr>
        <w:t>.</w:t>
      </w:r>
    </w:p>
    <w:p w14:paraId="3A12AA8F" w14:textId="77777777" w:rsidR="00783288" w:rsidRDefault="00783288">
      <w:pPr>
        <w:pStyle w:val="BodyText"/>
        <w:kinsoku w:val="0"/>
        <w:overflowPunct w:val="0"/>
        <w:spacing w:before="6"/>
        <w:rPr>
          <w:sz w:val="9"/>
          <w:szCs w:val="9"/>
        </w:rPr>
      </w:pPr>
    </w:p>
    <w:p w14:paraId="79260A89" w14:textId="77777777" w:rsidR="00783288" w:rsidRDefault="00783288">
      <w:pPr>
        <w:pStyle w:val="BodyText"/>
        <w:kinsoku w:val="0"/>
        <w:overflowPunct w:val="0"/>
        <w:spacing w:before="6"/>
        <w:rPr>
          <w:sz w:val="9"/>
          <w:szCs w:val="9"/>
        </w:rPr>
        <w:sectPr w:rsidR="00783288">
          <w:pgSz w:w="11900" w:h="16840"/>
          <w:pgMar w:top="1560" w:right="240" w:bottom="1160" w:left="1140" w:header="0" w:footer="891" w:gutter="0"/>
          <w:cols w:space="720"/>
          <w:noEndnote/>
        </w:sectPr>
      </w:pPr>
    </w:p>
    <w:p w14:paraId="436F1AC3" w14:textId="7A66C3B7" w:rsidR="00783288" w:rsidRDefault="00E31420">
      <w:pPr>
        <w:pStyle w:val="BodyText"/>
        <w:kinsoku w:val="0"/>
        <w:overflowPunct w:val="0"/>
        <w:spacing w:before="95"/>
        <w:ind w:left="300"/>
        <w:jc w:val="both"/>
        <w:rPr>
          <w:color w:val="231F20"/>
        </w:rPr>
      </w:pPr>
      <w:r>
        <w:rPr>
          <w:color w:val="231F20"/>
        </w:rPr>
        <w:t xml:space="preserve">Copies of the Company’s audited financial statements for the year ended 31 December </w:t>
      </w:r>
      <w:r w:rsidR="00627583">
        <w:rPr>
          <w:color w:val="231F20"/>
        </w:rPr>
        <w:t xml:space="preserve">2020 </w:t>
      </w:r>
      <w:r>
        <w:rPr>
          <w:color w:val="231F20"/>
        </w:rPr>
        <w:t>are available for inspection as provided for in paragraph 21 of Part VII of this Document.</w:t>
      </w:r>
    </w:p>
    <w:p w14:paraId="18628162" w14:textId="77777777" w:rsidR="00783288" w:rsidRDefault="00783288">
      <w:pPr>
        <w:pStyle w:val="BodyText"/>
        <w:kinsoku w:val="0"/>
        <w:overflowPunct w:val="0"/>
      </w:pPr>
    </w:p>
    <w:p w14:paraId="160A5E93" w14:textId="77777777" w:rsidR="00783288" w:rsidRDefault="00E31420">
      <w:pPr>
        <w:pStyle w:val="BodyText"/>
        <w:kinsoku w:val="0"/>
        <w:overflowPunct w:val="0"/>
        <w:ind w:left="300"/>
        <w:jc w:val="both"/>
        <w:rPr>
          <w:color w:val="231F20"/>
        </w:rPr>
      </w:pPr>
      <w:r>
        <w:rPr>
          <w:color w:val="231F20"/>
        </w:rPr>
        <w:t>In</w:t>
      </w:r>
      <w:r>
        <w:rPr>
          <w:color w:val="231F20"/>
          <w:spacing w:val="-7"/>
        </w:rPr>
        <w:t xml:space="preserve"> </w:t>
      </w:r>
      <w:r>
        <w:rPr>
          <w:color w:val="231F20"/>
        </w:rPr>
        <w:t>relation</w:t>
      </w:r>
      <w:r>
        <w:rPr>
          <w:color w:val="231F20"/>
          <w:spacing w:val="-9"/>
        </w:rPr>
        <w:t xml:space="preserve"> </w:t>
      </w:r>
      <w:r>
        <w:rPr>
          <w:color w:val="231F20"/>
        </w:rPr>
        <w:t>to</w:t>
      </w:r>
      <w:r>
        <w:rPr>
          <w:color w:val="231F20"/>
          <w:spacing w:val="-7"/>
        </w:rPr>
        <w:t xml:space="preserve"> </w:t>
      </w:r>
      <w:r>
        <w:rPr>
          <w:color w:val="231F20"/>
        </w:rPr>
        <w:t>the</w:t>
      </w:r>
      <w:r>
        <w:rPr>
          <w:color w:val="231F20"/>
          <w:spacing w:val="-9"/>
        </w:rPr>
        <w:t xml:space="preserve"> </w:t>
      </w:r>
      <w:r>
        <w:rPr>
          <w:color w:val="231F20"/>
        </w:rPr>
        <w:t>audited</w:t>
      </w:r>
      <w:r>
        <w:rPr>
          <w:color w:val="231F20"/>
          <w:spacing w:val="-10"/>
        </w:rPr>
        <w:t xml:space="preserve"> </w:t>
      </w:r>
      <w:r>
        <w:rPr>
          <w:color w:val="231F20"/>
        </w:rPr>
        <w:t>financial</w:t>
      </w:r>
      <w:r>
        <w:rPr>
          <w:color w:val="231F20"/>
          <w:spacing w:val="-9"/>
        </w:rPr>
        <w:t xml:space="preserve"> </w:t>
      </w:r>
      <w:r>
        <w:rPr>
          <w:color w:val="231F20"/>
        </w:rPr>
        <w:t>information</w:t>
      </w:r>
      <w:r>
        <w:rPr>
          <w:color w:val="231F20"/>
          <w:spacing w:val="-9"/>
        </w:rPr>
        <w:t xml:space="preserve"> </w:t>
      </w:r>
      <w:r>
        <w:rPr>
          <w:color w:val="231F20"/>
        </w:rPr>
        <w:t>incorporated</w:t>
      </w:r>
      <w:r>
        <w:rPr>
          <w:color w:val="231F20"/>
          <w:spacing w:val="-10"/>
        </w:rPr>
        <w:t xml:space="preserve"> </w:t>
      </w:r>
      <w:r>
        <w:rPr>
          <w:color w:val="231F20"/>
        </w:rPr>
        <w:t>by</w:t>
      </w:r>
      <w:r>
        <w:rPr>
          <w:color w:val="231F20"/>
          <w:spacing w:val="-10"/>
        </w:rPr>
        <w:t xml:space="preserve"> </w:t>
      </w:r>
      <w:r>
        <w:rPr>
          <w:color w:val="231F20"/>
        </w:rPr>
        <w:t>reference</w:t>
      </w:r>
      <w:r>
        <w:rPr>
          <w:color w:val="231F20"/>
          <w:spacing w:val="-10"/>
        </w:rPr>
        <w:t xml:space="preserve"> </w:t>
      </w:r>
      <w:r>
        <w:rPr>
          <w:color w:val="231F20"/>
        </w:rPr>
        <w:t>above,</w:t>
      </w:r>
      <w:r>
        <w:rPr>
          <w:color w:val="231F20"/>
          <w:spacing w:val="-9"/>
        </w:rPr>
        <w:t xml:space="preserve"> </w:t>
      </w:r>
      <w:r>
        <w:rPr>
          <w:color w:val="231F20"/>
        </w:rPr>
        <w:t>no</w:t>
      </w:r>
      <w:r>
        <w:rPr>
          <w:color w:val="231F20"/>
          <w:spacing w:val="-9"/>
        </w:rPr>
        <w:t xml:space="preserve"> </w:t>
      </w:r>
      <w:r>
        <w:rPr>
          <w:color w:val="231F20"/>
        </w:rPr>
        <w:t>audit</w:t>
      </w:r>
      <w:r>
        <w:rPr>
          <w:color w:val="231F20"/>
          <w:spacing w:val="-10"/>
        </w:rPr>
        <w:t xml:space="preserve"> </w:t>
      </w:r>
      <w:r>
        <w:rPr>
          <w:color w:val="231F20"/>
        </w:rPr>
        <w:t>reports</w:t>
      </w:r>
      <w:r>
        <w:rPr>
          <w:color w:val="231F20"/>
          <w:spacing w:val="-6"/>
        </w:rPr>
        <w:t xml:space="preserve"> </w:t>
      </w:r>
      <w:r>
        <w:rPr>
          <w:color w:val="231F20"/>
        </w:rPr>
        <w:t>have</w:t>
      </w:r>
      <w:r>
        <w:rPr>
          <w:color w:val="231F20"/>
          <w:spacing w:val="-7"/>
        </w:rPr>
        <w:t xml:space="preserve"> </w:t>
      </w:r>
      <w:r>
        <w:rPr>
          <w:color w:val="231F20"/>
        </w:rPr>
        <w:t>been</w:t>
      </w:r>
      <w:r>
        <w:rPr>
          <w:color w:val="231F20"/>
          <w:spacing w:val="-9"/>
        </w:rPr>
        <w:t xml:space="preserve"> </w:t>
      </w:r>
      <w:r>
        <w:rPr>
          <w:color w:val="231F20"/>
        </w:rPr>
        <w:t>refused by the auditors of the Company and no audit reports contain qualifications or</w:t>
      </w:r>
      <w:r>
        <w:rPr>
          <w:color w:val="231F20"/>
          <w:spacing w:val="-16"/>
        </w:rPr>
        <w:t xml:space="preserve"> </w:t>
      </w:r>
      <w:r>
        <w:rPr>
          <w:color w:val="231F20"/>
        </w:rPr>
        <w:t>disclaimers.</w:t>
      </w:r>
    </w:p>
    <w:p w14:paraId="26DAFC4E" w14:textId="77777777" w:rsidR="00783288" w:rsidRDefault="00E31420">
      <w:pPr>
        <w:pStyle w:val="BodyText"/>
        <w:kinsoku w:val="0"/>
        <w:overflowPunct w:val="0"/>
      </w:pPr>
      <w:r>
        <w:rPr>
          <w:rFonts w:ascii="Times New Roman" w:hAnsi="Times New Roman" w:cs="Times New Roman"/>
          <w:sz w:val="24"/>
          <w:szCs w:val="24"/>
        </w:rPr>
        <w:br w:type="column"/>
      </w:r>
    </w:p>
    <w:p w14:paraId="3A0DFA14" w14:textId="77777777" w:rsidR="00783288" w:rsidRDefault="00783288">
      <w:pPr>
        <w:pStyle w:val="BodyText"/>
        <w:kinsoku w:val="0"/>
        <w:overflowPunct w:val="0"/>
      </w:pPr>
    </w:p>
    <w:p w14:paraId="453F9E84" w14:textId="77777777" w:rsidR="00783288" w:rsidRDefault="00783288">
      <w:pPr>
        <w:pStyle w:val="BodyText"/>
        <w:kinsoku w:val="0"/>
        <w:overflowPunct w:val="0"/>
      </w:pPr>
    </w:p>
    <w:p w14:paraId="34B11235" w14:textId="77777777" w:rsidR="00783288" w:rsidRDefault="00783288">
      <w:pPr>
        <w:pStyle w:val="BodyText"/>
        <w:kinsoku w:val="0"/>
        <w:overflowPunct w:val="0"/>
        <w:spacing w:before="10"/>
        <w:rPr>
          <w:sz w:val="22"/>
          <w:szCs w:val="22"/>
        </w:rPr>
      </w:pPr>
    </w:p>
    <w:p w14:paraId="0F450911" w14:textId="77777777" w:rsidR="00783288" w:rsidRDefault="00783288">
      <w:pPr>
        <w:pStyle w:val="BodyText"/>
        <w:kinsoku w:val="0"/>
        <w:overflowPunct w:val="0"/>
        <w:ind w:left="230"/>
        <w:rPr>
          <w:color w:val="231F20"/>
          <w:sz w:val="16"/>
          <w:szCs w:val="16"/>
        </w:rPr>
        <w:sectPr w:rsidR="00783288">
          <w:type w:val="continuous"/>
          <w:pgSz w:w="11900" w:h="16840"/>
          <w:pgMar w:top="1360" w:right="240" w:bottom="280" w:left="1140" w:header="720" w:footer="720" w:gutter="0"/>
          <w:cols w:num="2" w:space="720" w:equalWidth="0">
            <w:col w:w="9329" w:space="40"/>
            <w:col w:w="1151"/>
          </w:cols>
          <w:noEndnote/>
        </w:sectPr>
      </w:pPr>
    </w:p>
    <w:p w14:paraId="667986BF" w14:textId="77777777" w:rsidR="00783288" w:rsidRDefault="00E31420">
      <w:pPr>
        <w:pStyle w:val="Heading1"/>
        <w:kinsoku w:val="0"/>
        <w:overflowPunct w:val="0"/>
        <w:spacing w:before="74" w:line="477" w:lineRule="auto"/>
        <w:ind w:left="3107" w:right="3982" w:firstLine="1444"/>
        <w:rPr>
          <w:color w:val="050707"/>
        </w:rPr>
      </w:pPr>
      <w:r>
        <w:rPr>
          <w:color w:val="050707"/>
        </w:rPr>
        <w:lastRenderedPageBreak/>
        <w:t>Part V CAPITALISATION AND INDEBTEDNESS</w:t>
      </w:r>
    </w:p>
    <w:p w14:paraId="67E229FB" w14:textId="6EEBDDAA" w:rsidR="00CA6957" w:rsidRDefault="00E31420" w:rsidP="00CA6957">
      <w:pPr>
        <w:pStyle w:val="BodyText"/>
        <w:kinsoku w:val="0"/>
        <w:overflowPunct w:val="0"/>
        <w:ind w:left="300" w:right="1192"/>
        <w:jc w:val="both"/>
        <w:rPr>
          <w:color w:val="231F20"/>
        </w:rPr>
      </w:pPr>
      <w:r>
        <w:rPr>
          <w:color w:val="231F20"/>
        </w:rPr>
        <w:t xml:space="preserve">The following table shows the Group’s capitalisation and indebtedness as at </w:t>
      </w:r>
      <w:r w:rsidR="00CA6957">
        <w:t>31 December 2020</w:t>
      </w:r>
      <w:r>
        <w:rPr>
          <w:color w:val="231F20"/>
        </w:rPr>
        <w:t>.</w:t>
      </w:r>
      <w:r w:rsidR="00CA6957">
        <w:rPr>
          <w:color w:val="231F20"/>
        </w:rPr>
        <w:t xml:space="preserve"> </w:t>
      </w:r>
    </w:p>
    <w:p w14:paraId="5F3348B8" w14:textId="155B3A8F" w:rsidR="00783288" w:rsidRDefault="00783288">
      <w:pPr>
        <w:pStyle w:val="BodyText"/>
        <w:kinsoku w:val="0"/>
        <w:overflowPunct w:val="0"/>
        <w:spacing w:before="9"/>
        <w:ind w:left="300"/>
        <w:rPr>
          <w:color w:val="231F20"/>
        </w:rPr>
      </w:pPr>
    </w:p>
    <w:p w14:paraId="4D7993EF" w14:textId="77777777" w:rsidR="00783288" w:rsidRDefault="00783288">
      <w:pPr>
        <w:pStyle w:val="BodyText"/>
        <w:kinsoku w:val="0"/>
        <w:overflowPunct w:val="0"/>
        <w:rPr>
          <w:sz w:val="20"/>
          <w:szCs w:val="20"/>
        </w:rPr>
      </w:pPr>
    </w:p>
    <w:p w14:paraId="4C2D108A" w14:textId="77777777" w:rsidR="00783288" w:rsidRDefault="00783288">
      <w:pPr>
        <w:pStyle w:val="BodyText"/>
        <w:kinsoku w:val="0"/>
        <w:overflowPunct w:val="0"/>
        <w:rPr>
          <w:sz w:val="20"/>
          <w:szCs w:val="20"/>
        </w:rPr>
      </w:pPr>
    </w:p>
    <w:p w14:paraId="77E05A5E" w14:textId="77777777" w:rsidR="00783288" w:rsidRDefault="00783288">
      <w:pPr>
        <w:pStyle w:val="BodyText"/>
        <w:kinsoku w:val="0"/>
        <w:overflowPunct w:val="0"/>
        <w:spacing w:before="1"/>
      </w:pPr>
    </w:p>
    <w:p w14:paraId="74F7B8FD" w14:textId="77777777" w:rsidR="00783288" w:rsidRDefault="00783288">
      <w:pPr>
        <w:pStyle w:val="BodyText"/>
        <w:kinsoku w:val="0"/>
        <w:overflowPunct w:val="0"/>
        <w:spacing w:before="1"/>
        <w:sectPr w:rsidR="00783288">
          <w:pgSz w:w="11900" w:h="16840"/>
          <w:pgMar w:top="1360" w:right="240" w:bottom="1160" w:left="1140" w:header="0" w:footer="891" w:gutter="0"/>
          <w:cols w:space="720" w:equalWidth="0">
            <w:col w:w="10520"/>
          </w:cols>
          <w:noEndnote/>
        </w:sectPr>
      </w:pPr>
    </w:p>
    <w:p w14:paraId="5E80B107" w14:textId="77777777" w:rsidR="00783288" w:rsidRDefault="00783288">
      <w:pPr>
        <w:pStyle w:val="BodyText"/>
        <w:kinsoku w:val="0"/>
        <w:overflowPunct w:val="0"/>
        <w:rPr>
          <w:sz w:val="20"/>
          <w:szCs w:val="20"/>
        </w:rPr>
      </w:pPr>
    </w:p>
    <w:p w14:paraId="0A1441C6" w14:textId="77777777" w:rsidR="00783288" w:rsidRDefault="00783288">
      <w:pPr>
        <w:pStyle w:val="BodyText"/>
        <w:kinsoku w:val="0"/>
        <w:overflowPunct w:val="0"/>
        <w:spacing w:before="4"/>
        <w:rPr>
          <w:sz w:val="21"/>
          <w:szCs w:val="21"/>
        </w:rPr>
      </w:pPr>
    </w:p>
    <w:p w14:paraId="462BEF71" w14:textId="77777777" w:rsidR="00783288" w:rsidRDefault="00E31420">
      <w:pPr>
        <w:pStyle w:val="Heading1"/>
        <w:kinsoku w:val="0"/>
        <w:overflowPunct w:val="0"/>
        <w:rPr>
          <w:color w:val="231F20"/>
        </w:rPr>
      </w:pPr>
      <w:r>
        <w:rPr>
          <w:color w:val="231F20"/>
        </w:rPr>
        <w:t>Total Current Debt</w:t>
      </w:r>
    </w:p>
    <w:p w14:paraId="1E8DA9D4" w14:textId="4678F75C" w:rsidR="00783288" w:rsidRDefault="00E31420">
      <w:pPr>
        <w:pStyle w:val="BodyText"/>
        <w:kinsoku w:val="0"/>
        <w:overflowPunct w:val="0"/>
        <w:spacing w:before="94"/>
        <w:ind w:right="1427"/>
        <w:jc w:val="right"/>
        <w:rPr>
          <w:b/>
          <w:bCs/>
          <w:color w:val="231F20"/>
        </w:rPr>
      </w:pPr>
      <w:r>
        <w:rPr>
          <w:rFonts w:ascii="Times New Roman" w:hAnsi="Times New Roman" w:cs="Times New Roman"/>
          <w:sz w:val="24"/>
          <w:szCs w:val="24"/>
        </w:rPr>
        <w:br w:type="column"/>
      </w:r>
      <w:r>
        <w:rPr>
          <w:b/>
          <w:bCs/>
          <w:color w:val="231F20"/>
        </w:rPr>
        <w:t xml:space="preserve">31 </w:t>
      </w:r>
      <w:r w:rsidR="00351390">
        <w:rPr>
          <w:b/>
          <w:bCs/>
          <w:color w:val="231F20"/>
        </w:rPr>
        <w:t xml:space="preserve">December </w:t>
      </w:r>
      <w:r>
        <w:rPr>
          <w:b/>
          <w:bCs/>
          <w:color w:val="231F20"/>
        </w:rPr>
        <w:t>2020</w:t>
      </w:r>
    </w:p>
    <w:p w14:paraId="3BB8F372" w14:textId="77777777" w:rsidR="00783288" w:rsidRDefault="00783288">
      <w:pPr>
        <w:pStyle w:val="BodyText"/>
        <w:kinsoku w:val="0"/>
        <w:overflowPunct w:val="0"/>
        <w:spacing w:before="7"/>
        <w:rPr>
          <w:b/>
          <w:bCs/>
          <w:sz w:val="15"/>
          <w:szCs w:val="15"/>
        </w:rPr>
      </w:pPr>
    </w:p>
    <w:p w14:paraId="4160368E" w14:textId="77777777" w:rsidR="00783288" w:rsidRDefault="00E31420">
      <w:pPr>
        <w:pStyle w:val="BodyText"/>
        <w:kinsoku w:val="0"/>
        <w:overflowPunct w:val="0"/>
        <w:ind w:right="1430"/>
        <w:jc w:val="right"/>
        <w:rPr>
          <w:color w:val="231F20"/>
          <w:spacing w:val="-1"/>
        </w:rPr>
      </w:pPr>
      <w:r>
        <w:rPr>
          <w:color w:val="231F20"/>
          <w:spacing w:val="-1"/>
        </w:rPr>
        <w:t>(£)</w:t>
      </w:r>
    </w:p>
    <w:p w14:paraId="2319ACC5" w14:textId="77777777" w:rsidR="00783288" w:rsidRDefault="00783288">
      <w:pPr>
        <w:pStyle w:val="BodyText"/>
        <w:kinsoku w:val="0"/>
        <w:overflowPunct w:val="0"/>
        <w:ind w:right="1430"/>
        <w:jc w:val="right"/>
        <w:rPr>
          <w:color w:val="231F20"/>
          <w:spacing w:val="-1"/>
        </w:rPr>
        <w:sectPr w:rsidR="00783288">
          <w:type w:val="continuous"/>
          <w:pgSz w:w="11900" w:h="16840"/>
          <w:pgMar w:top="1360" w:right="240" w:bottom="280" w:left="1140" w:header="720" w:footer="720" w:gutter="0"/>
          <w:cols w:num="2" w:space="720" w:equalWidth="0">
            <w:col w:w="1922" w:space="5474"/>
            <w:col w:w="3124"/>
          </w:cols>
          <w:noEndnote/>
        </w:sectPr>
      </w:pPr>
    </w:p>
    <w:p w14:paraId="2B05CA79" w14:textId="77777777" w:rsidR="00783288" w:rsidRDefault="00E31420">
      <w:pPr>
        <w:pStyle w:val="BodyText"/>
        <w:tabs>
          <w:tab w:val="left" w:pos="9027"/>
        </w:tabs>
        <w:kinsoku w:val="0"/>
        <w:overflowPunct w:val="0"/>
        <w:spacing w:before="177"/>
        <w:ind w:left="300"/>
        <w:rPr>
          <w:color w:val="231F20"/>
        </w:rPr>
      </w:pPr>
      <w:r>
        <w:rPr>
          <w:color w:val="231F20"/>
        </w:rPr>
        <w:t>Guaranteed</w:t>
      </w:r>
      <w:r>
        <w:rPr>
          <w:color w:val="231F20"/>
        </w:rPr>
        <w:tab/>
        <w:t>-</w:t>
      </w:r>
    </w:p>
    <w:p w14:paraId="183553AF" w14:textId="77777777" w:rsidR="00783288" w:rsidRDefault="00E31420">
      <w:pPr>
        <w:pStyle w:val="BodyText"/>
        <w:tabs>
          <w:tab w:val="left" w:pos="9027"/>
        </w:tabs>
        <w:kinsoku w:val="0"/>
        <w:overflowPunct w:val="0"/>
        <w:spacing w:before="177"/>
        <w:ind w:left="300"/>
        <w:rPr>
          <w:color w:val="231F20"/>
        </w:rPr>
      </w:pPr>
      <w:r>
        <w:rPr>
          <w:color w:val="231F20"/>
        </w:rPr>
        <w:t>Secured</w:t>
      </w:r>
      <w:r>
        <w:rPr>
          <w:color w:val="231F20"/>
        </w:rPr>
        <w:tab/>
        <w:t>-</w:t>
      </w:r>
    </w:p>
    <w:p w14:paraId="50D81E3D" w14:textId="29B652CC" w:rsidR="00783288" w:rsidRDefault="00E31420">
      <w:pPr>
        <w:pStyle w:val="BodyText"/>
        <w:tabs>
          <w:tab w:val="left" w:pos="8538"/>
        </w:tabs>
        <w:kinsoku w:val="0"/>
        <w:overflowPunct w:val="0"/>
        <w:spacing w:before="177"/>
        <w:ind w:left="300"/>
        <w:rPr>
          <w:color w:val="231F20"/>
        </w:rPr>
      </w:pPr>
      <w:r>
        <w:rPr>
          <w:color w:val="231F20"/>
        </w:rPr>
        <w:t>Unguaranteed/Unsecured</w:t>
      </w:r>
      <w:r>
        <w:rPr>
          <w:color w:val="231F20"/>
        </w:rPr>
        <w:tab/>
      </w:r>
      <w:r w:rsidR="00853F84">
        <w:rPr>
          <w:color w:val="231F20"/>
        </w:rPr>
        <w:t>200,619</w:t>
      </w:r>
    </w:p>
    <w:p w14:paraId="0E0CF6CF" w14:textId="77777777" w:rsidR="00783288" w:rsidRDefault="00E31420">
      <w:pPr>
        <w:pStyle w:val="Heading1"/>
        <w:kinsoku w:val="0"/>
        <w:overflowPunct w:val="0"/>
        <w:spacing w:before="170"/>
        <w:rPr>
          <w:color w:val="231F20"/>
        </w:rPr>
      </w:pPr>
      <w:r>
        <w:rPr>
          <w:color w:val="231F20"/>
        </w:rPr>
        <w:t>Total Non-Current Debt</w:t>
      </w:r>
    </w:p>
    <w:p w14:paraId="22652537" w14:textId="77777777" w:rsidR="00783288" w:rsidRDefault="00783288">
      <w:pPr>
        <w:pStyle w:val="BodyText"/>
        <w:kinsoku w:val="0"/>
        <w:overflowPunct w:val="0"/>
        <w:spacing w:before="9"/>
        <w:rPr>
          <w:b/>
          <w:bCs/>
          <w:sz w:val="15"/>
          <w:szCs w:val="15"/>
        </w:rPr>
      </w:pPr>
    </w:p>
    <w:p w14:paraId="1D51636F" w14:textId="77777777" w:rsidR="00783288" w:rsidRDefault="00E31420">
      <w:pPr>
        <w:pStyle w:val="BodyText"/>
        <w:tabs>
          <w:tab w:val="left" w:pos="9027"/>
        </w:tabs>
        <w:kinsoku w:val="0"/>
        <w:overflowPunct w:val="0"/>
        <w:ind w:left="300"/>
        <w:rPr>
          <w:color w:val="231F20"/>
        </w:rPr>
      </w:pPr>
      <w:r>
        <w:rPr>
          <w:color w:val="231F20"/>
        </w:rPr>
        <w:t>Guaranteed</w:t>
      </w:r>
      <w:r>
        <w:rPr>
          <w:color w:val="231F20"/>
        </w:rPr>
        <w:tab/>
        <w:t>-</w:t>
      </w:r>
    </w:p>
    <w:p w14:paraId="5660527E" w14:textId="77777777" w:rsidR="00783288" w:rsidRDefault="00E31420">
      <w:pPr>
        <w:pStyle w:val="BodyText"/>
        <w:tabs>
          <w:tab w:val="left" w:pos="9027"/>
        </w:tabs>
        <w:kinsoku w:val="0"/>
        <w:overflowPunct w:val="0"/>
        <w:spacing w:before="177"/>
        <w:ind w:left="300"/>
        <w:rPr>
          <w:color w:val="231F20"/>
        </w:rPr>
      </w:pPr>
      <w:r>
        <w:rPr>
          <w:color w:val="231F20"/>
        </w:rPr>
        <w:t>Secured</w:t>
      </w:r>
      <w:r>
        <w:rPr>
          <w:color w:val="231F20"/>
        </w:rPr>
        <w:tab/>
        <w:t>-</w:t>
      </w:r>
    </w:p>
    <w:p w14:paraId="48499C51" w14:textId="529335CC" w:rsidR="00783288" w:rsidRDefault="00E31420">
      <w:pPr>
        <w:pStyle w:val="BodyText"/>
        <w:tabs>
          <w:tab w:val="left" w:pos="8437"/>
        </w:tabs>
        <w:kinsoku w:val="0"/>
        <w:overflowPunct w:val="0"/>
        <w:spacing w:before="177"/>
        <w:ind w:left="300"/>
        <w:rPr>
          <w:color w:val="231F20"/>
        </w:rPr>
      </w:pPr>
      <w:r>
        <w:rPr>
          <w:color w:val="231F20"/>
        </w:rPr>
        <w:t>Unguaranteed/Unsecured</w:t>
      </w:r>
      <w:r>
        <w:rPr>
          <w:color w:val="231F20"/>
        </w:rPr>
        <w:tab/>
        <w:t>127,45</w:t>
      </w:r>
      <w:r w:rsidR="00853F84">
        <w:rPr>
          <w:color w:val="231F20"/>
        </w:rPr>
        <w:t>0</w:t>
      </w:r>
    </w:p>
    <w:p w14:paraId="4AFEA285" w14:textId="7483BD34" w:rsidR="00783288" w:rsidRDefault="00E31420">
      <w:pPr>
        <w:pStyle w:val="Heading1"/>
        <w:tabs>
          <w:tab w:val="left" w:pos="8437"/>
        </w:tabs>
        <w:kinsoku w:val="0"/>
        <w:overflowPunct w:val="0"/>
        <w:spacing w:before="170"/>
        <w:rPr>
          <w:color w:val="231F20"/>
        </w:rPr>
      </w:pPr>
      <w:r>
        <w:rPr>
          <w:color w:val="231F20"/>
        </w:rPr>
        <w:t>Total debt</w:t>
      </w:r>
      <w:r>
        <w:rPr>
          <w:color w:val="231F20"/>
        </w:rPr>
        <w:tab/>
      </w:r>
      <w:r w:rsidR="00853F84">
        <w:rPr>
          <w:color w:val="231F20"/>
        </w:rPr>
        <w:t>328,069</w:t>
      </w:r>
    </w:p>
    <w:p w14:paraId="25ADB304" w14:textId="77777777" w:rsidR="00783288" w:rsidRDefault="00783288">
      <w:pPr>
        <w:pStyle w:val="BodyText"/>
        <w:kinsoku w:val="0"/>
        <w:overflowPunct w:val="0"/>
        <w:rPr>
          <w:b/>
          <w:bCs/>
          <w:sz w:val="20"/>
          <w:szCs w:val="20"/>
        </w:rPr>
      </w:pPr>
    </w:p>
    <w:p w14:paraId="13B96D1C" w14:textId="77777777" w:rsidR="00783288" w:rsidRDefault="00783288">
      <w:pPr>
        <w:pStyle w:val="BodyText"/>
        <w:kinsoku w:val="0"/>
        <w:overflowPunct w:val="0"/>
        <w:spacing w:before="7"/>
        <w:rPr>
          <w:b/>
          <w:bCs/>
          <w:sz w:val="20"/>
          <w:szCs w:val="20"/>
        </w:rPr>
      </w:pPr>
    </w:p>
    <w:p w14:paraId="4B9B77AE" w14:textId="77777777" w:rsidR="00783288" w:rsidRDefault="00E31420">
      <w:pPr>
        <w:pStyle w:val="BodyText"/>
        <w:kinsoku w:val="0"/>
        <w:overflowPunct w:val="0"/>
        <w:spacing w:before="94"/>
        <w:ind w:left="300"/>
        <w:rPr>
          <w:b/>
          <w:bCs/>
          <w:color w:val="231F20"/>
        </w:rPr>
      </w:pPr>
      <w:r>
        <w:rPr>
          <w:b/>
          <w:bCs/>
          <w:color w:val="231F20"/>
        </w:rPr>
        <w:t>Shareholder Equity</w:t>
      </w:r>
    </w:p>
    <w:p w14:paraId="264B2401" w14:textId="77777777" w:rsidR="00783288" w:rsidRDefault="00783288">
      <w:pPr>
        <w:pStyle w:val="BodyText"/>
        <w:kinsoku w:val="0"/>
        <w:overflowPunct w:val="0"/>
        <w:spacing w:before="9"/>
        <w:rPr>
          <w:b/>
          <w:bCs/>
          <w:sz w:val="15"/>
          <w:szCs w:val="15"/>
        </w:rPr>
      </w:pPr>
    </w:p>
    <w:p w14:paraId="2BB11361" w14:textId="77777777" w:rsidR="00783288" w:rsidRDefault="00E31420">
      <w:pPr>
        <w:pStyle w:val="BodyText"/>
        <w:kinsoku w:val="0"/>
        <w:overflowPunct w:val="0"/>
        <w:ind w:right="1430"/>
        <w:jc w:val="right"/>
        <w:rPr>
          <w:color w:val="231F20"/>
          <w:spacing w:val="-1"/>
        </w:rPr>
      </w:pPr>
      <w:r>
        <w:rPr>
          <w:color w:val="231F20"/>
          <w:spacing w:val="-1"/>
        </w:rPr>
        <w:t>(£)</w:t>
      </w:r>
    </w:p>
    <w:p w14:paraId="434141FC" w14:textId="7CFE7BE2" w:rsidR="00783288" w:rsidRDefault="00E31420">
      <w:pPr>
        <w:pStyle w:val="BodyText"/>
        <w:tabs>
          <w:tab w:val="left" w:pos="8435"/>
        </w:tabs>
        <w:kinsoku w:val="0"/>
        <w:overflowPunct w:val="0"/>
        <w:spacing w:before="175"/>
        <w:ind w:left="300"/>
        <w:rPr>
          <w:color w:val="231F20"/>
        </w:rPr>
      </w:pPr>
      <w:r>
        <w:rPr>
          <w:color w:val="231F20"/>
        </w:rPr>
        <w:t>Share</w:t>
      </w:r>
      <w:r>
        <w:rPr>
          <w:color w:val="231F20"/>
          <w:spacing w:val="-1"/>
        </w:rPr>
        <w:t xml:space="preserve"> </w:t>
      </w:r>
      <w:r>
        <w:rPr>
          <w:color w:val="231F20"/>
        </w:rPr>
        <w:t>Capital</w:t>
      </w:r>
      <w:r>
        <w:rPr>
          <w:color w:val="231F20"/>
        </w:rPr>
        <w:tab/>
      </w:r>
      <w:r w:rsidR="00853F84">
        <w:rPr>
          <w:color w:val="231F20"/>
        </w:rPr>
        <w:t>199,711</w:t>
      </w:r>
    </w:p>
    <w:p w14:paraId="398D40E8" w14:textId="49E38104" w:rsidR="00783288" w:rsidRDefault="00E31420">
      <w:pPr>
        <w:pStyle w:val="BodyText"/>
        <w:tabs>
          <w:tab w:val="left" w:pos="8286"/>
        </w:tabs>
        <w:kinsoku w:val="0"/>
        <w:overflowPunct w:val="0"/>
        <w:spacing w:before="177"/>
        <w:ind w:left="300"/>
        <w:rPr>
          <w:color w:val="231F20"/>
        </w:rPr>
      </w:pPr>
      <w:r>
        <w:rPr>
          <w:color w:val="231F20"/>
        </w:rPr>
        <w:t>Share</w:t>
      </w:r>
      <w:r>
        <w:rPr>
          <w:color w:val="231F20"/>
          <w:spacing w:val="-1"/>
        </w:rPr>
        <w:t xml:space="preserve"> </w:t>
      </w:r>
      <w:r>
        <w:rPr>
          <w:color w:val="231F20"/>
        </w:rPr>
        <w:t>premium</w:t>
      </w:r>
      <w:r>
        <w:rPr>
          <w:color w:val="231F20"/>
        </w:rPr>
        <w:tab/>
      </w:r>
      <w:r w:rsidR="00853F84">
        <w:rPr>
          <w:color w:val="231F20"/>
        </w:rPr>
        <w:t>6,482,931</w:t>
      </w:r>
    </w:p>
    <w:p w14:paraId="7AFFCE62" w14:textId="26EA1EEB" w:rsidR="00783288" w:rsidRDefault="00E31420">
      <w:pPr>
        <w:pStyle w:val="BodyText"/>
        <w:tabs>
          <w:tab w:val="left" w:pos="8538"/>
        </w:tabs>
        <w:kinsoku w:val="0"/>
        <w:overflowPunct w:val="0"/>
        <w:spacing w:before="177"/>
        <w:ind w:left="300"/>
        <w:rPr>
          <w:color w:val="231F20"/>
        </w:rPr>
      </w:pPr>
      <w:r>
        <w:rPr>
          <w:color w:val="231F20"/>
        </w:rPr>
        <w:t>Other</w:t>
      </w:r>
      <w:r>
        <w:rPr>
          <w:color w:val="231F20"/>
          <w:spacing w:val="-2"/>
        </w:rPr>
        <w:t xml:space="preserve"> </w:t>
      </w:r>
      <w:r>
        <w:rPr>
          <w:color w:val="231F20"/>
        </w:rPr>
        <w:t>Reserves</w:t>
      </w:r>
      <w:r w:rsidR="00853F84">
        <w:rPr>
          <w:color w:val="231F20"/>
        </w:rPr>
        <w:t xml:space="preserve">                                                                                                                                         201,776</w:t>
      </w:r>
    </w:p>
    <w:p w14:paraId="429D7818" w14:textId="5EED08ED" w:rsidR="00783288" w:rsidRDefault="00E31420">
      <w:pPr>
        <w:pStyle w:val="BodyText"/>
        <w:tabs>
          <w:tab w:val="left" w:pos="8166"/>
        </w:tabs>
        <w:kinsoku w:val="0"/>
        <w:overflowPunct w:val="0"/>
        <w:spacing w:before="174"/>
        <w:ind w:left="300"/>
        <w:rPr>
          <w:color w:val="231F20"/>
        </w:rPr>
      </w:pPr>
      <w:r>
        <w:rPr>
          <w:color w:val="231F20"/>
        </w:rPr>
        <w:t>Retained</w:t>
      </w:r>
      <w:r>
        <w:rPr>
          <w:color w:val="231F20"/>
          <w:spacing w:val="-2"/>
        </w:rPr>
        <w:t xml:space="preserve"> </w:t>
      </w:r>
      <w:r>
        <w:rPr>
          <w:color w:val="231F20"/>
        </w:rPr>
        <w:t>losses</w:t>
      </w:r>
      <w:r>
        <w:rPr>
          <w:color w:val="231F20"/>
        </w:rPr>
        <w:tab/>
        <w:t>(</w:t>
      </w:r>
      <w:r w:rsidR="00853F84">
        <w:rPr>
          <w:color w:val="231F20"/>
        </w:rPr>
        <w:t>2</w:t>
      </w:r>
      <w:r>
        <w:rPr>
          <w:color w:val="231F20"/>
        </w:rPr>
        <w:t>,</w:t>
      </w:r>
      <w:r w:rsidR="00853F84">
        <w:rPr>
          <w:color w:val="231F20"/>
        </w:rPr>
        <w:t>198</w:t>
      </w:r>
      <w:r>
        <w:rPr>
          <w:color w:val="231F20"/>
        </w:rPr>
        <w:t>,</w:t>
      </w:r>
      <w:r w:rsidR="00853F84">
        <w:rPr>
          <w:color w:val="231F20"/>
        </w:rPr>
        <w:t>550</w:t>
      </w:r>
      <w:r>
        <w:rPr>
          <w:color w:val="231F20"/>
        </w:rPr>
        <w:t>)</w:t>
      </w:r>
    </w:p>
    <w:p w14:paraId="2E14F92D" w14:textId="270AE88F" w:rsidR="00783288" w:rsidRDefault="00E31420">
      <w:pPr>
        <w:pStyle w:val="Heading1"/>
        <w:tabs>
          <w:tab w:val="left" w:pos="8286"/>
        </w:tabs>
        <w:kinsoku w:val="0"/>
        <w:overflowPunct w:val="0"/>
        <w:spacing w:before="173"/>
        <w:rPr>
          <w:color w:val="231F20"/>
        </w:rPr>
      </w:pPr>
      <w:r>
        <w:rPr>
          <w:color w:val="231F20"/>
        </w:rPr>
        <w:t>Total</w:t>
      </w:r>
      <w:r>
        <w:rPr>
          <w:color w:val="231F20"/>
          <w:spacing w:val="-2"/>
        </w:rPr>
        <w:t xml:space="preserve"> </w:t>
      </w:r>
      <w:r>
        <w:rPr>
          <w:color w:val="231F20"/>
        </w:rPr>
        <w:t>shareholder</w:t>
      </w:r>
      <w:r>
        <w:rPr>
          <w:color w:val="231F20"/>
          <w:spacing w:val="-2"/>
        </w:rPr>
        <w:t xml:space="preserve"> </w:t>
      </w:r>
      <w:r>
        <w:rPr>
          <w:color w:val="231F20"/>
        </w:rPr>
        <w:t>equity</w:t>
      </w:r>
      <w:r>
        <w:rPr>
          <w:color w:val="231F20"/>
        </w:rPr>
        <w:tab/>
      </w:r>
      <w:r w:rsidR="00853F84">
        <w:rPr>
          <w:color w:val="231F20"/>
        </w:rPr>
        <w:t>4</w:t>
      </w:r>
      <w:r>
        <w:rPr>
          <w:color w:val="231F20"/>
        </w:rPr>
        <w:t>,</w:t>
      </w:r>
      <w:r w:rsidR="00853F84">
        <w:rPr>
          <w:color w:val="231F20"/>
        </w:rPr>
        <w:t>685</w:t>
      </w:r>
      <w:r>
        <w:rPr>
          <w:color w:val="231F20"/>
        </w:rPr>
        <w:t>,</w:t>
      </w:r>
      <w:r w:rsidR="00853F84">
        <w:rPr>
          <w:color w:val="231F20"/>
        </w:rPr>
        <w:t>868</w:t>
      </w:r>
    </w:p>
    <w:p w14:paraId="75A7FF9F" w14:textId="77777777" w:rsidR="00783288" w:rsidRDefault="00783288">
      <w:pPr>
        <w:pStyle w:val="BodyText"/>
        <w:kinsoku w:val="0"/>
        <w:overflowPunct w:val="0"/>
        <w:spacing w:before="9"/>
        <w:rPr>
          <w:b/>
          <w:bCs/>
          <w:sz w:val="15"/>
          <w:szCs w:val="15"/>
        </w:rPr>
      </w:pPr>
    </w:p>
    <w:p w14:paraId="49067384" w14:textId="68888B97" w:rsidR="00783288" w:rsidRPr="001C1B72" w:rsidRDefault="00E31420">
      <w:pPr>
        <w:pStyle w:val="BodyText"/>
        <w:kinsoku w:val="0"/>
        <w:overflowPunct w:val="0"/>
        <w:ind w:left="300" w:right="1494"/>
        <w:rPr>
          <w:b/>
          <w:i/>
          <w:color w:val="231F20"/>
        </w:rPr>
      </w:pPr>
      <w:r w:rsidRPr="00EB2E04">
        <w:rPr>
          <w:color w:val="231F20"/>
        </w:rPr>
        <w:t>As at the Last Practicable Date, there</w:t>
      </w:r>
      <w:r>
        <w:rPr>
          <w:color w:val="231F20"/>
        </w:rPr>
        <w:t xml:space="preserve"> has been no material change in the capitalisation of the Group since 31 </w:t>
      </w:r>
      <w:r w:rsidR="00CA6957">
        <w:rPr>
          <w:color w:val="231F20"/>
        </w:rPr>
        <w:t xml:space="preserve">December </w:t>
      </w:r>
      <w:r>
        <w:rPr>
          <w:color w:val="231F20"/>
        </w:rPr>
        <w:t>2020.</w:t>
      </w:r>
    </w:p>
    <w:p w14:paraId="178A796E" w14:textId="77777777" w:rsidR="001C1B72" w:rsidRDefault="001C1B72" w:rsidP="00BE2D90">
      <w:pPr>
        <w:pStyle w:val="BodyText"/>
        <w:kinsoku w:val="0"/>
        <w:overflowPunct w:val="0"/>
        <w:ind w:right="1494"/>
        <w:rPr>
          <w:color w:val="231F20"/>
        </w:rPr>
        <w:sectPr w:rsidR="001C1B72">
          <w:type w:val="continuous"/>
          <w:pgSz w:w="11900" w:h="16840"/>
          <w:pgMar w:top="1360" w:right="240" w:bottom="280" w:left="1140" w:header="720" w:footer="720" w:gutter="0"/>
          <w:cols w:space="720" w:equalWidth="0">
            <w:col w:w="10520"/>
          </w:cols>
          <w:noEndnote/>
        </w:sectPr>
      </w:pPr>
    </w:p>
    <w:p w14:paraId="366128B5" w14:textId="5960114C" w:rsidR="00783288" w:rsidRDefault="00E31420">
      <w:pPr>
        <w:pStyle w:val="BodyText"/>
        <w:kinsoku w:val="0"/>
        <w:overflowPunct w:val="0"/>
        <w:spacing w:before="79"/>
        <w:ind w:left="300"/>
        <w:rPr>
          <w:color w:val="231F20"/>
        </w:rPr>
      </w:pPr>
      <w:r>
        <w:rPr>
          <w:color w:val="231F20"/>
        </w:rPr>
        <w:lastRenderedPageBreak/>
        <w:t xml:space="preserve">The following table sets out the unaudited net funds of the Group as at 31 </w:t>
      </w:r>
      <w:r w:rsidR="002506C6">
        <w:rPr>
          <w:color w:val="231F20"/>
        </w:rPr>
        <w:t xml:space="preserve">December </w:t>
      </w:r>
      <w:r>
        <w:rPr>
          <w:color w:val="231F20"/>
        </w:rPr>
        <w:t>2020.</w:t>
      </w:r>
    </w:p>
    <w:p w14:paraId="486386FD" w14:textId="77777777" w:rsidR="00783288" w:rsidRDefault="00783288">
      <w:pPr>
        <w:pStyle w:val="BodyText"/>
        <w:kinsoku w:val="0"/>
        <w:overflowPunct w:val="0"/>
        <w:rPr>
          <w:sz w:val="20"/>
          <w:szCs w:val="20"/>
        </w:rPr>
      </w:pPr>
    </w:p>
    <w:p w14:paraId="2D3E6C95" w14:textId="77777777" w:rsidR="00783288" w:rsidRDefault="00783288">
      <w:pPr>
        <w:pStyle w:val="BodyText"/>
        <w:kinsoku w:val="0"/>
        <w:overflowPunct w:val="0"/>
        <w:spacing w:before="8"/>
      </w:pPr>
    </w:p>
    <w:p w14:paraId="4ED84D58" w14:textId="53FA4F31" w:rsidR="00783288" w:rsidRDefault="00E31420">
      <w:pPr>
        <w:pStyle w:val="Heading1"/>
        <w:kinsoku w:val="0"/>
        <w:overflowPunct w:val="0"/>
        <w:spacing w:before="94"/>
        <w:ind w:left="0" w:right="1363"/>
        <w:jc w:val="right"/>
        <w:rPr>
          <w:color w:val="231F20"/>
        </w:rPr>
      </w:pPr>
      <w:r>
        <w:rPr>
          <w:color w:val="231F20"/>
        </w:rPr>
        <w:t xml:space="preserve">31 </w:t>
      </w:r>
      <w:r w:rsidR="00351390">
        <w:rPr>
          <w:color w:val="231F20"/>
        </w:rPr>
        <w:t>December</w:t>
      </w:r>
      <w:r w:rsidR="00351390">
        <w:rPr>
          <w:color w:val="231F20"/>
          <w:spacing w:val="-4"/>
        </w:rPr>
        <w:t xml:space="preserve"> </w:t>
      </w:r>
      <w:r>
        <w:rPr>
          <w:color w:val="231F20"/>
        </w:rPr>
        <w:t>2020</w:t>
      </w:r>
    </w:p>
    <w:p w14:paraId="5B1C122B" w14:textId="77777777" w:rsidR="00783288" w:rsidRDefault="00783288">
      <w:pPr>
        <w:pStyle w:val="BodyText"/>
        <w:kinsoku w:val="0"/>
        <w:overflowPunct w:val="0"/>
        <w:spacing w:before="9"/>
        <w:rPr>
          <w:b/>
          <w:bCs/>
          <w:sz w:val="15"/>
          <w:szCs w:val="15"/>
        </w:rPr>
      </w:pPr>
    </w:p>
    <w:p w14:paraId="5EF1D65C" w14:textId="77777777" w:rsidR="00783288" w:rsidRDefault="00E31420">
      <w:pPr>
        <w:pStyle w:val="BodyText"/>
        <w:kinsoku w:val="0"/>
        <w:overflowPunct w:val="0"/>
        <w:ind w:right="1365"/>
        <w:jc w:val="right"/>
        <w:rPr>
          <w:color w:val="231F20"/>
          <w:spacing w:val="-1"/>
        </w:rPr>
      </w:pPr>
      <w:r>
        <w:rPr>
          <w:color w:val="231F20"/>
          <w:spacing w:val="-1"/>
        </w:rPr>
        <w:t>(£)</w:t>
      </w:r>
    </w:p>
    <w:p w14:paraId="7EB95FFC" w14:textId="77777777" w:rsidR="00783288" w:rsidRDefault="00783288">
      <w:pPr>
        <w:pStyle w:val="BodyText"/>
        <w:kinsoku w:val="0"/>
        <w:overflowPunct w:val="0"/>
        <w:rPr>
          <w:sz w:val="20"/>
          <w:szCs w:val="20"/>
        </w:rPr>
      </w:pPr>
    </w:p>
    <w:p w14:paraId="28A43B36" w14:textId="44BCDBF3" w:rsidR="00783288" w:rsidRDefault="00E31420">
      <w:pPr>
        <w:pStyle w:val="BodyText"/>
        <w:tabs>
          <w:tab w:val="left" w:pos="8502"/>
        </w:tabs>
        <w:kinsoku w:val="0"/>
        <w:overflowPunct w:val="0"/>
        <w:spacing w:before="154"/>
        <w:ind w:left="408"/>
        <w:rPr>
          <w:color w:val="231F20"/>
        </w:rPr>
      </w:pPr>
      <w:r>
        <w:rPr>
          <w:color w:val="231F20"/>
          <w:position w:val="-5"/>
        </w:rPr>
        <w:t>A.</w:t>
      </w:r>
      <w:r>
        <w:rPr>
          <w:color w:val="231F20"/>
          <w:spacing w:val="-1"/>
          <w:position w:val="-5"/>
        </w:rPr>
        <w:t xml:space="preserve"> </w:t>
      </w:r>
      <w:r>
        <w:rPr>
          <w:color w:val="231F20"/>
          <w:position w:val="-5"/>
        </w:rPr>
        <w:t>Cash</w:t>
      </w:r>
      <w:r>
        <w:rPr>
          <w:color w:val="231F20"/>
          <w:position w:val="-5"/>
        </w:rPr>
        <w:tab/>
      </w:r>
      <w:r w:rsidR="00853F84">
        <w:rPr>
          <w:color w:val="231F20"/>
        </w:rPr>
        <w:t>2,438,856</w:t>
      </w:r>
    </w:p>
    <w:p w14:paraId="3F80596A" w14:textId="77777777" w:rsidR="00783288" w:rsidRDefault="00E31420" w:rsidP="00512495">
      <w:pPr>
        <w:pStyle w:val="ListParagraph"/>
        <w:numPr>
          <w:ilvl w:val="0"/>
          <w:numId w:val="15"/>
        </w:numPr>
        <w:tabs>
          <w:tab w:val="left" w:pos="630"/>
          <w:tab w:val="left" w:pos="9092"/>
        </w:tabs>
        <w:kinsoku w:val="0"/>
        <w:overflowPunct w:val="0"/>
        <w:spacing w:before="38"/>
        <w:ind w:hanging="222"/>
        <w:rPr>
          <w:color w:val="231F20"/>
          <w:position w:val="5"/>
          <w:sz w:val="18"/>
          <w:szCs w:val="18"/>
        </w:rPr>
      </w:pPr>
      <w:r>
        <w:rPr>
          <w:color w:val="231F20"/>
          <w:sz w:val="18"/>
          <w:szCs w:val="18"/>
        </w:rPr>
        <w:t>Cash</w:t>
      </w:r>
      <w:r>
        <w:rPr>
          <w:color w:val="231F20"/>
          <w:spacing w:val="-4"/>
          <w:sz w:val="18"/>
          <w:szCs w:val="18"/>
        </w:rPr>
        <w:t xml:space="preserve"> </w:t>
      </w:r>
      <w:r>
        <w:rPr>
          <w:color w:val="231F20"/>
          <w:sz w:val="18"/>
          <w:szCs w:val="18"/>
        </w:rPr>
        <w:t>equivalent</w:t>
      </w:r>
      <w:r>
        <w:rPr>
          <w:color w:val="231F20"/>
          <w:sz w:val="18"/>
          <w:szCs w:val="18"/>
        </w:rPr>
        <w:tab/>
      </w:r>
      <w:r>
        <w:rPr>
          <w:color w:val="231F20"/>
          <w:position w:val="5"/>
          <w:sz w:val="18"/>
          <w:szCs w:val="18"/>
        </w:rPr>
        <w:t>-</w:t>
      </w:r>
    </w:p>
    <w:p w14:paraId="39F30655" w14:textId="77777777" w:rsidR="00783288" w:rsidRDefault="00E31420" w:rsidP="00512495">
      <w:pPr>
        <w:pStyle w:val="ListParagraph"/>
        <w:numPr>
          <w:ilvl w:val="0"/>
          <w:numId w:val="15"/>
        </w:numPr>
        <w:tabs>
          <w:tab w:val="left" w:pos="639"/>
          <w:tab w:val="left" w:pos="9092"/>
        </w:tabs>
        <w:kinsoku w:val="0"/>
        <w:overflowPunct w:val="0"/>
        <w:spacing w:before="43"/>
        <w:ind w:left="638" w:hanging="231"/>
        <w:rPr>
          <w:color w:val="231F20"/>
          <w:position w:val="5"/>
          <w:sz w:val="18"/>
          <w:szCs w:val="18"/>
        </w:rPr>
      </w:pPr>
      <w:r>
        <w:rPr>
          <w:noProof/>
        </w:rPr>
        <mc:AlternateContent>
          <mc:Choice Requires="wps">
            <w:drawing>
              <wp:anchor distT="0" distB="0" distL="0" distR="0" simplePos="0" relativeHeight="251659264" behindDoc="0" locked="0" layoutInCell="0" allowOverlap="1" wp14:anchorId="3E94C958" wp14:editId="6CFD1A0B">
                <wp:simplePos x="0" y="0"/>
                <wp:positionH relativeFrom="page">
                  <wp:posOffset>4735830</wp:posOffset>
                </wp:positionH>
                <wp:positionV relativeFrom="paragraph">
                  <wp:posOffset>224155</wp:posOffset>
                </wp:positionV>
                <wp:extent cx="1868805" cy="12700"/>
                <wp:effectExtent l="0" t="0" r="0" b="0"/>
                <wp:wrapTopAndBottom/>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8805" cy="12700"/>
                        </a:xfrm>
                        <a:custGeom>
                          <a:avLst/>
                          <a:gdLst>
                            <a:gd name="T0" fmla="*/ 0 w 2943"/>
                            <a:gd name="T1" fmla="*/ 0 h 20"/>
                            <a:gd name="T2" fmla="*/ 2942 w 2943"/>
                            <a:gd name="T3" fmla="*/ 0 h 20"/>
                          </a:gdLst>
                          <a:ahLst/>
                          <a:cxnLst>
                            <a:cxn ang="0">
                              <a:pos x="T0" y="T1"/>
                            </a:cxn>
                            <a:cxn ang="0">
                              <a:pos x="T2" y="T3"/>
                            </a:cxn>
                          </a:cxnLst>
                          <a:rect l="0" t="0" r="r" b="b"/>
                          <a:pathLst>
                            <a:path w="2943" h="20">
                              <a:moveTo>
                                <a:pt x="0" y="0"/>
                              </a:moveTo>
                              <a:lnTo>
                                <a:pt x="2942" y="0"/>
                              </a:lnTo>
                            </a:path>
                          </a:pathLst>
                        </a:custGeom>
                        <a:noFill/>
                        <a:ln w="60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E1A991" id="Freeform 1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72.9pt,17.65pt,520pt,17.65pt" coordsize="2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" o:allowincell="f" filled="f" strokecolor="#231f20" strokeweight=".16931mm">
                <v:path arrowok="t" o:connecttype="custom" o:connectlocs="0,0;1868170,0" o:connectangles="0,0"/>
                <w10:wrap type="topAndBottom" anchorx="page"/>
              </v:polyline>
            </w:pict>
          </mc:Fallback>
        </mc:AlternateContent>
      </w:r>
      <w:r>
        <w:rPr>
          <w:color w:val="231F20"/>
          <w:sz w:val="18"/>
          <w:szCs w:val="18"/>
        </w:rPr>
        <w:t>Trading</w:t>
      </w:r>
      <w:r>
        <w:rPr>
          <w:color w:val="231F20"/>
          <w:spacing w:val="-2"/>
          <w:sz w:val="18"/>
          <w:szCs w:val="18"/>
        </w:rPr>
        <w:t xml:space="preserve"> </w:t>
      </w:r>
      <w:r>
        <w:rPr>
          <w:color w:val="231F20"/>
          <w:sz w:val="18"/>
          <w:szCs w:val="18"/>
        </w:rPr>
        <w:t>securities</w:t>
      </w:r>
      <w:r>
        <w:rPr>
          <w:color w:val="231F20"/>
          <w:sz w:val="18"/>
          <w:szCs w:val="18"/>
        </w:rPr>
        <w:tab/>
      </w:r>
      <w:r>
        <w:rPr>
          <w:color w:val="231F20"/>
          <w:position w:val="5"/>
          <w:sz w:val="18"/>
          <w:szCs w:val="18"/>
        </w:rPr>
        <w:t>-</w:t>
      </w:r>
    </w:p>
    <w:p w14:paraId="3B46C804" w14:textId="1C4EC841" w:rsidR="00783288" w:rsidRDefault="00E31420">
      <w:pPr>
        <w:pStyle w:val="BodyText"/>
        <w:tabs>
          <w:tab w:val="left" w:pos="8502"/>
        </w:tabs>
        <w:kinsoku w:val="0"/>
        <w:overflowPunct w:val="0"/>
        <w:spacing w:after="48"/>
        <w:ind w:left="408"/>
        <w:rPr>
          <w:color w:val="231F20"/>
          <w:position w:val="5"/>
        </w:rPr>
      </w:pPr>
      <w:r>
        <w:rPr>
          <w:color w:val="231F20"/>
        </w:rPr>
        <w:t>D. Liquidity (A) + (B)</w:t>
      </w:r>
      <w:r>
        <w:rPr>
          <w:color w:val="231F20"/>
          <w:spacing w:val="-6"/>
        </w:rPr>
        <w:t xml:space="preserve"> </w:t>
      </w:r>
      <w:r>
        <w:rPr>
          <w:color w:val="231F20"/>
        </w:rPr>
        <w:t>+ (C)</w:t>
      </w:r>
      <w:r>
        <w:rPr>
          <w:color w:val="231F20"/>
        </w:rPr>
        <w:tab/>
      </w:r>
      <w:r w:rsidR="00853F84">
        <w:rPr>
          <w:color w:val="231F20"/>
          <w:position w:val="5"/>
        </w:rPr>
        <w:t>2,438,856</w:t>
      </w:r>
    </w:p>
    <w:p w14:paraId="257412D4" w14:textId="77777777" w:rsidR="00783288" w:rsidRDefault="00E31420">
      <w:pPr>
        <w:pStyle w:val="BodyText"/>
        <w:kinsoku w:val="0"/>
        <w:overflowPunct w:val="0"/>
        <w:spacing w:line="20" w:lineRule="exact"/>
        <w:ind w:left="6313"/>
        <w:rPr>
          <w:sz w:val="2"/>
          <w:szCs w:val="2"/>
        </w:rPr>
      </w:pPr>
      <w:r>
        <w:rPr>
          <w:noProof/>
          <w:sz w:val="2"/>
          <w:szCs w:val="2"/>
        </w:rPr>
        <mc:AlternateContent>
          <mc:Choice Requires="wpg">
            <w:drawing>
              <wp:inline distT="0" distB="0" distL="0" distR="0" wp14:anchorId="44DD1979" wp14:editId="71270BFF">
                <wp:extent cx="1868805" cy="12700"/>
                <wp:effectExtent l="9525" t="9525" r="7620" b="0"/>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2700"/>
                          <a:chOff x="0" y="0"/>
                          <a:chExt cx="2943" cy="20"/>
                        </a:xfrm>
                      </wpg:grpSpPr>
                      <wps:wsp>
                        <wps:cNvPr id="12" name="Freeform 17"/>
                        <wps:cNvSpPr>
                          <a:spLocks/>
                        </wps:cNvSpPr>
                        <wps:spPr bwMode="auto">
                          <a:xfrm>
                            <a:off x="0" y="4"/>
                            <a:ext cx="2943" cy="20"/>
                          </a:xfrm>
                          <a:custGeom>
                            <a:avLst/>
                            <a:gdLst>
                              <a:gd name="T0" fmla="*/ 0 w 2943"/>
                              <a:gd name="T1" fmla="*/ 0 h 20"/>
                              <a:gd name="T2" fmla="*/ 2942 w 2943"/>
                              <a:gd name="T3" fmla="*/ 0 h 20"/>
                            </a:gdLst>
                            <a:ahLst/>
                            <a:cxnLst>
                              <a:cxn ang="0">
                                <a:pos x="T0" y="T1"/>
                              </a:cxn>
                              <a:cxn ang="0">
                                <a:pos x="T2" y="T3"/>
                              </a:cxn>
                            </a:cxnLst>
                            <a:rect l="0" t="0" r="r" b="b"/>
                            <a:pathLst>
                              <a:path w="2943" h="20">
                                <a:moveTo>
                                  <a:pt x="0" y="0"/>
                                </a:moveTo>
                                <a:lnTo>
                                  <a:pt x="2942" y="0"/>
                                </a:lnTo>
                              </a:path>
                            </a:pathLst>
                          </a:custGeom>
                          <a:noFill/>
                          <a:ln w="6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258ED0" id="Group 16" o:spid="_x0000_s1026" style="width:147.15pt;height:1pt;mso-position-horizontal-relative:char;mso-position-vertical-relative:line" coordsize="2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">
                <v:shape id="Freeform 17" o:spid="_x0000_s1027" style="position:absolute;top:4;width:2943;height:20;visibility:visible;mso-wrap-style:square;v-text-anchor:top" coordsize="2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" path="m,l2942,e" filled="f" strokecolor="#231f20" strokeweight=".48pt">
                  <v:path arrowok="t" o:connecttype="custom" o:connectlocs="0,0;2942,0" o:connectangles="0,0"/>
                </v:shape>
                <w10:anchorlock/>
              </v:group>
            </w:pict>
          </mc:Fallback>
        </mc:AlternateContent>
      </w:r>
    </w:p>
    <w:p w14:paraId="71030C87" w14:textId="77777777" w:rsidR="00783288" w:rsidRDefault="00783288">
      <w:pPr>
        <w:pStyle w:val="BodyText"/>
        <w:kinsoku w:val="0"/>
        <w:overflowPunct w:val="0"/>
        <w:spacing w:before="10"/>
        <w:rPr>
          <w:sz w:val="16"/>
          <w:szCs w:val="16"/>
        </w:rPr>
      </w:pPr>
    </w:p>
    <w:p w14:paraId="1D049C1E" w14:textId="15652A53" w:rsidR="00783288" w:rsidRDefault="00E31420" w:rsidP="00512495">
      <w:pPr>
        <w:pStyle w:val="ListParagraph"/>
        <w:numPr>
          <w:ilvl w:val="0"/>
          <w:numId w:val="14"/>
        </w:numPr>
        <w:tabs>
          <w:tab w:val="left" w:pos="629"/>
          <w:tab w:val="left" w:pos="8603"/>
        </w:tabs>
        <w:kinsoku w:val="0"/>
        <w:overflowPunct w:val="0"/>
        <w:spacing w:before="90"/>
        <w:rPr>
          <w:color w:val="231F20"/>
          <w:position w:val="5"/>
          <w:sz w:val="18"/>
          <w:szCs w:val="18"/>
        </w:rPr>
      </w:pPr>
      <w:r>
        <w:rPr>
          <w:color w:val="231F20"/>
          <w:sz w:val="18"/>
          <w:szCs w:val="18"/>
        </w:rPr>
        <w:t>Current</w:t>
      </w:r>
      <w:r>
        <w:rPr>
          <w:color w:val="231F20"/>
          <w:spacing w:val="-5"/>
          <w:sz w:val="18"/>
          <w:szCs w:val="18"/>
        </w:rPr>
        <w:t xml:space="preserve"> </w:t>
      </w:r>
      <w:r>
        <w:rPr>
          <w:color w:val="231F20"/>
          <w:sz w:val="18"/>
          <w:szCs w:val="18"/>
        </w:rPr>
        <w:t>financial</w:t>
      </w:r>
      <w:r>
        <w:rPr>
          <w:color w:val="231F20"/>
          <w:spacing w:val="-2"/>
          <w:sz w:val="18"/>
          <w:szCs w:val="18"/>
        </w:rPr>
        <w:t xml:space="preserve"> </w:t>
      </w:r>
      <w:r>
        <w:rPr>
          <w:color w:val="231F20"/>
          <w:sz w:val="18"/>
          <w:szCs w:val="18"/>
        </w:rPr>
        <w:t>receivable</w:t>
      </w:r>
      <w:r>
        <w:rPr>
          <w:color w:val="231F20"/>
          <w:sz w:val="18"/>
          <w:szCs w:val="18"/>
        </w:rPr>
        <w:tab/>
      </w:r>
      <w:r w:rsidR="00853F84">
        <w:rPr>
          <w:color w:val="231F20"/>
          <w:position w:val="5"/>
          <w:sz w:val="18"/>
          <w:szCs w:val="18"/>
        </w:rPr>
        <w:t>128,498</w:t>
      </w:r>
    </w:p>
    <w:p w14:paraId="54E5F527" w14:textId="77777777" w:rsidR="00783288" w:rsidRDefault="00783288">
      <w:pPr>
        <w:pStyle w:val="BodyText"/>
        <w:kinsoku w:val="0"/>
        <w:overflowPunct w:val="0"/>
        <w:spacing w:before="10"/>
        <w:rPr>
          <w:sz w:val="29"/>
          <w:szCs w:val="29"/>
        </w:rPr>
      </w:pPr>
    </w:p>
    <w:p w14:paraId="14FAB33C" w14:textId="77777777" w:rsidR="00783288" w:rsidRDefault="00E31420" w:rsidP="00512495">
      <w:pPr>
        <w:pStyle w:val="ListParagraph"/>
        <w:numPr>
          <w:ilvl w:val="0"/>
          <w:numId w:val="14"/>
        </w:numPr>
        <w:tabs>
          <w:tab w:val="left" w:pos="620"/>
          <w:tab w:val="left" w:pos="9092"/>
        </w:tabs>
        <w:kinsoku w:val="0"/>
        <w:overflowPunct w:val="0"/>
        <w:ind w:left="619" w:hanging="212"/>
        <w:rPr>
          <w:color w:val="231F20"/>
          <w:position w:val="5"/>
          <w:sz w:val="18"/>
          <w:szCs w:val="18"/>
        </w:rPr>
      </w:pPr>
      <w:r>
        <w:rPr>
          <w:color w:val="231F20"/>
          <w:sz w:val="18"/>
          <w:szCs w:val="18"/>
        </w:rPr>
        <w:t>Current</w:t>
      </w:r>
      <w:r>
        <w:rPr>
          <w:color w:val="231F20"/>
          <w:spacing w:val="-4"/>
          <w:sz w:val="18"/>
          <w:szCs w:val="18"/>
        </w:rPr>
        <w:t xml:space="preserve"> </w:t>
      </w:r>
      <w:r>
        <w:rPr>
          <w:color w:val="231F20"/>
          <w:sz w:val="18"/>
          <w:szCs w:val="18"/>
        </w:rPr>
        <w:t>bank debt</w:t>
      </w:r>
      <w:r>
        <w:rPr>
          <w:color w:val="231F20"/>
          <w:sz w:val="18"/>
          <w:szCs w:val="18"/>
        </w:rPr>
        <w:tab/>
      </w:r>
      <w:r>
        <w:rPr>
          <w:color w:val="231F20"/>
          <w:position w:val="5"/>
          <w:sz w:val="18"/>
          <w:szCs w:val="18"/>
        </w:rPr>
        <w:t>-</w:t>
      </w:r>
    </w:p>
    <w:p w14:paraId="70BAC502" w14:textId="77777777" w:rsidR="00783288" w:rsidRDefault="00E31420" w:rsidP="00512495">
      <w:pPr>
        <w:pStyle w:val="ListParagraph"/>
        <w:numPr>
          <w:ilvl w:val="0"/>
          <w:numId w:val="14"/>
        </w:numPr>
        <w:tabs>
          <w:tab w:val="left" w:pos="649"/>
          <w:tab w:val="left" w:pos="9092"/>
        </w:tabs>
        <w:kinsoku w:val="0"/>
        <w:overflowPunct w:val="0"/>
        <w:spacing w:before="51"/>
        <w:ind w:left="648" w:hanging="241"/>
        <w:rPr>
          <w:color w:val="231F20"/>
          <w:position w:val="8"/>
          <w:sz w:val="18"/>
          <w:szCs w:val="18"/>
        </w:rPr>
      </w:pPr>
      <w:r>
        <w:rPr>
          <w:color w:val="231F20"/>
          <w:sz w:val="18"/>
          <w:szCs w:val="18"/>
        </w:rPr>
        <w:t>Current portion of</w:t>
      </w:r>
      <w:r>
        <w:rPr>
          <w:color w:val="231F20"/>
          <w:spacing w:val="-7"/>
          <w:sz w:val="18"/>
          <w:szCs w:val="18"/>
        </w:rPr>
        <w:t xml:space="preserve"> </w:t>
      </w:r>
      <w:r>
        <w:rPr>
          <w:color w:val="231F20"/>
          <w:sz w:val="18"/>
          <w:szCs w:val="18"/>
        </w:rPr>
        <w:t>non-current</w:t>
      </w:r>
      <w:r>
        <w:rPr>
          <w:color w:val="231F20"/>
          <w:spacing w:val="-2"/>
          <w:sz w:val="18"/>
          <w:szCs w:val="18"/>
        </w:rPr>
        <w:t xml:space="preserve"> </w:t>
      </w:r>
      <w:r>
        <w:rPr>
          <w:color w:val="231F20"/>
          <w:sz w:val="18"/>
          <w:szCs w:val="18"/>
        </w:rPr>
        <w:t>debt</w:t>
      </w:r>
      <w:r>
        <w:rPr>
          <w:color w:val="231F20"/>
          <w:sz w:val="18"/>
          <w:szCs w:val="18"/>
        </w:rPr>
        <w:tab/>
      </w:r>
      <w:r>
        <w:rPr>
          <w:color w:val="231F20"/>
          <w:position w:val="8"/>
          <w:sz w:val="18"/>
          <w:szCs w:val="18"/>
        </w:rPr>
        <w:t>-</w:t>
      </w:r>
    </w:p>
    <w:p w14:paraId="4824D11E" w14:textId="04275DCA" w:rsidR="00783288" w:rsidRDefault="00E31420" w:rsidP="00512495">
      <w:pPr>
        <w:pStyle w:val="ListParagraph"/>
        <w:numPr>
          <w:ilvl w:val="0"/>
          <w:numId w:val="14"/>
        </w:numPr>
        <w:tabs>
          <w:tab w:val="left" w:pos="639"/>
          <w:tab w:val="left" w:pos="8483"/>
        </w:tabs>
        <w:kinsoku w:val="0"/>
        <w:overflowPunct w:val="0"/>
        <w:spacing w:before="81"/>
        <w:ind w:left="638" w:hanging="231"/>
        <w:rPr>
          <w:color w:val="231F20"/>
          <w:position w:val="5"/>
          <w:sz w:val="18"/>
          <w:szCs w:val="18"/>
        </w:rPr>
      </w:pPr>
      <w:r>
        <w:rPr>
          <w:color w:val="231F20"/>
          <w:sz w:val="18"/>
          <w:szCs w:val="18"/>
        </w:rPr>
        <w:t>Other current</w:t>
      </w:r>
      <w:r>
        <w:rPr>
          <w:color w:val="231F20"/>
          <w:spacing w:val="-5"/>
          <w:sz w:val="18"/>
          <w:szCs w:val="18"/>
        </w:rPr>
        <w:t xml:space="preserve"> </w:t>
      </w:r>
      <w:r>
        <w:rPr>
          <w:color w:val="231F20"/>
          <w:sz w:val="18"/>
          <w:szCs w:val="18"/>
        </w:rPr>
        <w:t>financial</w:t>
      </w:r>
      <w:r>
        <w:rPr>
          <w:color w:val="231F20"/>
          <w:spacing w:val="-4"/>
          <w:sz w:val="18"/>
          <w:szCs w:val="18"/>
        </w:rPr>
        <w:t xml:space="preserve"> </w:t>
      </w:r>
      <w:r>
        <w:rPr>
          <w:color w:val="231F20"/>
          <w:sz w:val="18"/>
          <w:szCs w:val="18"/>
        </w:rPr>
        <w:t>debt</w:t>
      </w:r>
      <w:r>
        <w:rPr>
          <w:color w:val="231F20"/>
          <w:sz w:val="18"/>
          <w:szCs w:val="18"/>
        </w:rPr>
        <w:tab/>
      </w:r>
      <w:r>
        <w:rPr>
          <w:color w:val="231F20"/>
          <w:position w:val="5"/>
          <w:sz w:val="18"/>
          <w:szCs w:val="18"/>
        </w:rPr>
        <w:t>(</w:t>
      </w:r>
      <w:r w:rsidR="00853F84">
        <w:rPr>
          <w:color w:val="231F20"/>
          <w:position w:val="5"/>
          <w:sz w:val="18"/>
          <w:szCs w:val="18"/>
        </w:rPr>
        <w:t>200</w:t>
      </w:r>
      <w:r>
        <w:rPr>
          <w:color w:val="231F20"/>
          <w:position w:val="5"/>
          <w:sz w:val="18"/>
          <w:szCs w:val="18"/>
        </w:rPr>
        <w:t>,</w:t>
      </w:r>
      <w:r w:rsidR="00853F84">
        <w:rPr>
          <w:color w:val="231F20"/>
          <w:position w:val="5"/>
          <w:sz w:val="18"/>
          <w:szCs w:val="18"/>
        </w:rPr>
        <w:t>619</w:t>
      </w:r>
      <w:r>
        <w:rPr>
          <w:color w:val="231F20"/>
          <w:position w:val="5"/>
          <w:sz w:val="18"/>
          <w:szCs w:val="18"/>
        </w:rPr>
        <w:t>)</w:t>
      </w:r>
    </w:p>
    <w:p w14:paraId="47773B3F" w14:textId="77777777" w:rsidR="00783288" w:rsidRDefault="00783288">
      <w:pPr>
        <w:pStyle w:val="BodyText"/>
        <w:kinsoku w:val="0"/>
        <w:overflowPunct w:val="0"/>
        <w:spacing w:before="10"/>
        <w:rPr>
          <w:sz w:val="29"/>
          <w:szCs w:val="29"/>
        </w:rPr>
      </w:pPr>
    </w:p>
    <w:p w14:paraId="4428C770" w14:textId="0FD78A59" w:rsidR="00783288" w:rsidRDefault="00E31420" w:rsidP="00512495">
      <w:pPr>
        <w:pStyle w:val="ListParagraph"/>
        <w:numPr>
          <w:ilvl w:val="0"/>
          <w:numId w:val="14"/>
        </w:numPr>
        <w:tabs>
          <w:tab w:val="left" w:pos="560"/>
          <w:tab w:val="left" w:pos="8483"/>
        </w:tabs>
        <w:kinsoku w:val="0"/>
        <w:overflowPunct w:val="0"/>
        <w:ind w:left="559" w:hanging="152"/>
        <w:rPr>
          <w:color w:val="231F20"/>
          <w:position w:val="5"/>
          <w:sz w:val="18"/>
          <w:szCs w:val="18"/>
        </w:rPr>
      </w:pPr>
      <w:r>
        <w:rPr>
          <w:color w:val="231F20"/>
          <w:sz w:val="18"/>
          <w:szCs w:val="18"/>
        </w:rPr>
        <w:t>Current Financial Debt (F) + (G)</w:t>
      </w:r>
      <w:r>
        <w:rPr>
          <w:color w:val="231F20"/>
          <w:spacing w:val="-14"/>
          <w:sz w:val="18"/>
          <w:szCs w:val="18"/>
        </w:rPr>
        <w:t xml:space="preserve"> </w:t>
      </w:r>
      <w:r>
        <w:rPr>
          <w:color w:val="231F20"/>
          <w:sz w:val="18"/>
          <w:szCs w:val="18"/>
        </w:rPr>
        <w:t>+ (H)</w:t>
      </w:r>
      <w:r>
        <w:rPr>
          <w:color w:val="231F20"/>
          <w:sz w:val="18"/>
          <w:szCs w:val="18"/>
        </w:rPr>
        <w:tab/>
      </w:r>
      <w:r>
        <w:rPr>
          <w:color w:val="231F20"/>
          <w:position w:val="5"/>
          <w:sz w:val="18"/>
          <w:szCs w:val="18"/>
        </w:rPr>
        <w:t>(</w:t>
      </w:r>
      <w:r w:rsidR="00853F84">
        <w:rPr>
          <w:color w:val="231F20"/>
          <w:position w:val="5"/>
          <w:sz w:val="18"/>
          <w:szCs w:val="18"/>
        </w:rPr>
        <w:t>200</w:t>
      </w:r>
      <w:r>
        <w:rPr>
          <w:color w:val="231F20"/>
          <w:position w:val="5"/>
          <w:sz w:val="18"/>
          <w:szCs w:val="18"/>
        </w:rPr>
        <w:t>,</w:t>
      </w:r>
      <w:r w:rsidR="00853F84">
        <w:rPr>
          <w:color w:val="231F20"/>
          <w:position w:val="5"/>
          <w:sz w:val="18"/>
          <w:szCs w:val="18"/>
        </w:rPr>
        <w:t>619</w:t>
      </w:r>
      <w:r>
        <w:rPr>
          <w:color w:val="231F20"/>
          <w:position w:val="5"/>
          <w:sz w:val="18"/>
          <w:szCs w:val="18"/>
        </w:rPr>
        <w:t>)</w:t>
      </w:r>
    </w:p>
    <w:p w14:paraId="6B77EE93" w14:textId="77777777" w:rsidR="00783288" w:rsidRDefault="00E31420">
      <w:pPr>
        <w:pStyle w:val="BodyText"/>
        <w:kinsoku w:val="0"/>
        <w:overflowPunct w:val="0"/>
        <w:spacing w:before="7"/>
        <w:rPr>
          <w:sz w:val="26"/>
          <w:szCs w:val="26"/>
        </w:rPr>
      </w:pPr>
      <w:r>
        <w:rPr>
          <w:noProof/>
        </w:rPr>
        <mc:AlternateContent>
          <mc:Choice Requires="wps">
            <w:drawing>
              <wp:anchor distT="0" distB="0" distL="0" distR="0" simplePos="0" relativeHeight="251660288" behindDoc="0" locked="0" layoutInCell="0" allowOverlap="1" wp14:anchorId="02043C10" wp14:editId="7780E031">
                <wp:simplePos x="0" y="0"/>
                <wp:positionH relativeFrom="page">
                  <wp:posOffset>4735830</wp:posOffset>
                </wp:positionH>
                <wp:positionV relativeFrom="paragraph">
                  <wp:posOffset>222250</wp:posOffset>
                </wp:positionV>
                <wp:extent cx="1868805" cy="12700"/>
                <wp:effectExtent l="0" t="0" r="0" b="0"/>
                <wp:wrapTopAndBottom/>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8805" cy="12700"/>
                        </a:xfrm>
                        <a:custGeom>
                          <a:avLst/>
                          <a:gdLst>
                            <a:gd name="T0" fmla="*/ 0 w 2943"/>
                            <a:gd name="T1" fmla="*/ 0 h 20"/>
                            <a:gd name="T2" fmla="*/ 2942 w 2943"/>
                            <a:gd name="T3" fmla="*/ 0 h 20"/>
                          </a:gdLst>
                          <a:ahLst/>
                          <a:cxnLst>
                            <a:cxn ang="0">
                              <a:pos x="T0" y="T1"/>
                            </a:cxn>
                            <a:cxn ang="0">
                              <a:pos x="T2" y="T3"/>
                            </a:cxn>
                          </a:cxnLst>
                          <a:rect l="0" t="0" r="r" b="b"/>
                          <a:pathLst>
                            <a:path w="2943" h="20">
                              <a:moveTo>
                                <a:pt x="0" y="0"/>
                              </a:moveTo>
                              <a:lnTo>
                                <a:pt x="2942" y="0"/>
                              </a:lnTo>
                            </a:path>
                          </a:pathLst>
                        </a:custGeom>
                        <a:noFill/>
                        <a:ln w="6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3D7D3E" id="Freeform 1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72.9pt,17.5pt,520pt,17.5pt" coordsize="2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" o:allowincell="f" filled="f" strokecolor="#231f20" strokeweight=".48pt">
                <v:path arrowok="t" o:connecttype="custom" o:connectlocs="0,0;1868170,0" o:connectangles="0,0"/>
                <w10:wrap type="topAndBottom" anchorx="page"/>
              </v:polyline>
            </w:pict>
          </mc:Fallback>
        </mc:AlternateContent>
      </w:r>
    </w:p>
    <w:p w14:paraId="730863E7" w14:textId="5AE32FDA" w:rsidR="00783288" w:rsidRDefault="00E31420" w:rsidP="00512495">
      <w:pPr>
        <w:pStyle w:val="ListParagraph"/>
        <w:numPr>
          <w:ilvl w:val="0"/>
          <w:numId w:val="14"/>
        </w:numPr>
        <w:tabs>
          <w:tab w:val="left" w:pos="601"/>
          <w:tab w:val="left" w:pos="8502"/>
        </w:tabs>
        <w:kinsoku w:val="0"/>
        <w:overflowPunct w:val="0"/>
        <w:ind w:left="600" w:hanging="193"/>
        <w:rPr>
          <w:color w:val="231F20"/>
          <w:position w:val="5"/>
          <w:sz w:val="18"/>
          <w:szCs w:val="18"/>
        </w:rPr>
      </w:pPr>
      <w:r>
        <w:rPr>
          <w:color w:val="231F20"/>
          <w:sz w:val="18"/>
          <w:szCs w:val="18"/>
        </w:rPr>
        <w:t>Net Current Financial Indebtedness (I) - (E)</w:t>
      </w:r>
      <w:r>
        <w:rPr>
          <w:color w:val="231F20"/>
          <w:spacing w:val="-14"/>
          <w:sz w:val="18"/>
          <w:szCs w:val="18"/>
        </w:rPr>
        <w:t xml:space="preserve"> </w:t>
      </w:r>
      <w:r>
        <w:rPr>
          <w:color w:val="231F20"/>
          <w:sz w:val="18"/>
          <w:szCs w:val="18"/>
        </w:rPr>
        <w:t>-</w:t>
      </w:r>
      <w:r>
        <w:rPr>
          <w:color w:val="231F20"/>
          <w:spacing w:val="-2"/>
          <w:sz w:val="18"/>
          <w:szCs w:val="18"/>
        </w:rPr>
        <w:t xml:space="preserve"> </w:t>
      </w:r>
      <w:r>
        <w:rPr>
          <w:color w:val="231F20"/>
          <w:sz w:val="18"/>
          <w:szCs w:val="18"/>
        </w:rPr>
        <w:t>(D)</w:t>
      </w:r>
      <w:r>
        <w:rPr>
          <w:color w:val="231F20"/>
          <w:sz w:val="18"/>
          <w:szCs w:val="18"/>
        </w:rPr>
        <w:tab/>
      </w:r>
      <w:r w:rsidR="00853F84">
        <w:rPr>
          <w:color w:val="231F20"/>
          <w:position w:val="5"/>
          <w:sz w:val="18"/>
          <w:szCs w:val="18"/>
        </w:rPr>
        <w:t>2,366,735</w:t>
      </w:r>
    </w:p>
    <w:p w14:paraId="23ED8157" w14:textId="77777777" w:rsidR="00783288" w:rsidRDefault="00783288">
      <w:pPr>
        <w:pStyle w:val="BodyText"/>
        <w:kinsoku w:val="0"/>
        <w:overflowPunct w:val="0"/>
        <w:spacing w:before="9"/>
        <w:rPr>
          <w:sz w:val="21"/>
          <w:szCs w:val="21"/>
        </w:rPr>
      </w:pPr>
    </w:p>
    <w:p w14:paraId="6987BA26" w14:textId="77777777" w:rsidR="00783288" w:rsidRDefault="00E31420" w:rsidP="00512495">
      <w:pPr>
        <w:pStyle w:val="ListParagraph"/>
        <w:numPr>
          <w:ilvl w:val="0"/>
          <w:numId w:val="14"/>
        </w:numPr>
        <w:tabs>
          <w:tab w:val="left" w:pos="629"/>
          <w:tab w:val="left" w:pos="9092"/>
        </w:tabs>
        <w:kinsoku w:val="0"/>
        <w:overflowPunct w:val="0"/>
        <w:spacing w:before="92"/>
        <w:rPr>
          <w:color w:val="231F20"/>
          <w:position w:val="5"/>
          <w:sz w:val="18"/>
          <w:szCs w:val="18"/>
        </w:rPr>
      </w:pPr>
      <w:r>
        <w:rPr>
          <w:color w:val="231F20"/>
          <w:sz w:val="18"/>
          <w:szCs w:val="18"/>
        </w:rPr>
        <w:t>Non-current</w:t>
      </w:r>
      <w:r>
        <w:rPr>
          <w:color w:val="231F20"/>
          <w:spacing w:val="-2"/>
          <w:sz w:val="18"/>
          <w:szCs w:val="18"/>
        </w:rPr>
        <w:t xml:space="preserve"> </w:t>
      </w:r>
      <w:r>
        <w:rPr>
          <w:color w:val="231F20"/>
          <w:sz w:val="18"/>
          <w:szCs w:val="18"/>
        </w:rPr>
        <w:t>Bank</w:t>
      </w:r>
      <w:r>
        <w:rPr>
          <w:color w:val="231F20"/>
          <w:spacing w:val="-3"/>
          <w:sz w:val="18"/>
          <w:szCs w:val="18"/>
        </w:rPr>
        <w:t xml:space="preserve"> </w:t>
      </w:r>
      <w:r>
        <w:rPr>
          <w:color w:val="231F20"/>
          <w:sz w:val="18"/>
          <w:szCs w:val="18"/>
        </w:rPr>
        <w:t>loans</w:t>
      </w:r>
      <w:r>
        <w:rPr>
          <w:color w:val="231F20"/>
          <w:sz w:val="18"/>
          <w:szCs w:val="18"/>
        </w:rPr>
        <w:tab/>
      </w:r>
      <w:r>
        <w:rPr>
          <w:color w:val="231F20"/>
          <w:position w:val="5"/>
          <w:sz w:val="18"/>
          <w:szCs w:val="18"/>
        </w:rPr>
        <w:t>-</w:t>
      </w:r>
    </w:p>
    <w:p w14:paraId="16FD31F4" w14:textId="77777777" w:rsidR="00783288" w:rsidRDefault="00783288">
      <w:pPr>
        <w:pStyle w:val="BodyText"/>
        <w:kinsoku w:val="0"/>
        <w:overflowPunct w:val="0"/>
        <w:spacing w:before="9"/>
        <w:rPr>
          <w:sz w:val="29"/>
          <w:szCs w:val="29"/>
        </w:rPr>
      </w:pPr>
    </w:p>
    <w:p w14:paraId="0A721192" w14:textId="77777777" w:rsidR="00783288" w:rsidRDefault="00E31420" w:rsidP="00512495">
      <w:pPr>
        <w:pStyle w:val="ListParagraph"/>
        <w:numPr>
          <w:ilvl w:val="0"/>
          <w:numId w:val="14"/>
        </w:numPr>
        <w:tabs>
          <w:tab w:val="left" w:pos="610"/>
          <w:tab w:val="left" w:pos="9092"/>
        </w:tabs>
        <w:kinsoku w:val="0"/>
        <w:overflowPunct w:val="0"/>
        <w:spacing w:before="1"/>
        <w:ind w:left="609" w:hanging="202"/>
        <w:rPr>
          <w:color w:val="231F20"/>
          <w:position w:val="5"/>
          <w:sz w:val="18"/>
          <w:szCs w:val="18"/>
        </w:rPr>
      </w:pPr>
      <w:r>
        <w:rPr>
          <w:color w:val="231F20"/>
          <w:sz w:val="18"/>
          <w:szCs w:val="18"/>
        </w:rPr>
        <w:t>Bonds</w:t>
      </w:r>
      <w:r>
        <w:rPr>
          <w:color w:val="231F20"/>
          <w:spacing w:val="-1"/>
          <w:sz w:val="18"/>
          <w:szCs w:val="18"/>
        </w:rPr>
        <w:t xml:space="preserve"> </w:t>
      </w:r>
      <w:r>
        <w:rPr>
          <w:color w:val="231F20"/>
          <w:sz w:val="18"/>
          <w:szCs w:val="18"/>
        </w:rPr>
        <w:t>Issued</w:t>
      </w:r>
      <w:r>
        <w:rPr>
          <w:color w:val="231F20"/>
          <w:sz w:val="18"/>
          <w:szCs w:val="18"/>
        </w:rPr>
        <w:tab/>
      </w:r>
      <w:r>
        <w:rPr>
          <w:color w:val="231F20"/>
          <w:position w:val="5"/>
          <w:sz w:val="18"/>
          <w:szCs w:val="18"/>
        </w:rPr>
        <w:t>-</w:t>
      </w:r>
    </w:p>
    <w:p w14:paraId="5518BCCB" w14:textId="77777777" w:rsidR="00783288" w:rsidRDefault="00783288">
      <w:pPr>
        <w:pStyle w:val="BodyText"/>
        <w:kinsoku w:val="0"/>
        <w:overflowPunct w:val="0"/>
        <w:spacing w:before="9"/>
        <w:rPr>
          <w:sz w:val="29"/>
          <w:szCs w:val="29"/>
        </w:rPr>
      </w:pPr>
    </w:p>
    <w:p w14:paraId="310F9EC6" w14:textId="77777777" w:rsidR="00783288" w:rsidRDefault="00E31420" w:rsidP="00512495">
      <w:pPr>
        <w:pStyle w:val="ListParagraph"/>
        <w:numPr>
          <w:ilvl w:val="0"/>
          <w:numId w:val="14"/>
        </w:numPr>
        <w:tabs>
          <w:tab w:val="left" w:pos="658"/>
          <w:tab w:val="left" w:pos="9092"/>
        </w:tabs>
        <w:kinsoku w:val="0"/>
        <w:overflowPunct w:val="0"/>
        <w:ind w:left="657" w:hanging="250"/>
        <w:rPr>
          <w:color w:val="231F20"/>
          <w:position w:val="5"/>
          <w:sz w:val="18"/>
          <w:szCs w:val="18"/>
        </w:rPr>
      </w:pPr>
      <w:r>
        <w:rPr>
          <w:color w:val="231F20"/>
          <w:sz w:val="18"/>
          <w:szCs w:val="18"/>
        </w:rPr>
        <w:t>Other</w:t>
      </w:r>
      <w:r>
        <w:rPr>
          <w:color w:val="231F20"/>
          <w:spacing w:val="-3"/>
          <w:sz w:val="18"/>
          <w:szCs w:val="18"/>
        </w:rPr>
        <w:t xml:space="preserve"> </w:t>
      </w:r>
      <w:r>
        <w:rPr>
          <w:color w:val="231F20"/>
          <w:sz w:val="18"/>
          <w:szCs w:val="18"/>
        </w:rPr>
        <w:t>non-current</w:t>
      </w:r>
      <w:r>
        <w:rPr>
          <w:color w:val="231F20"/>
          <w:spacing w:val="-2"/>
          <w:sz w:val="18"/>
          <w:szCs w:val="18"/>
        </w:rPr>
        <w:t xml:space="preserve"> </w:t>
      </w:r>
      <w:r>
        <w:rPr>
          <w:color w:val="231F20"/>
          <w:sz w:val="18"/>
          <w:szCs w:val="18"/>
        </w:rPr>
        <w:t>loans</w:t>
      </w:r>
      <w:r>
        <w:rPr>
          <w:color w:val="231F20"/>
          <w:sz w:val="18"/>
          <w:szCs w:val="18"/>
        </w:rPr>
        <w:tab/>
      </w:r>
      <w:r>
        <w:rPr>
          <w:color w:val="231F20"/>
          <w:position w:val="5"/>
          <w:sz w:val="18"/>
          <w:szCs w:val="18"/>
        </w:rPr>
        <w:t>-</w:t>
      </w:r>
    </w:p>
    <w:p w14:paraId="3F4AE267" w14:textId="77777777" w:rsidR="00783288" w:rsidRDefault="00783288">
      <w:pPr>
        <w:pStyle w:val="BodyText"/>
        <w:kinsoku w:val="0"/>
        <w:overflowPunct w:val="0"/>
        <w:spacing w:before="9"/>
        <w:rPr>
          <w:sz w:val="29"/>
          <w:szCs w:val="29"/>
        </w:rPr>
      </w:pPr>
    </w:p>
    <w:p w14:paraId="36DC6668" w14:textId="58AFAEE3" w:rsidR="00783288" w:rsidRDefault="00E31420" w:rsidP="00512495">
      <w:pPr>
        <w:pStyle w:val="ListParagraph"/>
        <w:numPr>
          <w:ilvl w:val="0"/>
          <w:numId w:val="14"/>
        </w:numPr>
        <w:tabs>
          <w:tab w:val="left" w:pos="639"/>
          <w:tab w:val="left" w:pos="8382"/>
        </w:tabs>
        <w:kinsoku w:val="0"/>
        <w:overflowPunct w:val="0"/>
        <w:spacing w:before="1"/>
        <w:ind w:left="638" w:hanging="231"/>
        <w:rPr>
          <w:color w:val="231F20"/>
          <w:position w:val="5"/>
          <w:sz w:val="18"/>
          <w:szCs w:val="18"/>
        </w:rPr>
      </w:pPr>
      <w:r>
        <w:rPr>
          <w:color w:val="231F20"/>
          <w:sz w:val="18"/>
          <w:szCs w:val="18"/>
        </w:rPr>
        <w:t>Non-current Financial Indebtedness (K) + (L)</w:t>
      </w:r>
      <w:r>
        <w:rPr>
          <w:color w:val="231F20"/>
          <w:spacing w:val="-15"/>
          <w:sz w:val="18"/>
          <w:szCs w:val="18"/>
        </w:rPr>
        <w:t xml:space="preserve"> </w:t>
      </w:r>
      <w:r>
        <w:rPr>
          <w:color w:val="231F20"/>
          <w:sz w:val="18"/>
          <w:szCs w:val="18"/>
        </w:rPr>
        <w:t>+</w:t>
      </w:r>
      <w:r>
        <w:rPr>
          <w:color w:val="231F20"/>
          <w:spacing w:val="-2"/>
          <w:sz w:val="18"/>
          <w:szCs w:val="18"/>
        </w:rPr>
        <w:t xml:space="preserve"> </w:t>
      </w:r>
      <w:r>
        <w:rPr>
          <w:color w:val="231F20"/>
          <w:sz w:val="18"/>
          <w:szCs w:val="18"/>
        </w:rPr>
        <w:t>(M)</w:t>
      </w:r>
      <w:r>
        <w:rPr>
          <w:color w:val="231F20"/>
          <w:sz w:val="18"/>
          <w:szCs w:val="18"/>
        </w:rPr>
        <w:tab/>
      </w:r>
      <w:r>
        <w:rPr>
          <w:color w:val="231F20"/>
          <w:position w:val="5"/>
          <w:sz w:val="18"/>
          <w:szCs w:val="18"/>
        </w:rPr>
        <w:t>(127,45</w:t>
      </w:r>
      <w:r w:rsidR="00853F84">
        <w:rPr>
          <w:color w:val="231F20"/>
          <w:position w:val="5"/>
          <w:sz w:val="18"/>
          <w:szCs w:val="18"/>
        </w:rPr>
        <w:t>0</w:t>
      </w:r>
      <w:r>
        <w:rPr>
          <w:color w:val="231F20"/>
          <w:position w:val="5"/>
          <w:sz w:val="18"/>
          <w:szCs w:val="18"/>
        </w:rPr>
        <w:t>)</w:t>
      </w:r>
    </w:p>
    <w:p w14:paraId="40516738" w14:textId="77777777" w:rsidR="00783288" w:rsidRDefault="00E31420">
      <w:pPr>
        <w:pStyle w:val="BodyText"/>
        <w:kinsoku w:val="0"/>
        <w:overflowPunct w:val="0"/>
        <w:spacing w:before="7"/>
        <w:rPr>
          <w:sz w:val="26"/>
          <w:szCs w:val="26"/>
        </w:rPr>
      </w:pPr>
      <w:r>
        <w:rPr>
          <w:noProof/>
        </w:rPr>
        <mc:AlternateContent>
          <mc:Choice Requires="wps">
            <w:drawing>
              <wp:anchor distT="0" distB="0" distL="0" distR="0" simplePos="0" relativeHeight="251661312" behindDoc="0" locked="0" layoutInCell="0" allowOverlap="1" wp14:anchorId="2625A25A" wp14:editId="0CD22C7E">
                <wp:simplePos x="0" y="0"/>
                <wp:positionH relativeFrom="page">
                  <wp:posOffset>4735830</wp:posOffset>
                </wp:positionH>
                <wp:positionV relativeFrom="paragraph">
                  <wp:posOffset>222250</wp:posOffset>
                </wp:positionV>
                <wp:extent cx="1868805" cy="12700"/>
                <wp:effectExtent l="0" t="0" r="0" b="0"/>
                <wp:wrapTopAndBottom/>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8805" cy="12700"/>
                        </a:xfrm>
                        <a:custGeom>
                          <a:avLst/>
                          <a:gdLst>
                            <a:gd name="T0" fmla="*/ 0 w 2943"/>
                            <a:gd name="T1" fmla="*/ 0 h 20"/>
                            <a:gd name="T2" fmla="*/ 2942 w 2943"/>
                            <a:gd name="T3" fmla="*/ 0 h 20"/>
                          </a:gdLst>
                          <a:ahLst/>
                          <a:cxnLst>
                            <a:cxn ang="0">
                              <a:pos x="T0" y="T1"/>
                            </a:cxn>
                            <a:cxn ang="0">
                              <a:pos x="T2" y="T3"/>
                            </a:cxn>
                          </a:cxnLst>
                          <a:rect l="0" t="0" r="r" b="b"/>
                          <a:pathLst>
                            <a:path w="2943" h="20">
                              <a:moveTo>
                                <a:pt x="0" y="0"/>
                              </a:moveTo>
                              <a:lnTo>
                                <a:pt x="2942" y="0"/>
                              </a:lnTo>
                            </a:path>
                          </a:pathLst>
                        </a:custGeom>
                        <a:noFill/>
                        <a:ln w="6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9F83CE" id="Freeform 19"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72.9pt,17.5pt,520pt,17.5pt" coordsize="2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" o:allowincell="f" filled="f" strokecolor="#231f20" strokeweight=".48pt">
                <v:path arrowok="t" o:connecttype="custom" o:connectlocs="0,0;1868170,0" o:connectangles="0,0"/>
                <w10:wrap type="topAndBottom" anchorx="page"/>
              </v:polyline>
            </w:pict>
          </mc:Fallback>
        </mc:AlternateContent>
      </w:r>
    </w:p>
    <w:p w14:paraId="0DF1951B" w14:textId="188CB998" w:rsidR="00783288" w:rsidRDefault="00E31420" w:rsidP="00512495">
      <w:pPr>
        <w:pStyle w:val="ListParagraph"/>
        <w:numPr>
          <w:ilvl w:val="0"/>
          <w:numId w:val="14"/>
        </w:numPr>
        <w:tabs>
          <w:tab w:val="left" w:pos="649"/>
          <w:tab w:val="left" w:pos="8502"/>
        </w:tabs>
        <w:kinsoku w:val="0"/>
        <w:overflowPunct w:val="0"/>
        <w:spacing w:after="55"/>
        <w:ind w:left="648" w:hanging="241"/>
        <w:rPr>
          <w:b/>
          <w:bCs/>
          <w:color w:val="231F20"/>
          <w:position w:val="6"/>
          <w:sz w:val="18"/>
          <w:szCs w:val="18"/>
        </w:rPr>
      </w:pPr>
      <w:r>
        <w:rPr>
          <w:color w:val="231F20"/>
          <w:sz w:val="18"/>
          <w:szCs w:val="18"/>
        </w:rPr>
        <w:t>Net Financial Indebtedness (J)</w:t>
      </w:r>
      <w:r>
        <w:rPr>
          <w:color w:val="231F20"/>
          <w:spacing w:val="-9"/>
          <w:sz w:val="18"/>
          <w:szCs w:val="18"/>
        </w:rPr>
        <w:t xml:space="preserve"> </w:t>
      </w:r>
      <w:r>
        <w:rPr>
          <w:color w:val="231F20"/>
          <w:sz w:val="18"/>
          <w:szCs w:val="18"/>
        </w:rPr>
        <w:t>+</w:t>
      </w:r>
      <w:r>
        <w:rPr>
          <w:color w:val="231F20"/>
          <w:spacing w:val="-2"/>
          <w:sz w:val="18"/>
          <w:szCs w:val="18"/>
        </w:rPr>
        <w:t xml:space="preserve"> </w:t>
      </w:r>
      <w:r>
        <w:rPr>
          <w:color w:val="231F20"/>
          <w:sz w:val="18"/>
          <w:szCs w:val="18"/>
        </w:rPr>
        <w:t>(N)</w:t>
      </w:r>
      <w:r>
        <w:rPr>
          <w:color w:val="231F20"/>
          <w:sz w:val="18"/>
          <w:szCs w:val="18"/>
        </w:rPr>
        <w:tab/>
      </w:r>
      <w:r w:rsidR="00853F84">
        <w:rPr>
          <w:b/>
          <w:bCs/>
          <w:color w:val="231F20"/>
          <w:position w:val="6"/>
          <w:sz w:val="18"/>
          <w:szCs w:val="18"/>
        </w:rPr>
        <w:t>2</w:t>
      </w:r>
      <w:r>
        <w:rPr>
          <w:b/>
          <w:bCs/>
          <w:color w:val="231F20"/>
          <w:position w:val="6"/>
          <w:sz w:val="18"/>
          <w:szCs w:val="18"/>
        </w:rPr>
        <w:t>,</w:t>
      </w:r>
      <w:r w:rsidR="00853F84">
        <w:rPr>
          <w:b/>
          <w:bCs/>
          <w:color w:val="231F20"/>
          <w:position w:val="6"/>
          <w:sz w:val="18"/>
          <w:szCs w:val="18"/>
        </w:rPr>
        <w:t>239,285</w:t>
      </w:r>
    </w:p>
    <w:p w14:paraId="07F1E469" w14:textId="77777777" w:rsidR="00783288" w:rsidRDefault="00E31420">
      <w:pPr>
        <w:pStyle w:val="BodyText"/>
        <w:kinsoku w:val="0"/>
        <w:overflowPunct w:val="0"/>
        <w:spacing w:line="20" w:lineRule="exact"/>
        <w:ind w:left="6308"/>
        <w:rPr>
          <w:sz w:val="2"/>
          <w:szCs w:val="2"/>
        </w:rPr>
      </w:pPr>
      <w:r>
        <w:rPr>
          <w:noProof/>
          <w:sz w:val="2"/>
          <w:szCs w:val="2"/>
        </w:rPr>
        <mc:AlternateContent>
          <mc:Choice Requires="wpg">
            <w:drawing>
              <wp:inline distT="0" distB="0" distL="0" distR="0" wp14:anchorId="7601906C" wp14:editId="350E7758">
                <wp:extent cx="1868805" cy="12700"/>
                <wp:effectExtent l="9525" t="9525" r="7620" b="6350"/>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2700"/>
                          <a:chOff x="0" y="0"/>
                          <a:chExt cx="2943" cy="20"/>
                        </a:xfrm>
                      </wpg:grpSpPr>
                      <wps:wsp>
                        <wps:cNvPr id="28" name="Freeform 21"/>
                        <wps:cNvSpPr>
                          <a:spLocks/>
                        </wps:cNvSpPr>
                        <wps:spPr bwMode="auto">
                          <a:xfrm>
                            <a:off x="0" y="9"/>
                            <a:ext cx="2943" cy="20"/>
                          </a:xfrm>
                          <a:custGeom>
                            <a:avLst/>
                            <a:gdLst>
                              <a:gd name="T0" fmla="*/ 0 w 2943"/>
                              <a:gd name="T1" fmla="*/ 0 h 20"/>
                              <a:gd name="T2" fmla="*/ 2942 w 2943"/>
                              <a:gd name="T3" fmla="*/ 0 h 20"/>
                            </a:gdLst>
                            <a:ahLst/>
                            <a:cxnLst>
                              <a:cxn ang="0">
                                <a:pos x="T0" y="T1"/>
                              </a:cxn>
                              <a:cxn ang="0">
                                <a:pos x="T2" y="T3"/>
                              </a:cxn>
                            </a:cxnLst>
                            <a:rect l="0" t="0" r="r" b="b"/>
                            <a:pathLst>
                              <a:path w="2943" h="20">
                                <a:moveTo>
                                  <a:pt x="0" y="0"/>
                                </a:moveTo>
                                <a:lnTo>
                                  <a:pt x="2942" y="0"/>
                                </a:lnTo>
                              </a:path>
                            </a:pathLst>
                          </a:custGeom>
                          <a:noFill/>
                          <a:ln w="121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EEB96E" id="Group 20" o:spid="_x0000_s1026" style="width:147.15pt;height:1pt;mso-position-horizontal-relative:char;mso-position-vertical-relative:line" coordsize="29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">
                <v:shape id="Freeform 21" o:spid="_x0000_s1027" style="position:absolute;top:9;width:2943;height:20;visibility:visible;mso-wrap-style:square;v-text-anchor:top" coordsize="2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" path="m,l2942,e" filled="f" strokecolor="#231f20" strokeweight=".33864mm">
                  <v:path arrowok="t" o:connecttype="custom" o:connectlocs="0,0;2942,0" o:connectangles="0,0"/>
                </v:shape>
                <w10:anchorlock/>
              </v:group>
            </w:pict>
          </mc:Fallback>
        </mc:AlternateContent>
      </w:r>
    </w:p>
    <w:p w14:paraId="65D43B14" w14:textId="77777777" w:rsidR="00783288" w:rsidRDefault="00783288">
      <w:pPr>
        <w:pStyle w:val="BodyText"/>
        <w:kinsoku w:val="0"/>
        <w:overflowPunct w:val="0"/>
        <w:rPr>
          <w:b/>
          <w:bCs/>
          <w:sz w:val="20"/>
          <w:szCs w:val="20"/>
        </w:rPr>
      </w:pPr>
    </w:p>
    <w:p w14:paraId="19EB4B2E" w14:textId="77777777" w:rsidR="00783288" w:rsidRDefault="00783288">
      <w:pPr>
        <w:pStyle w:val="BodyText"/>
        <w:kinsoku w:val="0"/>
        <w:overflowPunct w:val="0"/>
        <w:rPr>
          <w:b/>
          <w:bCs/>
          <w:sz w:val="19"/>
          <w:szCs w:val="19"/>
        </w:rPr>
      </w:pPr>
    </w:p>
    <w:p w14:paraId="61949497" w14:textId="4C8607CD" w:rsidR="00783288" w:rsidRDefault="00E31420">
      <w:pPr>
        <w:pStyle w:val="BodyText"/>
        <w:kinsoku w:val="0"/>
        <w:overflowPunct w:val="0"/>
        <w:spacing w:before="95"/>
        <w:ind w:left="300" w:right="1434"/>
        <w:rPr>
          <w:color w:val="231F20"/>
        </w:rPr>
        <w:sectPr w:rsidR="00783288">
          <w:pgSz w:w="11900" w:h="16840"/>
          <w:pgMar w:top="1360" w:right="240" w:bottom="1160" w:left="1140" w:header="0" w:footer="891" w:gutter="0"/>
          <w:cols w:space="720"/>
          <w:noEndnote/>
        </w:sectPr>
      </w:pPr>
      <w:r w:rsidRPr="00EB2E04">
        <w:rPr>
          <w:color w:val="231F20"/>
        </w:rPr>
        <w:t xml:space="preserve">As at 31 </w:t>
      </w:r>
      <w:r w:rsidR="002506C6" w:rsidRPr="00EB2E04">
        <w:rPr>
          <w:color w:val="231F20"/>
        </w:rPr>
        <w:t xml:space="preserve">December </w:t>
      </w:r>
      <w:r w:rsidRPr="00EB2E04">
        <w:rPr>
          <w:color w:val="231F20"/>
        </w:rPr>
        <w:t>2020, the Group had no indirect or contingent indebtedness. As at the Last Practicable Date, there has been no material change</w:t>
      </w:r>
      <w:r>
        <w:rPr>
          <w:color w:val="231F20"/>
        </w:rPr>
        <w:t xml:space="preserve"> in the indebtedness of the Company since 31 </w:t>
      </w:r>
      <w:r w:rsidR="002506C6">
        <w:rPr>
          <w:color w:val="231F20"/>
        </w:rPr>
        <w:t xml:space="preserve">December </w:t>
      </w:r>
      <w:r>
        <w:rPr>
          <w:color w:val="231F20"/>
        </w:rPr>
        <w:t>2020.</w:t>
      </w:r>
    </w:p>
    <w:p w14:paraId="1C15479D" w14:textId="77777777" w:rsidR="00783288" w:rsidRDefault="00E31420">
      <w:pPr>
        <w:pStyle w:val="Heading1"/>
        <w:kinsoku w:val="0"/>
        <w:overflowPunct w:val="0"/>
        <w:spacing w:before="80" w:line="482" w:lineRule="auto"/>
        <w:ind w:left="4353" w:right="5247" w:hanging="4"/>
        <w:jc w:val="center"/>
        <w:rPr>
          <w:color w:val="050707"/>
        </w:rPr>
      </w:pPr>
      <w:r>
        <w:rPr>
          <w:color w:val="050707"/>
        </w:rPr>
        <w:lastRenderedPageBreak/>
        <w:t>PART VI TAXATION</w:t>
      </w:r>
    </w:p>
    <w:p w14:paraId="776914F1" w14:textId="4FBFF476" w:rsidR="00783288" w:rsidRDefault="00E31420">
      <w:pPr>
        <w:pStyle w:val="BodyText"/>
        <w:kinsoku w:val="0"/>
        <w:overflowPunct w:val="0"/>
        <w:spacing w:before="1"/>
        <w:ind w:left="300" w:right="1191"/>
        <w:jc w:val="both"/>
        <w:rPr>
          <w:color w:val="231F20"/>
        </w:rPr>
      </w:pPr>
      <w:r>
        <w:rPr>
          <w:color w:val="231F20"/>
        </w:rPr>
        <w:t>The comments set out below are based on current UK tax law and what is understood to be current HMRC published</w:t>
      </w:r>
      <w:r>
        <w:rPr>
          <w:color w:val="231F20"/>
          <w:spacing w:val="-12"/>
        </w:rPr>
        <w:t xml:space="preserve"> </w:t>
      </w:r>
      <w:r>
        <w:rPr>
          <w:color w:val="231F20"/>
        </w:rPr>
        <w:t>practice</w:t>
      </w:r>
      <w:r>
        <w:rPr>
          <w:color w:val="231F20"/>
          <w:spacing w:val="-11"/>
        </w:rPr>
        <w:t xml:space="preserve"> </w:t>
      </w:r>
      <w:r>
        <w:rPr>
          <w:color w:val="231F20"/>
        </w:rPr>
        <w:t>which</w:t>
      </w:r>
      <w:r>
        <w:rPr>
          <w:color w:val="231F20"/>
          <w:spacing w:val="-11"/>
        </w:rPr>
        <w:t xml:space="preserve"> </w:t>
      </w:r>
      <w:r>
        <w:rPr>
          <w:color w:val="231F20"/>
        </w:rPr>
        <w:t>are</w:t>
      </w:r>
      <w:r>
        <w:rPr>
          <w:color w:val="231F20"/>
          <w:spacing w:val="-13"/>
        </w:rPr>
        <w:t xml:space="preserve"> </w:t>
      </w:r>
      <w:r>
        <w:rPr>
          <w:color w:val="231F20"/>
        </w:rPr>
        <w:t>subject</w:t>
      </w:r>
      <w:r>
        <w:rPr>
          <w:color w:val="231F20"/>
          <w:spacing w:val="-12"/>
        </w:rPr>
        <w:t xml:space="preserve"> </w:t>
      </w:r>
      <w:r>
        <w:rPr>
          <w:color w:val="231F20"/>
        </w:rPr>
        <w:t>to</w:t>
      </w:r>
      <w:r>
        <w:rPr>
          <w:color w:val="231F20"/>
          <w:spacing w:val="-13"/>
        </w:rPr>
        <w:t xml:space="preserve"> </w:t>
      </w:r>
      <w:r>
        <w:rPr>
          <w:color w:val="231F20"/>
        </w:rPr>
        <w:t>change</w:t>
      </w:r>
      <w:r>
        <w:rPr>
          <w:color w:val="231F20"/>
          <w:spacing w:val="-13"/>
        </w:rPr>
        <w:t xml:space="preserve"> </w:t>
      </w:r>
      <w:r>
        <w:rPr>
          <w:color w:val="231F20"/>
        </w:rPr>
        <w:t>at</w:t>
      </w:r>
      <w:r>
        <w:rPr>
          <w:color w:val="231F20"/>
          <w:spacing w:val="-11"/>
        </w:rPr>
        <w:t xml:space="preserve"> </w:t>
      </w:r>
      <w:r>
        <w:rPr>
          <w:color w:val="231F20"/>
        </w:rPr>
        <w:t>any</w:t>
      </w:r>
      <w:r>
        <w:rPr>
          <w:color w:val="231F20"/>
          <w:spacing w:val="-14"/>
        </w:rPr>
        <w:t xml:space="preserve"> </w:t>
      </w:r>
      <w:r>
        <w:rPr>
          <w:color w:val="231F20"/>
        </w:rPr>
        <w:t>time</w:t>
      </w:r>
      <w:r>
        <w:rPr>
          <w:color w:val="231F20"/>
          <w:spacing w:val="-11"/>
        </w:rPr>
        <w:t xml:space="preserve"> </w:t>
      </w:r>
      <w:r>
        <w:rPr>
          <w:color w:val="231F20"/>
        </w:rPr>
        <w:t>(potentially</w:t>
      </w:r>
      <w:r>
        <w:rPr>
          <w:color w:val="231F20"/>
          <w:spacing w:val="-13"/>
        </w:rPr>
        <w:t xml:space="preserve"> </w:t>
      </w:r>
      <w:r>
        <w:rPr>
          <w:color w:val="231F20"/>
        </w:rPr>
        <w:t>with</w:t>
      </w:r>
      <w:r>
        <w:rPr>
          <w:color w:val="231F20"/>
          <w:spacing w:val="-11"/>
        </w:rPr>
        <w:t xml:space="preserve"> </w:t>
      </w:r>
      <w:r>
        <w:rPr>
          <w:color w:val="231F20"/>
        </w:rPr>
        <w:t>retrospective</w:t>
      </w:r>
      <w:r>
        <w:rPr>
          <w:color w:val="231F20"/>
          <w:spacing w:val="-13"/>
        </w:rPr>
        <w:t xml:space="preserve"> </w:t>
      </w:r>
      <w:r>
        <w:rPr>
          <w:color w:val="231F20"/>
        </w:rPr>
        <w:t>effect)</w:t>
      </w:r>
      <w:r w:rsidR="004E1174">
        <w:rPr>
          <w:color w:val="231F20"/>
        </w:rPr>
        <w:t xml:space="preserve"> and which, in the case of HMRC’s published practice, may not be binding</w:t>
      </w:r>
      <w:r>
        <w:rPr>
          <w:color w:val="231F20"/>
        </w:rPr>
        <w:t>.</w:t>
      </w:r>
      <w:r>
        <w:rPr>
          <w:color w:val="231F20"/>
          <w:spacing w:val="27"/>
        </w:rPr>
        <w:t xml:space="preserve"> </w:t>
      </w:r>
      <w:r>
        <w:rPr>
          <w:color w:val="231F20"/>
        </w:rPr>
        <w:t>They</w:t>
      </w:r>
      <w:r>
        <w:rPr>
          <w:color w:val="231F20"/>
          <w:spacing w:val="-13"/>
        </w:rPr>
        <w:t xml:space="preserve"> </w:t>
      </w:r>
      <w:r>
        <w:rPr>
          <w:color w:val="231F20"/>
        </w:rPr>
        <w:t>are</w:t>
      </w:r>
      <w:r>
        <w:rPr>
          <w:color w:val="231F20"/>
          <w:spacing w:val="-11"/>
        </w:rPr>
        <w:t xml:space="preserve"> </w:t>
      </w:r>
      <w:r>
        <w:rPr>
          <w:color w:val="231F20"/>
        </w:rPr>
        <w:t>intended as</w:t>
      </w:r>
      <w:r>
        <w:rPr>
          <w:color w:val="231F20"/>
          <w:spacing w:val="-4"/>
        </w:rPr>
        <w:t xml:space="preserve"> </w:t>
      </w:r>
      <w:r>
        <w:rPr>
          <w:color w:val="231F20"/>
        </w:rPr>
        <w:t>a</w:t>
      </w:r>
      <w:r>
        <w:rPr>
          <w:color w:val="231F20"/>
          <w:spacing w:val="-4"/>
        </w:rPr>
        <w:t xml:space="preserve"> </w:t>
      </w:r>
      <w:r>
        <w:rPr>
          <w:color w:val="231F20"/>
        </w:rPr>
        <w:t>general</w:t>
      </w:r>
      <w:r>
        <w:rPr>
          <w:color w:val="231F20"/>
          <w:spacing w:val="-4"/>
        </w:rPr>
        <w:t xml:space="preserve"> </w:t>
      </w:r>
      <w:r>
        <w:rPr>
          <w:color w:val="231F20"/>
        </w:rPr>
        <w:t>guide</w:t>
      </w:r>
      <w:r>
        <w:rPr>
          <w:color w:val="231F20"/>
          <w:spacing w:val="-6"/>
        </w:rPr>
        <w:t xml:space="preserve"> </w:t>
      </w:r>
      <w:r>
        <w:rPr>
          <w:color w:val="231F20"/>
        </w:rPr>
        <w:t>only</w:t>
      </w:r>
      <w:r>
        <w:rPr>
          <w:color w:val="231F20"/>
          <w:spacing w:val="-6"/>
        </w:rPr>
        <w:t xml:space="preserve"> </w:t>
      </w:r>
      <w:r>
        <w:rPr>
          <w:color w:val="231F20"/>
        </w:rPr>
        <w:t>and</w:t>
      </w:r>
      <w:r>
        <w:rPr>
          <w:color w:val="231F20"/>
          <w:spacing w:val="-5"/>
        </w:rPr>
        <w:t xml:space="preserve"> </w:t>
      </w:r>
      <w:r>
        <w:rPr>
          <w:color w:val="231F20"/>
        </w:rPr>
        <w:t>apply</w:t>
      </w:r>
      <w:r>
        <w:rPr>
          <w:color w:val="231F20"/>
          <w:spacing w:val="-6"/>
        </w:rPr>
        <w:t xml:space="preserve"> </w:t>
      </w:r>
      <w:r>
        <w:rPr>
          <w:color w:val="231F20"/>
        </w:rPr>
        <w:t>only</w:t>
      </w:r>
      <w:r>
        <w:rPr>
          <w:color w:val="231F20"/>
          <w:spacing w:val="-6"/>
        </w:rPr>
        <w:t xml:space="preserve"> </w:t>
      </w:r>
      <w:r>
        <w:rPr>
          <w:color w:val="231F20"/>
        </w:rPr>
        <w:t>to</w:t>
      </w:r>
      <w:r>
        <w:rPr>
          <w:color w:val="231F20"/>
          <w:spacing w:val="-4"/>
        </w:rPr>
        <w:t xml:space="preserve"> </w:t>
      </w:r>
      <w:r>
        <w:rPr>
          <w:color w:val="231F20"/>
        </w:rPr>
        <w:t>Shareholders</w:t>
      </w:r>
      <w:r>
        <w:rPr>
          <w:color w:val="231F20"/>
          <w:spacing w:val="-3"/>
        </w:rPr>
        <w:t xml:space="preserve"> </w:t>
      </w:r>
      <w:r>
        <w:rPr>
          <w:color w:val="231F20"/>
        </w:rPr>
        <w:t>who</w:t>
      </w:r>
      <w:r>
        <w:rPr>
          <w:color w:val="231F20"/>
          <w:spacing w:val="-4"/>
        </w:rPr>
        <w:t xml:space="preserve"> </w:t>
      </w:r>
      <w:r>
        <w:rPr>
          <w:color w:val="231F20"/>
        </w:rPr>
        <w:t>are</w:t>
      </w:r>
      <w:r>
        <w:rPr>
          <w:color w:val="231F20"/>
          <w:spacing w:val="-3"/>
        </w:rPr>
        <w:t xml:space="preserve"> </w:t>
      </w:r>
      <w:r>
        <w:rPr>
          <w:color w:val="231F20"/>
        </w:rPr>
        <w:t>resident</w:t>
      </w:r>
      <w:r>
        <w:rPr>
          <w:color w:val="231F20"/>
          <w:spacing w:val="-6"/>
        </w:rPr>
        <w:t xml:space="preserve"> </w:t>
      </w:r>
      <w:r>
        <w:rPr>
          <w:color w:val="231F20"/>
        </w:rPr>
        <w:t>and</w:t>
      </w:r>
      <w:r>
        <w:rPr>
          <w:color w:val="231F20"/>
          <w:spacing w:val="-6"/>
        </w:rPr>
        <w:t xml:space="preserve"> </w:t>
      </w:r>
      <w:r>
        <w:rPr>
          <w:color w:val="231F20"/>
        </w:rPr>
        <w:t>domiciled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case</w:t>
      </w:r>
      <w:r>
        <w:rPr>
          <w:color w:val="231F20"/>
          <w:spacing w:val="-5"/>
        </w:rPr>
        <w:t xml:space="preserve"> </w:t>
      </w:r>
      <w:r>
        <w:rPr>
          <w:color w:val="231F20"/>
        </w:rPr>
        <w:t>of</w:t>
      </w:r>
      <w:r>
        <w:rPr>
          <w:color w:val="231F20"/>
          <w:spacing w:val="-6"/>
        </w:rPr>
        <w:t xml:space="preserve"> </w:t>
      </w:r>
      <w:r>
        <w:rPr>
          <w:color w:val="231F20"/>
        </w:rPr>
        <w:t>individuals) and</w:t>
      </w:r>
      <w:r>
        <w:rPr>
          <w:color w:val="231F20"/>
          <w:spacing w:val="-9"/>
        </w:rPr>
        <w:t xml:space="preserve"> </w:t>
      </w:r>
      <w:r>
        <w:rPr>
          <w:color w:val="231F20"/>
        </w:rPr>
        <w:t>resident</w:t>
      </w:r>
      <w:r>
        <w:rPr>
          <w:color w:val="231F20"/>
          <w:spacing w:val="-9"/>
        </w:rPr>
        <w:t xml:space="preserve"> </w:t>
      </w:r>
      <w:r>
        <w:rPr>
          <w:color w:val="231F20"/>
        </w:rPr>
        <w:t>(in</w:t>
      </w:r>
      <w:r>
        <w:rPr>
          <w:color w:val="231F20"/>
          <w:spacing w:val="-8"/>
        </w:rPr>
        <w:t xml:space="preserve"> </w:t>
      </w:r>
      <w:r>
        <w:rPr>
          <w:color w:val="231F20"/>
        </w:rPr>
        <w:t>the</w:t>
      </w:r>
      <w:r>
        <w:rPr>
          <w:color w:val="231F20"/>
          <w:spacing w:val="-11"/>
        </w:rPr>
        <w:t xml:space="preserve"> </w:t>
      </w:r>
      <w:r>
        <w:rPr>
          <w:color w:val="231F20"/>
        </w:rPr>
        <w:t>case</w:t>
      </w:r>
      <w:r>
        <w:rPr>
          <w:color w:val="231F20"/>
          <w:spacing w:val="-9"/>
        </w:rPr>
        <w:t xml:space="preserve"> </w:t>
      </w:r>
      <w:r>
        <w:rPr>
          <w:color w:val="231F20"/>
        </w:rPr>
        <w:t>of</w:t>
      </w:r>
      <w:r>
        <w:rPr>
          <w:color w:val="231F20"/>
          <w:spacing w:val="-8"/>
        </w:rPr>
        <w:t xml:space="preserve"> </w:t>
      </w:r>
      <w:r>
        <w:rPr>
          <w:color w:val="231F20"/>
        </w:rPr>
        <w:t>companies)</w:t>
      </w:r>
      <w:r>
        <w:rPr>
          <w:color w:val="231F20"/>
          <w:spacing w:val="-9"/>
        </w:rPr>
        <w:t xml:space="preserve"> </w:t>
      </w:r>
      <w:r>
        <w:rPr>
          <w:color w:val="231F20"/>
        </w:rPr>
        <w:t>in</w:t>
      </w:r>
      <w:r>
        <w:rPr>
          <w:color w:val="231F20"/>
          <w:spacing w:val="-9"/>
        </w:rPr>
        <w:t xml:space="preserve"> </w:t>
      </w:r>
      <w:r>
        <w:rPr>
          <w:color w:val="231F20"/>
        </w:rPr>
        <w:t>(and</w:t>
      </w:r>
      <w:r>
        <w:rPr>
          <w:color w:val="231F20"/>
          <w:spacing w:val="-8"/>
        </w:rPr>
        <w:t xml:space="preserve"> </w:t>
      </w:r>
      <w:r>
        <w:rPr>
          <w:color w:val="231F20"/>
        </w:rPr>
        <w:t>only</w:t>
      </w:r>
      <w:r>
        <w:rPr>
          <w:color w:val="231F20"/>
          <w:spacing w:val="-10"/>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UK</w:t>
      </w:r>
      <w:r>
        <w:rPr>
          <w:color w:val="231F20"/>
          <w:spacing w:val="-8"/>
        </w:rPr>
        <w:t xml:space="preserve"> </w:t>
      </w:r>
      <w:r>
        <w:rPr>
          <w:color w:val="231F20"/>
        </w:rPr>
        <w:t>(except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extent</w:t>
      </w:r>
      <w:r>
        <w:rPr>
          <w:color w:val="231F20"/>
          <w:spacing w:val="-8"/>
        </w:rPr>
        <w:t xml:space="preserve"> </w:t>
      </w:r>
      <w:r>
        <w:rPr>
          <w:color w:val="231F20"/>
        </w:rPr>
        <w:t>that</w:t>
      </w:r>
      <w:r>
        <w:rPr>
          <w:color w:val="231F20"/>
          <w:spacing w:val="-9"/>
        </w:rPr>
        <w:t xml:space="preserve"> </w:t>
      </w:r>
      <w:r>
        <w:rPr>
          <w:color w:val="231F20"/>
        </w:rPr>
        <w:t>specific</w:t>
      </w:r>
      <w:r>
        <w:rPr>
          <w:color w:val="231F20"/>
          <w:spacing w:val="-8"/>
        </w:rPr>
        <w:t xml:space="preserve"> </w:t>
      </w:r>
      <w:r>
        <w:rPr>
          <w:color w:val="231F20"/>
        </w:rPr>
        <w:t>reference</w:t>
      </w:r>
      <w:r>
        <w:rPr>
          <w:color w:val="231F20"/>
          <w:spacing w:val="-8"/>
        </w:rPr>
        <w:t xml:space="preserve"> </w:t>
      </w:r>
      <w:r>
        <w:rPr>
          <w:color w:val="231F20"/>
        </w:rPr>
        <w:t>is</w:t>
      </w:r>
      <w:r>
        <w:rPr>
          <w:color w:val="231F20"/>
          <w:spacing w:val="-8"/>
        </w:rPr>
        <w:t xml:space="preserve"> </w:t>
      </w:r>
      <w:r>
        <w:rPr>
          <w:color w:val="231F20"/>
        </w:rPr>
        <w:t>made to Shareholders resident outside the UK), who hold their Ordinary Shares as investments (other than under an individual</w:t>
      </w:r>
      <w:r>
        <w:rPr>
          <w:color w:val="231F20"/>
          <w:spacing w:val="-4"/>
        </w:rPr>
        <w:t xml:space="preserve"> </w:t>
      </w:r>
      <w:r>
        <w:rPr>
          <w:color w:val="231F20"/>
        </w:rPr>
        <w:t>savings</w:t>
      </w:r>
      <w:r>
        <w:rPr>
          <w:color w:val="231F20"/>
          <w:spacing w:val="-3"/>
        </w:rPr>
        <w:t xml:space="preserve"> </w:t>
      </w:r>
      <w:r>
        <w:rPr>
          <w:color w:val="231F20"/>
        </w:rPr>
        <w:t>account</w:t>
      </w:r>
      <w:r>
        <w:rPr>
          <w:color w:val="231F20"/>
          <w:spacing w:val="-4"/>
        </w:rPr>
        <w:t xml:space="preserve"> </w:t>
      </w:r>
      <w:r>
        <w:rPr>
          <w:color w:val="231F20"/>
        </w:rPr>
        <w:t>(ISA)</w:t>
      </w:r>
      <w:r>
        <w:rPr>
          <w:color w:val="231F20"/>
          <w:spacing w:val="-2"/>
        </w:rPr>
        <w:t xml:space="preserve"> </w:t>
      </w:r>
      <w:r>
        <w:rPr>
          <w:color w:val="231F20"/>
        </w:rPr>
        <w:t>only</w:t>
      </w:r>
      <w:r>
        <w:rPr>
          <w:color w:val="231F20"/>
          <w:spacing w:val="-6"/>
        </w:rPr>
        <w:t xml:space="preserve"> </w:t>
      </w:r>
      <w:r>
        <w:rPr>
          <w:color w:val="231F20"/>
        </w:rPr>
        <w:t>and</w:t>
      </w:r>
      <w:r>
        <w:rPr>
          <w:color w:val="231F20"/>
          <w:spacing w:val="-4"/>
        </w:rPr>
        <w:t xml:space="preserve"> </w:t>
      </w:r>
      <w:r>
        <w:rPr>
          <w:color w:val="231F20"/>
        </w:rPr>
        <w:t>not</w:t>
      </w:r>
      <w:r>
        <w:rPr>
          <w:color w:val="231F20"/>
          <w:spacing w:val="-2"/>
        </w:rPr>
        <w:t xml:space="preserve"> </w:t>
      </w:r>
      <w:r>
        <w:rPr>
          <w:color w:val="231F20"/>
        </w:rPr>
        <w:t>as</w:t>
      </w:r>
      <w:r>
        <w:rPr>
          <w:color w:val="231F20"/>
          <w:spacing w:val="-3"/>
        </w:rPr>
        <w:t xml:space="preserve"> </w:t>
      </w:r>
      <w:r>
        <w:rPr>
          <w:color w:val="231F20"/>
        </w:rPr>
        <w:t>securities</w:t>
      </w:r>
      <w:r>
        <w:rPr>
          <w:color w:val="231F20"/>
          <w:spacing w:val="-1"/>
        </w:rPr>
        <w:t xml:space="preserve"> </w:t>
      </w:r>
      <w:r>
        <w:rPr>
          <w:color w:val="231F20"/>
        </w:rPr>
        <w:t>to</w:t>
      </w:r>
      <w:r>
        <w:rPr>
          <w:color w:val="231F20"/>
          <w:spacing w:val="-3"/>
        </w:rPr>
        <w:t xml:space="preserve"> </w:t>
      </w:r>
      <w:r>
        <w:rPr>
          <w:color w:val="231F20"/>
        </w:rPr>
        <w:t>be</w:t>
      </w:r>
      <w:r>
        <w:rPr>
          <w:color w:val="231F20"/>
          <w:spacing w:val="-4"/>
        </w:rPr>
        <w:t xml:space="preserve"> </w:t>
      </w:r>
      <w:r>
        <w:rPr>
          <w:color w:val="231F20"/>
        </w:rPr>
        <w:t>realised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course</w:t>
      </w:r>
      <w:r>
        <w:rPr>
          <w:color w:val="231F20"/>
          <w:spacing w:val="-4"/>
        </w:rPr>
        <w:t xml:space="preserve"> </w:t>
      </w:r>
      <w:r>
        <w:rPr>
          <w:color w:val="231F20"/>
        </w:rPr>
        <w:t>of</w:t>
      </w:r>
      <w:r>
        <w:rPr>
          <w:color w:val="231F20"/>
          <w:spacing w:val="-4"/>
        </w:rPr>
        <w:t xml:space="preserve"> </w:t>
      </w:r>
      <w:r>
        <w:rPr>
          <w:color w:val="231F20"/>
        </w:rPr>
        <w:t>a</w:t>
      </w:r>
      <w:r>
        <w:rPr>
          <w:color w:val="231F20"/>
          <w:spacing w:val="-1"/>
        </w:rPr>
        <w:t xml:space="preserve"> </w:t>
      </w:r>
      <w:r>
        <w:rPr>
          <w:color w:val="231F20"/>
        </w:rPr>
        <w:t>trade,</w:t>
      </w:r>
      <w:r>
        <w:rPr>
          <w:color w:val="231F20"/>
          <w:spacing w:val="-4"/>
        </w:rPr>
        <w:t xml:space="preserve"> </w:t>
      </w:r>
      <w:r>
        <w:rPr>
          <w:color w:val="231F20"/>
        </w:rPr>
        <w:t>and</w:t>
      </w:r>
      <w:r>
        <w:rPr>
          <w:color w:val="231F20"/>
          <w:spacing w:val="-4"/>
        </w:rPr>
        <w:t xml:space="preserve"> </w:t>
      </w:r>
      <w:r>
        <w:rPr>
          <w:color w:val="231F20"/>
        </w:rPr>
        <w:t>who</w:t>
      </w:r>
      <w:r>
        <w:rPr>
          <w:color w:val="231F20"/>
          <w:spacing w:val="-1"/>
        </w:rPr>
        <w:t xml:space="preserve"> </w:t>
      </w:r>
      <w:r>
        <w:rPr>
          <w:color w:val="231F20"/>
        </w:rPr>
        <w:t>are</w:t>
      </w:r>
      <w:r>
        <w:rPr>
          <w:color w:val="231F20"/>
          <w:spacing w:val="-4"/>
        </w:rPr>
        <w:t xml:space="preserve"> </w:t>
      </w:r>
      <w:r>
        <w:rPr>
          <w:color w:val="231F20"/>
        </w:rPr>
        <w:t>the absolute beneficial owners of those Ordinary Shares and any dividends paid</w:t>
      </w:r>
      <w:r>
        <w:rPr>
          <w:color w:val="231F20"/>
          <w:spacing w:val="-16"/>
        </w:rPr>
        <w:t xml:space="preserve"> </w:t>
      </w:r>
      <w:r>
        <w:rPr>
          <w:color w:val="231F20"/>
        </w:rPr>
        <w:t>thereon.</w:t>
      </w:r>
    </w:p>
    <w:p w14:paraId="155569A0" w14:textId="77777777" w:rsidR="00783288" w:rsidRDefault="00783288">
      <w:pPr>
        <w:pStyle w:val="BodyText"/>
        <w:kinsoku w:val="0"/>
        <w:overflowPunct w:val="0"/>
      </w:pPr>
    </w:p>
    <w:p w14:paraId="08C1CD36" w14:textId="12123B65" w:rsidR="00783288" w:rsidRDefault="00E31420">
      <w:pPr>
        <w:pStyle w:val="BodyText"/>
        <w:kinsoku w:val="0"/>
        <w:overflowPunct w:val="0"/>
        <w:ind w:left="300"/>
        <w:jc w:val="both"/>
        <w:rPr>
          <w:color w:val="231F20"/>
        </w:rPr>
      </w:pPr>
      <w:r>
        <w:rPr>
          <w:color w:val="231F20"/>
        </w:rPr>
        <w:t>It is not intended to be, nor should it be construed as</w:t>
      </w:r>
      <w:r w:rsidR="004E1174">
        <w:rPr>
          <w:color w:val="231F20"/>
        </w:rPr>
        <w:t>,</w:t>
      </w:r>
      <w:r>
        <w:rPr>
          <w:color w:val="231F20"/>
        </w:rPr>
        <w:t xml:space="preserve"> legal or tax advice.</w:t>
      </w:r>
    </w:p>
    <w:p w14:paraId="0DEA38EF" w14:textId="77777777" w:rsidR="00783288" w:rsidRDefault="00783288">
      <w:pPr>
        <w:pStyle w:val="BodyText"/>
        <w:kinsoku w:val="0"/>
        <w:overflowPunct w:val="0"/>
        <w:spacing w:before="1"/>
      </w:pPr>
    </w:p>
    <w:p w14:paraId="6D96D1A8" w14:textId="4CE6204F" w:rsidR="00783288" w:rsidRDefault="00E31420">
      <w:pPr>
        <w:pStyle w:val="BodyText"/>
        <w:kinsoku w:val="0"/>
        <w:overflowPunct w:val="0"/>
        <w:ind w:left="300" w:right="1187"/>
        <w:jc w:val="both"/>
        <w:rPr>
          <w:color w:val="231F20"/>
        </w:rPr>
      </w:pPr>
      <w:r>
        <w:rPr>
          <w:color w:val="231F20"/>
        </w:rPr>
        <w:t xml:space="preserve">The comments set out below are a summary only </w:t>
      </w:r>
      <w:r w:rsidR="004E1174">
        <w:rPr>
          <w:color w:val="231F20"/>
        </w:rPr>
        <w:t xml:space="preserve">of </w:t>
      </w:r>
      <w:r>
        <w:rPr>
          <w:color w:val="231F20"/>
        </w:rPr>
        <w:t>certain aspects of tax in the UK and do not deal with the position of certain classes of Shareholders, such as dealers in securities, broker dealers, insurance companies, collective investment schemes or Shareholders who have or are deemed to have acquired their Ordinary Shares by virtue of an office or employment. Shareholders who are in doubt as to their position or who are subject to tax in any jurisdiction other than the UK should consult their own professional advisers immediately.</w:t>
      </w:r>
    </w:p>
    <w:p w14:paraId="4DF61A02" w14:textId="77777777" w:rsidR="00783288" w:rsidRDefault="00783288">
      <w:pPr>
        <w:pStyle w:val="BodyText"/>
        <w:kinsoku w:val="0"/>
        <w:overflowPunct w:val="0"/>
        <w:spacing w:before="6"/>
        <w:rPr>
          <w:sz w:val="17"/>
          <w:szCs w:val="17"/>
        </w:rPr>
      </w:pPr>
    </w:p>
    <w:p w14:paraId="7550A1DB" w14:textId="591F13C5" w:rsidR="00783288" w:rsidRDefault="00E31420">
      <w:pPr>
        <w:pStyle w:val="Heading1"/>
        <w:kinsoku w:val="0"/>
        <w:overflowPunct w:val="0"/>
        <w:ind w:right="1189"/>
        <w:jc w:val="both"/>
        <w:rPr>
          <w:color w:val="231F20"/>
        </w:rPr>
      </w:pPr>
      <w:r>
        <w:rPr>
          <w:color w:val="231F20"/>
        </w:rPr>
        <w:t xml:space="preserve">The tax legislation of </w:t>
      </w:r>
      <w:r w:rsidR="004E1174">
        <w:rPr>
          <w:color w:val="231F20"/>
        </w:rPr>
        <w:t xml:space="preserve">an </w:t>
      </w:r>
      <w:r>
        <w:rPr>
          <w:color w:val="231F20"/>
        </w:rPr>
        <w:t xml:space="preserve">investor’s </w:t>
      </w:r>
      <w:r w:rsidR="004E1174">
        <w:rPr>
          <w:color w:val="231F20"/>
        </w:rPr>
        <w:t xml:space="preserve">country and/or state of citizenship, </w:t>
      </w:r>
      <w:proofErr w:type="gramStart"/>
      <w:r w:rsidR="004E1174">
        <w:rPr>
          <w:color w:val="231F20"/>
        </w:rPr>
        <w:t>domicile</w:t>
      </w:r>
      <w:proofErr w:type="gramEnd"/>
      <w:r w:rsidR="004E1174">
        <w:rPr>
          <w:color w:val="231F20"/>
        </w:rPr>
        <w:t xml:space="preserve"> or residence </w:t>
      </w:r>
      <w:r>
        <w:rPr>
          <w:color w:val="231F20"/>
        </w:rPr>
        <w:t xml:space="preserve">and of the </w:t>
      </w:r>
      <w:r w:rsidR="004E1174">
        <w:rPr>
          <w:color w:val="231F20"/>
        </w:rPr>
        <w:t xml:space="preserve">Company’s </w:t>
      </w:r>
      <w:r>
        <w:rPr>
          <w:color w:val="231F20"/>
        </w:rPr>
        <w:t xml:space="preserve">country of incorporation, being the United Kingdom, may have an impact on the income received from the Ordinary Shares. Prospective investors should consult their own independent professional advisers on the potential tax consequences of subscribing for, purchasing, </w:t>
      </w:r>
      <w:proofErr w:type="gramStart"/>
      <w:r>
        <w:rPr>
          <w:color w:val="231F20"/>
        </w:rPr>
        <w:t>holding</w:t>
      </w:r>
      <w:proofErr w:type="gramEnd"/>
      <w:r>
        <w:rPr>
          <w:color w:val="231F20"/>
        </w:rPr>
        <w:t xml:space="preserve"> or selling Ordinary Shares under the laws of their country and</w:t>
      </w:r>
      <w:r w:rsidR="007B1B2D">
        <w:rPr>
          <w:color w:val="231F20"/>
        </w:rPr>
        <w:t>/</w:t>
      </w:r>
      <w:r>
        <w:rPr>
          <w:color w:val="231F20"/>
        </w:rPr>
        <w:t>or state of citizenship, domicile or residence.</w:t>
      </w:r>
    </w:p>
    <w:p w14:paraId="315E3450" w14:textId="77777777" w:rsidR="00783288" w:rsidRDefault="00E31420">
      <w:pPr>
        <w:pStyle w:val="BodyText"/>
        <w:kinsoku w:val="0"/>
        <w:overflowPunct w:val="0"/>
        <w:spacing w:before="160"/>
        <w:ind w:left="300"/>
        <w:jc w:val="both"/>
        <w:rPr>
          <w:b/>
          <w:bCs/>
          <w:color w:val="231F20"/>
        </w:rPr>
      </w:pPr>
      <w:r>
        <w:rPr>
          <w:b/>
          <w:bCs/>
          <w:color w:val="231F20"/>
        </w:rPr>
        <w:t>Taxation of dividends</w:t>
      </w:r>
    </w:p>
    <w:p w14:paraId="0609AE51" w14:textId="77777777" w:rsidR="00783288" w:rsidRDefault="00E31420">
      <w:pPr>
        <w:pStyle w:val="BodyText"/>
        <w:kinsoku w:val="0"/>
        <w:overflowPunct w:val="0"/>
        <w:spacing w:before="165"/>
        <w:ind w:left="300"/>
        <w:jc w:val="both"/>
        <w:rPr>
          <w:color w:val="231F20"/>
        </w:rPr>
      </w:pPr>
      <w:r>
        <w:rPr>
          <w:color w:val="231F20"/>
        </w:rPr>
        <w:t>The Company will not be required to withhold tax at source on any dividends it pays to its Shareholders.</w:t>
      </w:r>
    </w:p>
    <w:p w14:paraId="3C711751" w14:textId="22D29BA7" w:rsidR="00783288" w:rsidRDefault="00E31420">
      <w:pPr>
        <w:pStyle w:val="BodyText"/>
        <w:kinsoku w:val="0"/>
        <w:overflowPunct w:val="0"/>
        <w:spacing w:before="160"/>
        <w:ind w:left="300" w:right="1188"/>
        <w:jc w:val="both"/>
        <w:rPr>
          <w:color w:val="231F20"/>
        </w:rPr>
      </w:pPr>
      <w:r>
        <w:rPr>
          <w:color w:val="231F20"/>
        </w:rPr>
        <w:t xml:space="preserve">Dividends paid on the Ordinary Shares to </w:t>
      </w:r>
      <w:r w:rsidR="004E1174">
        <w:rPr>
          <w:color w:val="231F20"/>
        </w:rPr>
        <w:t>individual Shareholders</w:t>
      </w:r>
      <w:r>
        <w:rPr>
          <w:color w:val="231F20"/>
        </w:rPr>
        <w:t xml:space="preserve"> resident in the UK for taxation purposes may be liable to income tax. </w:t>
      </w:r>
      <w:proofErr w:type="gramStart"/>
      <w:r>
        <w:rPr>
          <w:color w:val="231F20"/>
        </w:rPr>
        <w:t>Each individual</w:t>
      </w:r>
      <w:proofErr w:type="gramEnd"/>
      <w:r>
        <w:rPr>
          <w:color w:val="231F20"/>
          <w:spacing w:val="-7"/>
        </w:rPr>
        <w:t xml:space="preserve"> </w:t>
      </w:r>
      <w:r>
        <w:rPr>
          <w:color w:val="231F20"/>
        </w:rPr>
        <w:t>has</w:t>
      </w:r>
      <w:r>
        <w:rPr>
          <w:color w:val="231F20"/>
          <w:spacing w:val="-4"/>
        </w:rPr>
        <w:t xml:space="preserve"> </w:t>
      </w:r>
      <w:r>
        <w:rPr>
          <w:color w:val="231F20"/>
        </w:rPr>
        <w:t>a</w:t>
      </w:r>
      <w:r>
        <w:rPr>
          <w:color w:val="231F20"/>
          <w:spacing w:val="-7"/>
        </w:rPr>
        <w:t xml:space="preserve"> </w:t>
      </w:r>
      <w:r>
        <w:rPr>
          <w:color w:val="231F20"/>
        </w:rPr>
        <w:t>tax-free</w:t>
      </w:r>
      <w:r>
        <w:rPr>
          <w:color w:val="231F20"/>
          <w:spacing w:val="-5"/>
        </w:rPr>
        <w:t xml:space="preserve"> </w:t>
      </w:r>
      <w:r>
        <w:rPr>
          <w:color w:val="231F20"/>
        </w:rPr>
        <w:t>dividend</w:t>
      </w:r>
      <w:r>
        <w:rPr>
          <w:color w:val="231F20"/>
          <w:spacing w:val="-5"/>
        </w:rPr>
        <w:t xml:space="preserve"> </w:t>
      </w:r>
      <w:r>
        <w:rPr>
          <w:color w:val="231F20"/>
        </w:rPr>
        <w:t>allowance</w:t>
      </w:r>
      <w:r>
        <w:rPr>
          <w:color w:val="231F20"/>
          <w:spacing w:val="-7"/>
        </w:rPr>
        <w:t xml:space="preserve"> </w:t>
      </w:r>
      <w:r>
        <w:rPr>
          <w:color w:val="231F20"/>
        </w:rPr>
        <w:t>which</w:t>
      </w:r>
      <w:r w:rsidR="004E1174">
        <w:rPr>
          <w:color w:val="231F20"/>
        </w:rPr>
        <w:t>, in the 2020-21 and 2021-22 tax years</w:t>
      </w:r>
      <w:r>
        <w:rPr>
          <w:color w:val="231F20"/>
          <w:spacing w:val="-7"/>
        </w:rPr>
        <w:t xml:space="preserve"> </w:t>
      </w:r>
      <w:r>
        <w:rPr>
          <w:color w:val="231F20"/>
        </w:rPr>
        <w:t>exempts</w:t>
      </w:r>
      <w:r>
        <w:rPr>
          <w:color w:val="231F20"/>
          <w:spacing w:val="-4"/>
        </w:rPr>
        <w:t xml:space="preserve"> </w:t>
      </w:r>
      <w:r>
        <w:rPr>
          <w:color w:val="231F20"/>
        </w:rPr>
        <w:t>the</w:t>
      </w:r>
      <w:r>
        <w:rPr>
          <w:color w:val="231F20"/>
          <w:spacing w:val="-3"/>
        </w:rPr>
        <w:t xml:space="preserve"> </w:t>
      </w:r>
      <w:r>
        <w:rPr>
          <w:color w:val="231F20"/>
        </w:rPr>
        <w:t>first</w:t>
      </w:r>
      <w:r>
        <w:rPr>
          <w:color w:val="231F20"/>
          <w:spacing w:val="-7"/>
        </w:rPr>
        <w:t xml:space="preserve"> </w:t>
      </w:r>
      <w:r>
        <w:rPr>
          <w:color w:val="231F20"/>
        </w:rPr>
        <w:t>£2,000</w:t>
      </w:r>
      <w:r>
        <w:rPr>
          <w:color w:val="231F20"/>
          <w:spacing w:val="-7"/>
        </w:rPr>
        <w:t xml:space="preserve"> </w:t>
      </w:r>
      <w:r>
        <w:rPr>
          <w:b/>
          <w:bCs/>
          <w:color w:val="231F20"/>
        </w:rPr>
        <w:t>(Nil</w:t>
      </w:r>
      <w:r>
        <w:rPr>
          <w:b/>
          <w:bCs/>
          <w:color w:val="231F20"/>
          <w:spacing w:val="-5"/>
        </w:rPr>
        <w:t xml:space="preserve"> </w:t>
      </w:r>
      <w:r>
        <w:rPr>
          <w:b/>
          <w:bCs/>
          <w:color w:val="231F20"/>
        </w:rPr>
        <w:t>Rate</w:t>
      </w:r>
      <w:r>
        <w:rPr>
          <w:b/>
          <w:bCs/>
          <w:color w:val="231F20"/>
          <w:spacing w:val="-6"/>
        </w:rPr>
        <w:t xml:space="preserve"> </w:t>
      </w:r>
      <w:r>
        <w:rPr>
          <w:b/>
          <w:bCs/>
          <w:color w:val="231F20"/>
        </w:rPr>
        <w:t>Amount)</w:t>
      </w:r>
      <w:r>
        <w:rPr>
          <w:b/>
          <w:bCs/>
          <w:color w:val="231F20"/>
          <w:spacing w:val="-6"/>
        </w:rPr>
        <w:t xml:space="preserve"> </w:t>
      </w:r>
      <w:r>
        <w:rPr>
          <w:color w:val="231F20"/>
        </w:rPr>
        <w:t>of</w:t>
      </w:r>
      <w:r>
        <w:rPr>
          <w:color w:val="231F20"/>
          <w:spacing w:val="-7"/>
        </w:rPr>
        <w:t xml:space="preserve"> </w:t>
      </w:r>
      <w:r>
        <w:rPr>
          <w:color w:val="231F20"/>
        </w:rPr>
        <w:t>dividend</w:t>
      </w:r>
      <w:r>
        <w:rPr>
          <w:color w:val="231F20"/>
          <w:spacing w:val="-7"/>
        </w:rPr>
        <w:t xml:space="preserve"> </w:t>
      </w:r>
      <w:r>
        <w:rPr>
          <w:color w:val="231F20"/>
        </w:rPr>
        <w:t>income. Dividend income in excess of the tax-free allowance will be liable to income tax in the hands</w:t>
      </w:r>
      <w:r>
        <w:rPr>
          <w:color w:val="231F20"/>
          <w:spacing w:val="-2"/>
        </w:rPr>
        <w:t xml:space="preserve"> </w:t>
      </w:r>
      <w:r>
        <w:rPr>
          <w:color w:val="231F20"/>
        </w:rPr>
        <w:t>of</w:t>
      </w:r>
      <w:r>
        <w:rPr>
          <w:color w:val="231F20"/>
          <w:spacing w:val="-2"/>
        </w:rPr>
        <w:t xml:space="preserve"> </w:t>
      </w:r>
      <w:r>
        <w:rPr>
          <w:color w:val="231F20"/>
        </w:rPr>
        <w:t>individuals</w:t>
      </w:r>
      <w:r>
        <w:rPr>
          <w:color w:val="231F20"/>
          <w:spacing w:val="-3"/>
        </w:rPr>
        <w:t xml:space="preserve"> </w:t>
      </w:r>
      <w:r>
        <w:rPr>
          <w:color w:val="231F20"/>
        </w:rPr>
        <w:t>at</w:t>
      </w:r>
      <w:r>
        <w:rPr>
          <w:color w:val="231F20"/>
          <w:spacing w:val="-2"/>
        </w:rPr>
        <w:t xml:space="preserve"> </w:t>
      </w:r>
      <w:r>
        <w:rPr>
          <w:color w:val="231F20"/>
        </w:rPr>
        <w:t>the</w:t>
      </w:r>
      <w:r>
        <w:rPr>
          <w:color w:val="231F20"/>
          <w:spacing w:val="-1"/>
        </w:rPr>
        <w:t xml:space="preserve"> </w:t>
      </w:r>
      <w:r>
        <w:rPr>
          <w:color w:val="231F20"/>
        </w:rPr>
        <w:t>rate</w:t>
      </w:r>
      <w:r>
        <w:rPr>
          <w:color w:val="231F20"/>
          <w:spacing w:val="-4"/>
        </w:rPr>
        <w:t xml:space="preserve"> </w:t>
      </w:r>
      <w:r>
        <w:rPr>
          <w:color w:val="231F20"/>
        </w:rPr>
        <w:t>of</w:t>
      </w:r>
      <w:r>
        <w:rPr>
          <w:color w:val="231F20"/>
          <w:spacing w:val="-4"/>
        </w:rPr>
        <w:t xml:space="preserve"> </w:t>
      </w:r>
      <w:r>
        <w:rPr>
          <w:color w:val="231F20"/>
        </w:rPr>
        <w:t>7.5%</w:t>
      </w:r>
      <w:r>
        <w:rPr>
          <w:color w:val="231F20"/>
          <w:spacing w:val="-4"/>
        </w:rPr>
        <w:t xml:space="preserve"> </w:t>
      </w:r>
      <w:r>
        <w:rPr>
          <w:color w:val="231F20"/>
        </w:rPr>
        <w:t>to</w:t>
      </w:r>
      <w:r>
        <w:rPr>
          <w:color w:val="231F20"/>
          <w:spacing w:val="-4"/>
        </w:rPr>
        <w:t xml:space="preserve"> </w:t>
      </w:r>
      <w:r>
        <w:rPr>
          <w:color w:val="231F20"/>
        </w:rPr>
        <w:t>the</w:t>
      </w:r>
      <w:r>
        <w:rPr>
          <w:color w:val="231F20"/>
          <w:spacing w:val="-1"/>
        </w:rPr>
        <w:t xml:space="preserve"> </w:t>
      </w:r>
      <w:r>
        <w:rPr>
          <w:color w:val="231F20"/>
        </w:rPr>
        <w:t>extent</w:t>
      </w:r>
      <w:r>
        <w:rPr>
          <w:color w:val="231F20"/>
          <w:spacing w:val="-3"/>
        </w:rPr>
        <w:t xml:space="preserve"> </w:t>
      </w:r>
      <w:r>
        <w:rPr>
          <w:color w:val="231F20"/>
        </w:rPr>
        <w:t>that</w:t>
      </w:r>
      <w:r>
        <w:rPr>
          <w:color w:val="231F20"/>
          <w:spacing w:val="-4"/>
        </w:rPr>
        <w:t xml:space="preserve"> </w:t>
      </w:r>
      <w:r>
        <w:rPr>
          <w:color w:val="231F20"/>
        </w:rPr>
        <w:t>it</w:t>
      </w:r>
      <w:r>
        <w:rPr>
          <w:color w:val="231F20"/>
          <w:spacing w:val="-3"/>
        </w:rPr>
        <w:t xml:space="preserve"> </w:t>
      </w:r>
      <w:r>
        <w:rPr>
          <w:color w:val="231F20"/>
        </w:rPr>
        <w:t>is</w:t>
      </w:r>
      <w:r>
        <w:rPr>
          <w:color w:val="231F20"/>
          <w:spacing w:val="-6"/>
        </w:rPr>
        <w:t xml:space="preserve"> </w:t>
      </w:r>
      <w:r>
        <w:rPr>
          <w:color w:val="231F20"/>
        </w:rPr>
        <w:t>within</w:t>
      </w:r>
      <w:r>
        <w:rPr>
          <w:color w:val="231F20"/>
          <w:spacing w:val="-1"/>
        </w:rPr>
        <w:t xml:space="preserve"> </w:t>
      </w:r>
      <w:r>
        <w:rPr>
          <w:color w:val="231F20"/>
        </w:rPr>
        <w:t>the</w:t>
      </w:r>
      <w:r>
        <w:rPr>
          <w:color w:val="231F20"/>
          <w:spacing w:val="-4"/>
        </w:rPr>
        <w:t xml:space="preserve"> </w:t>
      </w:r>
      <w:r>
        <w:rPr>
          <w:color w:val="231F20"/>
        </w:rPr>
        <w:t>basic</w:t>
      </w:r>
      <w:r>
        <w:rPr>
          <w:color w:val="231F20"/>
          <w:spacing w:val="-1"/>
        </w:rPr>
        <w:t xml:space="preserve"> </w:t>
      </w:r>
      <w:r>
        <w:rPr>
          <w:color w:val="231F20"/>
        </w:rPr>
        <w:t>rate</w:t>
      </w:r>
      <w:r>
        <w:rPr>
          <w:color w:val="231F20"/>
          <w:spacing w:val="-4"/>
        </w:rPr>
        <w:t xml:space="preserve"> </w:t>
      </w:r>
      <w:r>
        <w:rPr>
          <w:color w:val="231F20"/>
        </w:rPr>
        <w:t>band,</w:t>
      </w:r>
      <w:r>
        <w:rPr>
          <w:color w:val="231F20"/>
          <w:spacing w:val="-4"/>
        </w:rPr>
        <w:t xml:space="preserve"> </w:t>
      </w:r>
      <w:r>
        <w:rPr>
          <w:color w:val="231F20"/>
        </w:rPr>
        <w:t>32.5%</w:t>
      </w:r>
      <w:r>
        <w:rPr>
          <w:color w:val="231F20"/>
          <w:spacing w:val="-1"/>
        </w:rPr>
        <w:t xml:space="preserve"> </w:t>
      </w:r>
      <w:r>
        <w:rPr>
          <w:color w:val="231F20"/>
        </w:rPr>
        <w:t>to</w:t>
      </w:r>
      <w:r>
        <w:rPr>
          <w:color w:val="231F20"/>
          <w:spacing w:val="-1"/>
        </w:rPr>
        <w:t xml:space="preserve"> </w:t>
      </w:r>
      <w:r>
        <w:rPr>
          <w:color w:val="231F20"/>
        </w:rPr>
        <w:t>the</w:t>
      </w:r>
      <w:r>
        <w:rPr>
          <w:color w:val="231F20"/>
          <w:spacing w:val="-4"/>
        </w:rPr>
        <w:t xml:space="preserve"> </w:t>
      </w:r>
      <w:r>
        <w:rPr>
          <w:color w:val="231F20"/>
        </w:rPr>
        <w:t>extent</w:t>
      </w:r>
      <w:r>
        <w:rPr>
          <w:color w:val="231F20"/>
          <w:spacing w:val="-3"/>
        </w:rPr>
        <w:t xml:space="preserve"> </w:t>
      </w:r>
      <w:r>
        <w:rPr>
          <w:color w:val="231F20"/>
        </w:rPr>
        <w:t>that</w:t>
      </w:r>
      <w:r>
        <w:rPr>
          <w:color w:val="231F20"/>
          <w:spacing w:val="-4"/>
        </w:rPr>
        <w:t xml:space="preserve"> </w:t>
      </w:r>
      <w:r>
        <w:rPr>
          <w:color w:val="231F20"/>
        </w:rPr>
        <w:t>it is within the higher rate band and 38.1% to the extent it is within the additional rate</w:t>
      </w:r>
      <w:r>
        <w:rPr>
          <w:color w:val="231F20"/>
          <w:spacing w:val="-6"/>
        </w:rPr>
        <w:t xml:space="preserve"> </w:t>
      </w:r>
      <w:r>
        <w:rPr>
          <w:color w:val="231F20"/>
        </w:rPr>
        <w:t>band.</w:t>
      </w:r>
    </w:p>
    <w:p w14:paraId="5998599D" w14:textId="77777777" w:rsidR="00783288" w:rsidRDefault="00E31420">
      <w:pPr>
        <w:pStyle w:val="BodyText"/>
        <w:kinsoku w:val="0"/>
        <w:overflowPunct w:val="0"/>
        <w:spacing w:before="159"/>
        <w:ind w:left="300" w:right="1188"/>
        <w:jc w:val="both"/>
        <w:rPr>
          <w:color w:val="231F20"/>
        </w:rPr>
      </w:pPr>
      <w:r>
        <w:rPr>
          <w:color w:val="231F20"/>
        </w:rPr>
        <w:t>Dividend income that is within the Nil Rate Amount counts towards an individual’s basic or higher rate limits - and will therefore impact on the level of savings allowance to which they are entitled, and the rate of tax that is due on any dividend income in excess of the Nil Rate Amount. In calculating into which tax band any dividend income over the Nil Rate Amount falls, savings and dividend income are treated as the highest part of an individual’s income. Where an individual has both savings and dividend income, the dividend income is treated as the top slice.</w:t>
      </w:r>
    </w:p>
    <w:p w14:paraId="44B2B80C" w14:textId="111465B6" w:rsidR="00783288" w:rsidRDefault="00E31420">
      <w:pPr>
        <w:pStyle w:val="BodyText"/>
        <w:kinsoku w:val="0"/>
        <w:overflowPunct w:val="0"/>
        <w:spacing w:before="160"/>
        <w:ind w:left="300" w:right="1188"/>
        <w:jc w:val="both"/>
        <w:rPr>
          <w:color w:val="231F20"/>
        </w:rPr>
      </w:pPr>
      <w:r>
        <w:rPr>
          <w:color w:val="231F20"/>
        </w:rPr>
        <w:t>Dividends paid on the Ordinary Shares to UK resident corporate Shareholders will generally (subject to anti- avoidance rules) fall within one or more of the classes of dividend qualifying for exemption from corporation tax.</w:t>
      </w:r>
      <w:r w:rsidR="004E1174">
        <w:rPr>
          <w:color w:val="231F20"/>
        </w:rPr>
        <w:t xml:space="preserve"> If a dividend paid on the Ordinary Shares to a UK resident corporate Shareholder does not fall within one of the exempt classes, or such a Shareholder elects for an otherwise exempt dividend to be taxable, the Shareholder will be subject to corporation tax on the gross amount of the dividend at a rate of 19%.</w:t>
      </w:r>
      <w:r>
        <w:rPr>
          <w:color w:val="231F20"/>
        </w:rPr>
        <w:t xml:space="preserve"> Shareholders</w:t>
      </w:r>
      <w:r>
        <w:rPr>
          <w:color w:val="231F20"/>
          <w:spacing w:val="-14"/>
        </w:rPr>
        <w:t xml:space="preserve"> </w:t>
      </w:r>
      <w:r>
        <w:rPr>
          <w:color w:val="231F20"/>
        </w:rPr>
        <w:t>within</w:t>
      </w:r>
      <w:r>
        <w:rPr>
          <w:color w:val="231F20"/>
          <w:spacing w:val="-13"/>
        </w:rPr>
        <w:t xml:space="preserve"> </w:t>
      </w:r>
      <w:r>
        <w:rPr>
          <w:color w:val="231F20"/>
        </w:rPr>
        <w:t>the</w:t>
      </w:r>
      <w:r>
        <w:rPr>
          <w:color w:val="231F20"/>
          <w:spacing w:val="-16"/>
        </w:rPr>
        <w:t xml:space="preserve"> </w:t>
      </w:r>
      <w:r>
        <w:rPr>
          <w:color w:val="231F20"/>
        </w:rPr>
        <w:t>charge</w:t>
      </w:r>
      <w:r>
        <w:rPr>
          <w:color w:val="231F20"/>
          <w:spacing w:val="-17"/>
        </w:rPr>
        <w:t xml:space="preserve"> </w:t>
      </w:r>
      <w:r>
        <w:rPr>
          <w:color w:val="231F20"/>
        </w:rPr>
        <w:t>to</w:t>
      </w:r>
      <w:r>
        <w:rPr>
          <w:color w:val="231F20"/>
          <w:spacing w:val="-13"/>
        </w:rPr>
        <w:t xml:space="preserve"> </w:t>
      </w:r>
      <w:r>
        <w:rPr>
          <w:color w:val="231F20"/>
        </w:rPr>
        <w:t>corporation</w:t>
      </w:r>
      <w:r>
        <w:rPr>
          <w:color w:val="231F20"/>
          <w:spacing w:val="-13"/>
        </w:rPr>
        <w:t xml:space="preserve"> </w:t>
      </w:r>
      <w:r>
        <w:rPr>
          <w:color w:val="231F20"/>
        </w:rPr>
        <w:t>tax</w:t>
      </w:r>
      <w:r>
        <w:rPr>
          <w:color w:val="231F20"/>
          <w:spacing w:val="-18"/>
        </w:rPr>
        <w:t xml:space="preserve"> </w:t>
      </w:r>
      <w:r>
        <w:rPr>
          <w:color w:val="231F20"/>
        </w:rPr>
        <w:t>are</w:t>
      </w:r>
      <w:r>
        <w:rPr>
          <w:color w:val="231F20"/>
          <w:spacing w:val="-14"/>
        </w:rPr>
        <w:t xml:space="preserve"> </w:t>
      </w:r>
      <w:r>
        <w:rPr>
          <w:color w:val="231F20"/>
        </w:rPr>
        <w:t>advised</w:t>
      </w:r>
      <w:r>
        <w:rPr>
          <w:color w:val="231F20"/>
          <w:spacing w:val="-13"/>
        </w:rPr>
        <w:t xml:space="preserve"> </w:t>
      </w:r>
      <w:r>
        <w:rPr>
          <w:color w:val="231F20"/>
        </w:rPr>
        <w:t>to</w:t>
      </w:r>
      <w:r>
        <w:rPr>
          <w:color w:val="231F20"/>
          <w:spacing w:val="-13"/>
        </w:rPr>
        <w:t xml:space="preserve"> </w:t>
      </w:r>
      <w:r>
        <w:rPr>
          <w:color w:val="231F20"/>
        </w:rPr>
        <w:t>consult</w:t>
      </w:r>
      <w:r>
        <w:rPr>
          <w:color w:val="231F20"/>
          <w:spacing w:val="-15"/>
        </w:rPr>
        <w:t xml:space="preserve"> </w:t>
      </w:r>
      <w:r>
        <w:rPr>
          <w:color w:val="231F20"/>
        </w:rPr>
        <w:t>their</w:t>
      </w:r>
      <w:r>
        <w:rPr>
          <w:color w:val="231F20"/>
          <w:spacing w:val="-16"/>
        </w:rPr>
        <w:t xml:space="preserve"> </w:t>
      </w:r>
      <w:r>
        <w:rPr>
          <w:color w:val="231F20"/>
        </w:rPr>
        <w:t>independent</w:t>
      </w:r>
      <w:r>
        <w:rPr>
          <w:color w:val="231F20"/>
          <w:spacing w:val="-14"/>
        </w:rPr>
        <w:t xml:space="preserve"> </w:t>
      </w:r>
      <w:r>
        <w:rPr>
          <w:color w:val="231F20"/>
        </w:rPr>
        <w:t>professional</w:t>
      </w:r>
      <w:r>
        <w:rPr>
          <w:color w:val="231F20"/>
          <w:spacing w:val="-14"/>
        </w:rPr>
        <w:t xml:space="preserve"> </w:t>
      </w:r>
      <w:r>
        <w:rPr>
          <w:color w:val="231F20"/>
        </w:rPr>
        <w:t>tax</w:t>
      </w:r>
      <w:r>
        <w:rPr>
          <w:color w:val="231F20"/>
          <w:spacing w:val="-18"/>
        </w:rPr>
        <w:t xml:space="preserve"> </w:t>
      </w:r>
      <w:r>
        <w:rPr>
          <w:color w:val="231F20"/>
        </w:rPr>
        <w:t>advisers in relation to the implications of the</w:t>
      </w:r>
      <w:r>
        <w:rPr>
          <w:color w:val="231F20"/>
          <w:spacing w:val="-5"/>
        </w:rPr>
        <w:t xml:space="preserve"> </w:t>
      </w:r>
      <w:r>
        <w:rPr>
          <w:color w:val="231F20"/>
        </w:rPr>
        <w:t>legislation.</w:t>
      </w:r>
    </w:p>
    <w:p w14:paraId="174B804D" w14:textId="77777777" w:rsidR="00783288" w:rsidRDefault="00E31420">
      <w:pPr>
        <w:pStyle w:val="BodyText"/>
        <w:kinsoku w:val="0"/>
        <w:overflowPunct w:val="0"/>
        <w:spacing w:before="160"/>
        <w:ind w:left="300" w:right="1191"/>
        <w:jc w:val="both"/>
        <w:rPr>
          <w:color w:val="231F20"/>
        </w:rPr>
      </w:pPr>
      <w:r>
        <w:rPr>
          <w:color w:val="231F20"/>
        </w:rPr>
        <w:t>Non-UK resident Shareholders may also be subject to tax on dividend income under any law to which they are subject outside the UK. Such Shareholders should consult their own tax advisers concerning their tax liabilities.</w:t>
      </w:r>
    </w:p>
    <w:p w14:paraId="4685B894" w14:textId="77777777" w:rsidR="00783288" w:rsidRDefault="00E31420">
      <w:pPr>
        <w:pStyle w:val="Heading1"/>
        <w:kinsoku w:val="0"/>
        <w:overflowPunct w:val="0"/>
        <w:spacing w:before="155"/>
        <w:jc w:val="both"/>
        <w:rPr>
          <w:color w:val="231F20"/>
        </w:rPr>
      </w:pPr>
      <w:r>
        <w:rPr>
          <w:color w:val="231F20"/>
        </w:rPr>
        <w:t>Disposals of Ordinary Shares</w:t>
      </w:r>
    </w:p>
    <w:p w14:paraId="1306DEDC" w14:textId="0C5E28E6" w:rsidR="00783288" w:rsidRDefault="00E31420">
      <w:pPr>
        <w:pStyle w:val="BodyText"/>
        <w:kinsoku w:val="0"/>
        <w:overflowPunct w:val="0"/>
        <w:spacing w:before="165"/>
        <w:ind w:left="300" w:right="1188"/>
        <w:jc w:val="both"/>
        <w:rPr>
          <w:color w:val="231F20"/>
        </w:rPr>
      </w:pPr>
      <w:r>
        <w:rPr>
          <w:color w:val="231F20"/>
        </w:rPr>
        <w:t>A</w:t>
      </w:r>
      <w:r>
        <w:rPr>
          <w:color w:val="231F20"/>
          <w:spacing w:val="-9"/>
        </w:rPr>
        <w:t xml:space="preserve"> </w:t>
      </w:r>
      <w:r>
        <w:rPr>
          <w:color w:val="231F20"/>
        </w:rPr>
        <w:t>disposal</w:t>
      </w:r>
      <w:r>
        <w:rPr>
          <w:color w:val="231F20"/>
          <w:spacing w:val="-8"/>
        </w:rPr>
        <w:t xml:space="preserve"> </w:t>
      </w:r>
      <w:r>
        <w:rPr>
          <w:color w:val="231F20"/>
        </w:rPr>
        <w:t>of</w:t>
      </w:r>
      <w:r>
        <w:rPr>
          <w:color w:val="231F20"/>
          <w:spacing w:val="-9"/>
        </w:rPr>
        <w:t xml:space="preserve"> </w:t>
      </w:r>
      <w:r>
        <w:rPr>
          <w:color w:val="231F20"/>
        </w:rPr>
        <w:t>Ordinary</w:t>
      </w:r>
      <w:r>
        <w:rPr>
          <w:color w:val="231F20"/>
          <w:spacing w:val="-10"/>
        </w:rPr>
        <w:t xml:space="preserve"> </w:t>
      </w:r>
      <w:r>
        <w:rPr>
          <w:color w:val="231F20"/>
        </w:rPr>
        <w:t>Shares</w:t>
      </w:r>
      <w:r>
        <w:rPr>
          <w:color w:val="231F20"/>
          <w:spacing w:val="-8"/>
        </w:rPr>
        <w:t xml:space="preserve"> </w:t>
      </w:r>
      <w:r>
        <w:rPr>
          <w:color w:val="231F20"/>
        </w:rPr>
        <w:t>by</w:t>
      </w:r>
      <w:r>
        <w:rPr>
          <w:color w:val="231F20"/>
          <w:spacing w:val="-10"/>
        </w:rPr>
        <w:t xml:space="preserve"> </w:t>
      </w:r>
      <w:r>
        <w:rPr>
          <w:color w:val="231F20"/>
        </w:rPr>
        <w:t>a</w:t>
      </w:r>
      <w:r>
        <w:rPr>
          <w:color w:val="231F20"/>
          <w:spacing w:val="-9"/>
        </w:rPr>
        <w:t xml:space="preserve"> </w:t>
      </w:r>
      <w:r>
        <w:rPr>
          <w:color w:val="231F20"/>
        </w:rPr>
        <w:t>Shareholder</w:t>
      </w:r>
      <w:r>
        <w:rPr>
          <w:color w:val="231F20"/>
          <w:spacing w:val="-8"/>
        </w:rPr>
        <w:t xml:space="preserve"> </w:t>
      </w:r>
      <w:r>
        <w:rPr>
          <w:color w:val="231F20"/>
        </w:rPr>
        <w:t>(other</w:t>
      </w:r>
      <w:r>
        <w:rPr>
          <w:color w:val="231F20"/>
          <w:spacing w:val="-9"/>
        </w:rPr>
        <w:t xml:space="preserve"> </w:t>
      </w:r>
      <w:r>
        <w:rPr>
          <w:color w:val="231F20"/>
        </w:rPr>
        <w:t>than</w:t>
      </w:r>
      <w:r>
        <w:rPr>
          <w:color w:val="231F20"/>
          <w:spacing w:val="-9"/>
        </w:rPr>
        <w:t xml:space="preserve"> </w:t>
      </w:r>
      <w:r>
        <w:rPr>
          <w:color w:val="231F20"/>
        </w:rPr>
        <w:t>those</w:t>
      </w:r>
      <w:r>
        <w:rPr>
          <w:color w:val="231F20"/>
          <w:spacing w:val="-11"/>
        </w:rPr>
        <w:t xml:space="preserve"> </w:t>
      </w:r>
      <w:r>
        <w:rPr>
          <w:color w:val="231F20"/>
        </w:rPr>
        <w:t>holding</w:t>
      </w:r>
      <w:r>
        <w:rPr>
          <w:color w:val="231F20"/>
          <w:spacing w:val="-11"/>
        </w:rPr>
        <w:t xml:space="preserve"> </w:t>
      </w:r>
      <w:r>
        <w:rPr>
          <w:color w:val="231F20"/>
        </w:rPr>
        <w:t>shares</w:t>
      </w:r>
      <w:r>
        <w:rPr>
          <w:color w:val="231F20"/>
          <w:spacing w:val="-8"/>
        </w:rPr>
        <w:t xml:space="preserve"> </w:t>
      </w:r>
      <w:r>
        <w:rPr>
          <w:color w:val="231F20"/>
        </w:rPr>
        <w:t>as</w:t>
      </w:r>
      <w:r>
        <w:rPr>
          <w:color w:val="231F20"/>
          <w:spacing w:val="-8"/>
        </w:rPr>
        <w:t xml:space="preserve"> </w:t>
      </w:r>
      <w:r>
        <w:rPr>
          <w:color w:val="231F20"/>
        </w:rPr>
        <w:t>dealing</w:t>
      </w:r>
      <w:r>
        <w:rPr>
          <w:color w:val="231F20"/>
          <w:spacing w:val="-10"/>
        </w:rPr>
        <w:t xml:space="preserve"> </w:t>
      </w:r>
      <w:r>
        <w:rPr>
          <w:color w:val="231F20"/>
        </w:rPr>
        <w:t>stock,</w:t>
      </w:r>
      <w:r>
        <w:rPr>
          <w:color w:val="231F20"/>
          <w:spacing w:val="-9"/>
        </w:rPr>
        <w:t xml:space="preserve"> </w:t>
      </w:r>
      <w:r>
        <w:rPr>
          <w:color w:val="231F20"/>
        </w:rPr>
        <w:t>who</w:t>
      </w:r>
      <w:r>
        <w:rPr>
          <w:color w:val="231F20"/>
          <w:spacing w:val="-9"/>
        </w:rPr>
        <w:t xml:space="preserve"> </w:t>
      </w:r>
      <w:r>
        <w:rPr>
          <w:color w:val="231F20"/>
        </w:rPr>
        <w:t>are</w:t>
      </w:r>
      <w:r>
        <w:rPr>
          <w:color w:val="231F20"/>
          <w:spacing w:val="-9"/>
        </w:rPr>
        <w:t xml:space="preserve"> </w:t>
      </w:r>
      <w:r>
        <w:rPr>
          <w:color w:val="231F20"/>
        </w:rPr>
        <w:t>subject to separate rules) who is resident in the UK for tax purposes may give rise to a chargeable gain or an allowable loss for the purposes of UK taxation, depending on the Shareholder’s circumstances and subject to any available exemption or</w:t>
      </w:r>
      <w:r>
        <w:rPr>
          <w:color w:val="231F20"/>
          <w:spacing w:val="-11"/>
        </w:rPr>
        <w:t xml:space="preserve"> </w:t>
      </w:r>
      <w:r>
        <w:rPr>
          <w:color w:val="231F20"/>
        </w:rPr>
        <w:t>relief.</w:t>
      </w:r>
    </w:p>
    <w:p w14:paraId="09A05047" w14:textId="77777777" w:rsidR="00783288" w:rsidRDefault="00E31420">
      <w:pPr>
        <w:pStyle w:val="BodyText"/>
        <w:kinsoku w:val="0"/>
        <w:overflowPunct w:val="0"/>
        <w:spacing w:before="160"/>
        <w:ind w:left="300" w:right="1191"/>
        <w:jc w:val="both"/>
        <w:rPr>
          <w:color w:val="231F20"/>
        </w:rPr>
      </w:pPr>
      <w:r>
        <w:rPr>
          <w:color w:val="231F20"/>
        </w:rPr>
        <w:t>Such</w:t>
      </w:r>
      <w:r>
        <w:rPr>
          <w:color w:val="231F20"/>
          <w:spacing w:val="-4"/>
        </w:rPr>
        <w:t xml:space="preserve"> </w:t>
      </w:r>
      <w:r>
        <w:rPr>
          <w:color w:val="231F20"/>
        </w:rPr>
        <w:t>an</w:t>
      </w:r>
      <w:r>
        <w:rPr>
          <w:color w:val="231F20"/>
          <w:spacing w:val="-4"/>
        </w:rPr>
        <w:t xml:space="preserve"> </w:t>
      </w:r>
      <w:r>
        <w:rPr>
          <w:color w:val="231F20"/>
        </w:rPr>
        <w:t>individual</w:t>
      </w:r>
      <w:r>
        <w:rPr>
          <w:color w:val="231F20"/>
          <w:spacing w:val="-3"/>
        </w:rPr>
        <w:t xml:space="preserve"> </w:t>
      </w:r>
      <w:r>
        <w:rPr>
          <w:color w:val="231F20"/>
        </w:rPr>
        <w:t>Shareholder</w:t>
      </w:r>
      <w:r>
        <w:rPr>
          <w:color w:val="231F20"/>
          <w:spacing w:val="-4"/>
        </w:rPr>
        <w:t xml:space="preserve"> </w:t>
      </w:r>
      <w:r>
        <w:rPr>
          <w:color w:val="231F20"/>
        </w:rPr>
        <w:t>who</w:t>
      </w:r>
      <w:r>
        <w:rPr>
          <w:color w:val="231F20"/>
          <w:spacing w:val="-4"/>
        </w:rPr>
        <w:t xml:space="preserve"> </w:t>
      </w:r>
      <w:r>
        <w:rPr>
          <w:color w:val="231F20"/>
        </w:rPr>
        <w:t>is</w:t>
      </w:r>
      <w:r>
        <w:rPr>
          <w:color w:val="231F20"/>
          <w:spacing w:val="-2"/>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UK</w:t>
      </w:r>
      <w:r>
        <w:rPr>
          <w:color w:val="231F20"/>
          <w:spacing w:val="-4"/>
        </w:rPr>
        <w:t xml:space="preserve"> </w:t>
      </w:r>
      <w:r>
        <w:rPr>
          <w:color w:val="231F20"/>
        </w:rPr>
        <w:t>income</w:t>
      </w:r>
      <w:r>
        <w:rPr>
          <w:color w:val="231F20"/>
          <w:spacing w:val="-6"/>
        </w:rPr>
        <w:t xml:space="preserve"> </w:t>
      </w:r>
      <w:r>
        <w:rPr>
          <w:color w:val="231F20"/>
        </w:rPr>
        <w:t>tax</w:t>
      </w:r>
      <w:r>
        <w:rPr>
          <w:color w:val="231F20"/>
          <w:spacing w:val="-5"/>
        </w:rPr>
        <w:t xml:space="preserve"> </w:t>
      </w:r>
      <w:r>
        <w:rPr>
          <w:color w:val="231F20"/>
        </w:rPr>
        <w:t>at</w:t>
      </w:r>
      <w:r>
        <w:rPr>
          <w:color w:val="231F20"/>
          <w:spacing w:val="-4"/>
        </w:rPr>
        <w:t xml:space="preserve"> </w:t>
      </w:r>
      <w:r>
        <w:rPr>
          <w:color w:val="231F20"/>
        </w:rPr>
        <w:t>the</w:t>
      </w:r>
      <w:r>
        <w:rPr>
          <w:color w:val="231F20"/>
          <w:spacing w:val="-3"/>
        </w:rPr>
        <w:t xml:space="preserve"> </w:t>
      </w:r>
      <w:r>
        <w:rPr>
          <w:color w:val="231F20"/>
        </w:rPr>
        <w:t>higher</w:t>
      </w:r>
      <w:r>
        <w:rPr>
          <w:color w:val="231F20"/>
          <w:spacing w:val="-4"/>
        </w:rPr>
        <w:t xml:space="preserve"> </w:t>
      </w:r>
      <w:r>
        <w:rPr>
          <w:color w:val="231F20"/>
        </w:rPr>
        <w:t>or</w:t>
      </w:r>
      <w:r>
        <w:rPr>
          <w:color w:val="231F20"/>
          <w:spacing w:val="-4"/>
        </w:rPr>
        <w:t xml:space="preserve"> </w:t>
      </w:r>
      <w:r>
        <w:rPr>
          <w:color w:val="231F20"/>
        </w:rPr>
        <w:t>additional</w:t>
      </w:r>
      <w:r>
        <w:rPr>
          <w:color w:val="231F20"/>
          <w:spacing w:val="-3"/>
        </w:rPr>
        <w:t xml:space="preserve"> </w:t>
      </w:r>
      <w:r>
        <w:rPr>
          <w:color w:val="231F20"/>
        </w:rPr>
        <w:t>rate</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liable</w:t>
      </w:r>
      <w:r>
        <w:rPr>
          <w:color w:val="231F20"/>
          <w:spacing w:val="-4"/>
        </w:rPr>
        <w:t xml:space="preserve"> </w:t>
      </w:r>
      <w:r>
        <w:rPr>
          <w:color w:val="231F20"/>
        </w:rPr>
        <w:t>to</w:t>
      </w:r>
      <w:r>
        <w:rPr>
          <w:color w:val="231F20"/>
          <w:spacing w:val="-3"/>
        </w:rPr>
        <w:t xml:space="preserve"> </w:t>
      </w:r>
      <w:r>
        <w:rPr>
          <w:color w:val="231F20"/>
        </w:rPr>
        <w:t>UK capital gains tax on the amount of any chargeable gain realised by a disposal of Ordinary Shares at the rate of 20%.</w:t>
      </w:r>
    </w:p>
    <w:p w14:paraId="737FCF8C" w14:textId="66C55642" w:rsidR="00783288" w:rsidRDefault="00E31420" w:rsidP="005E6F9D">
      <w:pPr>
        <w:pStyle w:val="BodyText"/>
        <w:kinsoku w:val="0"/>
        <w:overflowPunct w:val="0"/>
        <w:spacing w:before="159"/>
        <w:ind w:left="300" w:right="1191"/>
        <w:jc w:val="both"/>
        <w:rPr>
          <w:color w:val="231F20"/>
        </w:rPr>
      </w:pPr>
      <w:r>
        <w:rPr>
          <w:color w:val="231F20"/>
        </w:rPr>
        <w:t>Such an individual Shareholder who is subject to income tax at the basic rate only should only be liable to capital gains</w:t>
      </w:r>
      <w:r>
        <w:rPr>
          <w:color w:val="231F20"/>
          <w:spacing w:val="-3"/>
        </w:rPr>
        <w:t xml:space="preserve"> </w:t>
      </w:r>
      <w:r>
        <w:rPr>
          <w:color w:val="231F20"/>
        </w:rPr>
        <w:t>tax</w:t>
      </w:r>
      <w:r>
        <w:rPr>
          <w:color w:val="231F20"/>
          <w:spacing w:val="-7"/>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chargeable</w:t>
      </w:r>
      <w:r>
        <w:rPr>
          <w:color w:val="231F20"/>
          <w:spacing w:val="-3"/>
        </w:rPr>
        <w:t xml:space="preserve"> </w:t>
      </w:r>
      <w:r>
        <w:rPr>
          <w:color w:val="231F20"/>
        </w:rPr>
        <w:t>gain</w:t>
      </w:r>
      <w:r>
        <w:rPr>
          <w:color w:val="231F20"/>
          <w:spacing w:val="-4"/>
        </w:rPr>
        <w:t xml:space="preserve"> </w:t>
      </w:r>
      <w:r>
        <w:rPr>
          <w:color w:val="231F20"/>
        </w:rPr>
        <w:t>up</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unused</w:t>
      </w:r>
      <w:r>
        <w:rPr>
          <w:color w:val="231F20"/>
          <w:spacing w:val="-4"/>
        </w:rPr>
        <w:t xml:space="preserve"> </w:t>
      </w:r>
      <w:r>
        <w:rPr>
          <w:color w:val="231F20"/>
        </w:rPr>
        <w:t>amount</w:t>
      </w:r>
      <w:r>
        <w:rPr>
          <w:color w:val="231F20"/>
          <w:spacing w:val="-3"/>
        </w:rPr>
        <w:t xml:space="preserve"> </w:t>
      </w:r>
      <w:r>
        <w:rPr>
          <w:color w:val="231F20"/>
        </w:rPr>
        <w:t>of</w:t>
      </w:r>
      <w:r>
        <w:rPr>
          <w:color w:val="231F20"/>
          <w:spacing w:val="-6"/>
        </w:rPr>
        <w:t xml:space="preserve"> </w:t>
      </w:r>
      <w:r>
        <w:rPr>
          <w:color w:val="231F20"/>
        </w:rPr>
        <w:t>the</w:t>
      </w:r>
      <w:r>
        <w:rPr>
          <w:color w:val="231F20"/>
          <w:spacing w:val="-1"/>
        </w:rPr>
        <w:t xml:space="preserve"> </w:t>
      </w:r>
      <w:r>
        <w:rPr>
          <w:color w:val="231F20"/>
        </w:rPr>
        <w:t>Shareholder’s</w:t>
      </w:r>
      <w:r>
        <w:rPr>
          <w:color w:val="231F20"/>
          <w:spacing w:val="-3"/>
        </w:rPr>
        <w:t xml:space="preserve"> </w:t>
      </w:r>
      <w:r>
        <w:rPr>
          <w:color w:val="231F20"/>
        </w:rPr>
        <w:t>basic</w:t>
      </w:r>
      <w:r>
        <w:rPr>
          <w:color w:val="231F20"/>
          <w:spacing w:val="-2"/>
        </w:rPr>
        <w:t xml:space="preserve"> </w:t>
      </w:r>
      <w:r>
        <w:rPr>
          <w:color w:val="231F20"/>
        </w:rPr>
        <w:t>rate</w:t>
      </w:r>
      <w:r>
        <w:rPr>
          <w:color w:val="231F20"/>
          <w:spacing w:val="-4"/>
        </w:rPr>
        <w:t xml:space="preserve"> </w:t>
      </w:r>
      <w:r>
        <w:rPr>
          <w:color w:val="231F20"/>
        </w:rPr>
        <w:t>band</w:t>
      </w:r>
      <w:r>
        <w:rPr>
          <w:color w:val="231F20"/>
          <w:spacing w:val="-3"/>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rate</w:t>
      </w:r>
      <w:r>
        <w:rPr>
          <w:color w:val="231F20"/>
          <w:spacing w:val="-3"/>
        </w:rPr>
        <w:t xml:space="preserve"> </w:t>
      </w:r>
      <w:r>
        <w:rPr>
          <w:color w:val="231F20"/>
        </w:rPr>
        <w:t>of</w:t>
      </w:r>
      <w:r>
        <w:rPr>
          <w:color w:val="231F20"/>
          <w:spacing w:val="-4"/>
        </w:rPr>
        <w:t xml:space="preserve"> </w:t>
      </w:r>
      <w:r>
        <w:rPr>
          <w:color w:val="231F20"/>
        </w:rPr>
        <w:t>10% and at a rate of 20% on the gains above the basic rate</w:t>
      </w:r>
      <w:r>
        <w:rPr>
          <w:color w:val="231F20"/>
          <w:spacing w:val="-7"/>
        </w:rPr>
        <w:t xml:space="preserve"> </w:t>
      </w:r>
      <w:r>
        <w:rPr>
          <w:color w:val="231F20"/>
        </w:rPr>
        <w:t>band.</w:t>
      </w:r>
      <w:r w:rsidR="00005C4E">
        <w:rPr>
          <w:color w:val="231F20"/>
        </w:rPr>
        <w:t xml:space="preserve"> </w:t>
      </w:r>
      <w:r>
        <w:rPr>
          <w:color w:val="231F20"/>
        </w:rPr>
        <w:t>Individuals may benefit from certain reliefs and allowances (including a personal annual exemption allowance, which presently exempts the first £12,300 of gains from tax for the tax year 2020-21).</w:t>
      </w:r>
    </w:p>
    <w:p w14:paraId="094A2E71" w14:textId="77777777" w:rsidR="00783288" w:rsidRDefault="00E31420">
      <w:pPr>
        <w:pStyle w:val="BodyText"/>
        <w:kinsoku w:val="0"/>
        <w:overflowPunct w:val="0"/>
        <w:spacing w:before="159"/>
        <w:ind w:left="300" w:right="1191"/>
        <w:jc w:val="both"/>
        <w:rPr>
          <w:color w:val="231F20"/>
        </w:rPr>
      </w:pPr>
      <w:r>
        <w:rPr>
          <w:color w:val="231F20"/>
        </w:rPr>
        <w:lastRenderedPageBreak/>
        <w:t>For</w:t>
      </w:r>
      <w:r>
        <w:rPr>
          <w:color w:val="231F20"/>
          <w:spacing w:val="-14"/>
        </w:rPr>
        <w:t xml:space="preserve"> </w:t>
      </w:r>
      <w:r>
        <w:rPr>
          <w:color w:val="231F20"/>
        </w:rPr>
        <w:t>such</w:t>
      </w:r>
      <w:r>
        <w:rPr>
          <w:color w:val="231F20"/>
          <w:spacing w:val="-11"/>
        </w:rPr>
        <w:t xml:space="preserve"> </w:t>
      </w:r>
      <w:r>
        <w:rPr>
          <w:color w:val="231F20"/>
        </w:rPr>
        <w:t>Shareholders</w:t>
      </w:r>
      <w:r>
        <w:rPr>
          <w:color w:val="231F20"/>
          <w:spacing w:val="-13"/>
        </w:rPr>
        <w:t xml:space="preserve"> </w:t>
      </w:r>
      <w:r>
        <w:rPr>
          <w:color w:val="231F20"/>
        </w:rPr>
        <w:t>that</w:t>
      </w:r>
      <w:r>
        <w:rPr>
          <w:color w:val="231F20"/>
          <w:spacing w:val="-14"/>
        </w:rPr>
        <w:t xml:space="preserve"> </w:t>
      </w:r>
      <w:r>
        <w:rPr>
          <w:color w:val="231F20"/>
        </w:rPr>
        <w:t>are</w:t>
      </w:r>
      <w:r>
        <w:rPr>
          <w:color w:val="231F20"/>
          <w:spacing w:val="-13"/>
        </w:rPr>
        <w:t xml:space="preserve"> </w:t>
      </w:r>
      <w:r>
        <w:rPr>
          <w:color w:val="231F20"/>
        </w:rPr>
        <w:t>bodies</w:t>
      </w:r>
      <w:r>
        <w:rPr>
          <w:color w:val="231F20"/>
          <w:spacing w:val="-15"/>
        </w:rPr>
        <w:t xml:space="preserve"> </w:t>
      </w:r>
      <w:r>
        <w:rPr>
          <w:color w:val="231F20"/>
        </w:rPr>
        <w:t>corporate</w:t>
      </w:r>
      <w:r>
        <w:rPr>
          <w:color w:val="231F20"/>
          <w:spacing w:val="-13"/>
        </w:rPr>
        <w:t xml:space="preserve"> </w:t>
      </w:r>
      <w:r>
        <w:rPr>
          <w:color w:val="231F20"/>
        </w:rPr>
        <w:t>they</w:t>
      </w:r>
      <w:r>
        <w:rPr>
          <w:color w:val="231F20"/>
          <w:spacing w:val="-13"/>
        </w:rPr>
        <w:t xml:space="preserve"> </w:t>
      </w:r>
      <w:r>
        <w:rPr>
          <w:color w:val="231F20"/>
        </w:rPr>
        <w:t>will</w:t>
      </w:r>
      <w:r>
        <w:rPr>
          <w:color w:val="231F20"/>
          <w:spacing w:val="-13"/>
        </w:rPr>
        <w:t xml:space="preserve"> </w:t>
      </w:r>
      <w:r>
        <w:rPr>
          <w:color w:val="231F20"/>
        </w:rPr>
        <w:t>generally</w:t>
      </w:r>
      <w:r>
        <w:rPr>
          <w:color w:val="231F20"/>
          <w:spacing w:val="-14"/>
        </w:rPr>
        <w:t xml:space="preserve"> </w:t>
      </w:r>
      <w:r>
        <w:rPr>
          <w:color w:val="231F20"/>
        </w:rPr>
        <w:t>be</w:t>
      </w:r>
      <w:r>
        <w:rPr>
          <w:color w:val="231F20"/>
          <w:spacing w:val="-13"/>
        </w:rPr>
        <w:t xml:space="preserve"> </w:t>
      </w:r>
      <w:r>
        <w:rPr>
          <w:color w:val="231F20"/>
        </w:rPr>
        <w:t>subject</w:t>
      </w:r>
      <w:r>
        <w:rPr>
          <w:color w:val="231F20"/>
          <w:spacing w:val="-11"/>
        </w:rPr>
        <w:t xml:space="preserve"> </w:t>
      </w:r>
      <w:r>
        <w:rPr>
          <w:color w:val="231F20"/>
        </w:rPr>
        <w:t>to</w:t>
      </w:r>
      <w:r>
        <w:rPr>
          <w:color w:val="231F20"/>
          <w:spacing w:val="-13"/>
        </w:rPr>
        <w:t xml:space="preserve"> </w:t>
      </w:r>
      <w:r>
        <w:rPr>
          <w:color w:val="231F20"/>
        </w:rPr>
        <w:t>corporation</w:t>
      </w:r>
      <w:r>
        <w:rPr>
          <w:color w:val="231F20"/>
          <w:spacing w:val="-16"/>
        </w:rPr>
        <w:t xml:space="preserve"> </w:t>
      </w:r>
      <w:r>
        <w:rPr>
          <w:color w:val="231F20"/>
        </w:rPr>
        <w:t>tax</w:t>
      </w:r>
      <w:r>
        <w:rPr>
          <w:color w:val="231F20"/>
          <w:spacing w:val="-15"/>
        </w:rPr>
        <w:t xml:space="preserve"> </w:t>
      </w:r>
      <w:r>
        <w:rPr>
          <w:color w:val="231F20"/>
        </w:rPr>
        <w:t>(rather</w:t>
      </w:r>
      <w:r>
        <w:rPr>
          <w:color w:val="231F20"/>
          <w:spacing w:val="-12"/>
        </w:rPr>
        <w:t xml:space="preserve"> </w:t>
      </w:r>
      <w:r>
        <w:rPr>
          <w:color w:val="231F20"/>
        </w:rPr>
        <w:t>than</w:t>
      </w:r>
      <w:r>
        <w:rPr>
          <w:color w:val="231F20"/>
          <w:spacing w:val="-13"/>
        </w:rPr>
        <w:t xml:space="preserve"> </w:t>
      </w:r>
      <w:r>
        <w:rPr>
          <w:color w:val="231F20"/>
        </w:rPr>
        <w:t>capital gains tax) at a rate of 19% on any chargeable gain realised on a disposal of Ordinary</w:t>
      </w:r>
      <w:r>
        <w:rPr>
          <w:color w:val="231F20"/>
          <w:spacing w:val="-15"/>
        </w:rPr>
        <w:t xml:space="preserve"> </w:t>
      </w:r>
      <w:r>
        <w:rPr>
          <w:color w:val="231F20"/>
        </w:rPr>
        <w:t>Shares.</w:t>
      </w:r>
    </w:p>
    <w:p w14:paraId="7DE44CD6" w14:textId="77777777" w:rsidR="00783288" w:rsidRDefault="00E31420">
      <w:pPr>
        <w:pStyle w:val="Heading1"/>
        <w:kinsoku w:val="0"/>
        <w:overflowPunct w:val="0"/>
        <w:spacing w:before="155"/>
        <w:jc w:val="both"/>
        <w:rPr>
          <w:color w:val="231F20"/>
        </w:rPr>
      </w:pPr>
      <w:r>
        <w:rPr>
          <w:color w:val="231F20"/>
        </w:rPr>
        <w:t>Inheritance Tax</w:t>
      </w:r>
    </w:p>
    <w:p w14:paraId="3A6498E4" w14:textId="77777777" w:rsidR="00783288" w:rsidRDefault="00E31420">
      <w:pPr>
        <w:pStyle w:val="BodyText"/>
        <w:kinsoku w:val="0"/>
        <w:overflowPunct w:val="0"/>
        <w:spacing w:before="165"/>
        <w:ind w:left="300" w:right="1188"/>
        <w:jc w:val="both"/>
        <w:rPr>
          <w:color w:val="231F20"/>
        </w:rPr>
      </w:pPr>
      <w:r>
        <w:rPr>
          <w:color w:val="231F20"/>
        </w:rPr>
        <w:t>The</w:t>
      </w:r>
      <w:r>
        <w:rPr>
          <w:color w:val="231F20"/>
          <w:spacing w:val="-4"/>
        </w:rPr>
        <w:t xml:space="preserve"> </w:t>
      </w:r>
      <w:r>
        <w:rPr>
          <w:color w:val="231F20"/>
        </w:rPr>
        <w:t>Ordinary</w:t>
      </w:r>
      <w:r>
        <w:rPr>
          <w:color w:val="231F20"/>
          <w:spacing w:val="-6"/>
        </w:rPr>
        <w:t xml:space="preserve"> </w:t>
      </w:r>
      <w:r>
        <w:rPr>
          <w:color w:val="231F20"/>
        </w:rPr>
        <w:t>Shares</w:t>
      </w:r>
      <w:r>
        <w:rPr>
          <w:color w:val="231F20"/>
          <w:spacing w:val="-6"/>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assets</w:t>
      </w:r>
      <w:r>
        <w:rPr>
          <w:color w:val="231F20"/>
          <w:spacing w:val="-5"/>
        </w:rPr>
        <w:t xml:space="preserve"> </w:t>
      </w:r>
      <w:r>
        <w:rPr>
          <w:color w:val="231F20"/>
        </w:rPr>
        <w:t>situated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UK</w:t>
      </w:r>
      <w:r>
        <w:rPr>
          <w:color w:val="231F20"/>
          <w:spacing w:val="-4"/>
        </w:rPr>
        <w:t xml:space="preserve"> </w:t>
      </w:r>
      <w:r>
        <w:rPr>
          <w:color w:val="231F20"/>
        </w:rPr>
        <w:t>for</w:t>
      </w:r>
      <w:r>
        <w:rPr>
          <w:color w:val="231F20"/>
          <w:spacing w:val="-3"/>
        </w:rPr>
        <w:t xml:space="preserve"> </w:t>
      </w:r>
      <w:r>
        <w:rPr>
          <w:color w:val="231F20"/>
        </w:rPr>
        <w:t>the</w:t>
      </w:r>
      <w:r>
        <w:rPr>
          <w:color w:val="231F20"/>
          <w:spacing w:val="-6"/>
        </w:rPr>
        <w:t xml:space="preserve"> </w:t>
      </w:r>
      <w:r>
        <w:rPr>
          <w:color w:val="231F20"/>
        </w:rPr>
        <w:t>purposes</w:t>
      </w:r>
      <w:r>
        <w:rPr>
          <w:color w:val="231F20"/>
          <w:spacing w:val="-6"/>
        </w:rPr>
        <w:t xml:space="preserve"> </w:t>
      </w:r>
      <w:r>
        <w:rPr>
          <w:color w:val="231F20"/>
        </w:rPr>
        <w:t>of</w:t>
      </w:r>
      <w:r>
        <w:rPr>
          <w:color w:val="231F20"/>
          <w:spacing w:val="-6"/>
        </w:rPr>
        <w:t xml:space="preserve"> </w:t>
      </w:r>
      <w:r>
        <w:rPr>
          <w:color w:val="231F20"/>
        </w:rPr>
        <w:t>UK</w:t>
      </w:r>
      <w:r>
        <w:rPr>
          <w:color w:val="231F20"/>
          <w:spacing w:val="-4"/>
        </w:rPr>
        <w:t xml:space="preserve"> </w:t>
      </w:r>
      <w:r>
        <w:rPr>
          <w:color w:val="231F20"/>
        </w:rPr>
        <w:t>inheritance</w:t>
      </w:r>
      <w:r>
        <w:rPr>
          <w:color w:val="231F20"/>
          <w:spacing w:val="-5"/>
        </w:rPr>
        <w:t xml:space="preserve"> </w:t>
      </w:r>
      <w:r>
        <w:rPr>
          <w:color w:val="231F20"/>
        </w:rPr>
        <w:t>tax.</w:t>
      </w:r>
      <w:r>
        <w:rPr>
          <w:color w:val="231F20"/>
          <w:spacing w:val="42"/>
        </w:rPr>
        <w:t xml:space="preserve"> </w:t>
      </w:r>
      <w:r>
        <w:rPr>
          <w:color w:val="231F20"/>
        </w:rPr>
        <w:t>A</w:t>
      </w:r>
      <w:r>
        <w:rPr>
          <w:color w:val="231F20"/>
          <w:spacing w:val="-7"/>
        </w:rPr>
        <w:t xml:space="preserve"> </w:t>
      </w:r>
      <w:r>
        <w:rPr>
          <w:color w:val="231F20"/>
        </w:rPr>
        <w:t>gift</w:t>
      </w:r>
      <w:r>
        <w:rPr>
          <w:color w:val="231F20"/>
          <w:spacing w:val="-6"/>
        </w:rPr>
        <w:t xml:space="preserve"> </w:t>
      </w:r>
      <w:r>
        <w:rPr>
          <w:color w:val="231F20"/>
        </w:rPr>
        <w:t>of</w:t>
      </w:r>
      <w:r>
        <w:rPr>
          <w:color w:val="231F20"/>
          <w:spacing w:val="-5"/>
        </w:rPr>
        <w:t xml:space="preserve"> </w:t>
      </w:r>
      <w:r>
        <w:rPr>
          <w:color w:val="231F20"/>
        </w:rPr>
        <w:t>such</w:t>
      </w:r>
      <w:r>
        <w:rPr>
          <w:color w:val="231F20"/>
          <w:spacing w:val="-6"/>
        </w:rPr>
        <w:t xml:space="preserve"> </w:t>
      </w:r>
      <w:r>
        <w:rPr>
          <w:color w:val="231F20"/>
        </w:rPr>
        <w:t>assets following</w:t>
      </w:r>
      <w:r>
        <w:rPr>
          <w:color w:val="231F20"/>
          <w:spacing w:val="-5"/>
        </w:rPr>
        <w:t xml:space="preserve"> </w:t>
      </w:r>
      <w:r>
        <w:rPr>
          <w:color w:val="231F20"/>
        </w:rPr>
        <w:t>the</w:t>
      </w:r>
      <w:r>
        <w:rPr>
          <w:color w:val="231F20"/>
          <w:spacing w:val="-4"/>
        </w:rPr>
        <w:t xml:space="preserve"> </w:t>
      </w:r>
      <w:r>
        <w:rPr>
          <w:color w:val="231F20"/>
        </w:rPr>
        <w:t>death</w:t>
      </w:r>
      <w:r>
        <w:rPr>
          <w:color w:val="231F20"/>
          <w:spacing w:val="-5"/>
        </w:rPr>
        <w:t xml:space="preserve"> </w:t>
      </w:r>
      <w:r>
        <w:rPr>
          <w:color w:val="231F20"/>
        </w:rPr>
        <w:t>of,</w:t>
      </w:r>
      <w:r>
        <w:rPr>
          <w:color w:val="231F20"/>
          <w:spacing w:val="-2"/>
        </w:rPr>
        <w:t xml:space="preserve"> </w:t>
      </w:r>
      <w:r>
        <w:rPr>
          <w:color w:val="231F20"/>
        </w:rPr>
        <w:t>an</w:t>
      </w:r>
      <w:r>
        <w:rPr>
          <w:color w:val="231F20"/>
          <w:spacing w:val="-5"/>
        </w:rPr>
        <w:t xml:space="preserve"> </w:t>
      </w:r>
      <w:r>
        <w:rPr>
          <w:color w:val="231F20"/>
        </w:rPr>
        <w:t>individual</w:t>
      </w:r>
      <w:r>
        <w:rPr>
          <w:color w:val="231F20"/>
          <w:spacing w:val="-1"/>
        </w:rPr>
        <w:t xml:space="preserve"> </w:t>
      </w:r>
      <w:r>
        <w:rPr>
          <w:color w:val="231F20"/>
        </w:rPr>
        <w:t>holder</w:t>
      </w:r>
      <w:r>
        <w:rPr>
          <w:color w:val="231F20"/>
          <w:spacing w:val="-3"/>
        </w:rPr>
        <w:t xml:space="preserve"> </w:t>
      </w:r>
      <w:r>
        <w:rPr>
          <w:color w:val="231F20"/>
        </w:rPr>
        <w:t>of</w:t>
      </w:r>
      <w:r>
        <w:rPr>
          <w:color w:val="231F20"/>
          <w:spacing w:val="-4"/>
        </w:rPr>
        <w:t xml:space="preserve"> </w:t>
      </w:r>
      <w:r>
        <w:rPr>
          <w:color w:val="231F20"/>
        </w:rPr>
        <w:t>such</w:t>
      </w:r>
      <w:r>
        <w:rPr>
          <w:color w:val="231F20"/>
          <w:spacing w:val="-5"/>
        </w:rPr>
        <w:t xml:space="preserve"> </w:t>
      </w:r>
      <w:r>
        <w:rPr>
          <w:color w:val="231F20"/>
        </w:rPr>
        <w:t>assets</w:t>
      </w:r>
      <w:r>
        <w:rPr>
          <w:color w:val="231F20"/>
          <w:spacing w:val="-3"/>
        </w:rPr>
        <w:t xml:space="preserve"> </w:t>
      </w:r>
      <w:r>
        <w:rPr>
          <w:color w:val="231F20"/>
        </w:rPr>
        <w:t>may</w:t>
      </w:r>
      <w:r>
        <w:rPr>
          <w:color w:val="231F20"/>
          <w:spacing w:val="-3"/>
        </w:rPr>
        <w:t xml:space="preserve"> </w:t>
      </w:r>
      <w:r>
        <w:rPr>
          <w:color w:val="231F20"/>
        </w:rPr>
        <w:t>(subject</w:t>
      </w:r>
      <w:r>
        <w:rPr>
          <w:color w:val="231F20"/>
          <w:spacing w:val="-4"/>
        </w:rPr>
        <w:t xml:space="preserve"> </w:t>
      </w:r>
      <w:r>
        <w:rPr>
          <w:color w:val="231F20"/>
        </w:rPr>
        <w:t>to</w:t>
      </w:r>
      <w:r>
        <w:rPr>
          <w:color w:val="231F20"/>
          <w:spacing w:val="-7"/>
        </w:rPr>
        <w:t xml:space="preserve"> </w:t>
      </w:r>
      <w:r>
        <w:rPr>
          <w:color w:val="231F20"/>
        </w:rPr>
        <w:t>certain</w:t>
      </w:r>
      <w:r>
        <w:rPr>
          <w:color w:val="231F20"/>
          <w:spacing w:val="-4"/>
        </w:rPr>
        <w:t xml:space="preserve"> </w:t>
      </w:r>
      <w:r>
        <w:rPr>
          <w:color w:val="231F20"/>
        </w:rPr>
        <w:t>exemptions</w:t>
      </w:r>
      <w:r>
        <w:rPr>
          <w:color w:val="231F20"/>
          <w:spacing w:val="-2"/>
        </w:rPr>
        <w:t xml:space="preserve"> </w:t>
      </w:r>
      <w:r>
        <w:rPr>
          <w:color w:val="231F20"/>
        </w:rPr>
        <w:t>and</w:t>
      </w:r>
      <w:r>
        <w:rPr>
          <w:color w:val="231F20"/>
          <w:spacing w:val="-4"/>
        </w:rPr>
        <w:t xml:space="preserve"> </w:t>
      </w:r>
      <w:r>
        <w:rPr>
          <w:color w:val="231F20"/>
        </w:rPr>
        <w:t>reliefs)</w:t>
      </w:r>
      <w:r>
        <w:rPr>
          <w:color w:val="231F20"/>
          <w:spacing w:val="-5"/>
        </w:rPr>
        <w:t xml:space="preserve"> </w:t>
      </w:r>
      <w:r>
        <w:rPr>
          <w:color w:val="231F20"/>
        </w:rPr>
        <w:t>give</w:t>
      </w:r>
      <w:r>
        <w:rPr>
          <w:color w:val="231F20"/>
          <w:spacing w:val="-1"/>
        </w:rPr>
        <w:t xml:space="preserve"> </w:t>
      </w:r>
      <w:r>
        <w:rPr>
          <w:color w:val="231F20"/>
        </w:rPr>
        <w:t>rise to a liability to UK inheritance tax, even if the holder is neither domiciled in the UK nor deemed to be domiciled there (under certain rules relating to long residence or previous domicile). Generally, UK inheritance tax is not chargeable on gifts to individuals if the transfer is made more than seven complete years prior to death of the donor.</w:t>
      </w:r>
      <w:r>
        <w:rPr>
          <w:color w:val="231F20"/>
          <w:spacing w:val="36"/>
        </w:rPr>
        <w:t xml:space="preserve"> </w:t>
      </w:r>
      <w:r>
        <w:rPr>
          <w:color w:val="231F20"/>
        </w:rPr>
        <w:t>For</w:t>
      </w:r>
      <w:r>
        <w:rPr>
          <w:color w:val="231F20"/>
          <w:spacing w:val="-8"/>
        </w:rPr>
        <w:t xml:space="preserve"> </w:t>
      </w:r>
      <w:r>
        <w:rPr>
          <w:color w:val="231F20"/>
        </w:rPr>
        <w:t>inheritance</w:t>
      </w:r>
      <w:r>
        <w:rPr>
          <w:color w:val="231F20"/>
          <w:spacing w:val="-8"/>
        </w:rPr>
        <w:t xml:space="preserve"> </w:t>
      </w:r>
      <w:r>
        <w:rPr>
          <w:color w:val="231F20"/>
        </w:rPr>
        <w:t>tax</w:t>
      </w:r>
      <w:r>
        <w:rPr>
          <w:color w:val="231F20"/>
          <w:spacing w:val="-9"/>
        </w:rPr>
        <w:t xml:space="preserve"> </w:t>
      </w:r>
      <w:r>
        <w:rPr>
          <w:color w:val="231F20"/>
        </w:rPr>
        <w:t>purposes,</w:t>
      </w:r>
      <w:r>
        <w:rPr>
          <w:color w:val="231F20"/>
          <w:spacing w:val="-8"/>
        </w:rPr>
        <w:t xml:space="preserve"> </w:t>
      </w:r>
      <w:r>
        <w:rPr>
          <w:color w:val="231F20"/>
        </w:rPr>
        <w:t>a</w:t>
      </w:r>
      <w:r>
        <w:rPr>
          <w:color w:val="231F20"/>
          <w:spacing w:val="-5"/>
        </w:rPr>
        <w:t xml:space="preserve"> </w:t>
      </w:r>
      <w:r>
        <w:rPr>
          <w:color w:val="231F20"/>
        </w:rPr>
        <w:t>transfer</w:t>
      </w:r>
      <w:r>
        <w:rPr>
          <w:color w:val="231F20"/>
          <w:spacing w:val="-9"/>
        </w:rPr>
        <w:t xml:space="preserve"> </w:t>
      </w:r>
      <w:r>
        <w:rPr>
          <w:color w:val="231F20"/>
        </w:rPr>
        <w:t>of</w:t>
      </w:r>
      <w:r>
        <w:rPr>
          <w:color w:val="231F20"/>
          <w:spacing w:val="-8"/>
        </w:rPr>
        <w:t xml:space="preserve"> </w:t>
      </w:r>
      <w:r>
        <w:rPr>
          <w:color w:val="231F20"/>
        </w:rPr>
        <w:t>assets</w:t>
      </w:r>
      <w:r>
        <w:rPr>
          <w:color w:val="231F20"/>
          <w:spacing w:val="-7"/>
        </w:rPr>
        <w:t xml:space="preserve"> </w:t>
      </w:r>
      <w:r>
        <w:rPr>
          <w:color w:val="231F20"/>
        </w:rPr>
        <w:t>at</w:t>
      </w:r>
      <w:r>
        <w:rPr>
          <w:color w:val="231F20"/>
          <w:spacing w:val="-8"/>
        </w:rPr>
        <w:t xml:space="preserve"> </w:t>
      </w:r>
      <w:r>
        <w:rPr>
          <w:color w:val="231F20"/>
        </w:rPr>
        <w:t>less</w:t>
      </w:r>
      <w:r>
        <w:rPr>
          <w:color w:val="231F20"/>
          <w:spacing w:val="-7"/>
        </w:rPr>
        <w:t xml:space="preserve"> </w:t>
      </w:r>
      <w:r>
        <w:rPr>
          <w:color w:val="231F20"/>
        </w:rPr>
        <w:t>than</w:t>
      </w:r>
      <w:r>
        <w:rPr>
          <w:color w:val="231F20"/>
          <w:spacing w:val="-8"/>
        </w:rPr>
        <w:t xml:space="preserve"> </w:t>
      </w:r>
      <w:r>
        <w:rPr>
          <w:color w:val="231F20"/>
        </w:rPr>
        <w:t>full</w:t>
      </w:r>
      <w:r>
        <w:rPr>
          <w:color w:val="231F20"/>
          <w:spacing w:val="-8"/>
        </w:rPr>
        <w:t xml:space="preserve"> </w:t>
      </w:r>
      <w:r>
        <w:rPr>
          <w:color w:val="231F20"/>
        </w:rPr>
        <w:t>market</w:t>
      </w:r>
      <w:r>
        <w:rPr>
          <w:color w:val="231F20"/>
          <w:spacing w:val="-6"/>
        </w:rPr>
        <w:t xml:space="preserve"> </w:t>
      </w:r>
      <w:r>
        <w:rPr>
          <w:color w:val="231F20"/>
        </w:rPr>
        <w:t>value</w:t>
      </w:r>
      <w:r>
        <w:rPr>
          <w:color w:val="231F20"/>
          <w:spacing w:val="-5"/>
        </w:rPr>
        <w:t xml:space="preserve"> </w:t>
      </w:r>
      <w:r>
        <w:rPr>
          <w:color w:val="231F20"/>
        </w:rPr>
        <w:t>may</w:t>
      </w:r>
      <w:r>
        <w:rPr>
          <w:color w:val="231F20"/>
          <w:spacing w:val="-7"/>
        </w:rPr>
        <w:t xml:space="preserve"> </w:t>
      </w:r>
      <w:r>
        <w:rPr>
          <w:color w:val="231F20"/>
        </w:rPr>
        <w:t>be</w:t>
      </w:r>
      <w:r>
        <w:rPr>
          <w:color w:val="231F20"/>
          <w:spacing w:val="-5"/>
        </w:rPr>
        <w:t xml:space="preserve"> </w:t>
      </w:r>
      <w:r>
        <w:rPr>
          <w:color w:val="231F20"/>
        </w:rPr>
        <w:t>treated</w:t>
      </w:r>
      <w:r>
        <w:rPr>
          <w:color w:val="231F20"/>
          <w:spacing w:val="-8"/>
        </w:rPr>
        <w:t xml:space="preserve"> </w:t>
      </w:r>
      <w:r>
        <w:rPr>
          <w:color w:val="231F20"/>
        </w:rPr>
        <w:t>as</w:t>
      </w:r>
      <w:r>
        <w:rPr>
          <w:color w:val="231F20"/>
          <w:spacing w:val="-7"/>
        </w:rPr>
        <w:t xml:space="preserve"> </w:t>
      </w:r>
      <w:r>
        <w:rPr>
          <w:color w:val="231F20"/>
        </w:rPr>
        <w:t>a</w:t>
      </w:r>
      <w:r>
        <w:rPr>
          <w:color w:val="231F20"/>
          <w:spacing w:val="-6"/>
        </w:rPr>
        <w:t xml:space="preserve"> </w:t>
      </w:r>
      <w:r>
        <w:rPr>
          <w:color w:val="231F20"/>
        </w:rPr>
        <w:t>gift</w:t>
      </w:r>
      <w:r>
        <w:rPr>
          <w:color w:val="231F20"/>
          <w:spacing w:val="-5"/>
        </w:rPr>
        <w:t xml:space="preserve"> </w:t>
      </w:r>
      <w:r>
        <w:rPr>
          <w:color w:val="231F20"/>
        </w:rPr>
        <w:t>and particular rules apply to gifts where the donor reserves or retains some benefit. Special rules also apply to close companies and to trustees of settlements who hold shares in the Company bringing them within the charge to inheritance</w:t>
      </w:r>
      <w:r>
        <w:rPr>
          <w:color w:val="231F20"/>
          <w:spacing w:val="-7"/>
        </w:rPr>
        <w:t xml:space="preserve"> </w:t>
      </w:r>
      <w:r>
        <w:rPr>
          <w:color w:val="231F20"/>
        </w:rPr>
        <w:t>tax.</w:t>
      </w:r>
      <w:r>
        <w:rPr>
          <w:color w:val="231F20"/>
          <w:spacing w:val="-5"/>
        </w:rPr>
        <w:t xml:space="preserve"> </w:t>
      </w:r>
      <w:r>
        <w:rPr>
          <w:color w:val="231F20"/>
        </w:rPr>
        <w:t>Holders</w:t>
      </w:r>
      <w:r>
        <w:rPr>
          <w:color w:val="231F20"/>
          <w:spacing w:val="-4"/>
        </w:rPr>
        <w:t xml:space="preserve"> </w:t>
      </w:r>
      <w:r>
        <w:rPr>
          <w:color w:val="231F20"/>
        </w:rPr>
        <w:t>of</w:t>
      </w:r>
      <w:r>
        <w:rPr>
          <w:color w:val="231F20"/>
          <w:spacing w:val="-7"/>
        </w:rPr>
        <w:t xml:space="preserve"> </w:t>
      </w:r>
      <w:r>
        <w:rPr>
          <w:color w:val="231F20"/>
        </w:rPr>
        <w:t>shares</w:t>
      </w:r>
      <w:r>
        <w:rPr>
          <w:color w:val="231F20"/>
          <w:spacing w:val="-7"/>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Company</w:t>
      </w:r>
      <w:r>
        <w:rPr>
          <w:color w:val="231F20"/>
          <w:spacing w:val="-7"/>
        </w:rPr>
        <w:t xml:space="preserve"> </w:t>
      </w:r>
      <w:r>
        <w:rPr>
          <w:color w:val="231F20"/>
        </w:rPr>
        <w:t>should</w:t>
      </w:r>
      <w:r>
        <w:rPr>
          <w:color w:val="231F20"/>
          <w:spacing w:val="-7"/>
        </w:rPr>
        <w:t xml:space="preserve"> </w:t>
      </w:r>
      <w:r>
        <w:rPr>
          <w:color w:val="231F20"/>
        </w:rPr>
        <w:t>consult</w:t>
      </w:r>
      <w:r>
        <w:rPr>
          <w:color w:val="231F20"/>
          <w:spacing w:val="-5"/>
        </w:rPr>
        <w:t xml:space="preserve"> </w:t>
      </w:r>
      <w:r>
        <w:rPr>
          <w:color w:val="231F20"/>
        </w:rPr>
        <w:t>an</w:t>
      </w:r>
      <w:r>
        <w:rPr>
          <w:color w:val="231F20"/>
          <w:spacing w:val="-5"/>
        </w:rPr>
        <w:t xml:space="preserve"> </w:t>
      </w:r>
      <w:r>
        <w:rPr>
          <w:color w:val="231F20"/>
        </w:rPr>
        <w:t>appropriate</w:t>
      </w:r>
      <w:r>
        <w:rPr>
          <w:color w:val="231F20"/>
          <w:spacing w:val="-7"/>
        </w:rPr>
        <w:t xml:space="preserve"> </w:t>
      </w:r>
      <w:r>
        <w:rPr>
          <w:color w:val="231F20"/>
        </w:rPr>
        <w:t>professional</w:t>
      </w:r>
      <w:r>
        <w:rPr>
          <w:color w:val="231F20"/>
          <w:spacing w:val="-7"/>
        </w:rPr>
        <w:t xml:space="preserve"> </w:t>
      </w:r>
      <w:r>
        <w:rPr>
          <w:color w:val="231F20"/>
        </w:rPr>
        <w:t>adviser</w:t>
      </w:r>
      <w:r>
        <w:rPr>
          <w:color w:val="231F20"/>
          <w:spacing w:val="-5"/>
        </w:rPr>
        <w:t xml:space="preserve"> </w:t>
      </w:r>
      <w:r>
        <w:rPr>
          <w:color w:val="231F20"/>
        </w:rPr>
        <w:t>if</w:t>
      </w:r>
      <w:r>
        <w:rPr>
          <w:color w:val="231F20"/>
          <w:spacing w:val="-7"/>
        </w:rPr>
        <w:t xml:space="preserve"> </w:t>
      </w:r>
      <w:r>
        <w:rPr>
          <w:color w:val="231F20"/>
        </w:rPr>
        <w:t>they</w:t>
      </w:r>
      <w:r>
        <w:rPr>
          <w:color w:val="231F20"/>
          <w:spacing w:val="-7"/>
        </w:rPr>
        <w:t xml:space="preserve"> </w:t>
      </w:r>
      <w:r>
        <w:rPr>
          <w:color w:val="231F20"/>
        </w:rPr>
        <w:t>make a</w:t>
      </w:r>
      <w:r>
        <w:rPr>
          <w:color w:val="231F20"/>
          <w:spacing w:val="-6"/>
        </w:rPr>
        <w:t xml:space="preserve"> </w:t>
      </w:r>
      <w:r>
        <w:rPr>
          <w:color w:val="231F20"/>
        </w:rPr>
        <w:t>gift</w:t>
      </w:r>
      <w:r>
        <w:rPr>
          <w:color w:val="231F20"/>
          <w:spacing w:val="-6"/>
        </w:rPr>
        <w:t xml:space="preserve"> </w:t>
      </w:r>
      <w:r>
        <w:rPr>
          <w:color w:val="231F20"/>
        </w:rPr>
        <w:t>of</w:t>
      </w:r>
      <w:r>
        <w:rPr>
          <w:color w:val="231F20"/>
          <w:spacing w:val="-8"/>
        </w:rPr>
        <w:t xml:space="preserve"> </w:t>
      </w:r>
      <w:r>
        <w:rPr>
          <w:color w:val="231F20"/>
        </w:rPr>
        <w:t>any</w:t>
      </w:r>
      <w:r>
        <w:rPr>
          <w:color w:val="231F20"/>
          <w:spacing w:val="-9"/>
        </w:rPr>
        <w:t xml:space="preserve"> </w:t>
      </w:r>
      <w:r>
        <w:rPr>
          <w:color w:val="231F20"/>
        </w:rPr>
        <w:t>kind</w:t>
      </w:r>
      <w:r>
        <w:rPr>
          <w:color w:val="231F20"/>
          <w:spacing w:val="-6"/>
        </w:rPr>
        <w:t xml:space="preserve"> </w:t>
      </w:r>
      <w:r>
        <w:rPr>
          <w:color w:val="231F20"/>
        </w:rPr>
        <w:t>or</w:t>
      </w:r>
      <w:r>
        <w:rPr>
          <w:color w:val="231F20"/>
          <w:spacing w:val="-9"/>
        </w:rPr>
        <w:t xml:space="preserve"> </w:t>
      </w:r>
      <w:r>
        <w:rPr>
          <w:color w:val="231F20"/>
        </w:rPr>
        <w:t>intend</w:t>
      </w:r>
      <w:r>
        <w:rPr>
          <w:color w:val="231F20"/>
          <w:spacing w:val="-8"/>
        </w:rPr>
        <w:t xml:space="preserve"> </w:t>
      </w:r>
      <w:r>
        <w:rPr>
          <w:color w:val="231F20"/>
        </w:rPr>
        <w:t>to</w:t>
      </w:r>
      <w:r>
        <w:rPr>
          <w:color w:val="231F20"/>
          <w:spacing w:val="-8"/>
        </w:rPr>
        <w:t xml:space="preserve"> </w:t>
      </w:r>
      <w:r>
        <w:rPr>
          <w:color w:val="231F20"/>
        </w:rPr>
        <w:t>hold</w:t>
      </w:r>
      <w:r>
        <w:rPr>
          <w:color w:val="231F20"/>
          <w:spacing w:val="-9"/>
        </w:rPr>
        <w:t xml:space="preserve"> </w:t>
      </w:r>
      <w:r>
        <w:rPr>
          <w:color w:val="231F20"/>
        </w:rPr>
        <w:t>any</w:t>
      </w:r>
      <w:r>
        <w:rPr>
          <w:color w:val="231F20"/>
          <w:spacing w:val="-7"/>
        </w:rPr>
        <w:t xml:space="preserve"> </w:t>
      </w:r>
      <w:r>
        <w:rPr>
          <w:color w:val="231F20"/>
        </w:rPr>
        <w:t>shares</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Company</w:t>
      </w:r>
      <w:r>
        <w:rPr>
          <w:color w:val="231F20"/>
          <w:spacing w:val="-7"/>
        </w:rPr>
        <w:t xml:space="preserve"> </w:t>
      </w:r>
      <w:r>
        <w:rPr>
          <w:color w:val="231F20"/>
        </w:rPr>
        <w:t>through</w:t>
      </w:r>
      <w:r>
        <w:rPr>
          <w:color w:val="231F20"/>
          <w:spacing w:val="-8"/>
        </w:rPr>
        <w:t xml:space="preserve"> </w:t>
      </w:r>
      <w:r>
        <w:rPr>
          <w:color w:val="231F20"/>
        </w:rPr>
        <w:t>such</w:t>
      </w:r>
      <w:r>
        <w:rPr>
          <w:color w:val="231F20"/>
          <w:spacing w:val="-9"/>
        </w:rPr>
        <w:t xml:space="preserve"> </w:t>
      </w:r>
      <w:r>
        <w:rPr>
          <w:color w:val="231F20"/>
        </w:rPr>
        <w:t>a</w:t>
      </w:r>
      <w:r>
        <w:rPr>
          <w:color w:val="231F20"/>
          <w:spacing w:val="-8"/>
        </w:rPr>
        <w:t xml:space="preserve"> </w:t>
      </w:r>
      <w:r>
        <w:rPr>
          <w:color w:val="231F20"/>
        </w:rPr>
        <w:t>company</w:t>
      </w:r>
      <w:r>
        <w:rPr>
          <w:color w:val="231F20"/>
          <w:spacing w:val="-7"/>
        </w:rPr>
        <w:t xml:space="preserve"> </w:t>
      </w:r>
      <w:r>
        <w:rPr>
          <w:color w:val="231F20"/>
        </w:rPr>
        <w:t>or</w:t>
      </w:r>
      <w:r>
        <w:rPr>
          <w:color w:val="231F20"/>
          <w:spacing w:val="-9"/>
        </w:rPr>
        <w:t xml:space="preserve"> </w:t>
      </w:r>
      <w:r>
        <w:rPr>
          <w:color w:val="231F20"/>
        </w:rPr>
        <w:t>trust</w:t>
      </w:r>
      <w:r>
        <w:rPr>
          <w:color w:val="231F20"/>
          <w:spacing w:val="-8"/>
        </w:rPr>
        <w:t xml:space="preserve"> </w:t>
      </w:r>
      <w:r>
        <w:rPr>
          <w:color w:val="231F20"/>
        </w:rPr>
        <w:t>arrangement.</w:t>
      </w:r>
      <w:r>
        <w:rPr>
          <w:color w:val="231F20"/>
          <w:spacing w:val="36"/>
        </w:rPr>
        <w:t xml:space="preserve"> </w:t>
      </w:r>
      <w:r>
        <w:rPr>
          <w:color w:val="231F20"/>
        </w:rPr>
        <w:t>They should also seek professional advice in a situation where there is potential for a double charge to UK inheritance tax</w:t>
      </w:r>
      <w:r>
        <w:rPr>
          <w:color w:val="231F20"/>
          <w:spacing w:val="-6"/>
        </w:rPr>
        <w:t xml:space="preserve"> </w:t>
      </w:r>
      <w:r>
        <w:rPr>
          <w:color w:val="231F20"/>
        </w:rPr>
        <w:t>and an equivalent</w:t>
      </w:r>
      <w:r>
        <w:rPr>
          <w:color w:val="231F20"/>
          <w:spacing w:val="-1"/>
        </w:rPr>
        <w:t xml:space="preserve"> </w:t>
      </w:r>
      <w:r>
        <w:rPr>
          <w:color w:val="231F20"/>
        </w:rPr>
        <w:t>tax</w:t>
      </w:r>
      <w:r>
        <w:rPr>
          <w:color w:val="231F20"/>
          <w:spacing w:val="-5"/>
        </w:rPr>
        <w:t xml:space="preserve"> </w:t>
      </w:r>
      <w:r>
        <w:rPr>
          <w:color w:val="231F20"/>
        </w:rPr>
        <w:t>in</w:t>
      </w:r>
      <w:r>
        <w:rPr>
          <w:color w:val="231F20"/>
          <w:spacing w:val="-1"/>
        </w:rPr>
        <w:t xml:space="preserve"> </w:t>
      </w:r>
      <w:r>
        <w:rPr>
          <w:color w:val="231F20"/>
        </w:rPr>
        <w:t>another</w:t>
      </w:r>
      <w:r>
        <w:rPr>
          <w:color w:val="231F20"/>
          <w:spacing w:val="-3"/>
        </w:rPr>
        <w:t xml:space="preserve"> </w:t>
      </w:r>
      <w:r>
        <w:rPr>
          <w:color w:val="231F20"/>
        </w:rPr>
        <w:t>country</w:t>
      </w:r>
      <w:r>
        <w:rPr>
          <w:color w:val="231F20"/>
          <w:spacing w:val="-2"/>
        </w:rPr>
        <w:t xml:space="preserve"> </w:t>
      </w:r>
      <w:r>
        <w:rPr>
          <w:color w:val="231F20"/>
        </w:rPr>
        <w:t>or</w:t>
      </w:r>
      <w:r>
        <w:rPr>
          <w:color w:val="231F20"/>
          <w:spacing w:val="-1"/>
        </w:rPr>
        <w:t xml:space="preserve"> </w:t>
      </w:r>
      <w:r>
        <w:rPr>
          <w:color w:val="231F20"/>
        </w:rPr>
        <w:t>if</w:t>
      </w:r>
      <w:r>
        <w:rPr>
          <w:color w:val="231F20"/>
          <w:spacing w:val="-3"/>
        </w:rPr>
        <w:t xml:space="preserve"> </w:t>
      </w:r>
      <w:r>
        <w:rPr>
          <w:color w:val="231F20"/>
        </w:rPr>
        <w:t>they</w:t>
      </w:r>
      <w:r>
        <w:rPr>
          <w:color w:val="231F20"/>
          <w:spacing w:val="-2"/>
        </w:rPr>
        <w:t xml:space="preserve"> </w:t>
      </w:r>
      <w:r>
        <w:rPr>
          <w:color w:val="231F20"/>
        </w:rPr>
        <w:t>are</w:t>
      </w:r>
      <w:r>
        <w:rPr>
          <w:color w:val="231F20"/>
          <w:spacing w:val="-1"/>
        </w:rPr>
        <w:t xml:space="preserve"> </w:t>
      </w:r>
      <w:r>
        <w:rPr>
          <w:color w:val="231F20"/>
        </w:rPr>
        <w:t>in</w:t>
      </w:r>
      <w:r>
        <w:rPr>
          <w:color w:val="231F20"/>
          <w:spacing w:val="-2"/>
        </w:rPr>
        <w:t xml:space="preserve"> </w:t>
      </w:r>
      <w:r>
        <w:rPr>
          <w:color w:val="231F20"/>
        </w:rPr>
        <w:t>any</w:t>
      </w:r>
      <w:r>
        <w:rPr>
          <w:color w:val="231F20"/>
          <w:spacing w:val="-2"/>
        </w:rPr>
        <w:t xml:space="preserve"> </w:t>
      </w:r>
      <w:r>
        <w:rPr>
          <w:color w:val="231F20"/>
        </w:rPr>
        <w:t>doubt</w:t>
      </w:r>
      <w:r>
        <w:rPr>
          <w:color w:val="231F20"/>
          <w:spacing w:val="-3"/>
        </w:rPr>
        <w:t xml:space="preserve"> </w:t>
      </w:r>
      <w:r>
        <w:rPr>
          <w:color w:val="231F20"/>
        </w:rPr>
        <w:t>about</w:t>
      </w:r>
      <w:r>
        <w:rPr>
          <w:color w:val="231F20"/>
          <w:spacing w:val="-1"/>
        </w:rPr>
        <w:t xml:space="preserve"> </w:t>
      </w:r>
      <w:r>
        <w:rPr>
          <w:color w:val="231F20"/>
        </w:rPr>
        <w:t>their</w:t>
      </w:r>
      <w:r>
        <w:rPr>
          <w:color w:val="231F20"/>
          <w:spacing w:val="-2"/>
        </w:rPr>
        <w:t xml:space="preserve"> </w:t>
      </w:r>
      <w:r>
        <w:rPr>
          <w:color w:val="231F20"/>
        </w:rPr>
        <w:t>UK</w:t>
      </w:r>
      <w:r>
        <w:rPr>
          <w:color w:val="231F20"/>
          <w:spacing w:val="-1"/>
        </w:rPr>
        <w:t xml:space="preserve"> </w:t>
      </w:r>
      <w:r>
        <w:rPr>
          <w:color w:val="231F20"/>
        </w:rPr>
        <w:t>inheritance</w:t>
      </w:r>
      <w:r>
        <w:rPr>
          <w:color w:val="231F20"/>
          <w:spacing w:val="-3"/>
        </w:rPr>
        <w:t xml:space="preserve"> </w:t>
      </w:r>
      <w:r>
        <w:rPr>
          <w:color w:val="231F20"/>
        </w:rPr>
        <w:t>tax</w:t>
      </w:r>
      <w:r>
        <w:rPr>
          <w:color w:val="231F20"/>
          <w:spacing w:val="-5"/>
        </w:rPr>
        <w:t xml:space="preserve"> </w:t>
      </w:r>
      <w:r>
        <w:rPr>
          <w:color w:val="231F20"/>
        </w:rPr>
        <w:t>position.</w:t>
      </w:r>
    </w:p>
    <w:p w14:paraId="404A3314" w14:textId="77777777" w:rsidR="00783288" w:rsidRDefault="00E31420">
      <w:pPr>
        <w:pStyle w:val="Heading1"/>
        <w:kinsoku w:val="0"/>
        <w:overflowPunct w:val="0"/>
        <w:spacing w:before="156"/>
        <w:jc w:val="both"/>
        <w:rPr>
          <w:color w:val="231F20"/>
        </w:rPr>
      </w:pPr>
      <w:r>
        <w:rPr>
          <w:color w:val="231F20"/>
        </w:rPr>
        <w:t>Stamp Duty and Stamp Duty Reserve Tax (SDRT)</w:t>
      </w:r>
    </w:p>
    <w:p w14:paraId="79964E58" w14:textId="77777777" w:rsidR="00783288" w:rsidRDefault="00E31420">
      <w:pPr>
        <w:pStyle w:val="BodyText"/>
        <w:kinsoku w:val="0"/>
        <w:overflowPunct w:val="0"/>
        <w:spacing w:before="165"/>
        <w:ind w:left="300" w:right="1188"/>
        <w:jc w:val="both"/>
        <w:rPr>
          <w:color w:val="231F20"/>
        </w:rPr>
      </w:pPr>
      <w:r>
        <w:rPr>
          <w:color w:val="231F20"/>
        </w:rPr>
        <w:t>The statements in this section relating to Stamp Duty and SDRT apply to any Shareholders irrespective of their residence, summarise the current position and are intended as a general guide only to Stamp Duty and SDRT. They do not apply to certain categories of person are not liable to Stamp Duty or SDRT, or to persons connected with depository arrangements or clearance services, who may be liable at a higher rate. Special rules apply to agreements</w:t>
      </w:r>
      <w:r>
        <w:rPr>
          <w:color w:val="231F20"/>
          <w:spacing w:val="-7"/>
        </w:rPr>
        <w:t xml:space="preserve"> </w:t>
      </w:r>
      <w:r>
        <w:rPr>
          <w:color w:val="231F20"/>
        </w:rPr>
        <w:t>made</w:t>
      </w:r>
      <w:r>
        <w:rPr>
          <w:color w:val="231F20"/>
          <w:spacing w:val="-6"/>
        </w:rPr>
        <w:t xml:space="preserve"> </w:t>
      </w:r>
      <w:r>
        <w:rPr>
          <w:color w:val="231F20"/>
        </w:rPr>
        <w:t>by,</w:t>
      </w:r>
      <w:r>
        <w:rPr>
          <w:color w:val="231F20"/>
          <w:spacing w:val="-6"/>
        </w:rPr>
        <w:t xml:space="preserve"> </w:t>
      </w:r>
      <w:r>
        <w:rPr>
          <w:color w:val="231F20"/>
        </w:rPr>
        <w:t>amongst</w:t>
      </w:r>
      <w:r>
        <w:rPr>
          <w:color w:val="231F20"/>
          <w:spacing w:val="-6"/>
        </w:rPr>
        <w:t xml:space="preserve"> </w:t>
      </w:r>
      <w:r>
        <w:rPr>
          <w:color w:val="231F20"/>
        </w:rPr>
        <w:t>others,</w:t>
      </w:r>
      <w:r>
        <w:rPr>
          <w:color w:val="231F20"/>
          <w:spacing w:val="-6"/>
        </w:rPr>
        <w:t xml:space="preserve"> </w:t>
      </w:r>
      <w:r>
        <w:rPr>
          <w:color w:val="231F20"/>
        </w:rPr>
        <w:t>intermediaries,</w:t>
      </w:r>
      <w:r>
        <w:rPr>
          <w:color w:val="231F20"/>
          <w:spacing w:val="-9"/>
        </w:rPr>
        <w:t xml:space="preserve"> </w:t>
      </w:r>
      <w:r>
        <w:rPr>
          <w:color w:val="231F20"/>
        </w:rPr>
        <w:t>broker</w:t>
      </w:r>
      <w:r>
        <w:rPr>
          <w:color w:val="231F20"/>
          <w:spacing w:val="-10"/>
        </w:rPr>
        <w:t xml:space="preserve"> </w:t>
      </w:r>
      <w:r>
        <w:rPr>
          <w:color w:val="231F20"/>
        </w:rPr>
        <w:t>dealers</w:t>
      </w:r>
      <w:r>
        <w:rPr>
          <w:color w:val="231F20"/>
          <w:spacing w:val="-6"/>
        </w:rPr>
        <w:t xml:space="preserve"> </w:t>
      </w:r>
      <w:r>
        <w:rPr>
          <w:color w:val="231F20"/>
        </w:rPr>
        <w:t>and</w:t>
      </w:r>
      <w:r>
        <w:rPr>
          <w:color w:val="231F20"/>
          <w:spacing w:val="-9"/>
        </w:rPr>
        <w:t xml:space="preserve"> </w:t>
      </w:r>
      <w:r>
        <w:rPr>
          <w:color w:val="231F20"/>
        </w:rPr>
        <w:t>market</w:t>
      </w:r>
      <w:r>
        <w:rPr>
          <w:color w:val="231F20"/>
          <w:spacing w:val="-6"/>
        </w:rPr>
        <w:t xml:space="preserve"> </w:t>
      </w:r>
      <w:r>
        <w:rPr>
          <w:color w:val="231F20"/>
        </w:rPr>
        <w:t>makers</w:t>
      </w:r>
      <w:r>
        <w:rPr>
          <w:color w:val="231F20"/>
          <w:spacing w:val="-6"/>
        </w:rPr>
        <w:t xml:space="preserve"> </w:t>
      </w:r>
      <w:r>
        <w:rPr>
          <w:color w:val="231F20"/>
        </w:rPr>
        <w:t>in</w:t>
      </w:r>
      <w:r>
        <w:rPr>
          <w:color w:val="231F20"/>
          <w:spacing w:val="-9"/>
        </w:rPr>
        <w:t xml:space="preserve"> </w:t>
      </w:r>
      <w:r>
        <w:rPr>
          <w:color w:val="231F20"/>
        </w:rPr>
        <w:t>the</w:t>
      </w:r>
      <w:r>
        <w:rPr>
          <w:color w:val="231F20"/>
          <w:spacing w:val="-6"/>
        </w:rPr>
        <w:t xml:space="preserve"> </w:t>
      </w:r>
      <w:r>
        <w:rPr>
          <w:color w:val="231F20"/>
        </w:rPr>
        <w:t>ordinary</w:t>
      </w:r>
      <w:r>
        <w:rPr>
          <w:color w:val="231F20"/>
          <w:spacing w:val="-8"/>
        </w:rPr>
        <w:t xml:space="preserve"> </w:t>
      </w:r>
      <w:r>
        <w:rPr>
          <w:color w:val="231F20"/>
        </w:rPr>
        <w:t>course</w:t>
      </w:r>
      <w:r>
        <w:rPr>
          <w:color w:val="231F20"/>
          <w:spacing w:val="-7"/>
        </w:rPr>
        <w:t xml:space="preserve"> </w:t>
      </w:r>
      <w:r>
        <w:rPr>
          <w:color w:val="231F20"/>
        </w:rPr>
        <w:t>of their</w:t>
      </w:r>
      <w:r>
        <w:rPr>
          <w:color w:val="231F20"/>
          <w:spacing w:val="-3"/>
        </w:rPr>
        <w:t xml:space="preserve"> </w:t>
      </w:r>
      <w:r>
        <w:rPr>
          <w:color w:val="231F20"/>
        </w:rPr>
        <w:t>business.</w:t>
      </w:r>
    </w:p>
    <w:p w14:paraId="16487C22" w14:textId="77777777" w:rsidR="00783288" w:rsidRDefault="00E31420">
      <w:pPr>
        <w:pStyle w:val="BodyText"/>
        <w:kinsoku w:val="0"/>
        <w:overflowPunct w:val="0"/>
        <w:spacing w:before="157"/>
        <w:ind w:left="300"/>
        <w:jc w:val="both"/>
        <w:rPr>
          <w:i/>
          <w:iCs/>
          <w:color w:val="231F20"/>
        </w:rPr>
      </w:pPr>
      <w:r>
        <w:rPr>
          <w:i/>
          <w:iCs/>
          <w:color w:val="231F20"/>
        </w:rPr>
        <w:t>Issue of Ordinary Shares</w:t>
      </w:r>
    </w:p>
    <w:p w14:paraId="75CEE90F" w14:textId="77777777" w:rsidR="00783288" w:rsidRDefault="00E31420">
      <w:pPr>
        <w:pStyle w:val="BodyText"/>
        <w:kinsoku w:val="0"/>
        <w:overflowPunct w:val="0"/>
        <w:spacing w:before="163"/>
        <w:ind w:left="300"/>
        <w:jc w:val="both"/>
        <w:rPr>
          <w:color w:val="231F20"/>
        </w:rPr>
      </w:pPr>
      <w:r>
        <w:rPr>
          <w:color w:val="231F20"/>
        </w:rPr>
        <w:t>No UK Stamp Duty or SDRT will be payable on the issue of Ordinary Shares, other than as explained below.</w:t>
      </w:r>
    </w:p>
    <w:p w14:paraId="1DCFD3F2" w14:textId="77777777" w:rsidR="00783288" w:rsidRDefault="00E31420">
      <w:pPr>
        <w:pStyle w:val="BodyText"/>
        <w:kinsoku w:val="0"/>
        <w:overflowPunct w:val="0"/>
        <w:spacing w:before="158"/>
        <w:ind w:left="300"/>
        <w:jc w:val="both"/>
        <w:rPr>
          <w:i/>
          <w:iCs/>
          <w:color w:val="231F20"/>
        </w:rPr>
      </w:pPr>
      <w:r>
        <w:rPr>
          <w:i/>
          <w:iCs/>
          <w:color w:val="231F20"/>
        </w:rPr>
        <w:t>Transfer of certificated Ordinary Shares</w:t>
      </w:r>
    </w:p>
    <w:p w14:paraId="4902A92E" w14:textId="77777777" w:rsidR="00783288" w:rsidRDefault="00E31420">
      <w:pPr>
        <w:pStyle w:val="BodyText"/>
        <w:kinsoku w:val="0"/>
        <w:overflowPunct w:val="0"/>
        <w:spacing w:before="162"/>
        <w:ind w:left="300" w:right="1187"/>
        <w:jc w:val="both"/>
        <w:rPr>
          <w:color w:val="231F20"/>
        </w:rPr>
      </w:pPr>
      <w:r>
        <w:rPr>
          <w:color w:val="231F20"/>
        </w:rPr>
        <w:t>The transfer on sale of Ordinary Shares will generally be liable to ad valorem Stamp Duty at the rate of 0.5% (rounded up to the nearest multiple of £5) of the amount or value of the consideration paid. An exemption from Stamp Duty will be available on an instrument transferring Ordinary Shares where the amount or value of the consideration is £1,000 or less, and it is certified on the instrument that the transaction effected by the instrument does not form part of a larger transaction or series of transactions for which the aggregate consideration exceeds</w:t>
      </w:r>
    </w:p>
    <w:p w14:paraId="06212162" w14:textId="77777777" w:rsidR="00783288" w:rsidRDefault="00E31420">
      <w:pPr>
        <w:pStyle w:val="BodyText"/>
        <w:kinsoku w:val="0"/>
        <w:overflowPunct w:val="0"/>
        <w:ind w:left="299" w:right="1191"/>
        <w:jc w:val="both"/>
        <w:rPr>
          <w:color w:val="231F20"/>
        </w:rPr>
      </w:pPr>
      <w:r>
        <w:rPr>
          <w:color w:val="231F20"/>
        </w:rPr>
        <w:t>£1,000. The purchaser normally pays the Stamp Duty. An unconditional agreement to transfer such shares will be generally liable to SDRT, at the rate of 0.5% of the consideration paid, but such liability will be cancelled or a right to a repayment in respect of the SDRT liability will arise if the agreement is completed by a duly stamped transfer within six years of the agreement having become unconditional.</w:t>
      </w:r>
      <w:r>
        <w:rPr>
          <w:color w:val="231F20"/>
          <w:spacing w:val="10"/>
        </w:rPr>
        <w:t xml:space="preserve"> </w:t>
      </w:r>
      <w:r>
        <w:rPr>
          <w:color w:val="231F20"/>
        </w:rPr>
        <w:t>SDRT is the liability of the purchaser.</w:t>
      </w:r>
    </w:p>
    <w:p w14:paraId="400A4DA5" w14:textId="77777777" w:rsidR="00783288" w:rsidRDefault="00E31420">
      <w:pPr>
        <w:pStyle w:val="BodyText"/>
        <w:kinsoku w:val="0"/>
        <w:overflowPunct w:val="0"/>
        <w:spacing w:before="156"/>
        <w:ind w:left="299"/>
        <w:jc w:val="both"/>
        <w:rPr>
          <w:i/>
          <w:iCs/>
          <w:color w:val="231F20"/>
        </w:rPr>
      </w:pPr>
      <w:r>
        <w:rPr>
          <w:i/>
          <w:iCs/>
          <w:color w:val="231F20"/>
        </w:rPr>
        <w:t>Ordinary Shares transferred through paperless means including CREST</w:t>
      </w:r>
    </w:p>
    <w:p w14:paraId="665190C0" w14:textId="77777777" w:rsidR="00783288" w:rsidRDefault="00E31420">
      <w:pPr>
        <w:pStyle w:val="BodyText"/>
        <w:kinsoku w:val="0"/>
        <w:overflowPunct w:val="0"/>
        <w:spacing w:before="162"/>
        <w:ind w:left="299" w:right="1189"/>
        <w:jc w:val="both"/>
        <w:rPr>
          <w:color w:val="231F20"/>
        </w:rPr>
      </w:pPr>
      <w:r>
        <w:rPr>
          <w:color w:val="231F20"/>
        </w:rPr>
        <w:t>Paperless transfers of shares within the CREST system are generally liable to SDRT (at a rate of 0.5% of the amount</w:t>
      </w:r>
      <w:r>
        <w:rPr>
          <w:color w:val="231F20"/>
          <w:spacing w:val="-6"/>
        </w:rPr>
        <w:t xml:space="preserve"> </w:t>
      </w:r>
      <w:r>
        <w:rPr>
          <w:color w:val="231F20"/>
        </w:rPr>
        <w:t>or</w:t>
      </w:r>
      <w:r>
        <w:rPr>
          <w:color w:val="231F20"/>
          <w:spacing w:val="-3"/>
        </w:rPr>
        <w:t xml:space="preserve"> </w:t>
      </w:r>
      <w:r>
        <w:rPr>
          <w:color w:val="231F20"/>
        </w:rPr>
        <w:t>value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consideration</w:t>
      </w:r>
      <w:r>
        <w:rPr>
          <w:color w:val="231F20"/>
          <w:spacing w:val="-5"/>
        </w:rPr>
        <w:t xml:space="preserve"> </w:t>
      </w:r>
      <w:r>
        <w:rPr>
          <w:color w:val="231F20"/>
        </w:rPr>
        <w:t>payable)</w:t>
      </w:r>
      <w:r>
        <w:rPr>
          <w:color w:val="231F20"/>
          <w:spacing w:val="-5"/>
        </w:rPr>
        <w:t xml:space="preserve"> </w:t>
      </w:r>
      <w:r>
        <w:rPr>
          <w:color w:val="231F20"/>
        </w:rPr>
        <w:t>rather</w:t>
      </w:r>
      <w:r>
        <w:rPr>
          <w:color w:val="231F20"/>
          <w:spacing w:val="-5"/>
        </w:rPr>
        <w:t xml:space="preserve"> </w:t>
      </w:r>
      <w:r>
        <w:rPr>
          <w:color w:val="231F20"/>
        </w:rPr>
        <w:t>than</w:t>
      </w:r>
      <w:r>
        <w:rPr>
          <w:color w:val="231F20"/>
          <w:spacing w:val="-2"/>
        </w:rPr>
        <w:t xml:space="preserve"> </w:t>
      </w:r>
      <w:r>
        <w:rPr>
          <w:color w:val="231F20"/>
        </w:rPr>
        <w:t>Stamp</w:t>
      </w:r>
      <w:r>
        <w:rPr>
          <w:color w:val="231F20"/>
          <w:spacing w:val="-1"/>
        </w:rPr>
        <w:t xml:space="preserve"> </w:t>
      </w:r>
      <w:r>
        <w:rPr>
          <w:color w:val="231F20"/>
        </w:rPr>
        <w:t>Duty,</w:t>
      </w:r>
      <w:r>
        <w:rPr>
          <w:color w:val="231F20"/>
          <w:spacing w:val="-3"/>
        </w:rPr>
        <w:t xml:space="preserve"> </w:t>
      </w:r>
      <w:r>
        <w:rPr>
          <w:color w:val="231F20"/>
        </w:rPr>
        <w:t>and</w:t>
      </w:r>
      <w:r>
        <w:rPr>
          <w:color w:val="231F20"/>
          <w:spacing w:val="-3"/>
        </w:rPr>
        <w:t xml:space="preserve"> </w:t>
      </w:r>
      <w:r>
        <w:rPr>
          <w:color w:val="231F20"/>
        </w:rPr>
        <w:t>SDRT</w:t>
      </w:r>
      <w:r>
        <w:rPr>
          <w:color w:val="231F20"/>
          <w:spacing w:val="-5"/>
        </w:rPr>
        <w:t xml:space="preserve"> </w:t>
      </w:r>
      <w:r>
        <w:rPr>
          <w:color w:val="231F20"/>
        </w:rPr>
        <w:t>on</w:t>
      </w:r>
      <w:r>
        <w:rPr>
          <w:color w:val="231F20"/>
          <w:spacing w:val="-2"/>
        </w:rPr>
        <w:t xml:space="preserve"> </w:t>
      </w:r>
      <w:r>
        <w:rPr>
          <w:color w:val="231F20"/>
        </w:rPr>
        <w:t>relevant</w:t>
      </w:r>
      <w:r>
        <w:rPr>
          <w:color w:val="231F20"/>
          <w:spacing w:val="-3"/>
        </w:rPr>
        <w:t xml:space="preserve"> </w:t>
      </w:r>
      <w:r>
        <w:rPr>
          <w:color w:val="231F20"/>
        </w:rPr>
        <w:t>transactions</w:t>
      </w:r>
      <w:r>
        <w:rPr>
          <w:color w:val="231F20"/>
          <w:spacing w:val="-4"/>
        </w:rPr>
        <w:t xml:space="preserve"> </w:t>
      </w:r>
      <w:r>
        <w:rPr>
          <w:color w:val="231F20"/>
        </w:rPr>
        <w:t>settled within the system or reported through it for regulatory purposes will be collected by CREST. Deposits of shares into CREST will not generally be subject to SDRT unless the transfer into CREST is itself for</w:t>
      </w:r>
      <w:r>
        <w:rPr>
          <w:color w:val="231F20"/>
          <w:spacing w:val="-29"/>
        </w:rPr>
        <w:t xml:space="preserve"> </w:t>
      </w:r>
      <w:r>
        <w:rPr>
          <w:color w:val="231F20"/>
        </w:rPr>
        <w:t>consideration.</w:t>
      </w:r>
    </w:p>
    <w:p w14:paraId="622AFF79" w14:textId="77777777" w:rsidR="00783288" w:rsidRDefault="00783288">
      <w:pPr>
        <w:pStyle w:val="BodyText"/>
        <w:kinsoku w:val="0"/>
        <w:overflowPunct w:val="0"/>
        <w:spacing w:before="162"/>
        <w:ind w:left="299" w:right="1189"/>
        <w:jc w:val="both"/>
        <w:rPr>
          <w:color w:val="231F20"/>
        </w:rPr>
        <w:sectPr w:rsidR="00783288">
          <w:pgSz w:w="11900" w:h="16840"/>
          <w:pgMar w:top="1360" w:right="240" w:bottom="1160" w:left="1140" w:header="0" w:footer="891" w:gutter="0"/>
          <w:cols w:space="720"/>
          <w:noEndnote/>
        </w:sectPr>
      </w:pPr>
    </w:p>
    <w:p w14:paraId="2697AA1D" w14:textId="77777777" w:rsidR="00783288" w:rsidRDefault="00E31420">
      <w:pPr>
        <w:pStyle w:val="Heading1"/>
        <w:kinsoku w:val="0"/>
        <w:overflowPunct w:val="0"/>
        <w:spacing w:before="73" w:line="482" w:lineRule="auto"/>
        <w:ind w:left="3585" w:right="4305" w:firstLine="832"/>
        <w:rPr>
          <w:color w:val="050606"/>
        </w:rPr>
      </w:pPr>
      <w:r>
        <w:rPr>
          <w:color w:val="231F20"/>
        </w:rPr>
        <w:lastRenderedPageBreak/>
        <w:t xml:space="preserve">PART VII </w:t>
      </w:r>
      <w:r>
        <w:rPr>
          <w:color w:val="050606"/>
        </w:rPr>
        <w:t>ADDITIONAL INFORMATION</w:t>
      </w:r>
    </w:p>
    <w:p w14:paraId="2365D641" w14:textId="77777777" w:rsidR="00783288" w:rsidRDefault="00E31420" w:rsidP="00512495">
      <w:pPr>
        <w:pStyle w:val="ListParagraph"/>
        <w:numPr>
          <w:ilvl w:val="0"/>
          <w:numId w:val="13"/>
        </w:numPr>
        <w:tabs>
          <w:tab w:val="left" w:pos="840"/>
        </w:tabs>
        <w:kinsoku w:val="0"/>
        <w:overflowPunct w:val="0"/>
        <w:spacing w:before="174"/>
        <w:rPr>
          <w:b/>
          <w:bCs/>
          <w:color w:val="231F20"/>
          <w:sz w:val="18"/>
          <w:szCs w:val="18"/>
        </w:rPr>
      </w:pPr>
      <w:r>
        <w:rPr>
          <w:b/>
          <w:bCs/>
          <w:color w:val="231F20"/>
          <w:sz w:val="18"/>
          <w:szCs w:val="18"/>
        </w:rPr>
        <w:t>Responsibility</w:t>
      </w:r>
    </w:p>
    <w:p w14:paraId="14D94C8A" w14:textId="77777777" w:rsidR="00783288" w:rsidRDefault="00783288">
      <w:pPr>
        <w:pStyle w:val="BodyText"/>
        <w:kinsoku w:val="0"/>
        <w:overflowPunct w:val="0"/>
        <w:spacing w:before="2"/>
        <w:rPr>
          <w:b/>
          <w:bCs/>
          <w:sz w:val="21"/>
          <w:szCs w:val="21"/>
        </w:rPr>
      </w:pPr>
    </w:p>
    <w:p w14:paraId="2D09E287" w14:textId="6F44140E" w:rsidR="009715D1" w:rsidRDefault="00E31420" w:rsidP="00512495">
      <w:pPr>
        <w:pStyle w:val="ListParagraph"/>
        <w:numPr>
          <w:ilvl w:val="1"/>
          <w:numId w:val="13"/>
        </w:numPr>
        <w:tabs>
          <w:tab w:val="left" w:pos="840"/>
        </w:tabs>
        <w:kinsoku w:val="0"/>
        <w:overflowPunct w:val="0"/>
        <w:ind w:right="1036"/>
        <w:jc w:val="both"/>
        <w:rPr>
          <w:color w:val="231F20"/>
          <w:sz w:val="18"/>
          <w:szCs w:val="18"/>
        </w:rPr>
      </w:pPr>
      <w:r w:rsidRPr="009715D1">
        <w:rPr>
          <w:color w:val="231F20"/>
          <w:sz w:val="18"/>
          <w:szCs w:val="18"/>
        </w:rPr>
        <w:t>The Company and each of the Directors, whose names appear on page 27 of this Document, accept responsibility for this Document and its contents. The Company and each of the Directors confirm that to the best of their knowledge, the information contained in this Document is in accordance with the facts and this Document makes no omission likely to affect its import.</w:t>
      </w:r>
      <w:r w:rsidR="00BA7472" w:rsidRPr="009715D1">
        <w:rPr>
          <w:color w:val="231F20"/>
          <w:sz w:val="18"/>
          <w:szCs w:val="18"/>
        </w:rPr>
        <w:t xml:space="preserve"> </w:t>
      </w:r>
    </w:p>
    <w:p w14:paraId="21C25413" w14:textId="77777777" w:rsidR="009715D1" w:rsidRDefault="009715D1" w:rsidP="009715D1">
      <w:pPr>
        <w:pStyle w:val="ListParagraph"/>
        <w:tabs>
          <w:tab w:val="left" w:pos="840"/>
        </w:tabs>
        <w:kinsoku w:val="0"/>
        <w:overflowPunct w:val="0"/>
        <w:ind w:left="840" w:right="1036" w:firstLine="0"/>
        <w:jc w:val="both"/>
        <w:rPr>
          <w:color w:val="231F20"/>
          <w:sz w:val="18"/>
          <w:szCs w:val="18"/>
        </w:rPr>
      </w:pPr>
    </w:p>
    <w:p w14:paraId="6F5A0433" w14:textId="7F1BE603" w:rsidR="00783288" w:rsidRPr="009715D1" w:rsidRDefault="00BA7472" w:rsidP="00512495">
      <w:pPr>
        <w:pStyle w:val="ListParagraph"/>
        <w:numPr>
          <w:ilvl w:val="1"/>
          <w:numId w:val="13"/>
        </w:numPr>
        <w:tabs>
          <w:tab w:val="left" w:pos="840"/>
        </w:tabs>
        <w:kinsoku w:val="0"/>
        <w:overflowPunct w:val="0"/>
        <w:ind w:right="1036"/>
        <w:jc w:val="both"/>
        <w:rPr>
          <w:color w:val="231F20"/>
          <w:sz w:val="18"/>
          <w:szCs w:val="18"/>
        </w:rPr>
      </w:pPr>
      <w:r w:rsidRPr="009715D1">
        <w:rPr>
          <w:color w:val="231F20"/>
          <w:sz w:val="18"/>
          <w:szCs w:val="18"/>
        </w:rPr>
        <w:t xml:space="preserve">The Competent Person is responsible for the Competent Person’s Report which appears as part of this Document at </w:t>
      </w:r>
      <w:r w:rsidRPr="009715D1">
        <w:rPr>
          <w:sz w:val="18"/>
          <w:szCs w:val="18"/>
        </w:rPr>
        <w:t>Annex I</w:t>
      </w:r>
      <w:r w:rsidR="001C1E31" w:rsidRPr="009715D1">
        <w:rPr>
          <w:sz w:val="18"/>
          <w:szCs w:val="18"/>
        </w:rPr>
        <w:t>. The Competent Person is responsible</w:t>
      </w:r>
      <w:r w:rsidRPr="009715D1">
        <w:rPr>
          <w:color w:val="231F20"/>
          <w:sz w:val="18"/>
          <w:szCs w:val="18"/>
        </w:rPr>
        <w:t xml:space="preserve"> </w:t>
      </w:r>
      <w:r w:rsidR="00C42F2D" w:rsidRPr="009715D1">
        <w:rPr>
          <w:color w:val="231F20"/>
          <w:sz w:val="18"/>
          <w:szCs w:val="18"/>
        </w:rPr>
        <w:t>for all scientific and technical information in relation to the Adeline Copper Project contained within this Document</w:t>
      </w:r>
      <w:r w:rsidR="001C1E31" w:rsidRPr="009715D1">
        <w:rPr>
          <w:color w:val="231F20"/>
          <w:sz w:val="18"/>
          <w:szCs w:val="18"/>
        </w:rPr>
        <w:t xml:space="preserve"> as well as references to the Competent Person’s Report and statements of information attributed to the Competent Person or extracted from the Competent Person’s Report and included in this Document</w:t>
      </w:r>
      <w:r w:rsidR="00C42F2D" w:rsidRPr="009715D1">
        <w:rPr>
          <w:color w:val="231F20"/>
          <w:sz w:val="18"/>
          <w:szCs w:val="18"/>
        </w:rPr>
        <w:t>. The Compete</w:t>
      </w:r>
      <w:r w:rsidR="00AD54FE" w:rsidRPr="009715D1">
        <w:rPr>
          <w:color w:val="231F20"/>
          <w:sz w:val="18"/>
          <w:szCs w:val="18"/>
        </w:rPr>
        <w:t>n</w:t>
      </w:r>
      <w:r w:rsidR="00C42F2D" w:rsidRPr="009715D1">
        <w:rPr>
          <w:color w:val="231F20"/>
          <w:sz w:val="18"/>
          <w:szCs w:val="18"/>
        </w:rPr>
        <w:t>t Person</w:t>
      </w:r>
      <w:r w:rsidRPr="009715D1">
        <w:rPr>
          <w:color w:val="231F20"/>
          <w:sz w:val="18"/>
          <w:szCs w:val="18"/>
        </w:rPr>
        <w:t xml:space="preserve"> declares that to the best of his knowledge, the information contained in this Document is in accordance with the facts and this document makes no omission likely to affect its import. </w:t>
      </w:r>
      <w:r w:rsidR="009715D1">
        <w:rPr>
          <w:color w:val="231F20"/>
          <w:sz w:val="18"/>
          <w:szCs w:val="18"/>
        </w:rPr>
        <w:t xml:space="preserve">The Company </w:t>
      </w:r>
      <w:r w:rsidR="009715D1" w:rsidRPr="001A4B30">
        <w:rPr>
          <w:color w:val="231F20"/>
          <w:sz w:val="18"/>
          <w:szCs w:val="18"/>
        </w:rPr>
        <w:t>affirms that</w:t>
      </w:r>
      <w:r w:rsidR="00401F25" w:rsidRPr="001A4B30">
        <w:rPr>
          <w:color w:val="231F20"/>
          <w:sz w:val="18"/>
          <w:szCs w:val="18"/>
        </w:rPr>
        <w:t xml:space="preserve">, as at the </w:t>
      </w:r>
      <w:r w:rsidR="001A4B30" w:rsidRPr="001A4B30">
        <w:rPr>
          <w:color w:val="231F20"/>
          <w:sz w:val="18"/>
          <w:szCs w:val="18"/>
        </w:rPr>
        <w:t>date of this Document,</w:t>
      </w:r>
      <w:r w:rsidR="009715D1" w:rsidRPr="001A4B30">
        <w:rPr>
          <w:color w:val="231F20"/>
          <w:sz w:val="18"/>
          <w:szCs w:val="18"/>
        </w:rPr>
        <w:t xml:space="preserve"> no material changes have occurred since the date of the Competent Person’s Report, the omission of which</w:t>
      </w:r>
      <w:r w:rsidR="009715D1">
        <w:rPr>
          <w:color w:val="231F20"/>
          <w:sz w:val="18"/>
          <w:szCs w:val="18"/>
        </w:rPr>
        <w:t xml:space="preserve"> would make the Competent Person’s Report misleading. </w:t>
      </w:r>
    </w:p>
    <w:p w14:paraId="6B600FF6" w14:textId="77777777" w:rsidR="00783288" w:rsidRDefault="00783288">
      <w:pPr>
        <w:pStyle w:val="BodyText"/>
        <w:kinsoku w:val="0"/>
        <w:overflowPunct w:val="0"/>
        <w:spacing w:before="5"/>
        <w:rPr>
          <w:sz w:val="20"/>
          <w:szCs w:val="20"/>
        </w:rPr>
      </w:pPr>
    </w:p>
    <w:p w14:paraId="5F513EE3" w14:textId="77777777" w:rsidR="00783288" w:rsidRDefault="00E31420" w:rsidP="00512495">
      <w:pPr>
        <w:pStyle w:val="Heading1"/>
        <w:numPr>
          <w:ilvl w:val="0"/>
          <w:numId w:val="13"/>
        </w:numPr>
        <w:tabs>
          <w:tab w:val="left" w:pos="840"/>
        </w:tabs>
        <w:kinsoku w:val="0"/>
        <w:overflowPunct w:val="0"/>
        <w:rPr>
          <w:color w:val="231F20"/>
        </w:rPr>
      </w:pPr>
      <w:r>
        <w:rPr>
          <w:color w:val="231F20"/>
        </w:rPr>
        <w:t>The</w:t>
      </w:r>
      <w:r>
        <w:rPr>
          <w:color w:val="231F20"/>
          <w:spacing w:val="1"/>
        </w:rPr>
        <w:t xml:space="preserve"> </w:t>
      </w:r>
      <w:r>
        <w:rPr>
          <w:color w:val="231F20"/>
        </w:rPr>
        <w:t>Company</w:t>
      </w:r>
    </w:p>
    <w:p w14:paraId="4AE6614E" w14:textId="77777777" w:rsidR="00783288" w:rsidRDefault="00783288">
      <w:pPr>
        <w:pStyle w:val="BodyText"/>
        <w:kinsoku w:val="0"/>
        <w:overflowPunct w:val="0"/>
        <w:spacing w:before="3"/>
        <w:rPr>
          <w:b/>
          <w:bCs/>
          <w:sz w:val="21"/>
          <w:szCs w:val="21"/>
        </w:rPr>
      </w:pPr>
    </w:p>
    <w:p w14:paraId="032FDB2F" w14:textId="77777777" w:rsidR="00783288" w:rsidRDefault="00E31420" w:rsidP="00512495">
      <w:pPr>
        <w:pStyle w:val="ListParagraph"/>
        <w:numPr>
          <w:ilvl w:val="1"/>
          <w:numId w:val="13"/>
        </w:numPr>
        <w:tabs>
          <w:tab w:val="left" w:pos="840"/>
        </w:tabs>
        <w:kinsoku w:val="0"/>
        <w:overflowPunct w:val="0"/>
        <w:ind w:right="1036"/>
        <w:jc w:val="both"/>
        <w:rPr>
          <w:color w:val="231F20"/>
          <w:sz w:val="18"/>
          <w:szCs w:val="18"/>
        </w:rPr>
      </w:pPr>
      <w:r>
        <w:rPr>
          <w:color w:val="231F20"/>
          <w:sz w:val="18"/>
          <w:szCs w:val="18"/>
        </w:rPr>
        <w:t>The Company was incorporated and registered in England and Wales on 4 January 2017 with registered number 10545738 as a private limited company under the Companies Act with the name Chesterfield Resources</w:t>
      </w:r>
      <w:r>
        <w:rPr>
          <w:color w:val="231F20"/>
          <w:spacing w:val="-2"/>
          <w:sz w:val="18"/>
          <w:szCs w:val="18"/>
        </w:rPr>
        <w:t xml:space="preserve"> </w:t>
      </w:r>
      <w:r>
        <w:rPr>
          <w:color w:val="231F20"/>
          <w:sz w:val="18"/>
          <w:szCs w:val="18"/>
        </w:rPr>
        <w:t>Limited.</w:t>
      </w:r>
    </w:p>
    <w:p w14:paraId="5DF8587D" w14:textId="77777777" w:rsidR="00783288" w:rsidRDefault="00783288">
      <w:pPr>
        <w:pStyle w:val="BodyText"/>
        <w:kinsoku w:val="0"/>
        <w:overflowPunct w:val="0"/>
        <w:spacing w:before="11"/>
        <w:rPr>
          <w:sz w:val="20"/>
          <w:szCs w:val="20"/>
        </w:rPr>
      </w:pPr>
    </w:p>
    <w:p w14:paraId="1B679905" w14:textId="77777777" w:rsidR="00783288" w:rsidRDefault="00E31420" w:rsidP="00512495">
      <w:pPr>
        <w:pStyle w:val="ListParagraph"/>
        <w:numPr>
          <w:ilvl w:val="1"/>
          <w:numId w:val="13"/>
        </w:numPr>
        <w:tabs>
          <w:tab w:val="left" w:pos="840"/>
        </w:tabs>
        <w:kinsoku w:val="0"/>
        <w:overflowPunct w:val="0"/>
        <w:ind w:right="1038"/>
        <w:jc w:val="both"/>
        <w:rPr>
          <w:color w:val="231F20"/>
          <w:sz w:val="18"/>
          <w:szCs w:val="18"/>
        </w:rPr>
      </w:pPr>
      <w:r>
        <w:rPr>
          <w:color w:val="231F20"/>
          <w:sz w:val="18"/>
          <w:szCs w:val="18"/>
        </w:rPr>
        <w:t>On 8 May 2017, the Company was re-registered as a public limited company under the Companies Act and accordingly changed its name to Chesterfield Resources</w:t>
      </w:r>
      <w:r>
        <w:rPr>
          <w:color w:val="231F20"/>
          <w:spacing w:val="-5"/>
          <w:sz w:val="18"/>
          <w:szCs w:val="18"/>
        </w:rPr>
        <w:t xml:space="preserve"> </w:t>
      </w:r>
      <w:r>
        <w:rPr>
          <w:color w:val="231F20"/>
          <w:sz w:val="18"/>
          <w:szCs w:val="18"/>
        </w:rPr>
        <w:t>plc.</w:t>
      </w:r>
    </w:p>
    <w:p w14:paraId="7066049E" w14:textId="77777777" w:rsidR="00783288" w:rsidRDefault="00783288">
      <w:pPr>
        <w:pStyle w:val="BodyText"/>
        <w:kinsoku w:val="0"/>
        <w:overflowPunct w:val="0"/>
        <w:spacing w:before="8"/>
        <w:rPr>
          <w:sz w:val="20"/>
          <w:szCs w:val="20"/>
        </w:rPr>
      </w:pPr>
    </w:p>
    <w:p w14:paraId="14CC1D42" w14:textId="77777777" w:rsidR="00783288" w:rsidRDefault="00E31420" w:rsidP="00512495">
      <w:pPr>
        <w:pStyle w:val="ListParagraph"/>
        <w:numPr>
          <w:ilvl w:val="1"/>
          <w:numId w:val="13"/>
        </w:numPr>
        <w:tabs>
          <w:tab w:val="left" w:pos="840"/>
        </w:tabs>
        <w:kinsoku w:val="0"/>
        <w:overflowPunct w:val="0"/>
        <w:spacing w:before="1"/>
        <w:ind w:left="839"/>
        <w:rPr>
          <w:color w:val="231F20"/>
          <w:sz w:val="18"/>
          <w:szCs w:val="18"/>
        </w:rPr>
      </w:pPr>
      <w:r>
        <w:rPr>
          <w:color w:val="231F20"/>
          <w:sz w:val="18"/>
          <w:szCs w:val="18"/>
        </w:rPr>
        <w:t>The legal and commercial name of the issuer is Chesterfield Resources</w:t>
      </w:r>
      <w:r>
        <w:rPr>
          <w:color w:val="231F20"/>
          <w:spacing w:val="-11"/>
          <w:sz w:val="18"/>
          <w:szCs w:val="18"/>
        </w:rPr>
        <w:t xml:space="preserve"> </w:t>
      </w:r>
      <w:r>
        <w:rPr>
          <w:color w:val="231F20"/>
          <w:sz w:val="18"/>
          <w:szCs w:val="18"/>
        </w:rPr>
        <w:t>plc.</w:t>
      </w:r>
    </w:p>
    <w:p w14:paraId="758B2A31" w14:textId="77777777" w:rsidR="00783288" w:rsidRDefault="00783288">
      <w:pPr>
        <w:pStyle w:val="BodyText"/>
        <w:kinsoku w:val="0"/>
        <w:overflowPunct w:val="0"/>
        <w:rPr>
          <w:sz w:val="21"/>
          <w:szCs w:val="21"/>
        </w:rPr>
      </w:pPr>
    </w:p>
    <w:p w14:paraId="76DE82FF" w14:textId="77777777"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The</w:t>
      </w:r>
      <w:r>
        <w:rPr>
          <w:color w:val="231F20"/>
          <w:spacing w:val="-7"/>
          <w:sz w:val="18"/>
          <w:szCs w:val="18"/>
        </w:rPr>
        <w:t xml:space="preserve"> </w:t>
      </w:r>
      <w:r>
        <w:rPr>
          <w:color w:val="231F20"/>
          <w:sz w:val="18"/>
          <w:szCs w:val="18"/>
        </w:rPr>
        <w:t>principal</w:t>
      </w:r>
      <w:r>
        <w:rPr>
          <w:color w:val="231F20"/>
          <w:spacing w:val="-6"/>
          <w:sz w:val="18"/>
          <w:szCs w:val="18"/>
        </w:rPr>
        <w:t xml:space="preserve"> </w:t>
      </w:r>
      <w:r>
        <w:rPr>
          <w:color w:val="231F20"/>
          <w:sz w:val="18"/>
          <w:szCs w:val="18"/>
        </w:rPr>
        <w:t>legislation</w:t>
      </w:r>
      <w:r>
        <w:rPr>
          <w:color w:val="231F20"/>
          <w:spacing w:val="-6"/>
          <w:sz w:val="18"/>
          <w:szCs w:val="18"/>
        </w:rPr>
        <w:t xml:space="preserve"> </w:t>
      </w:r>
      <w:r>
        <w:rPr>
          <w:color w:val="231F20"/>
          <w:sz w:val="18"/>
          <w:szCs w:val="18"/>
        </w:rPr>
        <w:t>under</w:t>
      </w:r>
      <w:r>
        <w:rPr>
          <w:color w:val="231F20"/>
          <w:spacing w:val="-9"/>
          <w:sz w:val="18"/>
          <w:szCs w:val="18"/>
        </w:rPr>
        <w:t xml:space="preserve"> </w:t>
      </w:r>
      <w:r>
        <w:rPr>
          <w:color w:val="231F20"/>
          <w:sz w:val="18"/>
          <w:szCs w:val="18"/>
        </w:rPr>
        <w:t>which</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Pr>
          <w:color w:val="231F20"/>
          <w:spacing w:val="-8"/>
          <w:sz w:val="18"/>
          <w:szCs w:val="18"/>
        </w:rPr>
        <w:t xml:space="preserve"> </w:t>
      </w:r>
      <w:r>
        <w:rPr>
          <w:color w:val="231F20"/>
          <w:sz w:val="18"/>
          <w:szCs w:val="18"/>
        </w:rPr>
        <w:t>operates</w:t>
      </w:r>
      <w:r>
        <w:rPr>
          <w:color w:val="231F20"/>
          <w:spacing w:val="-6"/>
          <w:sz w:val="18"/>
          <w:szCs w:val="18"/>
        </w:rPr>
        <w:t xml:space="preserve"> </w:t>
      </w:r>
      <w:r>
        <w:rPr>
          <w:color w:val="231F20"/>
          <w:sz w:val="18"/>
          <w:szCs w:val="18"/>
        </w:rPr>
        <w:t>and</w:t>
      </w:r>
      <w:r>
        <w:rPr>
          <w:color w:val="231F20"/>
          <w:spacing w:val="-6"/>
          <w:sz w:val="18"/>
          <w:szCs w:val="18"/>
        </w:rPr>
        <w:t xml:space="preserve"> </w:t>
      </w:r>
      <w:r>
        <w:rPr>
          <w:color w:val="231F20"/>
          <w:sz w:val="18"/>
          <w:szCs w:val="18"/>
        </w:rPr>
        <w:t>under</w:t>
      </w:r>
      <w:r>
        <w:rPr>
          <w:color w:val="231F20"/>
          <w:spacing w:val="-7"/>
          <w:sz w:val="18"/>
          <w:szCs w:val="18"/>
        </w:rPr>
        <w:t xml:space="preserve"> </w:t>
      </w:r>
      <w:r>
        <w:rPr>
          <w:color w:val="231F20"/>
          <w:sz w:val="18"/>
          <w:szCs w:val="18"/>
        </w:rPr>
        <w:t>which</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Ordinary</w:t>
      </w:r>
      <w:r>
        <w:rPr>
          <w:color w:val="231F20"/>
          <w:spacing w:val="-8"/>
          <w:sz w:val="18"/>
          <w:szCs w:val="18"/>
        </w:rPr>
        <w:t xml:space="preserve"> </w:t>
      </w:r>
      <w:r>
        <w:rPr>
          <w:color w:val="231F20"/>
          <w:sz w:val="18"/>
          <w:szCs w:val="18"/>
        </w:rPr>
        <w:t>Shares</w:t>
      </w:r>
      <w:r>
        <w:rPr>
          <w:color w:val="231F20"/>
          <w:spacing w:val="-6"/>
          <w:sz w:val="18"/>
          <w:szCs w:val="18"/>
        </w:rPr>
        <w:t xml:space="preserve"> </w:t>
      </w:r>
      <w:r>
        <w:rPr>
          <w:color w:val="231F20"/>
          <w:sz w:val="18"/>
          <w:szCs w:val="18"/>
        </w:rPr>
        <w:t>have</w:t>
      </w:r>
      <w:r>
        <w:rPr>
          <w:color w:val="231F20"/>
          <w:spacing w:val="-6"/>
          <w:sz w:val="18"/>
          <w:szCs w:val="18"/>
        </w:rPr>
        <w:t xml:space="preserve"> </w:t>
      </w:r>
      <w:r>
        <w:rPr>
          <w:color w:val="231F20"/>
          <w:sz w:val="18"/>
          <w:szCs w:val="18"/>
        </w:rPr>
        <w:t>been created is the Companies</w:t>
      </w:r>
      <w:r>
        <w:rPr>
          <w:color w:val="231F20"/>
          <w:spacing w:val="1"/>
          <w:sz w:val="18"/>
          <w:szCs w:val="18"/>
        </w:rPr>
        <w:t xml:space="preserve"> </w:t>
      </w:r>
      <w:r>
        <w:rPr>
          <w:color w:val="231F20"/>
          <w:sz w:val="18"/>
          <w:szCs w:val="18"/>
        </w:rPr>
        <w:t>Act.</w:t>
      </w:r>
    </w:p>
    <w:p w14:paraId="515471BD" w14:textId="77777777" w:rsidR="00783288" w:rsidRDefault="00783288">
      <w:pPr>
        <w:pStyle w:val="BodyText"/>
        <w:kinsoku w:val="0"/>
        <w:overflowPunct w:val="0"/>
        <w:spacing w:before="8"/>
        <w:rPr>
          <w:sz w:val="20"/>
          <w:szCs w:val="20"/>
        </w:rPr>
      </w:pPr>
    </w:p>
    <w:p w14:paraId="2F9C384D" w14:textId="77777777" w:rsidR="00783288" w:rsidRDefault="00E31420" w:rsidP="00512495">
      <w:pPr>
        <w:pStyle w:val="ListParagraph"/>
        <w:numPr>
          <w:ilvl w:val="1"/>
          <w:numId w:val="13"/>
        </w:numPr>
        <w:tabs>
          <w:tab w:val="left" w:pos="840"/>
        </w:tabs>
        <w:kinsoku w:val="0"/>
        <w:overflowPunct w:val="0"/>
        <w:spacing w:before="1"/>
        <w:ind w:left="839"/>
        <w:rPr>
          <w:color w:val="231F20"/>
          <w:sz w:val="18"/>
          <w:szCs w:val="18"/>
        </w:rPr>
      </w:pPr>
      <w:r>
        <w:rPr>
          <w:color w:val="231F20"/>
          <w:sz w:val="18"/>
          <w:szCs w:val="18"/>
        </w:rPr>
        <w:t>The Company has, since the date of its incorporation, operated in conformity with its</w:t>
      </w:r>
      <w:r>
        <w:rPr>
          <w:color w:val="231F20"/>
          <w:spacing w:val="-20"/>
          <w:sz w:val="18"/>
          <w:szCs w:val="18"/>
        </w:rPr>
        <w:t xml:space="preserve"> </w:t>
      </w:r>
      <w:r>
        <w:rPr>
          <w:color w:val="231F20"/>
          <w:sz w:val="18"/>
          <w:szCs w:val="18"/>
        </w:rPr>
        <w:t>constitution.</w:t>
      </w:r>
    </w:p>
    <w:p w14:paraId="1728B73E" w14:textId="77777777" w:rsidR="00783288" w:rsidRDefault="00783288">
      <w:pPr>
        <w:pStyle w:val="BodyText"/>
        <w:kinsoku w:val="0"/>
        <w:overflowPunct w:val="0"/>
        <w:spacing w:before="9"/>
        <w:rPr>
          <w:sz w:val="20"/>
          <w:szCs w:val="20"/>
        </w:rPr>
      </w:pPr>
    </w:p>
    <w:p w14:paraId="100A9420" w14:textId="1353B49B" w:rsidR="00783288" w:rsidRDefault="00E31420"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The Company is domiciled in the United Kingdom</w:t>
      </w:r>
      <w:r w:rsidR="00005C4E">
        <w:rPr>
          <w:color w:val="231F20"/>
          <w:sz w:val="18"/>
          <w:szCs w:val="18"/>
        </w:rPr>
        <w:t xml:space="preserve">. Its </w:t>
      </w:r>
      <w:r>
        <w:rPr>
          <w:color w:val="231F20"/>
          <w:sz w:val="18"/>
          <w:szCs w:val="18"/>
        </w:rPr>
        <w:t>wholly owned subsidiary CRCL is registered and has its principal operations in</w:t>
      </w:r>
      <w:r>
        <w:rPr>
          <w:color w:val="231F20"/>
          <w:spacing w:val="-3"/>
          <w:sz w:val="18"/>
          <w:szCs w:val="18"/>
        </w:rPr>
        <w:t xml:space="preserve"> </w:t>
      </w:r>
      <w:r>
        <w:rPr>
          <w:color w:val="231F20"/>
          <w:sz w:val="18"/>
          <w:szCs w:val="18"/>
        </w:rPr>
        <w:t>Cyprus.</w:t>
      </w:r>
      <w:r w:rsidR="00005C4E">
        <w:rPr>
          <w:color w:val="231F20"/>
          <w:sz w:val="18"/>
          <w:szCs w:val="18"/>
        </w:rPr>
        <w:t xml:space="preserve"> NLCO</w:t>
      </w:r>
      <w:r w:rsidR="00F42361">
        <w:rPr>
          <w:color w:val="231F20"/>
          <w:sz w:val="18"/>
          <w:szCs w:val="18"/>
        </w:rPr>
        <w:t>, which shall be a further wholly owned subsidiary of the Company with effect from completion of the Labrador Acquisition,</w:t>
      </w:r>
      <w:r w:rsidR="00005C4E">
        <w:rPr>
          <w:color w:val="231F20"/>
          <w:sz w:val="18"/>
          <w:szCs w:val="18"/>
        </w:rPr>
        <w:t xml:space="preserve"> is registered and has its principal operations in Canada. </w:t>
      </w:r>
    </w:p>
    <w:p w14:paraId="00E157DC" w14:textId="77777777" w:rsidR="00783288" w:rsidRDefault="00783288">
      <w:pPr>
        <w:pStyle w:val="BodyText"/>
        <w:kinsoku w:val="0"/>
        <w:overflowPunct w:val="0"/>
        <w:spacing w:before="11"/>
        <w:rPr>
          <w:sz w:val="20"/>
          <w:szCs w:val="20"/>
        </w:rPr>
      </w:pPr>
    </w:p>
    <w:p w14:paraId="5FF44A4B" w14:textId="77777777" w:rsidR="00783288" w:rsidRDefault="00E31420" w:rsidP="00512495">
      <w:pPr>
        <w:pStyle w:val="ListParagraph"/>
        <w:numPr>
          <w:ilvl w:val="1"/>
          <w:numId w:val="13"/>
        </w:numPr>
        <w:tabs>
          <w:tab w:val="left" w:pos="840"/>
        </w:tabs>
        <w:kinsoku w:val="0"/>
        <w:overflowPunct w:val="0"/>
        <w:ind w:left="839" w:right="1036"/>
        <w:jc w:val="both"/>
        <w:rPr>
          <w:color w:val="231F20"/>
          <w:sz w:val="18"/>
          <w:szCs w:val="18"/>
        </w:rPr>
      </w:pPr>
      <w:r>
        <w:rPr>
          <w:color w:val="231F20"/>
          <w:sz w:val="18"/>
          <w:szCs w:val="18"/>
        </w:rPr>
        <w:t>The registered office address of the Company is at 7-9 Swallow Street, London, England, W1B 4DE, and its telephone number is +44(0)203 004</w:t>
      </w:r>
      <w:r>
        <w:rPr>
          <w:color w:val="231F20"/>
          <w:spacing w:val="-7"/>
          <w:sz w:val="18"/>
          <w:szCs w:val="18"/>
        </w:rPr>
        <w:t xml:space="preserve"> </w:t>
      </w:r>
      <w:r>
        <w:rPr>
          <w:color w:val="231F20"/>
          <w:sz w:val="18"/>
          <w:szCs w:val="18"/>
        </w:rPr>
        <w:t>0693.</w:t>
      </w:r>
    </w:p>
    <w:p w14:paraId="39D30201" w14:textId="77777777" w:rsidR="00783288" w:rsidRDefault="00783288">
      <w:pPr>
        <w:pStyle w:val="BodyText"/>
        <w:kinsoku w:val="0"/>
        <w:overflowPunct w:val="0"/>
        <w:spacing w:before="9"/>
        <w:rPr>
          <w:sz w:val="20"/>
          <w:szCs w:val="20"/>
        </w:rPr>
      </w:pPr>
    </w:p>
    <w:p w14:paraId="6F00AEBC" w14:textId="77777777" w:rsidR="00783288" w:rsidRDefault="00E31420" w:rsidP="00512495">
      <w:pPr>
        <w:pStyle w:val="ListParagraph"/>
        <w:numPr>
          <w:ilvl w:val="1"/>
          <w:numId w:val="13"/>
        </w:numPr>
        <w:tabs>
          <w:tab w:val="left" w:pos="840"/>
        </w:tabs>
        <w:kinsoku w:val="0"/>
        <w:overflowPunct w:val="0"/>
        <w:ind w:left="839" w:right="1035"/>
        <w:jc w:val="both"/>
        <w:rPr>
          <w:color w:val="231F20"/>
          <w:sz w:val="18"/>
          <w:szCs w:val="18"/>
        </w:rPr>
      </w:pPr>
      <w:r>
        <w:rPr>
          <w:color w:val="231F20"/>
          <w:sz w:val="18"/>
          <w:szCs w:val="18"/>
        </w:rPr>
        <w:t>The</w:t>
      </w:r>
      <w:r>
        <w:rPr>
          <w:color w:val="231F20"/>
          <w:spacing w:val="-12"/>
          <w:sz w:val="18"/>
          <w:szCs w:val="18"/>
        </w:rPr>
        <w:t xml:space="preserve"> </w:t>
      </w:r>
      <w:r>
        <w:rPr>
          <w:color w:val="231F20"/>
          <w:sz w:val="18"/>
          <w:szCs w:val="18"/>
        </w:rPr>
        <w:t>Company</w:t>
      </w:r>
      <w:r>
        <w:rPr>
          <w:color w:val="231F20"/>
          <w:spacing w:val="-13"/>
          <w:sz w:val="18"/>
          <w:szCs w:val="18"/>
        </w:rPr>
        <w:t xml:space="preserve"> </w:t>
      </w:r>
      <w:r>
        <w:rPr>
          <w:color w:val="231F20"/>
          <w:sz w:val="18"/>
          <w:szCs w:val="18"/>
        </w:rPr>
        <w:t>was</w:t>
      </w:r>
      <w:r>
        <w:rPr>
          <w:color w:val="231F20"/>
          <w:spacing w:val="-10"/>
          <w:sz w:val="18"/>
          <w:szCs w:val="18"/>
        </w:rPr>
        <w:t xml:space="preserve"> </w:t>
      </w:r>
      <w:r>
        <w:rPr>
          <w:color w:val="231F20"/>
          <w:sz w:val="18"/>
          <w:szCs w:val="18"/>
        </w:rPr>
        <w:t>founded</w:t>
      </w:r>
      <w:r>
        <w:rPr>
          <w:color w:val="231F20"/>
          <w:spacing w:val="-12"/>
          <w:sz w:val="18"/>
          <w:szCs w:val="18"/>
        </w:rPr>
        <w:t xml:space="preserve"> </w:t>
      </w:r>
      <w:r>
        <w:rPr>
          <w:color w:val="231F20"/>
          <w:sz w:val="18"/>
          <w:szCs w:val="18"/>
        </w:rPr>
        <w:t>by</w:t>
      </w:r>
      <w:r>
        <w:rPr>
          <w:color w:val="231F20"/>
          <w:spacing w:val="-15"/>
          <w:sz w:val="18"/>
          <w:szCs w:val="18"/>
        </w:rPr>
        <w:t xml:space="preserve"> </w:t>
      </w:r>
      <w:r>
        <w:rPr>
          <w:color w:val="231F20"/>
          <w:sz w:val="18"/>
          <w:szCs w:val="18"/>
        </w:rPr>
        <w:t>Derek</w:t>
      </w:r>
      <w:r>
        <w:rPr>
          <w:color w:val="231F20"/>
          <w:spacing w:val="-10"/>
          <w:sz w:val="18"/>
          <w:szCs w:val="18"/>
        </w:rPr>
        <w:t xml:space="preserve"> </w:t>
      </w:r>
      <w:r>
        <w:rPr>
          <w:color w:val="231F20"/>
          <w:sz w:val="18"/>
          <w:szCs w:val="18"/>
        </w:rPr>
        <w:t>Crowhurst,</w:t>
      </w:r>
      <w:r>
        <w:rPr>
          <w:color w:val="231F20"/>
          <w:spacing w:val="-14"/>
          <w:sz w:val="18"/>
          <w:szCs w:val="18"/>
        </w:rPr>
        <w:t xml:space="preserve"> </w:t>
      </w:r>
      <w:r>
        <w:rPr>
          <w:color w:val="231F20"/>
          <w:sz w:val="18"/>
          <w:szCs w:val="18"/>
        </w:rPr>
        <w:t>Peter</w:t>
      </w:r>
      <w:r>
        <w:rPr>
          <w:color w:val="231F20"/>
          <w:spacing w:val="-12"/>
          <w:sz w:val="18"/>
          <w:szCs w:val="18"/>
        </w:rPr>
        <w:t xml:space="preserve"> </w:t>
      </w:r>
      <w:r>
        <w:rPr>
          <w:color w:val="231F20"/>
          <w:sz w:val="18"/>
          <w:szCs w:val="18"/>
        </w:rPr>
        <w:t>Damouni</w:t>
      </w:r>
      <w:r>
        <w:rPr>
          <w:color w:val="231F20"/>
          <w:spacing w:val="-12"/>
          <w:sz w:val="18"/>
          <w:szCs w:val="18"/>
        </w:rPr>
        <w:t xml:space="preserve"> </w:t>
      </w:r>
      <w:r>
        <w:rPr>
          <w:color w:val="231F20"/>
          <w:sz w:val="18"/>
          <w:szCs w:val="18"/>
        </w:rPr>
        <w:t>and</w:t>
      </w:r>
      <w:r>
        <w:rPr>
          <w:color w:val="231F20"/>
          <w:spacing w:val="-11"/>
          <w:sz w:val="18"/>
          <w:szCs w:val="18"/>
        </w:rPr>
        <w:t xml:space="preserve"> </w:t>
      </w:r>
      <w:r>
        <w:rPr>
          <w:color w:val="231F20"/>
          <w:sz w:val="18"/>
          <w:szCs w:val="18"/>
        </w:rPr>
        <w:t>David</w:t>
      </w:r>
      <w:r>
        <w:rPr>
          <w:color w:val="231F20"/>
          <w:spacing w:val="-11"/>
          <w:sz w:val="18"/>
          <w:szCs w:val="18"/>
        </w:rPr>
        <w:t xml:space="preserve"> </w:t>
      </w:r>
      <w:r>
        <w:rPr>
          <w:color w:val="231F20"/>
          <w:sz w:val="18"/>
          <w:szCs w:val="18"/>
        </w:rPr>
        <w:t>Cliff.</w:t>
      </w:r>
      <w:r>
        <w:rPr>
          <w:color w:val="231F20"/>
          <w:spacing w:val="-14"/>
          <w:sz w:val="18"/>
          <w:szCs w:val="18"/>
        </w:rPr>
        <w:t xml:space="preserve"> </w:t>
      </w:r>
      <w:r>
        <w:rPr>
          <w:color w:val="231F20"/>
          <w:sz w:val="18"/>
          <w:szCs w:val="18"/>
        </w:rPr>
        <w:t>Derek</w:t>
      </w:r>
      <w:r>
        <w:rPr>
          <w:color w:val="231F20"/>
          <w:spacing w:val="-14"/>
          <w:sz w:val="18"/>
          <w:szCs w:val="18"/>
        </w:rPr>
        <w:t xml:space="preserve"> </w:t>
      </w:r>
      <w:r>
        <w:rPr>
          <w:color w:val="231F20"/>
          <w:sz w:val="18"/>
          <w:szCs w:val="18"/>
        </w:rPr>
        <w:t>Crowhurst</w:t>
      </w:r>
      <w:r>
        <w:rPr>
          <w:color w:val="231F20"/>
          <w:spacing w:val="-11"/>
          <w:sz w:val="18"/>
          <w:szCs w:val="18"/>
        </w:rPr>
        <w:t xml:space="preserve"> </w:t>
      </w:r>
      <w:r>
        <w:rPr>
          <w:color w:val="231F20"/>
          <w:sz w:val="18"/>
          <w:szCs w:val="18"/>
        </w:rPr>
        <w:t>is</w:t>
      </w:r>
      <w:r>
        <w:rPr>
          <w:color w:val="231F20"/>
          <w:spacing w:val="-10"/>
          <w:sz w:val="18"/>
          <w:szCs w:val="18"/>
        </w:rPr>
        <w:t xml:space="preserve"> </w:t>
      </w:r>
      <w:r>
        <w:rPr>
          <w:color w:val="231F20"/>
          <w:sz w:val="18"/>
          <w:szCs w:val="18"/>
        </w:rPr>
        <w:t>no</w:t>
      </w:r>
      <w:r>
        <w:rPr>
          <w:color w:val="231F20"/>
          <w:spacing w:val="-12"/>
          <w:sz w:val="18"/>
          <w:szCs w:val="18"/>
        </w:rPr>
        <w:t xml:space="preserve"> </w:t>
      </w:r>
      <w:r>
        <w:rPr>
          <w:color w:val="231F20"/>
          <w:sz w:val="18"/>
          <w:szCs w:val="18"/>
        </w:rPr>
        <w:t>longer a director of the</w:t>
      </w:r>
      <w:r>
        <w:rPr>
          <w:color w:val="231F20"/>
          <w:spacing w:val="-1"/>
          <w:sz w:val="18"/>
          <w:szCs w:val="18"/>
        </w:rPr>
        <w:t xml:space="preserve"> </w:t>
      </w:r>
      <w:r>
        <w:rPr>
          <w:color w:val="231F20"/>
          <w:sz w:val="18"/>
          <w:szCs w:val="18"/>
        </w:rPr>
        <w:t>Company.</w:t>
      </w:r>
    </w:p>
    <w:p w14:paraId="083C625A" w14:textId="77777777" w:rsidR="00783288" w:rsidRDefault="00783288">
      <w:pPr>
        <w:pStyle w:val="BodyText"/>
        <w:kinsoku w:val="0"/>
        <w:overflowPunct w:val="0"/>
        <w:spacing w:before="11"/>
        <w:rPr>
          <w:sz w:val="20"/>
          <w:szCs w:val="20"/>
        </w:rPr>
      </w:pPr>
    </w:p>
    <w:p w14:paraId="0F95DA82" w14:textId="77777777"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The</w:t>
      </w:r>
      <w:r>
        <w:rPr>
          <w:color w:val="231F20"/>
          <w:spacing w:val="-13"/>
          <w:sz w:val="18"/>
          <w:szCs w:val="18"/>
        </w:rPr>
        <w:t xml:space="preserve"> </w:t>
      </w:r>
      <w:r>
        <w:rPr>
          <w:color w:val="231F20"/>
          <w:sz w:val="18"/>
          <w:szCs w:val="18"/>
        </w:rPr>
        <w:t>registrars</w:t>
      </w:r>
      <w:r>
        <w:rPr>
          <w:color w:val="231F20"/>
          <w:spacing w:val="-11"/>
          <w:sz w:val="18"/>
          <w:szCs w:val="18"/>
        </w:rPr>
        <w:t xml:space="preserve"> </w:t>
      </w:r>
      <w:r>
        <w:rPr>
          <w:color w:val="231F20"/>
          <w:sz w:val="18"/>
          <w:szCs w:val="18"/>
        </w:rPr>
        <w:t>of</w:t>
      </w:r>
      <w:r>
        <w:rPr>
          <w:color w:val="231F20"/>
          <w:spacing w:val="-14"/>
          <w:sz w:val="18"/>
          <w:szCs w:val="18"/>
        </w:rPr>
        <w:t xml:space="preserve"> </w:t>
      </w:r>
      <w:r>
        <w:rPr>
          <w:color w:val="231F20"/>
          <w:sz w:val="18"/>
          <w:szCs w:val="18"/>
        </w:rPr>
        <w:t>the</w:t>
      </w:r>
      <w:r>
        <w:rPr>
          <w:color w:val="231F20"/>
          <w:spacing w:val="-12"/>
          <w:sz w:val="18"/>
          <w:szCs w:val="18"/>
        </w:rPr>
        <w:t xml:space="preserve"> </w:t>
      </w:r>
      <w:r>
        <w:rPr>
          <w:color w:val="231F20"/>
          <w:sz w:val="18"/>
          <w:szCs w:val="18"/>
        </w:rPr>
        <w:t>Company</w:t>
      </w:r>
      <w:r>
        <w:rPr>
          <w:color w:val="231F20"/>
          <w:spacing w:val="-16"/>
          <w:sz w:val="18"/>
          <w:szCs w:val="18"/>
        </w:rPr>
        <w:t xml:space="preserve"> </w:t>
      </w:r>
      <w:r>
        <w:rPr>
          <w:color w:val="231F20"/>
          <w:sz w:val="18"/>
          <w:szCs w:val="18"/>
        </w:rPr>
        <w:t>are</w:t>
      </w:r>
      <w:r>
        <w:rPr>
          <w:color w:val="231F20"/>
          <w:spacing w:val="-12"/>
          <w:sz w:val="18"/>
          <w:szCs w:val="18"/>
        </w:rPr>
        <w:t xml:space="preserve"> </w:t>
      </w:r>
      <w:r>
        <w:rPr>
          <w:color w:val="231F20"/>
          <w:sz w:val="18"/>
          <w:szCs w:val="18"/>
        </w:rPr>
        <w:t>Neville</w:t>
      </w:r>
      <w:r>
        <w:rPr>
          <w:color w:val="231F20"/>
          <w:spacing w:val="-12"/>
          <w:sz w:val="18"/>
          <w:szCs w:val="18"/>
        </w:rPr>
        <w:t xml:space="preserve"> </w:t>
      </w:r>
      <w:r>
        <w:rPr>
          <w:color w:val="231F20"/>
          <w:sz w:val="18"/>
          <w:szCs w:val="18"/>
        </w:rPr>
        <w:t>Registrars</w:t>
      </w:r>
      <w:r>
        <w:rPr>
          <w:color w:val="231F20"/>
          <w:spacing w:val="-11"/>
          <w:sz w:val="18"/>
          <w:szCs w:val="18"/>
        </w:rPr>
        <w:t xml:space="preserve"> </w:t>
      </w:r>
      <w:r>
        <w:rPr>
          <w:color w:val="231F20"/>
          <w:sz w:val="18"/>
          <w:szCs w:val="18"/>
        </w:rPr>
        <w:t>Limited.</w:t>
      </w:r>
      <w:r>
        <w:rPr>
          <w:color w:val="231F20"/>
          <w:spacing w:val="-17"/>
          <w:sz w:val="18"/>
          <w:szCs w:val="18"/>
        </w:rPr>
        <w:t xml:space="preserve"> </w:t>
      </w:r>
      <w:r>
        <w:rPr>
          <w:color w:val="231F20"/>
          <w:sz w:val="18"/>
          <w:szCs w:val="18"/>
        </w:rPr>
        <w:t>They</w:t>
      </w:r>
      <w:r>
        <w:rPr>
          <w:color w:val="231F20"/>
          <w:spacing w:val="-14"/>
          <w:sz w:val="18"/>
          <w:szCs w:val="18"/>
        </w:rPr>
        <w:t xml:space="preserve"> </w:t>
      </w:r>
      <w:r>
        <w:rPr>
          <w:color w:val="231F20"/>
          <w:sz w:val="18"/>
          <w:szCs w:val="18"/>
        </w:rPr>
        <w:t>are</w:t>
      </w:r>
      <w:r>
        <w:rPr>
          <w:color w:val="231F20"/>
          <w:spacing w:val="-12"/>
          <w:sz w:val="18"/>
          <w:szCs w:val="18"/>
        </w:rPr>
        <w:t xml:space="preserve"> </w:t>
      </w:r>
      <w:r>
        <w:rPr>
          <w:color w:val="231F20"/>
          <w:sz w:val="18"/>
          <w:szCs w:val="18"/>
        </w:rPr>
        <w:t>responsible</w:t>
      </w:r>
      <w:r>
        <w:rPr>
          <w:color w:val="231F20"/>
          <w:spacing w:val="-14"/>
          <w:sz w:val="18"/>
          <w:szCs w:val="18"/>
        </w:rPr>
        <w:t xml:space="preserve"> </w:t>
      </w:r>
      <w:r>
        <w:rPr>
          <w:color w:val="231F20"/>
          <w:sz w:val="18"/>
          <w:szCs w:val="18"/>
        </w:rPr>
        <w:t>for</w:t>
      </w:r>
      <w:r>
        <w:rPr>
          <w:color w:val="231F20"/>
          <w:spacing w:val="-14"/>
          <w:sz w:val="18"/>
          <w:szCs w:val="18"/>
        </w:rPr>
        <w:t xml:space="preserve"> </w:t>
      </w:r>
      <w:r>
        <w:rPr>
          <w:color w:val="231F20"/>
          <w:sz w:val="18"/>
          <w:szCs w:val="18"/>
        </w:rPr>
        <w:t>maintaining</w:t>
      </w:r>
      <w:r>
        <w:rPr>
          <w:color w:val="231F20"/>
          <w:spacing w:val="-12"/>
          <w:sz w:val="18"/>
          <w:szCs w:val="18"/>
        </w:rPr>
        <w:t xml:space="preserve"> </w:t>
      </w:r>
      <w:r>
        <w:rPr>
          <w:color w:val="231F20"/>
          <w:sz w:val="18"/>
          <w:szCs w:val="18"/>
        </w:rPr>
        <w:t>the</w:t>
      </w:r>
      <w:r>
        <w:rPr>
          <w:color w:val="231F20"/>
          <w:spacing w:val="-12"/>
          <w:sz w:val="18"/>
          <w:szCs w:val="18"/>
        </w:rPr>
        <w:t xml:space="preserve"> </w:t>
      </w:r>
      <w:r>
        <w:rPr>
          <w:color w:val="231F20"/>
          <w:sz w:val="18"/>
          <w:szCs w:val="18"/>
        </w:rPr>
        <w:t>register of members of the</w:t>
      </w:r>
      <w:r>
        <w:rPr>
          <w:color w:val="231F20"/>
          <w:spacing w:val="1"/>
          <w:sz w:val="18"/>
          <w:szCs w:val="18"/>
        </w:rPr>
        <w:t xml:space="preserve"> </w:t>
      </w:r>
      <w:r>
        <w:rPr>
          <w:color w:val="231F20"/>
          <w:sz w:val="18"/>
          <w:szCs w:val="18"/>
        </w:rPr>
        <w:t>Company.</w:t>
      </w:r>
    </w:p>
    <w:p w14:paraId="02EC6F78" w14:textId="77777777" w:rsidR="00783288" w:rsidRDefault="00783288">
      <w:pPr>
        <w:pStyle w:val="BodyText"/>
        <w:kinsoku w:val="0"/>
        <w:overflowPunct w:val="0"/>
        <w:spacing w:before="9"/>
        <w:rPr>
          <w:sz w:val="20"/>
          <w:szCs w:val="20"/>
        </w:rPr>
      </w:pPr>
    </w:p>
    <w:p w14:paraId="437CF196"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The ISIN of the Ordinary Shares is</w:t>
      </w:r>
      <w:r>
        <w:rPr>
          <w:color w:val="231F20"/>
          <w:spacing w:val="1"/>
          <w:sz w:val="18"/>
          <w:szCs w:val="18"/>
        </w:rPr>
        <w:t xml:space="preserve"> </w:t>
      </w:r>
      <w:r>
        <w:rPr>
          <w:color w:val="231F20"/>
          <w:sz w:val="18"/>
          <w:szCs w:val="18"/>
        </w:rPr>
        <w:t>GB00BF2F1X78.</w:t>
      </w:r>
    </w:p>
    <w:p w14:paraId="2B4CDAAB" w14:textId="77777777" w:rsidR="00783288" w:rsidRDefault="00783288">
      <w:pPr>
        <w:pStyle w:val="BodyText"/>
        <w:kinsoku w:val="0"/>
        <w:overflowPunct w:val="0"/>
        <w:spacing w:before="9"/>
        <w:rPr>
          <w:sz w:val="20"/>
          <w:szCs w:val="20"/>
        </w:rPr>
      </w:pPr>
    </w:p>
    <w:p w14:paraId="3E6D8E10"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The Legal Entity Identifier (LEI) of the Company is 213800EF8I2TT767IU35 and its SEDOL is</w:t>
      </w:r>
      <w:r>
        <w:rPr>
          <w:color w:val="231F20"/>
          <w:spacing w:val="-15"/>
          <w:sz w:val="18"/>
          <w:szCs w:val="18"/>
        </w:rPr>
        <w:t xml:space="preserve"> </w:t>
      </w:r>
      <w:r>
        <w:rPr>
          <w:color w:val="231F20"/>
          <w:sz w:val="18"/>
          <w:szCs w:val="18"/>
        </w:rPr>
        <w:t>BF2F1X7.</w:t>
      </w:r>
    </w:p>
    <w:p w14:paraId="0BEFE1A5" w14:textId="77777777" w:rsidR="00783288" w:rsidRDefault="00783288">
      <w:pPr>
        <w:pStyle w:val="BodyText"/>
        <w:kinsoku w:val="0"/>
        <w:overflowPunct w:val="0"/>
        <w:rPr>
          <w:sz w:val="21"/>
          <w:szCs w:val="21"/>
        </w:rPr>
      </w:pPr>
    </w:p>
    <w:p w14:paraId="0CB024A7" w14:textId="77777777" w:rsidR="00783288" w:rsidRDefault="00E31420" w:rsidP="00512495">
      <w:pPr>
        <w:pStyle w:val="ListParagraph"/>
        <w:numPr>
          <w:ilvl w:val="1"/>
          <w:numId w:val="13"/>
        </w:numPr>
        <w:tabs>
          <w:tab w:val="left" w:pos="840"/>
        </w:tabs>
        <w:kinsoku w:val="0"/>
        <w:overflowPunct w:val="0"/>
        <w:spacing w:before="1"/>
        <w:ind w:left="839"/>
        <w:rPr>
          <w:color w:val="231F20"/>
          <w:sz w:val="18"/>
          <w:szCs w:val="18"/>
        </w:rPr>
      </w:pPr>
      <w:r>
        <w:rPr>
          <w:color w:val="231F20"/>
          <w:sz w:val="18"/>
          <w:szCs w:val="18"/>
        </w:rPr>
        <w:t>The Company’s TIDM in respect of the Ordinary Shares is</w:t>
      </w:r>
      <w:r>
        <w:rPr>
          <w:color w:val="231F20"/>
          <w:spacing w:val="-6"/>
          <w:sz w:val="18"/>
          <w:szCs w:val="18"/>
        </w:rPr>
        <w:t xml:space="preserve"> </w:t>
      </w:r>
      <w:r>
        <w:rPr>
          <w:color w:val="231F20"/>
          <w:sz w:val="18"/>
          <w:szCs w:val="18"/>
        </w:rPr>
        <w:t>CHF.</w:t>
      </w:r>
    </w:p>
    <w:p w14:paraId="5C7AC680" w14:textId="77777777" w:rsidR="00783288" w:rsidRDefault="00783288">
      <w:pPr>
        <w:pStyle w:val="BodyText"/>
        <w:kinsoku w:val="0"/>
        <w:overflowPunct w:val="0"/>
        <w:spacing w:before="9"/>
        <w:rPr>
          <w:sz w:val="20"/>
          <w:szCs w:val="20"/>
        </w:rPr>
      </w:pPr>
    </w:p>
    <w:p w14:paraId="6D1E004D" w14:textId="46F48349" w:rsidR="00783288" w:rsidRDefault="00E31420" w:rsidP="00512495">
      <w:pPr>
        <w:pStyle w:val="ListParagraph"/>
        <w:numPr>
          <w:ilvl w:val="1"/>
          <w:numId w:val="13"/>
        </w:numPr>
        <w:tabs>
          <w:tab w:val="left" w:pos="840"/>
        </w:tabs>
        <w:kinsoku w:val="0"/>
        <w:overflowPunct w:val="0"/>
        <w:ind w:left="839" w:right="1036"/>
        <w:jc w:val="both"/>
        <w:rPr>
          <w:color w:val="231F20"/>
          <w:sz w:val="18"/>
          <w:szCs w:val="18"/>
        </w:rPr>
      </w:pPr>
      <w:r>
        <w:rPr>
          <w:color w:val="231F20"/>
          <w:sz w:val="18"/>
          <w:szCs w:val="18"/>
        </w:rPr>
        <w:t>The</w:t>
      </w:r>
      <w:r>
        <w:rPr>
          <w:color w:val="231F20"/>
          <w:spacing w:val="-6"/>
          <w:sz w:val="18"/>
          <w:szCs w:val="18"/>
        </w:rPr>
        <w:t xml:space="preserve"> </w:t>
      </w:r>
      <w:r>
        <w:rPr>
          <w:color w:val="231F20"/>
          <w:sz w:val="18"/>
          <w:szCs w:val="18"/>
        </w:rPr>
        <w:t>website</w:t>
      </w:r>
      <w:r>
        <w:rPr>
          <w:color w:val="231F20"/>
          <w:spacing w:val="-8"/>
          <w:sz w:val="18"/>
          <w:szCs w:val="18"/>
        </w:rPr>
        <w:t xml:space="preserve"> </w:t>
      </w:r>
      <w:r>
        <w:rPr>
          <w:color w:val="231F20"/>
          <w:sz w:val="18"/>
          <w:szCs w:val="18"/>
        </w:rPr>
        <w:t>of</w:t>
      </w:r>
      <w:r>
        <w:rPr>
          <w:color w:val="231F20"/>
          <w:spacing w:val="-8"/>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Pr>
          <w:color w:val="231F20"/>
          <w:spacing w:val="-7"/>
          <w:sz w:val="18"/>
          <w:szCs w:val="18"/>
        </w:rPr>
        <w:t xml:space="preserve"> </w:t>
      </w:r>
      <w:r>
        <w:rPr>
          <w:color w:val="231F20"/>
          <w:sz w:val="18"/>
          <w:szCs w:val="18"/>
        </w:rPr>
        <w:t>is</w:t>
      </w:r>
      <w:r>
        <w:rPr>
          <w:color w:val="231F20"/>
          <w:spacing w:val="-8"/>
          <w:sz w:val="18"/>
          <w:szCs w:val="18"/>
        </w:rPr>
        <w:t xml:space="preserve"> </w:t>
      </w:r>
      <w:r>
        <w:rPr>
          <w:color w:val="231F20"/>
          <w:sz w:val="18"/>
          <w:szCs w:val="18"/>
        </w:rPr>
        <w:t>https:/</w:t>
      </w:r>
      <w:hyperlink r:id="rId30" w:history="1">
        <w:r>
          <w:rPr>
            <w:color w:val="231F20"/>
            <w:sz w:val="18"/>
            <w:szCs w:val="18"/>
          </w:rPr>
          <w:t>/www.chesterfieldresourcesplc.com/</w:t>
        </w:r>
        <w:r>
          <w:rPr>
            <w:color w:val="231F20"/>
            <w:spacing w:val="-8"/>
            <w:sz w:val="18"/>
            <w:szCs w:val="18"/>
          </w:rPr>
          <w:t xml:space="preserve"> </w:t>
        </w:r>
      </w:hyperlink>
      <w:r>
        <w:rPr>
          <w:color w:val="231F20"/>
          <w:sz w:val="18"/>
          <w:szCs w:val="18"/>
        </w:rPr>
        <w:t>and</w:t>
      </w:r>
      <w:r>
        <w:rPr>
          <w:color w:val="231F20"/>
          <w:spacing w:val="-7"/>
          <w:sz w:val="18"/>
          <w:szCs w:val="18"/>
        </w:rPr>
        <w:t xml:space="preserve"> </w:t>
      </w:r>
      <w:r>
        <w:rPr>
          <w:color w:val="231F20"/>
          <w:sz w:val="18"/>
          <w:szCs w:val="18"/>
        </w:rPr>
        <w:t>such</w:t>
      </w:r>
      <w:r>
        <w:rPr>
          <w:color w:val="231F20"/>
          <w:spacing w:val="-6"/>
          <w:sz w:val="18"/>
          <w:szCs w:val="18"/>
        </w:rPr>
        <w:t xml:space="preserve"> </w:t>
      </w:r>
      <w:r>
        <w:rPr>
          <w:color w:val="231F20"/>
          <w:sz w:val="18"/>
          <w:szCs w:val="18"/>
        </w:rPr>
        <w:t>website,</w:t>
      </w:r>
      <w:r>
        <w:rPr>
          <w:color w:val="231F20"/>
          <w:spacing w:val="-6"/>
          <w:sz w:val="18"/>
          <w:szCs w:val="18"/>
        </w:rPr>
        <w:t xml:space="preserve"> </w:t>
      </w:r>
      <w:r>
        <w:rPr>
          <w:color w:val="231F20"/>
          <w:sz w:val="18"/>
          <w:szCs w:val="18"/>
        </w:rPr>
        <w:t>and</w:t>
      </w:r>
      <w:r>
        <w:rPr>
          <w:color w:val="231F20"/>
          <w:spacing w:val="-8"/>
          <w:sz w:val="18"/>
          <w:szCs w:val="18"/>
        </w:rPr>
        <w:t xml:space="preserve"> </w:t>
      </w:r>
      <w:r>
        <w:rPr>
          <w:color w:val="231F20"/>
          <w:sz w:val="18"/>
          <w:szCs w:val="18"/>
        </w:rPr>
        <w:t>its</w:t>
      </w:r>
      <w:r>
        <w:rPr>
          <w:color w:val="231F20"/>
          <w:spacing w:val="-7"/>
          <w:sz w:val="18"/>
          <w:szCs w:val="18"/>
        </w:rPr>
        <w:t xml:space="preserve"> </w:t>
      </w:r>
      <w:r>
        <w:rPr>
          <w:color w:val="231F20"/>
          <w:sz w:val="18"/>
          <w:szCs w:val="18"/>
        </w:rPr>
        <w:t>contents does not form part of this</w:t>
      </w:r>
      <w:r>
        <w:rPr>
          <w:color w:val="231F20"/>
          <w:spacing w:val="-8"/>
          <w:sz w:val="18"/>
          <w:szCs w:val="18"/>
        </w:rPr>
        <w:t xml:space="preserve"> </w:t>
      </w:r>
      <w:r>
        <w:rPr>
          <w:color w:val="231F20"/>
          <w:sz w:val="18"/>
          <w:szCs w:val="18"/>
        </w:rPr>
        <w:t>Document</w:t>
      </w:r>
      <w:r w:rsidR="006A4BE6">
        <w:rPr>
          <w:color w:val="231F20"/>
          <w:sz w:val="18"/>
          <w:szCs w:val="18"/>
        </w:rPr>
        <w:t>, save for any documents incorporated by reference from the website</w:t>
      </w:r>
      <w:r>
        <w:rPr>
          <w:color w:val="231F20"/>
          <w:sz w:val="18"/>
          <w:szCs w:val="18"/>
        </w:rPr>
        <w:t>.</w:t>
      </w:r>
    </w:p>
    <w:p w14:paraId="32FE8814" w14:textId="77777777" w:rsidR="00783288" w:rsidRDefault="00783288">
      <w:pPr>
        <w:pStyle w:val="BodyText"/>
        <w:kinsoku w:val="0"/>
        <w:overflowPunct w:val="0"/>
        <w:spacing w:before="4"/>
        <w:rPr>
          <w:sz w:val="20"/>
          <w:szCs w:val="20"/>
        </w:rPr>
      </w:pPr>
    </w:p>
    <w:p w14:paraId="69B735B7" w14:textId="77777777" w:rsidR="00783288" w:rsidRDefault="00E31420" w:rsidP="00512495">
      <w:pPr>
        <w:pStyle w:val="Heading1"/>
        <w:keepNext/>
        <w:keepLines/>
        <w:numPr>
          <w:ilvl w:val="0"/>
          <w:numId w:val="13"/>
        </w:numPr>
        <w:tabs>
          <w:tab w:val="left" w:pos="840"/>
        </w:tabs>
        <w:kinsoku w:val="0"/>
        <w:overflowPunct w:val="0"/>
        <w:ind w:left="839"/>
        <w:rPr>
          <w:color w:val="231F20"/>
        </w:rPr>
      </w:pPr>
      <w:r>
        <w:rPr>
          <w:color w:val="231F20"/>
        </w:rPr>
        <w:lastRenderedPageBreak/>
        <w:t>Share Capital</w:t>
      </w:r>
    </w:p>
    <w:p w14:paraId="34948E24" w14:textId="77777777" w:rsidR="00783288" w:rsidRDefault="00783288" w:rsidP="009A2801">
      <w:pPr>
        <w:pStyle w:val="BodyText"/>
        <w:keepNext/>
        <w:keepLines/>
        <w:kinsoku w:val="0"/>
        <w:overflowPunct w:val="0"/>
        <w:spacing w:before="5"/>
        <w:rPr>
          <w:b/>
          <w:bCs/>
          <w:sz w:val="21"/>
          <w:szCs w:val="21"/>
        </w:rPr>
      </w:pPr>
    </w:p>
    <w:p w14:paraId="421DBAB1" w14:textId="77777777" w:rsidR="00783288" w:rsidRDefault="00E31420" w:rsidP="00512495">
      <w:pPr>
        <w:pStyle w:val="ListParagraph"/>
        <w:keepNext/>
        <w:keepLines/>
        <w:numPr>
          <w:ilvl w:val="1"/>
          <w:numId w:val="13"/>
        </w:numPr>
        <w:tabs>
          <w:tab w:val="left" w:pos="840"/>
        </w:tabs>
        <w:kinsoku w:val="0"/>
        <w:overflowPunct w:val="0"/>
        <w:ind w:left="839"/>
        <w:rPr>
          <w:color w:val="231F20"/>
          <w:sz w:val="18"/>
          <w:szCs w:val="18"/>
        </w:rPr>
      </w:pPr>
      <w:r>
        <w:rPr>
          <w:color w:val="231F20"/>
          <w:sz w:val="18"/>
          <w:szCs w:val="18"/>
        </w:rPr>
        <w:t>The Company’s issued share capital, as at the date of this Document and following Admission is as</w:t>
      </w:r>
      <w:r>
        <w:rPr>
          <w:color w:val="231F20"/>
          <w:spacing w:val="-20"/>
          <w:sz w:val="18"/>
          <w:szCs w:val="18"/>
        </w:rPr>
        <w:t xml:space="preserve"> </w:t>
      </w:r>
      <w:r>
        <w:rPr>
          <w:color w:val="231F20"/>
          <w:sz w:val="18"/>
          <w:szCs w:val="18"/>
        </w:rPr>
        <w:t>follows:</w:t>
      </w:r>
    </w:p>
    <w:p w14:paraId="098FFA50" w14:textId="77777777" w:rsidR="00783288" w:rsidRDefault="00783288" w:rsidP="009A2801">
      <w:pPr>
        <w:pStyle w:val="BodyText"/>
        <w:keepNext/>
        <w:keepLines/>
        <w:kinsoku w:val="0"/>
        <w:overflowPunct w:val="0"/>
        <w:spacing w:before="10"/>
        <w:rPr>
          <w:sz w:val="20"/>
          <w:szCs w:val="20"/>
        </w:rPr>
      </w:pPr>
    </w:p>
    <w:tbl>
      <w:tblPr>
        <w:tblW w:w="0" w:type="auto"/>
        <w:tblInd w:w="967" w:type="dxa"/>
        <w:tblLayout w:type="fixed"/>
        <w:tblCellMar>
          <w:left w:w="0" w:type="dxa"/>
          <w:right w:w="0" w:type="dxa"/>
        </w:tblCellMar>
        <w:tblLook w:val="0000" w:firstRow="0" w:lastRow="0" w:firstColumn="0" w:lastColumn="0" w:noHBand="0" w:noVBand="0"/>
      </w:tblPr>
      <w:tblGrid>
        <w:gridCol w:w="2210"/>
        <w:gridCol w:w="2210"/>
        <w:gridCol w:w="1737"/>
        <w:gridCol w:w="2061"/>
      </w:tblGrid>
      <w:tr w:rsidR="00783288" w14:paraId="26533C8E" w14:textId="77777777">
        <w:trPr>
          <w:trHeight w:val="414"/>
        </w:trPr>
        <w:tc>
          <w:tcPr>
            <w:tcW w:w="4420" w:type="dxa"/>
            <w:gridSpan w:val="2"/>
            <w:tcBorders>
              <w:top w:val="single" w:sz="4" w:space="0" w:color="231F20"/>
              <w:left w:val="single" w:sz="4" w:space="0" w:color="231F20"/>
              <w:bottom w:val="single" w:sz="4" w:space="0" w:color="231F20"/>
              <w:right w:val="single" w:sz="4" w:space="0" w:color="231F20"/>
            </w:tcBorders>
            <w:shd w:val="clear" w:color="auto" w:fill="D9DADB"/>
          </w:tcPr>
          <w:p w14:paraId="738272A7" w14:textId="77777777" w:rsidR="00783288" w:rsidRDefault="00E31420" w:rsidP="009A2801">
            <w:pPr>
              <w:pStyle w:val="TableParagraph"/>
              <w:keepNext/>
              <w:keepLines/>
              <w:kinsoku w:val="0"/>
              <w:overflowPunct w:val="0"/>
              <w:spacing w:line="204" w:lineRule="exact"/>
              <w:ind w:left="856"/>
              <w:rPr>
                <w:b/>
                <w:bCs/>
                <w:i/>
                <w:iCs/>
                <w:color w:val="050606"/>
                <w:sz w:val="18"/>
                <w:szCs w:val="18"/>
              </w:rPr>
            </w:pPr>
            <w:r>
              <w:rPr>
                <w:b/>
                <w:bCs/>
                <w:i/>
                <w:iCs/>
                <w:color w:val="050606"/>
                <w:sz w:val="18"/>
                <w:szCs w:val="18"/>
              </w:rPr>
              <w:t>As at the date of this Document</w:t>
            </w:r>
          </w:p>
        </w:tc>
        <w:tc>
          <w:tcPr>
            <w:tcW w:w="3798" w:type="dxa"/>
            <w:gridSpan w:val="2"/>
            <w:tcBorders>
              <w:top w:val="single" w:sz="4" w:space="0" w:color="231F20"/>
              <w:left w:val="single" w:sz="4" w:space="0" w:color="231F20"/>
              <w:bottom w:val="single" w:sz="4" w:space="0" w:color="231F20"/>
              <w:right w:val="single" w:sz="4" w:space="0" w:color="231F20"/>
            </w:tcBorders>
            <w:shd w:val="clear" w:color="auto" w:fill="D9DADB"/>
          </w:tcPr>
          <w:p w14:paraId="6E755538" w14:textId="77777777" w:rsidR="00783288" w:rsidRDefault="00E31420" w:rsidP="009A2801">
            <w:pPr>
              <w:pStyle w:val="TableParagraph"/>
              <w:keepNext/>
              <w:keepLines/>
              <w:kinsoku w:val="0"/>
              <w:overflowPunct w:val="0"/>
              <w:spacing w:line="204" w:lineRule="exact"/>
              <w:ind w:left="1268" w:right="1258"/>
              <w:jc w:val="center"/>
              <w:rPr>
                <w:b/>
                <w:bCs/>
                <w:i/>
                <w:iCs/>
                <w:color w:val="050606"/>
                <w:sz w:val="18"/>
                <w:szCs w:val="18"/>
              </w:rPr>
            </w:pPr>
            <w:r>
              <w:rPr>
                <w:b/>
                <w:bCs/>
                <w:i/>
                <w:iCs/>
                <w:color w:val="050606"/>
                <w:sz w:val="18"/>
                <w:szCs w:val="18"/>
              </w:rPr>
              <w:t>On Admission</w:t>
            </w:r>
          </w:p>
        </w:tc>
      </w:tr>
      <w:tr w:rsidR="00783288" w14:paraId="675FA235" w14:textId="77777777">
        <w:trPr>
          <w:trHeight w:val="412"/>
        </w:trPr>
        <w:tc>
          <w:tcPr>
            <w:tcW w:w="2210" w:type="dxa"/>
            <w:tcBorders>
              <w:top w:val="single" w:sz="4" w:space="0" w:color="231F20"/>
              <w:left w:val="single" w:sz="4" w:space="0" w:color="231F20"/>
              <w:bottom w:val="single" w:sz="4" w:space="0" w:color="231F20"/>
              <w:right w:val="single" w:sz="4" w:space="0" w:color="231F20"/>
            </w:tcBorders>
            <w:shd w:val="clear" w:color="auto" w:fill="D9DADB"/>
          </w:tcPr>
          <w:p w14:paraId="6246ED20" w14:textId="77777777" w:rsidR="00783288" w:rsidRDefault="00E31420" w:rsidP="009A2801">
            <w:pPr>
              <w:pStyle w:val="TableParagraph"/>
              <w:keepNext/>
              <w:keepLines/>
              <w:kinsoku w:val="0"/>
              <w:overflowPunct w:val="0"/>
              <w:spacing w:line="204" w:lineRule="exact"/>
              <w:ind w:left="423" w:right="415"/>
              <w:jc w:val="center"/>
              <w:rPr>
                <w:i/>
                <w:iCs/>
                <w:color w:val="050606"/>
                <w:sz w:val="18"/>
                <w:szCs w:val="18"/>
              </w:rPr>
            </w:pPr>
            <w:r>
              <w:rPr>
                <w:i/>
                <w:iCs/>
                <w:color w:val="050606"/>
                <w:sz w:val="18"/>
                <w:szCs w:val="18"/>
              </w:rPr>
              <w:t>Ordinary Shares</w:t>
            </w:r>
          </w:p>
        </w:tc>
        <w:tc>
          <w:tcPr>
            <w:tcW w:w="2210" w:type="dxa"/>
            <w:tcBorders>
              <w:top w:val="single" w:sz="4" w:space="0" w:color="231F20"/>
              <w:left w:val="single" w:sz="4" w:space="0" w:color="231F20"/>
              <w:bottom w:val="single" w:sz="4" w:space="0" w:color="231F20"/>
              <w:right w:val="single" w:sz="4" w:space="0" w:color="231F20"/>
            </w:tcBorders>
            <w:shd w:val="clear" w:color="auto" w:fill="D9DADB"/>
          </w:tcPr>
          <w:p w14:paraId="5603C0C9" w14:textId="77777777" w:rsidR="00783288" w:rsidRDefault="00E31420" w:rsidP="009A2801">
            <w:pPr>
              <w:pStyle w:val="TableParagraph"/>
              <w:keepNext/>
              <w:keepLines/>
              <w:kinsoku w:val="0"/>
              <w:overflowPunct w:val="0"/>
              <w:spacing w:line="204" w:lineRule="exact"/>
              <w:ind w:left="423" w:right="414"/>
              <w:jc w:val="center"/>
              <w:rPr>
                <w:i/>
                <w:iCs/>
                <w:color w:val="050606"/>
                <w:sz w:val="18"/>
                <w:szCs w:val="18"/>
              </w:rPr>
            </w:pPr>
            <w:r>
              <w:rPr>
                <w:i/>
                <w:iCs/>
                <w:color w:val="050606"/>
                <w:sz w:val="18"/>
                <w:szCs w:val="18"/>
              </w:rPr>
              <w:t>Nominal Value</w:t>
            </w:r>
          </w:p>
        </w:tc>
        <w:tc>
          <w:tcPr>
            <w:tcW w:w="1737" w:type="dxa"/>
            <w:tcBorders>
              <w:top w:val="single" w:sz="4" w:space="0" w:color="231F20"/>
              <w:left w:val="single" w:sz="4" w:space="0" w:color="231F20"/>
              <w:bottom w:val="single" w:sz="4" w:space="0" w:color="231F20"/>
              <w:right w:val="single" w:sz="4" w:space="0" w:color="231F20"/>
            </w:tcBorders>
            <w:shd w:val="clear" w:color="auto" w:fill="D9DADB"/>
          </w:tcPr>
          <w:p w14:paraId="6907C8E4" w14:textId="77777777" w:rsidR="00783288" w:rsidRDefault="00E31420" w:rsidP="009A2801">
            <w:pPr>
              <w:pStyle w:val="TableParagraph"/>
              <w:keepNext/>
              <w:keepLines/>
              <w:kinsoku w:val="0"/>
              <w:overflowPunct w:val="0"/>
              <w:spacing w:line="204" w:lineRule="exact"/>
              <w:ind w:left="188" w:right="177"/>
              <w:jc w:val="center"/>
              <w:rPr>
                <w:i/>
                <w:iCs/>
                <w:color w:val="050606"/>
                <w:sz w:val="18"/>
                <w:szCs w:val="18"/>
              </w:rPr>
            </w:pPr>
            <w:r>
              <w:rPr>
                <w:i/>
                <w:iCs/>
                <w:color w:val="050606"/>
                <w:sz w:val="18"/>
                <w:szCs w:val="18"/>
              </w:rPr>
              <w:t>Ordinary Shares</w:t>
            </w:r>
          </w:p>
        </w:tc>
        <w:tc>
          <w:tcPr>
            <w:tcW w:w="2061" w:type="dxa"/>
            <w:tcBorders>
              <w:top w:val="single" w:sz="4" w:space="0" w:color="231F20"/>
              <w:left w:val="single" w:sz="4" w:space="0" w:color="231F20"/>
              <w:bottom w:val="single" w:sz="4" w:space="0" w:color="231F20"/>
              <w:right w:val="single" w:sz="4" w:space="0" w:color="231F20"/>
            </w:tcBorders>
            <w:shd w:val="clear" w:color="auto" w:fill="D9DADB"/>
          </w:tcPr>
          <w:p w14:paraId="6AB2C5EA" w14:textId="77777777" w:rsidR="00783288" w:rsidRDefault="00E31420" w:rsidP="009A2801">
            <w:pPr>
              <w:pStyle w:val="TableParagraph"/>
              <w:keepNext/>
              <w:keepLines/>
              <w:kinsoku w:val="0"/>
              <w:overflowPunct w:val="0"/>
              <w:spacing w:line="204" w:lineRule="exact"/>
              <w:ind w:left="423" w:right="417"/>
              <w:jc w:val="center"/>
              <w:rPr>
                <w:i/>
                <w:iCs/>
                <w:color w:val="050606"/>
                <w:sz w:val="18"/>
                <w:szCs w:val="18"/>
              </w:rPr>
            </w:pPr>
            <w:r>
              <w:rPr>
                <w:i/>
                <w:iCs/>
                <w:color w:val="050606"/>
                <w:sz w:val="18"/>
                <w:szCs w:val="18"/>
              </w:rPr>
              <w:t>Nominal Value</w:t>
            </w:r>
          </w:p>
        </w:tc>
      </w:tr>
      <w:tr w:rsidR="00783288" w14:paraId="42B8C8FF" w14:textId="77777777">
        <w:trPr>
          <w:trHeight w:val="414"/>
        </w:trPr>
        <w:tc>
          <w:tcPr>
            <w:tcW w:w="2210" w:type="dxa"/>
            <w:tcBorders>
              <w:top w:val="single" w:sz="4" w:space="0" w:color="231F20"/>
              <w:left w:val="single" w:sz="4" w:space="0" w:color="231F20"/>
              <w:bottom w:val="single" w:sz="4" w:space="0" w:color="231F20"/>
              <w:right w:val="single" w:sz="4" w:space="0" w:color="231F20"/>
            </w:tcBorders>
          </w:tcPr>
          <w:p w14:paraId="5ADEC34A" w14:textId="0D4468DE" w:rsidR="00783288" w:rsidRDefault="00035C1B" w:rsidP="009A2801">
            <w:pPr>
              <w:pStyle w:val="TableParagraph"/>
              <w:keepNext/>
              <w:keepLines/>
              <w:kinsoku w:val="0"/>
              <w:overflowPunct w:val="0"/>
              <w:spacing w:line="206" w:lineRule="exact"/>
              <w:ind w:left="421" w:right="415"/>
              <w:jc w:val="center"/>
              <w:rPr>
                <w:color w:val="050606"/>
                <w:sz w:val="18"/>
                <w:szCs w:val="18"/>
              </w:rPr>
            </w:pPr>
            <w:r>
              <w:rPr>
                <w:color w:val="050606"/>
                <w:sz w:val="18"/>
                <w:szCs w:val="18"/>
              </w:rPr>
              <w:t>101</w:t>
            </w:r>
            <w:r w:rsidR="003B5540">
              <w:rPr>
                <w:color w:val="050606"/>
                <w:sz w:val="18"/>
                <w:szCs w:val="18"/>
              </w:rPr>
              <w:t>,</w:t>
            </w:r>
            <w:r w:rsidR="005C02A1">
              <w:rPr>
                <w:color w:val="050606"/>
                <w:sz w:val="18"/>
                <w:szCs w:val="18"/>
              </w:rPr>
              <w:t>9</w:t>
            </w:r>
            <w:r w:rsidR="003B5540">
              <w:rPr>
                <w:color w:val="050606"/>
                <w:sz w:val="18"/>
                <w:szCs w:val="18"/>
              </w:rPr>
              <w:t>11,112</w:t>
            </w:r>
          </w:p>
        </w:tc>
        <w:tc>
          <w:tcPr>
            <w:tcW w:w="2210" w:type="dxa"/>
            <w:tcBorders>
              <w:top w:val="single" w:sz="4" w:space="0" w:color="231F20"/>
              <w:left w:val="single" w:sz="4" w:space="0" w:color="231F20"/>
              <w:bottom w:val="single" w:sz="4" w:space="0" w:color="231F20"/>
              <w:right w:val="single" w:sz="4" w:space="0" w:color="231F20"/>
            </w:tcBorders>
          </w:tcPr>
          <w:p w14:paraId="2EF6C746" w14:textId="1477B5DD" w:rsidR="00783288" w:rsidRDefault="006C7EC8" w:rsidP="009A2801">
            <w:pPr>
              <w:pStyle w:val="TableParagraph"/>
              <w:keepNext/>
              <w:keepLines/>
              <w:kinsoku w:val="0"/>
              <w:overflowPunct w:val="0"/>
              <w:spacing w:line="206" w:lineRule="exact"/>
              <w:ind w:left="423" w:right="412"/>
              <w:jc w:val="center"/>
              <w:rPr>
                <w:color w:val="050606"/>
                <w:sz w:val="18"/>
                <w:szCs w:val="18"/>
              </w:rPr>
            </w:pPr>
            <w:r>
              <w:rPr>
                <w:color w:val="050606"/>
                <w:sz w:val="18"/>
                <w:szCs w:val="18"/>
              </w:rPr>
              <w:t xml:space="preserve"> £101,911.112</w:t>
            </w:r>
          </w:p>
        </w:tc>
        <w:tc>
          <w:tcPr>
            <w:tcW w:w="1737" w:type="dxa"/>
            <w:tcBorders>
              <w:top w:val="single" w:sz="4" w:space="0" w:color="231F20"/>
              <w:left w:val="single" w:sz="4" w:space="0" w:color="231F20"/>
              <w:bottom w:val="single" w:sz="4" w:space="0" w:color="231F20"/>
              <w:right w:val="single" w:sz="4" w:space="0" w:color="231F20"/>
            </w:tcBorders>
          </w:tcPr>
          <w:p w14:paraId="4C4796A8" w14:textId="414DC490" w:rsidR="00783288" w:rsidRDefault="00925D95" w:rsidP="009A2801">
            <w:pPr>
              <w:pStyle w:val="TableParagraph"/>
              <w:keepNext/>
              <w:keepLines/>
              <w:kinsoku w:val="0"/>
              <w:overflowPunct w:val="0"/>
              <w:spacing w:line="206" w:lineRule="exact"/>
              <w:ind w:left="186" w:right="177"/>
              <w:jc w:val="center"/>
              <w:rPr>
                <w:color w:val="050606"/>
                <w:sz w:val="18"/>
                <w:szCs w:val="18"/>
              </w:rPr>
            </w:pPr>
            <w:r>
              <w:rPr>
                <w:sz w:val="18"/>
                <w:szCs w:val="18"/>
              </w:rPr>
              <w:t>120,000,311</w:t>
            </w:r>
          </w:p>
        </w:tc>
        <w:tc>
          <w:tcPr>
            <w:tcW w:w="2061" w:type="dxa"/>
            <w:tcBorders>
              <w:top w:val="single" w:sz="4" w:space="0" w:color="231F20"/>
              <w:left w:val="single" w:sz="4" w:space="0" w:color="231F20"/>
              <w:bottom w:val="single" w:sz="4" w:space="0" w:color="231F20"/>
              <w:right w:val="single" w:sz="4" w:space="0" w:color="231F20"/>
            </w:tcBorders>
          </w:tcPr>
          <w:p w14:paraId="716B76C8" w14:textId="0043B17B" w:rsidR="00783288" w:rsidRDefault="00E31420" w:rsidP="009A2801">
            <w:pPr>
              <w:pStyle w:val="TableParagraph"/>
              <w:keepNext/>
              <w:keepLines/>
              <w:kinsoku w:val="0"/>
              <w:overflowPunct w:val="0"/>
              <w:spacing w:line="206" w:lineRule="exact"/>
              <w:ind w:left="423" w:right="417"/>
              <w:jc w:val="center"/>
              <w:rPr>
                <w:color w:val="050606"/>
                <w:sz w:val="18"/>
                <w:szCs w:val="18"/>
              </w:rPr>
            </w:pPr>
            <w:r>
              <w:rPr>
                <w:color w:val="050606"/>
                <w:sz w:val="18"/>
                <w:szCs w:val="18"/>
              </w:rPr>
              <w:t>£</w:t>
            </w:r>
            <w:r w:rsidR="00925D95">
              <w:rPr>
                <w:sz w:val="18"/>
                <w:szCs w:val="18"/>
              </w:rPr>
              <w:t>120,000.311</w:t>
            </w:r>
          </w:p>
        </w:tc>
      </w:tr>
      <w:tr w:rsidR="00783288" w14:paraId="0127C3BA" w14:textId="77777777">
        <w:trPr>
          <w:trHeight w:val="414"/>
        </w:trPr>
        <w:tc>
          <w:tcPr>
            <w:tcW w:w="2210" w:type="dxa"/>
            <w:tcBorders>
              <w:top w:val="single" w:sz="4" w:space="0" w:color="231F20"/>
              <w:left w:val="single" w:sz="4" w:space="0" w:color="231F20"/>
              <w:bottom w:val="single" w:sz="4" w:space="0" w:color="231F20"/>
              <w:right w:val="single" w:sz="4" w:space="0" w:color="231F20"/>
            </w:tcBorders>
            <w:shd w:val="clear" w:color="auto" w:fill="D9DADB"/>
          </w:tcPr>
          <w:p w14:paraId="4603BFAB" w14:textId="77777777" w:rsidR="00783288" w:rsidRDefault="00E31420">
            <w:pPr>
              <w:pStyle w:val="TableParagraph"/>
              <w:kinsoku w:val="0"/>
              <w:overflowPunct w:val="0"/>
              <w:spacing w:line="204" w:lineRule="exact"/>
              <w:ind w:left="423" w:right="415"/>
              <w:jc w:val="center"/>
              <w:rPr>
                <w:i/>
                <w:iCs/>
                <w:color w:val="050606"/>
                <w:sz w:val="18"/>
                <w:szCs w:val="18"/>
              </w:rPr>
            </w:pPr>
            <w:r>
              <w:rPr>
                <w:i/>
                <w:iCs/>
                <w:color w:val="050606"/>
                <w:sz w:val="18"/>
                <w:szCs w:val="18"/>
              </w:rPr>
              <w:t>Deferred Shares</w:t>
            </w:r>
          </w:p>
        </w:tc>
        <w:tc>
          <w:tcPr>
            <w:tcW w:w="2210" w:type="dxa"/>
            <w:tcBorders>
              <w:top w:val="single" w:sz="4" w:space="0" w:color="231F20"/>
              <w:left w:val="single" w:sz="4" w:space="0" w:color="231F20"/>
              <w:bottom w:val="single" w:sz="4" w:space="0" w:color="231F20"/>
              <w:right w:val="single" w:sz="4" w:space="0" w:color="231F20"/>
            </w:tcBorders>
            <w:shd w:val="clear" w:color="auto" w:fill="D9DADB"/>
          </w:tcPr>
          <w:p w14:paraId="18DCE594" w14:textId="77777777" w:rsidR="00783288" w:rsidRDefault="00E31420">
            <w:pPr>
              <w:pStyle w:val="TableParagraph"/>
              <w:kinsoku w:val="0"/>
              <w:overflowPunct w:val="0"/>
              <w:spacing w:line="204" w:lineRule="exact"/>
              <w:ind w:left="423" w:right="414"/>
              <w:jc w:val="center"/>
              <w:rPr>
                <w:i/>
                <w:iCs/>
                <w:color w:val="050606"/>
                <w:sz w:val="18"/>
                <w:szCs w:val="18"/>
              </w:rPr>
            </w:pPr>
            <w:r>
              <w:rPr>
                <w:i/>
                <w:iCs/>
                <w:color w:val="050606"/>
                <w:sz w:val="18"/>
                <w:szCs w:val="18"/>
              </w:rPr>
              <w:t>Nominal Value</w:t>
            </w:r>
          </w:p>
        </w:tc>
        <w:tc>
          <w:tcPr>
            <w:tcW w:w="1737" w:type="dxa"/>
            <w:tcBorders>
              <w:top w:val="single" w:sz="4" w:space="0" w:color="231F20"/>
              <w:left w:val="single" w:sz="4" w:space="0" w:color="231F20"/>
              <w:bottom w:val="single" w:sz="4" w:space="0" w:color="231F20"/>
              <w:right w:val="single" w:sz="4" w:space="0" w:color="231F20"/>
            </w:tcBorders>
            <w:shd w:val="clear" w:color="auto" w:fill="D9DADB"/>
          </w:tcPr>
          <w:p w14:paraId="6D602C2A" w14:textId="77777777" w:rsidR="00783288" w:rsidRDefault="00E31420">
            <w:pPr>
              <w:pStyle w:val="TableParagraph"/>
              <w:kinsoku w:val="0"/>
              <w:overflowPunct w:val="0"/>
              <w:spacing w:line="204" w:lineRule="exact"/>
              <w:ind w:left="188" w:right="177"/>
              <w:jc w:val="center"/>
              <w:rPr>
                <w:i/>
                <w:iCs/>
                <w:color w:val="050606"/>
                <w:sz w:val="18"/>
                <w:szCs w:val="18"/>
              </w:rPr>
            </w:pPr>
            <w:r>
              <w:rPr>
                <w:i/>
                <w:iCs/>
                <w:color w:val="050606"/>
                <w:sz w:val="18"/>
                <w:szCs w:val="18"/>
              </w:rPr>
              <w:t>Deferred Shares</w:t>
            </w:r>
          </w:p>
        </w:tc>
        <w:tc>
          <w:tcPr>
            <w:tcW w:w="2061" w:type="dxa"/>
            <w:tcBorders>
              <w:top w:val="single" w:sz="4" w:space="0" w:color="231F20"/>
              <w:left w:val="single" w:sz="4" w:space="0" w:color="231F20"/>
              <w:bottom w:val="single" w:sz="4" w:space="0" w:color="231F20"/>
              <w:right w:val="single" w:sz="4" w:space="0" w:color="231F20"/>
            </w:tcBorders>
            <w:shd w:val="clear" w:color="auto" w:fill="D9DADB"/>
          </w:tcPr>
          <w:p w14:paraId="1D8B3973" w14:textId="77777777" w:rsidR="00783288" w:rsidRDefault="00E31420">
            <w:pPr>
              <w:pStyle w:val="TableParagraph"/>
              <w:kinsoku w:val="0"/>
              <w:overflowPunct w:val="0"/>
              <w:spacing w:line="204" w:lineRule="exact"/>
              <w:ind w:left="423" w:right="417"/>
              <w:jc w:val="center"/>
              <w:rPr>
                <w:i/>
                <w:iCs/>
                <w:color w:val="050606"/>
                <w:sz w:val="18"/>
                <w:szCs w:val="18"/>
              </w:rPr>
            </w:pPr>
            <w:r>
              <w:rPr>
                <w:i/>
                <w:iCs/>
                <w:color w:val="050606"/>
                <w:sz w:val="18"/>
                <w:szCs w:val="18"/>
              </w:rPr>
              <w:t>Nominal Value</w:t>
            </w:r>
          </w:p>
        </w:tc>
      </w:tr>
      <w:tr w:rsidR="00783288" w14:paraId="3D44A2F0" w14:textId="77777777">
        <w:trPr>
          <w:trHeight w:val="412"/>
        </w:trPr>
        <w:tc>
          <w:tcPr>
            <w:tcW w:w="2210" w:type="dxa"/>
            <w:tcBorders>
              <w:top w:val="single" w:sz="4" w:space="0" w:color="231F20"/>
              <w:left w:val="single" w:sz="4" w:space="0" w:color="231F20"/>
              <w:bottom w:val="single" w:sz="4" w:space="0" w:color="231F20"/>
              <w:right w:val="single" w:sz="4" w:space="0" w:color="231F20"/>
            </w:tcBorders>
          </w:tcPr>
          <w:p w14:paraId="6D8C6CF7" w14:textId="77777777" w:rsidR="00783288" w:rsidRDefault="00E31420">
            <w:pPr>
              <w:pStyle w:val="TableParagraph"/>
              <w:kinsoku w:val="0"/>
              <w:overflowPunct w:val="0"/>
              <w:spacing w:line="206" w:lineRule="exact"/>
              <w:ind w:left="423" w:right="414"/>
              <w:jc w:val="center"/>
              <w:rPr>
                <w:color w:val="050606"/>
                <w:sz w:val="18"/>
                <w:szCs w:val="18"/>
              </w:rPr>
            </w:pPr>
            <w:r>
              <w:rPr>
                <w:color w:val="050606"/>
                <w:sz w:val="18"/>
                <w:szCs w:val="18"/>
              </w:rPr>
              <w:t>2,000,000</w:t>
            </w:r>
          </w:p>
        </w:tc>
        <w:tc>
          <w:tcPr>
            <w:tcW w:w="2210" w:type="dxa"/>
            <w:tcBorders>
              <w:top w:val="single" w:sz="4" w:space="0" w:color="231F20"/>
              <w:left w:val="single" w:sz="4" w:space="0" w:color="231F20"/>
              <w:bottom w:val="single" w:sz="4" w:space="0" w:color="231F20"/>
              <w:right w:val="single" w:sz="4" w:space="0" w:color="231F20"/>
            </w:tcBorders>
          </w:tcPr>
          <w:p w14:paraId="3F3D3AFD" w14:textId="77777777" w:rsidR="00783288" w:rsidRDefault="00E31420">
            <w:pPr>
              <w:pStyle w:val="TableParagraph"/>
              <w:kinsoku w:val="0"/>
              <w:overflowPunct w:val="0"/>
              <w:spacing w:line="206" w:lineRule="exact"/>
              <w:ind w:left="423" w:right="412"/>
              <w:jc w:val="center"/>
              <w:rPr>
                <w:color w:val="050606"/>
                <w:sz w:val="18"/>
                <w:szCs w:val="18"/>
              </w:rPr>
            </w:pPr>
            <w:r>
              <w:rPr>
                <w:color w:val="050606"/>
                <w:sz w:val="18"/>
                <w:szCs w:val="18"/>
              </w:rPr>
              <w:t>£98,000</w:t>
            </w:r>
          </w:p>
        </w:tc>
        <w:tc>
          <w:tcPr>
            <w:tcW w:w="1737" w:type="dxa"/>
            <w:tcBorders>
              <w:top w:val="single" w:sz="4" w:space="0" w:color="231F20"/>
              <w:left w:val="single" w:sz="4" w:space="0" w:color="231F20"/>
              <w:bottom w:val="single" w:sz="4" w:space="0" w:color="231F20"/>
              <w:right w:val="single" w:sz="4" w:space="0" w:color="231F20"/>
            </w:tcBorders>
          </w:tcPr>
          <w:p w14:paraId="2B0CD9A6" w14:textId="77777777" w:rsidR="00783288" w:rsidRDefault="00E31420">
            <w:pPr>
              <w:pStyle w:val="TableParagraph"/>
              <w:kinsoku w:val="0"/>
              <w:overflowPunct w:val="0"/>
              <w:spacing w:line="206" w:lineRule="exact"/>
              <w:ind w:left="188" w:right="176"/>
              <w:jc w:val="center"/>
              <w:rPr>
                <w:color w:val="050606"/>
                <w:sz w:val="18"/>
                <w:szCs w:val="18"/>
              </w:rPr>
            </w:pPr>
            <w:r>
              <w:rPr>
                <w:color w:val="050606"/>
                <w:sz w:val="18"/>
                <w:szCs w:val="18"/>
              </w:rPr>
              <w:t>2,000,000</w:t>
            </w:r>
          </w:p>
        </w:tc>
        <w:tc>
          <w:tcPr>
            <w:tcW w:w="2061" w:type="dxa"/>
            <w:tcBorders>
              <w:top w:val="single" w:sz="4" w:space="0" w:color="231F20"/>
              <w:left w:val="single" w:sz="4" w:space="0" w:color="231F20"/>
              <w:bottom w:val="single" w:sz="4" w:space="0" w:color="231F20"/>
              <w:right w:val="single" w:sz="4" w:space="0" w:color="231F20"/>
            </w:tcBorders>
          </w:tcPr>
          <w:p w14:paraId="270671B3" w14:textId="77777777" w:rsidR="00783288" w:rsidRDefault="00E31420">
            <w:pPr>
              <w:pStyle w:val="TableParagraph"/>
              <w:kinsoku w:val="0"/>
              <w:overflowPunct w:val="0"/>
              <w:spacing w:line="206" w:lineRule="exact"/>
              <w:ind w:left="423" w:right="415"/>
              <w:jc w:val="center"/>
              <w:rPr>
                <w:color w:val="050606"/>
                <w:sz w:val="18"/>
                <w:szCs w:val="18"/>
              </w:rPr>
            </w:pPr>
            <w:r>
              <w:rPr>
                <w:color w:val="050606"/>
                <w:sz w:val="18"/>
                <w:szCs w:val="18"/>
              </w:rPr>
              <w:t>£98,000</w:t>
            </w:r>
          </w:p>
        </w:tc>
      </w:tr>
    </w:tbl>
    <w:p w14:paraId="0D2BB2E6" w14:textId="7DBDA21F" w:rsidR="009A2801" w:rsidRDefault="009A2801">
      <w:pPr>
        <w:rPr>
          <w:sz w:val="20"/>
          <w:szCs w:val="20"/>
        </w:rPr>
      </w:pPr>
    </w:p>
    <w:p w14:paraId="607ACFA2" w14:textId="77777777" w:rsidR="00783288" w:rsidRDefault="00E31420" w:rsidP="00512495">
      <w:pPr>
        <w:pStyle w:val="ListParagraph"/>
        <w:numPr>
          <w:ilvl w:val="1"/>
          <w:numId w:val="13"/>
        </w:numPr>
        <w:tabs>
          <w:tab w:val="left" w:pos="840"/>
        </w:tabs>
        <w:kinsoku w:val="0"/>
        <w:overflowPunct w:val="0"/>
        <w:spacing w:before="78"/>
        <w:ind w:left="839" w:right="1037"/>
        <w:rPr>
          <w:color w:val="231F20"/>
          <w:sz w:val="18"/>
          <w:szCs w:val="18"/>
        </w:rPr>
      </w:pPr>
      <w:r>
        <w:rPr>
          <w:color w:val="231F20"/>
          <w:sz w:val="18"/>
          <w:szCs w:val="18"/>
        </w:rPr>
        <w:t>A summary of the changes to the issued share capital of the Company from its incorporation to the date of this Document is as</w:t>
      </w:r>
      <w:r>
        <w:rPr>
          <w:color w:val="231F20"/>
          <w:spacing w:val="2"/>
          <w:sz w:val="18"/>
          <w:szCs w:val="18"/>
        </w:rPr>
        <w:t xml:space="preserve"> </w:t>
      </w:r>
      <w:r>
        <w:rPr>
          <w:color w:val="231F20"/>
          <w:sz w:val="18"/>
          <w:szCs w:val="18"/>
        </w:rPr>
        <w:t>follows:</w:t>
      </w:r>
    </w:p>
    <w:p w14:paraId="627C6EE3" w14:textId="77777777" w:rsidR="00783288" w:rsidRDefault="00783288">
      <w:pPr>
        <w:pStyle w:val="BodyText"/>
        <w:kinsoku w:val="0"/>
        <w:overflowPunct w:val="0"/>
        <w:spacing w:before="11"/>
        <w:rPr>
          <w:sz w:val="20"/>
          <w:szCs w:val="20"/>
        </w:rPr>
      </w:pPr>
    </w:p>
    <w:p w14:paraId="5AB6F007" w14:textId="77777777" w:rsidR="00783288" w:rsidRDefault="00E31420" w:rsidP="00512495">
      <w:pPr>
        <w:pStyle w:val="ListParagraph"/>
        <w:numPr>
          <w:ilvl w:val="2"/>
          <w:numId w:val="13"/>
        </w:numPr>
        <w:tabs>
          <w:tab w:val="left" w:pos="1822"/>
        </w:tabs>
        <w:kinsoku w:val="0"/>
        <w:overflowPunct w:val="0"/>
        <w:ind w:right="1036"/>
        <w:jc w:val="both"/>
        <w:rPr>
          <w:color w:val="231F20"/>
          <w:sz w:val="18"/>
          <w:szCs w:val="18"/>
        </w:rPr>
      </w:pPr>
      <w:r>
        <w:rPr>
          <w:color w:val="231F20"/>
          <w:sz w:val="18"/>
          <w:szCs w:val="18"/>
        </w:rPr>
        <w:t>On</w:t>
      </w:r>
      <w:r>
        <w:rPr>
          <w:color w:val="231F20"/>
          <w:spacing w:val="-12"/>
          <w:sz w:val="18"/>
          <w:szCs w:val="18"/>
        </w:rPr>
        <w:t xml:space="preserve"> </w:t>
      </w:r>
      <w:r>
        <w:rPr>
          <w:color w:val="231F20"/>
          <w:sz w:val="18"/>
          <w:szCs w:val="18"/>
        </w:rPr>
        <w:t>incorporation,</w:t>
      </w:r>
      <w:r>
        <w:rPr>
          <w:color w:val="231F20"/>
          <w:spacing w:val="-12"/>
          <w:sz w:val="18"/>
          <w:szCs w:val="18"/>
        </w:rPr>
        <w:t xml:space="preserve"> </w:t>
      </w:r>
      <w:r>
        <w:rPr>
          <w:color w:val="231F20"/>
          <w:sz w:val="18"/>
          <w:szCs w:val="18"/>
        </w:rPr>
        <w:t>the</w:t>
      </w:r>
      <w:r>
        <w:rPr>
          <w:color w:val="231F20"/>
          <w:spacing w:val="-12"/>
          <w:sz w:val="18"/>
          <w:szCs w:val="18"/>
        </w:rPr>
        <w:t xml:space="preserve"> </w:t>
      </w:r>
      <w:r>
        <w:rPr>
          <w:color w:val="231F20"/>
          <w:sz w:val="18"/>
          <w:szCs w:val="18"/>
        </w:rPr>
        <w:t>Company</w:t>
      </w:r>
      <w:r>
        <w:rPr>
          <w:color w:val="231F20"/>
          <w:spacing w:val="-14"/>
          <w:sz w:val="18"/>
          <w:szCs w:val="18"/>
        </w:rPr>
        <w:t xml:space="preserve"> </w:t>
      </w:r>
      <w:r>
        <w:rPr>
          <w:color w:val="231F20"/>
          <w:sz w:val="18"/>
          <w:szCs w:val="18"/>
        </w:rPr>
        <w:t>had</w:t>
      </w:r>
      <w:r>
        <w:rPr>
          <w:color w:val="231F20"/>
          <w:spacing w:val="-12"/>
          <w:sz w:val="18"/>
          <w:szCs w:val="18"/>
        </w:rPr>
        <w:t xml:space="preserve"> </w:t>
      </w:r>
      <w:r>
        <w:rPr>
          <w:color w:val="231F20"/>
          <w:sz w:val="18"/>
          <w:szCs w:val="18"/>
        </w:rPr>
        <w:t>an</w:t>
      </w:r>
      <w:r>
        <w:rPr>
          <w:color w:val="231F20"/>
          <w:spacing w:val="-14"/>
          <w:sz w:val="18"/>
          <w:szCs w:val="18"/>
        </w:rPr>
        <w:t xml:space="preserve"> </w:t>
      </w:r>
      <w:r>
        <w:rPr>
          <w:color w:val="231F20"/>
          <w:sz w:val="18"/>
          <w:szCs w:val="18"/>
        </w:rPr>
        <w:t>issued</w:t>
      </w:r>
      <w:r>
        <w:rPr>
          <w:color w:val="231F20"/>
          <w:spacing w:val="-11"/>
          <w:sz w:val="18"/>
          <w:szCs w:val="18"/>
        </w:rPr>
        <w:t xml:space="preserve"> </w:t>
      </w:r>
      <w:r>
        <w:rPr>
          <w:color w:val="231F20"/>
          <w:sz w:val="18"/>
          <w:szCs w:val="18"/>
        </w:rPr>
        <w:t>share</w:t>
      </w:r>
      <w:r>
        <w:rPr>
          <w:color w:val="231F20"/>
          <w:spacing w:val="-14"/>
          <w:sz w:val="18"/>
          <w:szCs w:val="18"/>
        </w:rPr>
        <w:t xml:space="preserve"> </w:t>
      </w:r>
      <w:r>
        <w:rPr>
          <w:color w:val="231F20"/>
          <w:sz w:val="18"/>
          <w:szCs w:val="18"/>
        </w:rPr>
        <w:t>capital</w:t>
      </w:r>
      <w:r>
        <w:rPr>
          <w:color w:val="231F20"/>
          <w:spacing w:val="-10"/>
          <w:sz w:val="18"/>
          <w:szCs w:val="18"/>
        </w:rPr>
        <w:t xml:space="preserve"> </w:t>
      </w:r>
      <w:r>
        <w:rPr>
          <w:color w:val="231F20"/>
          <w:sz w:val="18"/>
          <w:szCs w:val="18"/>
        </w:rPr>
        <w:t>of</w:t>
      </w:r>
      <w:r>
        <w:rPr>
          <w:color w:val="231F20"/>
          <w:spacing w:val="-12"/>
          <w:sz w:val="18"/>
          <w:szCs w:val="18"/>
        </w:rPr>
        <w:t xml:space="preserve"> </w:t>
      </w:r>
      <w:r>
        <w:rPr>
          <w:color w:val="231F20"/>
          <w:sz w:val="18"/>
          <w:szCs w:val="18"/>
        </w:rPr>
        <w:t>£600</w:t>
      </w:r>
      <w:r>
        <w:rPr>
          <w:color w:val="231F20"/>
          <w:spacing w:val="-14"/>
          <w:sz w:val="18"/>
          <w:szCs w:val="18"/>
        </w:rPr>
        <w:t xml:space="preserve"> </w:t>
      </w:r>
      <w:r>
        <w:rPr>
          <w:color w:val="231F20"/>
          <w:sz w:val="18"/>
          <w:szCs w:val="18"/>
        </w:rPr>
        <w:t>divided</w:t>
      </w:r>
      <w:r>
        <w:rPr>
          <w:color w:val="231F20"/>
          <w:spacing w:val="-12"/>
          <w:sz w:val="18"/>
          <w:szCs w:val="18"/>
        </w:rPr>
        <w:t xml:space="preserve"> </w:t>
      </w:r>
      <w:r>
        <w:rPr>
          <w:color w:val="231F20"/>
          <w:sz w:val="18"/>
          <w:szCs w:val="18"/>
        </w:rPr>
        <w:t>into</w:t>
      </w:r>
      <w:r>
        <w:rPr>
          <w:color w:val="231F20"/>
          <w:spacing w:val="-14"/>
          <w:sz w:val="18"/>
          <w:szCs w:val="18"/>
        </w:rPr>
        <w:t xml:space="preserve"> </w:t>
      </w:r>
      <w:r>
        <w:rPr>
          <w:color w:val="231F20"/>
          <w:sz w:val="18"/>
          <w:szCs w:val="18"/>
        </w:rPr>
        <w:t>600,000</w:t>
      </w:r>
      <w:r>
        <w:rPr>
          <w:color w:val="231F20"/>
          <w:spacing w:val="-11"/>
          <w:sz w:val="18"/>
          <w:szCs w:val="18"/>
        </w:rPr>
        <w:t xml:space="preserve"> </w:t>
      </w:r>
      <w:r>
        <w:rPr>
          <w:color w:val="231F20"/>
          <w:sz w:val="18"/>
          <w:szCs w:val="18"/>
        </w:rPr>
        <w:t>Ordinary Shares with a nominal value of 0.1p, which were subscribed for at their nominal value by the Founders.</w:t>
      </w:r>
    </w:p>
    <w:p w14:paraId="37231628" w14:textId="77777777" w:rsidR="00783288" w:rsidRDefault="00783288">
      <w:pPr>
        <w:pStyle w:val="BodyText"/>
        <w:kinsoku w:val="0"/>
        <w:overflowPunct w:val="0"/>
        <w:spacing w:before="8"/>
        <w:rPr>
          <w:sz w:val="20"/>
          <w:szCs w:val="20"/>
        </w:rPr>
      </w:pPr>
    </w:p>
    <w:p w14:paraId="5815DFA9" w14:textId="77777777" w:rsidR="00783288" w:rsidRDefault="00E31420" w:rsidP="00512495">
      <w:pPr>
        <w:pStyle w:val="ListParagraph"/>
        <w:numPr>
          <w:ilvl w:val="2"/>
          <w:numId w:val="13"/>
        </w:numPr>
        <w:tabs>
          <w:tab w:val="left" w:pos="1822"/>
        </w:tabs>
        <w:kinsoku w:val="0"/>
        <w:overflowPunct w:val="0"/>
        <w:ind w:hanging="983"/>
        <w:rPr>
          <w:color w:val="050606"/>
          <w:sz w:val="18"/>
          <w:szCs w:val="18"/>
        </w:rPr>
      </w:pPr>
      <w:r>
        <w:rPr>
          <w:color w:val="050606"/>
          <w:sz w:val="18"/>
          <w:szCs w:val="18"/>
        </w:rPr>
        <w:t>On 16 March 2017, 1,200,000 Series A Warrants were issued to the</w:t>
      </w:r>
      <w:r>
        <w:rPr>
          <w:color w:val="050606"/>
          <w:spacing w:val="-9"/>
          <w:sz w:val="18"/>
          <w:szCs w:val="18"/>
        </w:rPr>
        <w:t xml:space="preserve"> </w:t>
      </w:r>
      <w:r>
        <w:rPr>
          <w:color w:val="050606"/>
          <w:sz w:val="18"/>
          <w:szCs w:val="18"/>
        </w:rPr>
        <w:t>Founders.</w:t>
      </w:r>
    </w:p>
    <w:p w14:paraId="5A323C25" w14:textId="77777777" w:rsidR="00783288" w:rsidRDefault="00783288">
      <w:pPr>
        <w:pStyle w:val="BodyText"/>
        <w:kinsoku w:val="0"/>
        <w:overflowPunct w:val="0"/>
        <w:rPr>
          <w:sz w:val="21"/>
          <w:szCs w:val="21"/>
        </w:rPr>
      </w:pPr>
    </w:p>
    <w:p w14:paraId="543A4AE8" w14:textId="77777777" w:rsidR="00783288" w:rsidRDefault="00E31420" w:rsidP="00512495">
      <w:pPr>
        <w:pStyle w:val="ListParagraph"/>
        <w:numPr>
          <w:ilvl w:val="2"/>
          <w:numId w:val="13"/>
        </w:numPr>
        <w:tabs>
          <w:tab w:val="left" w:pos="1822"/>
        </w:tabs>
        <w:kinsoku w:val="0"/>
        <w:overflowPunct w:val="0"/>
        <w:spacing w:before="1"/>
        <w:ind w:right="1038"/>
        <w:jc w:val="both"/>
        <w:rPr>
          <w:color w:val="231F20"/>
          <w:sz w:val="18"/>
          <w:szCs w:val="18"/>
        </w:rPr>
      </w:pPr>
      <w:r>
        <w:rPr>
          <w:color w:val="231F20"/>
          <w:sz w:val="18"/>
          <w:szCs w:val="18"/>
        </w:rPr>
        <w:t>On 24 April 2017, 2,000,000 ‘A’ ordinary shares of 5p each were issued and allotted to the Seed Investors at a price of 5p per share, such shares being fully paid. This allotment brought the Company’s total number of shares in issue to</w:t>
      </w:r>
      <w:r>
        <w:rPr>
          <w:color w:val="231F20"/>
          <w:spacing w:val="-4"/>
          <w:sz w:val="18"/>
          <w:szCs w:val="18"/>
        </w:rPr>
        <w:t xml:space="preserve"> </w:t>
      </w:r>
      <w:r>
        <w:rPr>
          <w:color w:val="231F20"/>
          <w:sz w:val="18"/>
          <w:szCs w:val="18"/>
        </w:rPr>
        <w:t>2,600,000.</w:t>
      </w:r>
    </w:p>
    <w:p w14:paraId="5B587C99" w14:textId="77777777" w:rsidR="00783288" w:rsidRDefault="00783288">
      <w:pPr>
        <w:pStyle w:val="BodyText"/>
        <w:kinsoku w:val="0"/>
        <w:overflowPunct w:val="0"/>
        <w:spacing w:before="8"/>
        <w:rPr>
          <w:sz w:val="20"/>
          <w:szCs w:val="20"/>
        </w:rPr>
      </w:pPr>
    </w:p>
    <w:p w14:paraId="6CB0DD02" w14:textId="525052CC" w:rsidR="00783288" w:rsidRDefault="00E31420" w:rsidP="00512495">
      <w:pPr>
        <w:pStyle w:val="ListParagraph"/>
        <w:numPr>
          <w:ilvl w:val="2"/>
          <w:numId w:val="13"/>
        </w:numPr>
        <w:tabs>
          <w:tab w:val="left" w:pos="1822"/>
        </w:tabs>
        <w:kinsoku w:val="0"/>
        <w:overflowPunct w:val="0"/>
        <w:ind w:right="1034"/>
        <w:jc w:val="both"/>
        <w:rPr>
          <w:color w:val="231F20"/>
          <w:sz w:val="18"/>
          <w:szCs w:val="18"/>
        </w:rPr>
      </w:pPr>
      <w:r>
        <w:rPr>
          <w:color w:val="231F20"/>
          <w:sz w:val="18"/>
          <w:szCs w:val="18"/>
        </w:rPr>
        <w:t>On 24 April 2017, 4,000,000 Series A Warrants were issued to the Seed Investors bringing the total number of Series A Warrants outstanding to 5,200,000</w:t>
      </w:r>
      <w:r w:rsidR="007F2A74">
        <w:rPr>
          <w:color w:val="231F20"/>
          <w:sz w:val="18"/>
          <w:szCs w:val="18"/>
        </w:rPr>
        <w:t>, of which 200,000 have been exercised as described at paragraph 3.5 below</w:t>
      </w:r>
      <w:r>
        <w:rPr>
          <w:color w:val="231F20"/>
          <w:sz w:val="18"/>
          <w:szCs w:val="18"/>
        </w:rPr>
        <w:t>. Such Series A Warrants remain outstanding as at the date of this Document and remain valid until 29 August</w:t>
      </w:r>
      <w:r>
        <w:rPr>
          <w:color w:val="231F20"/>
          <w:spacing w:val="-18"/>
          <w:sz w:val="18"/>
          <w:szCs w:val="18"/>
        </w:rPr>
        <w:t xml:space="preserve"> </w:t>
      </w:r>
      <w:r>
        <w:rPr>
          <w:color w:val="231F20"/>
          <w:sz w:val="18"/>
          <w:szCs w:val="18"/>
        </w:rPr>
        <w:t>2022.</w:t>
      </w:r>
    </w:p>
    <w:p w14:paraId="581B975A" w14:textId="77777777" w:rsidR="00783288" w:rsidRDefault="00783288">
      <w:pPr>
        <w:pStyle w:val="BodyText"/>
        <w:kinsoku w:val="0"/>
        <w:overflowPunct w:val="0"/>
        <w:spacing w:before="10"/>
        <w:rPr>
          <w:sz w:val="20"/>
          <w:szCs w:val="20"/>
        </w:rPr>
      </w:pPr>
    </w:p>
    <w:p w14:paraId="358A3AD4"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On 28 April 2017, pursuant to a capital reorganisation, the 2,000,000 ‘A’ ordinary shares of 5p each were sub-divided and re-designated into 2,000,000 Ordinary Shares with nominal value of 0.1p and 2,000,000 Deferred Shares with a nominal value of</w:t>
      </w:r>
      <w:r>
        <w:rPr>
          <w:color w:val="231F20"/>
          <w:spacing w:val="-3"/>
          <w:sz w:val="18"/>
          <w:szCs w:val="18"/>
        </w:rPr>
        <w:t xml:space="preserve"> </w:t>
      </w:r>
      <w:r>
        <w:rPr>
          <w:color w:val="231F20"/>
          <w:sz w:val="18"/>
          <w:szCs w:val="18"/>
        </w:rPr>
        <w:t>4.9p.</w:t>
      </w:r>
    </w:p>
    <w:p w14:paraId="12FF9668" w14:textId="77777777" w:rsidR="00783288" w:rsidRDefault="00783288">
      <w:pPr>
        <w:pStyle w:val="BodyText"/>
        <w:kinsoku w:val="0"/>
        <w:overflowPunct w:val="0"/>
        <w:spacing w:before="11"/>
        <w:rPr>
          <w:sz w:val="20"/>
          <w:szCs w:val="20"/>
        </w:rPr>
      </w:pPr>
    </w:p>
    <w:p w14:paraId="7239E0E1"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 xml:space="preserve">On 29 August 2017, 26,000,000 Ordinary Shares were issued and allotted to the IPO </w:t>
      </w:r>
      <w:proofErr w:type="spellStart"/>
      <w:r>
        <w:rPr>
          <w:color w:val="231F20"/>
          <w:sz w:val="18"/>
          <w:szCs w:val="18"/>
        </w:rPr>
        <w:t>Placees</w:t>
      </w:r>
      <w:proofErr w:type="spellEnd"/>
      <w:r>
        <w:rPr>
          <w:color w:val="231F20"/>
          <w:sz w:val="18"/>
          <w:szCs w:val="18"/>
        </w:rPr>
        <w:t xml:space="preserve"> at a price of 5p per share, such Ordinary Shares being fully paid. This allotment brought the Company’s total number of shares in issue to 28,600,000 Ordinary Shares and 2,000,000 Deferred Shares.</w:t>
      </w:r>
    </w:p>
    <w:p w14:paraId="3175146C" w14:textId="77777777" w:rsidR="00783288" w:rsidRDefault="00783288">
      <w:pPr>
        <w:pStyle w:val="BodyText"/>
        <w:kinsoku w:val="0"/>
        <w:overflowPunct w:val="0"/>
        <w:spacing w:before="10"/>
        <w:rPr>
          <w:sz w:val="20"/>
          <w:szCs w:val="20"/>
        </w:rPr>
      </w:pPr>
    </w:p>
    <w:p w14:paraId="739D304C"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 xml:space="preserve">On 29 August 2017, 13,000,000 Series B Warrants were issued to the IPO </w:t>
      </w:r>
      <w:proofErr w:type="spellStart"/>
      <w:r>
        <w:rPr>
          <w:color w:val="231F20"/>
          <w:sz w:val="18"/>
          <w:szCs w:val="18"/>
        </w:rPr>
        <w:t>Placees</w:t>
      </w:r>
      <w:proofErr w:type="spellEnd"/>
      <w:r>
        <w:rPr>
          <w:color w:val="231F20"/>
          <w:sz w:val="18"/>
          <w:szCs w:val="18"/>
        </w:rPr>
        <w:t>. The Series B</w:t>
      </w:r>
      <w:r>
        <w:rPr>
          <w:color w:val="231F20"/>
          <w:spacing w:val="-10"/>
          <w:sz w:val="18"/>
          <w:szCs w:val="18"/>
        </w:rPr>
        <w:t xml:space="preserve"> </w:t>
      </w:r>
      <w:r>
        <w:rPr>
          <w:color w:val="231F20"/>
          <w:sz w:val="18"/>
          <w:szCs w:val="18"/>
        </w:rPr>
        <w:t>Warrants</w:t>
      </w:r>
      <w:r>
        <w:rPr>
          <w:color w:val="231F20"/>
          <w:spacing w:val="-6"/>
          <w:sz w:val="18"/>
          <w:szCs w:val="18"/>
        </w:rPr>
        <w:t xml:space="preserve"> </w:t>
      </w:r>
      <w:r>
        <w:rPr>
          <w:color w:val="231F20"/>
          <w:sz w:val="18"/>
          <w:szCs w:val="18"/>
        </w:rPr>
        <w:t>were</w:t>
      </w:r>
      <w:r>
        <w:rPr>
          <w:color w:val="231F20"/>
          <w:spacing w:val="-5"/>
          <w:sz w:val="18"/>
          <w:szCs w:val="18"/>
        </w:rPr>
        <w:t xml:space="preserve"> </w:t>
      </w:r>
      <w:r>
        <w:rPr>
          <w:color w:val="231F20"/>
          <w:sz w:val="18"/>
          <w:szCs w:val="18"/>
        </w:rPr>
        <w:t>exercisable</w:t>
      </w:r>
      <w:r>
        <w:rPr>
          <w:color w:val="231F20"/>
          <w:spacing w:val="-6"/>
          <w:sz w:val="18"/>
          <w:szCs w:val="18"/>
        </w:rPr>
        <w:t xml:space="preserve"> </w:t>
      </w:r>
      <w:r>
        <w:rPr>
          <w:color w:val="231F20"/>
          <w:sz w:val="18"/>
          <w:szCs w:val="18"/>
        </w:rPr>
        <w:t>until</w:t>
      </w:r>
      <w:r>
        <w:rPr>
          <w:color w:val="231F20"/>
          <w:spacing w:val="-6"/>
          <w:sz w:val="18"/>
          <w:szCs w:val="18"/>
        </w:rPr>
        <w:t xml:space="preserve"> </w:t>
      </w:r>
      <w:r>
        <w:rPr>
          <w:color w:val="231F20"/>
          <w:sz w:val="18"/>
          <w:szCs w:val="18"/>
        </w:rPr>
        <w:t>the</w:t>
      </w:r>
      <w:r>
        <w:rPr>
          <w:color w:val="231F20"/>
          <w:spacing w:val="-7"/>
          <w:sz w:val="18"/>
          <w:szCs w:val="18"/>
        </w:rPr>
        <w:t xml:space="preserve"> </w:t>
      </w:r>
      <w:r>
        <w:rPr>
          <w:color w:val="231F20"/>
          <w:sz w:val="18"/>
          <w:szCs w:val="18"/>
        </w:rPr>
        <w:t>third</w:t>
      </w:r>
      <w:r>
        <w:rPr>
          <w:color w:val="231F20"/>
          <w:spacing w:val="-6"/>
          <w:sz w:val="18"/>
          <w:szCs w:val="18"/>
        </w:rPr>
        <w:t xml:space="preserve"> </w:t>
      </w:r>
      <w:r>
        <w:rPr>
          <w:color w:val="231F20"/>
          <w:sz w:val="18"/>
          <w:szCs w:val="18"/>
        </w:rPr>
        <w:t>anniversary</w:t>
      </w:r>
      <w:r>
        <w:rPr>
          <w:color w:val="231F20"/>
          <w:spacing w:val="-7"/>
          <w:sz w:val="18"/>
          <w:szCs w:val="18"/>
        </w:rPr>
        <w:t xml:space="preserve"> </w:t>
      </w:r>
      <w:r>
        <w:rPr>
          <w:color w:val="231F20"/>
          <w:sz w:val="18"/>
          <w:szCs w:val="18"/>
        </w:rPr>
        <w:t>of</w:t>
      </w:r>
      <w:r>
        <w:rPr>
          <w:color w:val="231F20"/>
          <w:spacing w:val="-4"/>
          <w:sz w:val="18"/>
          <w:szCs w:val="18"/>
        </w:rPr>
        <w:t xml:space="preserve"> </w:t>
      </w:r>
      <w:r>
        <w:rPr>
          <w:color w:val="231F20"/>
          <w:sz w:val="18"/>
          <w:szCs w:val="18"/>
        </w:rPr>
        <w:t>IPO</w:t>
      </w:r>
      <w:r>
        <w:rPr>
          <w:color w:val="231F20"/>
          <w:spacing w:val="-7"/>
          <w:sz w:val="18"/>
          <w:szCs w:val="18"/>
        </w:rPr>
        <w:t xml:space="preserve"> </w:t>
      </w:r>
      <w:r>
        <w:rPr>
          <w:color w:val="231F20"/>
          <w:sz w:val="18"/>
          <w:szCs w:val="18"/>
        </w:rPr>
        <w:t>Admission,</w:t>
      </w:r>
      <w:r>
        <w:rPr>
          <w:color w:val="231F20"/>
          <w:spacing w:val="-5"/>
          <w:sz w:val="18"/>
          <w:szCs w:val="18"/>
        </w:rPr>
        <w:t xml:space="preserve"> </w:t>
      </w:r>
      <w:r>
        <w:rPr>
          <w:color w:val="231F20"/>
          <w:sz w:val="18"/>
          <w:szCs w:val="18"/>
        </w:rPr>
        <w:t>being</w:t>
      </w:r>
      <w:r>
        <w:rPr>
          <w:color w:val="231F20"/>
          <w:spacing w:val="-4"/>
          <w:sz w:val="18"/>
          <w:szCs w:val="18"/>
        </w:rPr>
        <w:t xml:space="preserve"> </w:t>
      </w:r>
      <w:r>
        <w:rPr>
          <w:color w:val="231F20"/>
          <w:sz w:val="18"/>
          <w:szCs w:val="18"/>
        </w:rPr>
        <w:t>29</w:t>
      </w:r>
      <w:r>
        <w:rPr>
          <w:color w:val="231F20"/>
          <w:spacing w:val="-5"/>
          <w:sz w:val="18"/>
          <w:szCs w:val="18"/>
        </w:rPr>
        <w:t xml:space="preserve"> </w:t>
      </w:r>
      <w:r>
        <w:rPr>
          <w:color w:val="231F20"/>
          <w:sz w:val="18"/>
          <w:szCs w:val="18"/>
        </w:rPr>
        <w:t>August</w:t>
      </w:r>
      <w:r>
        <w:rPr>
          <w:color w:val="231F20"/>
          <w:spacing w:val="-4"/>
          <w:sz w:val="18"/>
          <w:szCs w:val="18"/>
        </w:rPr>
        <w:t xml:space="preserve"> </w:t>
      </w:r>
      <w:r>
        <w:rPr>
          <w:color w:val="231F20"/>
          <w:sz w:val="18"/>
          <w:szCs w:val="18"/>
        </w:rPr>
        <w:t>2020, as such all rights granted pursuant to the Series B Warrant Deeds are now</w:t>
      </w:r>
      <w:r>
        <w:rPr>
          <w:color w:val="231F20"/>
          <w:spacing w:val="-24"/>
          <w:sz w:val="18"/>
          <w:szCs w:val="18"/>
        </w:rPr>
        <w:t xml:space="preserve"> </w:t>
      </w:r>
      <w:r>
        <w:rPr>
          <w:color w:val="231F20"/>
          <w:sz w:val="18"/>
          <w:szCs w:val="18"/>
        </w:rPr>
        <w:t>extinguished.</w:t>
      </w:r>
    </w:p>
    <w:p w14:paraId="7052D53C" w14:textId="77777777" w:rsidR="00783288" w:rsidRDefault="00783288">
      <w:pPr>
        <w:pStyle w:val="BodyText"/>
        <w:kinsoku w:val="0"/>
        <w:overflowPunct w:val="0"/>
        <w:spacing w:before="10"/>
        <w:rPr>
          <w:sz w:val="20"/>
          <w:szCs w:val="20"/>
        </w:rPr>
      </w:pPr>
    </w:p>
    <w:p w14:paraId="34CB41EE" w14:textId="77777777" w:rsidR="00783288" w:rsidRDefault="00E31420" w:rsidP="00512495">
      <w:pPr>
        <w:pStyle w:val="ListParagraph"/>
        <w:numPr>
          <w:ilvl w:val="2"/>
          <w:numId w:val="13"/>
        </w:numPr>
        <w:tabs>
          <w:tab w:val="left" w:pos="1822"/>
        </w:tabs>
        <w:kinsoku w:val="0"/>
        <w:overflowPunct w:val="0"/>
        <w:spacing w:before="1"/>
        <w:ind w:right="1037"/>
        <w:jc w:val="both"/>
        <w:rPr>
          <w:color w:val="231F20"/>
          <w:sz w:val="18"/>
          <w:szCs w:val="18"/>
        </w:rPr>
      </w:pPr>
      <w:r>
        <w:rPr>
          <w:color w:val="231F20"/>
          <w:sz w:val="18"/>
          <w:szCs w:val="18"/>
        </w:rPr>
        <w:t>On 29 August 2017, 494,300 Shard Warrants were issued to the nominees of Shard. The Shard Warrants</w:t>
      </w:r>
      <w:r>
        <w:rPr>
          <w:color w:val="231F20"/>
          <w:spacing w:val="-7"/>
          <w:sz w:val="18"/>
          <w:szCs w:val="18"/>
        </w:rPr>
        <w:t xml:space="preserve"> </w:t>
      </w:r>
      <w:r>
        <w:rPr>
          <w:color w:val="231F20"/>
          <w:sz w:val="18"/>
          <w:szCs w:val="18"/>
        </w:rPr>
        <w:t>were</w:t>
      </w:r>
      <w:r>
        <w:rPr>
          <w:color w:val="231F20"/>
          <w:spacing w:val="-6"/>
          <w:sz w:val="18"/>
          <w:szCs w:val="18"/>
        </w:rPr>
        <w:t xml:space="preserve"> </w:t>
      </w:r>
      <w:r>
        <w:rPr>
          <w:color w:val="231F20"/>
          <w:sz w:val="18"/>
          <w:szCs w:val="18"/>
        </w:rPr>
        <w:t>exercisable</w:t>
      </w:r>
      <w:r>
        <w:rPr>
          <w:color w:val="231F20"/>
          <w:spacing w:val="-6"/>
          <w:sz w:val="18"/>
          <w:szCs w:val="18"/>
        </w:rPr>
        <w:t xml:space="preserve"> </w:t>
      </w:r>
      <w:r>
        <w:rPr>
          <w:color w:val="231F20"/>
          <w:sz w:val="18"/>
          <w:szCs w:val="18"/>
        </w:rPr>
        <w:t>until</w:t>
      </w:r>
      <w:r>
        <w:rPr>
          <w:color w:val="231F20"/>
          <w:spacing w:val="-7"/>
          <w:sz w:val="18"/>
          <w:szCs w:val="18"/>
        </w:rPr>
        <w:t xml:space="preserve"> </w:t>
      </w:r>
      <w:r>
        <w:rPr>
          <w:color w:val="231F20"/>
          <w:sz w:val="18"/>
          <w:szCs w:val="18"/>
        </w:rPr>
        <w:t>the</w:t>
      </w:r>
      <w:r>
        <w:rPr>
          <w:color w:val="231F20"/>
          <w:spacing w:val="-9"/>
          <w:sz w:val="18"/>
          <w:szCs w:val="18"/>
        </w:rPr>
        <w:t xml:space="preserve"> </w:t>
      </w:r>
      <w:r>
        <w:rPr>
          <w:color w:val="231F20"/>
          <w:sz w:val="18"/>
          <w:szCs w:val="18"/>
        </w:rPr>
        <w:t>second</w:t>
      </w:r>
      <w:r>
        <w:rPr>
          <w:color w:val="231F20"/>
          <w:spacing w:val="-9"/>
          <w:sz w:val="18"/>
          <w:szCs w:val="18"/>
        </w:rPr>
        <w:t xml:space="preserve"> </w:t>
      </w:r>
      <w:r>
        <w:rPr>
          <w:color w:val="231F20"/>
          <w:sz w:val="18"/>
          <w:szCs w:val="18"/>
        </w:rPr>
        <w:t>anniversary</w:t>
      </w:r>
      <w:r>
        <w:rPr>
          <w:color w:val="231F20"/>
          <w:spacing w:val="-8"/>
          <w:sz w:val="18"/>
          <w:szCs w:val="18"/>
        </w:rPr>
        <w:t xml:space="preserve"> </w:t>
      </w:r>
      <w:r>
        <w:rPr>
          <w:color w:val="231F20"/>
          <w:sz w:val="18"/>
          <w:szCs w:val="18"/>
        </w:rPr>
        <w:t>of</w:t>
      </w:r>
      <w:r>
        <w:rPr>
          <w:color w:val="231F20"/>
          <w:spacing w:val="-6"/>
          <w:sz w:val="18"/>
          <w:szCs w:val="18"/>
        </w:rPr>
        <w:t xml:space="preserve"> </w:t>
      </w:r>
      <w:r>
        <w:rPr>
          <w:color w:val="231F20"/>
          <w:sz w:val="18"/>
          <w:szCs w:val="18"/>
        </w:rPr>
        <w:t>IPO</w:t>
      </w:r>
      <w:r>
        <w:rPr>
          <w:color w:val="231F20"/>
          <w:spacing w:val="-8"/>
          <w:sz w:val="18"/>
          <w:szCs w:val="18"/>
        </w:rPr>
        <w:t xml:space="preserve"> </w:t>
      </w:r>
      <w:r>
        <w:rPr>
          <w:color w:val="231F20"/>
          <w:sz w:val="18"/>
          <w:szCs w:val="18"/>
        </w:rPr>
        <w:t>Admission,</w:t>
      </w:r>
      <w:r>
        <w:rPr>
          <w:color w:val="231F20"/>
          <w:spacing w:val="-7"/>
          <w:sz w:val="18"/>
          <w:szCs w:val="18"/>
        </w:rPr>
        <w:t xml:space="preserve"> </w:t>
      </w:r>
      <w:r>
        <w:rPr>
          <w:color w:val="231F20"/>
          <w:sz w:val="18"/>
          <w:szCs w:val="18"/>
        </w:rPr>
        <w:t>being</w:t>
      </w:r>
      <w:r>
        <w:rPr>
          <w:color w:val="231F20"/>
          <w:spacing w:val="-6"/>
          <w:sz w:val="18"/>
          <w:szCs w:val="18"/>
        </w:rPr>
        <w:t xml:space="preserve"> </w:t>
      </w:r>
      <w:r>
        <w:rPr>
          <w:color w:val="231F20"/>
          <w:sz w:val="18"/>
          <w:szCs w:val="18"/>
        </w:rPr>
        <w:t>29</w:t>
      </w:r>
      <w:r>
        <w:rPr>
          <w:color w:val="231F20"/>
          <w:spacing w:val="-6"/>
          <w:sz w:val="18"/>
          <w:szCs w:val="18"/>
        </w:rPr>
        <w:t xml:space="preserve"> </w:t>
      </w:r>
      <w:r>
        <w:rPr>
          <w:color w:val="231F20"/>
          <w:sz w:val="18"/>
          <w:szCs w:val="18"/>
        </w:rPr>
        <w:t>August</w:t>
      </w:r>
      <w:r>
        <w:rPr>
          <w:color w:val="231F20"/>
          <w:spacing w:val="-9"/>
          <w:sz w:val="18"/>
          <w:szCs w:val="18"/>
        </w:rPr>
        <w:t xml:space="preserve"> </w:t>
      </w:r>
      <w:r>
        <w:rPr>
          <w:color w:val="231F20"/>
          <w:sz w:val="18"/>
          <w:szCs w:val="18"/>
        </w:rPr>
        <w:t>2019 and as such all rights granted pursuant to the Shard Warrant Deed are now</w:t>
      </w:r>
      <w:r>
        <w:rPr>
          <w:color w:val="231F20"/>
          <w:spacing w:val="-21"/>
          <w:sz w:val="18"/>
          <w:szCs w:val="18"/>
        </w:rPr>
        <w:t xml:space="preserve"> </w:t>
      </w:r>
      <w:proofErr w:type="gramStart"/>
      <w:r>
        <w:rPr>
          <w:color w:val="231F20"/>
          <w:sz w:val="18"/>
          <w:szCs w:val="18"/>
        </w:rPr>
        <w:t>extinguished;</w:t>
      </w:r>
      <w:proofErr w:type="gramEnd"/>
    </w:p>
    <w:p w14:paraId="74AD06EC" w14:textId="77777777" w:rsidR="00783288" w:rsidRDefault="00783288">
      <w:pPr>
        <w:pStyle w:val="BodyText"/>
        <w:kinsoku w:val="0"/>
        <w:overflowPunct w:val="0"/>
        <w:spacing w:before="8"/>
        <w:rPr>
          <w:sz w:val="20"/>
          <w:szCs w:val="20"/>
        </w:rPr>
      </w:pPr>
    </w:p>
    <w:p w14:paraId="2CEF862B"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On 28 June 2018, 13,333,332 Series C Warrants were issued. The Series C Warrants were exercisable until the second anniversary of RTO Admission, being 3 July 2020, and as such all rights granted pursuant to the Series C Warrant Deed are now</w:t>
      </w:r>
      <w:r>
        <w:rPr>
          <w:color w:val="231F20"/>
          <w:spacing w:val="-19"/>
          <w:sz w:val="18"/>
          <w:szCs w:val="18"/>
        </w:rPr>
        <w:t xml:space="preserve"> </w:t>
      </w:r>
      <w:r>
        <w:rPr>
          <w:color w:val="231F20"/>
          <w:sz w:val="18"/>
          <w:szCs w:val="18"/>
        </w:rPr>
        <w:t>extinguished.</w:t>
      </w:r>
    </w:p>
    <w:p w14:paraId="7BFAF1F7" w14:textId="77777777" w:rsidR="00783288" w:rsidRDefault="00783288">
      <w:pPr>
        <w:pStyle w:val="BodyText"/>
        <w:kinsoku w:val="0"/>
        <w:overflowPunct w:val="0"/>
        <w:spacing w:before="10"/>
        <w:rPr>
          <w:sz w:val="20"/>
          <w:szCs w:val="20"/>
        </w:rPr>
      </w:pPr>
    </w:p>
    <w:p w14:paraId="65218278"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On</w:t>
      </w:r>
      <w:r>
        <w:rPr>
          <w:color w:val="231F20"/>
          <w:spacing w:val="-6"/>
          <w:sz w:val="18"/>
          <w:szCs w:val="18"/>
        </w:rPr>
        <w:t xml:space="preserve"> </w:t>
      </w:r>
      <w:r>
        <w:rPr>
          <w:color w:val="231F20"/>
          <w:sz w:val="18"/>
          <w:szCs w:val="18"/>
        </w:rPr>
        <w:t>3</w:t>
      </w:r>
      <w:r>
        <w:rPr>
          <w:color w:val="231F20"/>
          <w:spacing w:val="-6"/>
          <w:sz w:val="18"/>
          <w:szCs w:val="18"/>
        </w:rPr>
        <w:t xml:space="preserve"> </w:t>
      </w:r>
      <w:r>
        <w:rPr>
          <w:color w:val="231F20"/>
          <w:sz w:val="18"/>
          <w:szCs w:val="18"/>
        </w:rPr>
        <w:t>July</w:t>
      </w:r>
      <w:r>
        <w:rPr>
          <w:color w:val="231F20"/>
          <w:spacing w:val="-8"/>
          <w:sz w:val="18"/>
          <w:szCs w:val="18"/>
        </w:rPr>
        <w:t xml:space="preserve"> </w:t>
      </w:r>
      <w:r>
        <w:rPr>
          <w:color w:val="231F20"/>
          <w:sz w:val="18"/>
          <w:szCs w:val="18"/>
        </w:rPr>
        <w:t>2018,</w:t>
      </w:r>
      <w:r>
        <w:rPr>
          <w:color w:val="231F20"/>
          <w:spacing w:val="-6"/>
          <w:sz w:val="18"/>
          <w:szCs w:val="18"/>
        </w:rPr>
        <w:t xml:space="preserve"> </w:t>
      </w:r>
      <w:r>
        <w:rPr>
          <w:color w:val="231F20"/>
          <w:sz w:val="18"/>
          <w:szCs w:val="18"/>
        </w:rPr>
        <w:t>33,333,334</w:t>
      </w:r>
      <w:r>
        <w:rPr>
          <w:color w:val="231F20"/>
          <w:spacing w:val="-6"/>
          <w:sz w:val="18"/>
          <w:szCs w:val="18"/>
        </w:rPr>
        <w:t xml:space="preserve"> </w:t>
      </w:r>
      <w:r>
        <w:rPr>
          <w:color w:val="231F20"/>
          <w:sz w:val="18"/>
          <w:szCs w:val="18"/>
        </w:rPr>
        <w:t>Ordinary</w:t>
      </w:r>
      <w:r>
        <w:rPr>
          <w:color w:val="231F20"/>
          <w:spacing w:val="-8"/>
          <w:sz w:val="18"/>
          <w:szCs w:val="18"/>
        </w:rPr>
        <w:t xml:space="preserve"> </w:t>
      </w:r>
      <w:r>
        <w:rPr>
          <w:color w:val="231F20"/>
          <w:sz w:val="18"/>
          <w:szCs w:val="18"/>
        </w:rPr>
        <w:t>Shares</w:t>
      </w:r>
      <w:r>
        <w:rPr>
          <w:color w:val="231F20"/>
          <w:spacing w:val="-6"/>
          <w:sz w:val="18"/>
          <w:szCs w:val="18"/>
        </w:rPr>
        <w:t xml:space="preserve"> </w:t>
      </w:r>
      <w:r>
        <w:rPr>
          <w:color w:val="231F20"/>
          <w:sz w:val="18"/>
          <w:szCs w:val="18"/>
        </w:rPr>
        <w:t>were</w:t>
      </w:r>
      <w:r>
        <w:rPr>
          <w:color w:val="231F20"/>
          <w:spacing w:val="-6"/>
          <w:sz w:val="18"/>
          <w:szCs w:val="18"/>
        </w:rPr>
        <w:t xml:space="preserve"> </w:t>
      </w:r>
      <w:r>
        <w:rPr>
          <w:color w:val="231F20"/>
          <w:sz w:val="18"/>
          <w:szCs w:val="18"/>
        </w:rPr>
        <w:t>issued</w:t>
      </w:r>
      <w:r>
        <w:rPr>
          <w:color w:val="231F20"/>
          <w:spacing w:val="-6"/>
          <w:sz w:val="18"/>
          <w:szCs w:val="18"/>
        </w:rPr>
        <w:t xml:space="preserve"> </w:t>
      </w:r>
      <w:r>
        <w:rPr>
          <w:color w:val="231F20"/>
          <w:sz w:val="18"/>
          <w:szCs w:val="18"/>
        </w:rPr>
        <w:t>and</w:t>
      </w:r>
      <w:r>
        <w:rPr>
          <w:color w:val="231F20"/>
          <w:spacing w:val="-9"/>
          <w:sz w:val="18"/>
          <w:szCs w:val="18"/>
        </w:rPr>
        <w:t xml:space="preserve"> </w:t>
      </w:r>
      <w:r>
        <w:rPr>
          <w:color w:val="231F20"/>
          <w:sz w:val="18"/>
          <w:szCs w:val="18"/>
        </w:rPr>
        <w:t>allotted,</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which</w:t>
      </w:r>
      <w:r>
        <w:rPr>
          <w:color w:val="231F20"/>
          <w:spacing w:val="-6"/>
          <w:sz w:val="18"/>
          <w:szCs w:val="18"/>
        </w:rPr>
        <w:t xml:space="preserve"> </w:t>
      </w:r>
      <w:r>
        <w:rPr>
          <w:color w:val="231F20"/>
          <w:sz w:val="18"/>
          <w:szCs w:val="18"/>
        </w:rPr>
        <w:t>26,666,667</w:t>
      </w:r>
      <w:r>
        <w:rPr>
          <w:color w:val="231F20"/>
          <w:spacing w:val="-9"/>
          <w:sz w:val="18"/>
          <w:szCs w:val="18"/>
        </w:rPr>
        <w:t xml:space="preserve"> </w:t>
      </w:r>
      <w:r>
        <w:rPr>
          <w:color w:val="231F20"/>
          <w:sz w:val="18"/>
          <w:szCs w:val="18"/>
        </w:rPr>
        <w:t>were allotted</w:t>
      </w:r>
      <w:r>
        <w:rPr>
          <w:color w:val="231F20"/>
          <w:spacing w:val="-8"/>
          <w:sz w:val="18"/>
          <w:szCs w:val="18"/>
        </w:rPr>
        <w:t xml:space="preserve"> </w:t>
      </w:r>
      <w:r>
        <w:rPr>
          <w:color w:val="231F20"/>
          <w:sz w:val="18"/>
          <w:szCs w:val="18"/>
        </w:rPr>
        <w:t>to</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RTO</w:t>
      </w:r>
      <w:r>
        <w:rPr>
          <w:color w:val="231F20"/>
          <w:spacing w:val="-6"/>
          <w:sz w:val="18"/>
          <w:szCs w:val="18"/>
        </w:rPr>
        <w:t xml:space="preserve"> </w:t>
      </w:r>
      <w:r>
        <w:rPr>
          <w:color w:val="231F20"/>
          <w:sz w:val="18"/>
          <w:szCs w:val="18"/>
        </w:rPr>
        <w:t>Investors</w:t>
      </w:r>
      <w:r>
        <w:rPr>
          <w:color w:val="231F20"/>
          <w:spacing w:val="-4"/>
          <w:sz w:val="18"/>
          <w:szCs w:val="18"/>
        </w:rPr>
        <w:t xml:space="preserve"> </w:t>
      </w:r>
      <w:r>
        <w:rPr>
          <w:color w:val="231F20"/>
          <w:sz w:val="18"/>
          <w:szCs w:val="18"/>
        </w:rPr>
        <w:t>and</w:t>
      </w:r>
      <w:r>
        <w:rPr>
          <w:color w:val="231F20"/>
          <w:spacing w:val="-6"/>
          <w:sz w:val="18"/>
          <w:szCs w:val="18"/>
        </w:rPr>
        <w:t xml:space="preserve"> </w:t>
      </w:r>
      <w:r>
        <w:rPr>
          <w:color w:val="231F20"/>
          <w:sz w:val="18"/>
          <w:szCs w:val="18"/>
        </w:rPr>
        <w:t>6,666,667</w:t>
      </w:r>
      <w:r>
        <w:rPr>
          <w:color w:val="231F20"/>
          <w:spacing w:val="-7"/>
          <w:sz w:val="18"/>
          <w:szCs w:val="18"/>
        </w:rPr>
        <w:t xml:space="preserve"> </w:t>
      </w:r>
      <w:r>
        <w:rPr>
          <w:color w:val="231F20"/>
          <w:sz w:val="18"/>
          <w:szCs w:val="18"/>
        </w:rPr>
        <w:t>being</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Consideration</w:t>
      </w:r>
      <w:r>
        <w:rPr>
          <w:color w:val="231F20"/>
          <w:spacing w:val="-5"/>
          <w:sz w:val="18"/>
          <w:szCs w:val="18"/>
        </w:rPr>
        <w:t xml:space="preserve"> </w:t>
      </w:r>
      <w:r>
        <w:rPr>
          <w:color w:val="231F20"/>
          <w:sz w:val="18"/>
          <w:szCs w:val="18"/>
        </w:rPr>
        <w:t>Shares,</w:t>
      </w:r>
      <w:r>
        <w:rPr>
          <w:color w:val="231F20"/>
          <w:spacing w:val="-7"/>
          <w:sz w:val="18"/>
          <w:szCs w:val="18"/>
        </w:rPr>
        <w:t xml:space="preserve"> </w:t>
      </w:r>
      <w:r>
        <w:rPr>
          <w:color w:val="231F20"/>
          <w:sz w:val="18"/>
          <w:szCs w:val="18"/>
        </w:rPr>
        <w:t>which</w:t>
      </w:r>
      <w:r>
        <w:rPr>
          <w:color w:val="231F20"/>
          <w:spacing w:val="-5"/>
          <w:sz w:val="18"/>
          <w:szCs w:val="18"/>
        </w:rPr>
        <w:t xml:space="preserve"> </w:t>
      </w:r>
      <w:r>
        <w:rPr>
          <w:color w:val="231F20"/>
          <w:sz w:val="18"/>
          <w:szCs w:val="18"/>
        </w:rPr>
        <w:t>were</w:t>
      </w:r>
      <w:r>
        <w:rPr>
          <w:color w:val="231F20"/>
          <w:spacing w:val="-6"/>
          <w:sz w:val="18"/>
          <w:szCs w:val="18"/>
        </w:rPr>
        <w:t xml:space="preserve"> </w:t>
      </w:r>
      <w:r>
        <w:rPr>
          <w:color w:val="231F20"/>
          <w:sz w:val="18"/>
          <w:szCs w:val="18"/>
        </w:rPr>
        <w:t>allotted to the HKP Sellers pursuant to the Acquisition, such Ordinary Shares being fully paid. This allotment brought the Company’s total number of shares in issue to 61,933,334 Ordinary Shares and 2,000,000 Deferred</w:t>
      </w:r>
      <w:r>
        <w:rPr>
          <w:color w:val="231F20"/>
          <w:spacing w:val="2"/>
          <w:sz w:val="18"/>
          <w:szCs w:val="18"/>
        </w:rPr>
        <w:t xml:space="preserve"> </w:t>
      </w:r>
      <w:r>
        <w:rPr>
          <w:color w:val="231F20"/>
          <w:sz w:val="18"/>
          <w:szCs w:val="18"/>
        </w:rPr>
        <w:t>Shares.</w:t>
      </w:r>
    </w:p>
    <w:p w14:paraId="51972B9B" w14:textId="77777777" w:rsidR="00783288" w:rsidRDefault="00783288">
      <w:pPr>
        <w:pStyle w:val="BodyText"/>
        <w:kinsoku w:val="0"/>
        <w:overflowPunct w:val="0"/>
        <w:spacing w:before="10"/>
        <w:rPr>
          <w:sz w:val="20"/>
          <w:szCs w:val="20"/>
        </w:rPr>
      </w:pPr>
    </w:p>
    <w:p w14:paraId="2F70B65F"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On 31 July 2020, pursuant to a placing carried out by the</w:t>
      </w:r>
      <w:r>
        <w:rPr>
          <w:color w:val="231F20"/>
          <w:spacing w:val="-7"/>
          <w:sz w:val="18"/>
          <w:szCs w:val="18"/>
        </w:rPr>
        <w:t xml:space="preserve"> </w:t>
      </w:r>
      <w:r>
        <w:rPr>
          <w:color w:val="231F20"/>
          <w:sz w:val="18"/>
          <w:szCs w:val="18"/>
        </w:rPr>
        <w:t>Company:</w:t>
      </w:r>
    </w:p>
    <w:p w14:paraId="121124EB" w14:textId="77777777" w:rsidR="00783288" w:rsidRDefault="00783288">
      <w:pPr>
        <w:pStyle w:val="BodyText"/>
        <w:kinsoku w:val="0"/>
        <w:overflowPunct w:val="0"/>
        <w:rPr>
          <w:sz w:val="21"/>
          <w:szCs w:val="21"/>
        </w:rPr>
      </w:pPr>
    </w:p>
    <w:p w14:paraId="36C20D02" w14:textId="77777777" w:rsidR="00783288" w:rsidRDefault="00E31420" w:rsidP="00512495">
      <w:pPr>
        <w:pStyle w:val="ListParagraph"/>
        <w:numPr>
          <w:ilvl w:val="3"/>
          <w:numId w:val="13"/>
        </w:numPr>
        <w:tabs>
          <w:tab w:val="left" w:pos="2955"/>
        </w:tabs>
        <w:kinsoku w:val="0"/>
        <w:overflowPunct w:val="0"/>
        <w:spacing w:line="237" w:lineRule="auto"/>
        <w:ind w:right="1033"/>
        <w:jc w:val="both"/>
        <w:rPr>
          <w:color w:val="231F20"/>
          <w:sz w:val="18"/>
          <w:szCs w:val="18"/>
        </w:rPr>
      </w:pPr>
      <w:r>
        <w:rPr>
          <w:color w:val="231F20"/>
          <w:sz w:val="18"/>
          <w:szCs w:val="18"/>
        </w:rPr>
        <w:t>12,000,000 Ordinary Shares of 0.1p each were allotted at a price of 5.25p per Ordinary Share, such Ordinary Shares being fully paid, bringing the total number of</w:t>
      </w:r>
      <w:r>
        <w:rPr>
          <w:color w:val="231F20"/>
          <w:spacing w:val="-12"/>
          <w:sz w:val="18"/>
          <w:szCs w:val="18"/>
        </w:rPr>
        <w:t xml:space="preserve"> </w:t>
      </w:r>
      <w:r>
        <w:rPr>
          <w:color w:val="231F20"/>
          <w:sz w:val="18"/>
          <w:szCs w:val="18"/>
        </w:rPr>
        <w:t>Ordinary</w:t>
      </w:r>
      <w:r>
        <w:rPr>
          <w:color w:val="231F20"/>
          <w:spacing w:val="-14"/>
          <w:sz w:val="18"/>
          <w:szCs w:val="18"/>
        </w:rPr>
        <w:t xml:space="preserve"> </w:t>
      </w:r>
      <w:r>
        <w:rPr>
          <w:color w:val="231F20"/>
          <w:sz w:val="18"/>
          <w:szCs w:val="18"/>
        </w:rPr>
        <w:t>Shares</w:t>
      </w:r>
      <w:r>
        <w:rPr>
          <w:color w:val="231F20"/>
          <w:spacing w:val="-10"/>
          <w:sz w:val="18"/>
          <w:szCs w:val="18"/>
        </w:rPr>
        <w:t xml:space="preserve"> </w:t>
      </w:r>
      <w:r>
        <w:rPr>
          <w:color w:val="231F20"/>
          <w:sz w:val="18"/>
          <w:szCs w:val="18"/>
        </w:rPr>
        <w:t>in</w:t>
      </w:r>
      <w:r>
        <w:rPr>
          <w:color w:val="231F20"/>
          <w:spacing w:val="-12"/>
          <w:sz w:val="18"/>
          <w:szCs w:val="18"/>
        </w:rPr>
        <w:t xml:space="preserve"> </w:t>
      </w:r>
      <w:r>
        <w:rPr>
          <w:color w:val="231F20"/>
          <w:sz w:val="18"/>
          <w:szCs w:val="18"/>
        </w:rPr>
        <w:t>issue</w:t>
      </w:r>
      <w:r>
        <w:rPr>
          <w:color w:val="231F20"/>
          <w:spacing w:val="-11"/>
          <w:sz w:val="18"/>
          <w:szCs w:val="18"/>
        </w:rPr>
        <w:t xml:space="preserve"> </w:t>
      </w:r>
      <w:r>
        <w:rPr>
          <w:color w:val="231F20"/>
          <w:sz w:val="18"/>
          <w:szCs w:val="18"/>
        </w:rPr>
        <w:t>to</w:t>
      </w:r>
      <w:r>
        <w:rPr>
          <w:color w:val="231F20"/>
          <w:spacing w:val="-17"/>
          <w:sz w:val="18"/>
          <w:szCs w:val="18"/>
        </w:rPr>
        <w:t xml:space="preserve"> </w:t>
      </w:r>
      <w:r>
        <w:rPr>
          <w:color w:val="231F20"/>
          <w:sz w:val="18"/>
          <w:szCs w:val="18"/>
        </w:rPr>
        <w:t>73,933,334</w:t>
      </w:r>
      <w:r>
        <w:rPr>
          <w:color w:val="231F20"/>
          <w:spacing w:val="-11"/>
          <w:sz w:val="18"/>
          <w:szCs w:val="18"/>
        </w:rPr>
        <w:t xml:space="preserve"> </w:t>
      </w:r>
      <w:r>
        <w:rPr>
          <w:color w:val="231F20"/>
          <w:sz w:val="18"/>
          <w:szCs w:val="18"/>
        </w:rPr>
        <w:t>Ordinary</w:t>
      </w:r>
      <w:r>
        <w:rPr>
          <w:color w:val="231F20"/>
          <w:spacing w:val="-14"/>
          <w:sz w:val="18"/>
          <w:szCs w:val="18"/>
        </w:rPr>
        <w:t xml:space="preserve"> </w:t>
      </w:r>
      <w:r>
        <w:rPr>
          <w:color w:val="231F20"/>
          <w:sz w:val="18"/>
          <w:szCs w:val="18"/>
        </w:rPr>
        <w:t>Shares</w:t>
      </w:r>
      <w:r>
        <w:rPr>
          <w:color w:val="231F20"/>
          <w:spacing w:val="-11"/>
          <w:sz w:val="18"/>
          <w:szCs w:val="18"/>
        </w:rPr>
        <w:t xml:space="preserve"> </w:t>
      </w:r>
      <w:r>
        <w:rPr>
          <w:color w:val="231F20"/>
          <w:sz w:val="18"/>
          <w:szCs w:val="18"/>
        </w:rPr>
        <w:t>and</w:t>
      </w:r>
      <w:r>
        <w:rPr>
          <w:color w:val="231F20"/>
          <w:spacing w:val="-11"/>
          <w:sz w:val="18"/>
          <w:szCs w:val="18"/>
        </w:rPr>
        <w:t xml:space="preserve"> </w:t>
      </w:r>
      <w:r>
        <w:rPr>
          <w:color w:val="231F20"/>
          <w:sz w:val="18"/>
          <w:szCs w:val="18"/>
        </w:rPr>
        <w:t>2,000,000</w:t>
      </w:r>
      <w:r>
        <w:rPr>
          <w:color w:val="231F20"/>
          <w:spacing w:val="-12"/>
          <w:sz w:val="18"/>
          <w:szCs w:val="18"/>
        </w:rPr>
        <w:t xml:space="preserve"> </w:t>
      </w:r>
      <w:r>
        <w:rPr>
          <w:color w:val="231F20"/>
          <w:sz w:val="18"/>
          <w:szCs w:val="18"/>
        </w:rPr>
        <w:t xml:space="preserve">Deferred </w:t>
      </w:r>
      <w:proofErr w:type="gramStart"/>
      <w:r>
        <w:rPr>
          <w:color w:val="231F20"/>
          <w:sz w:val="18"/>
          <w:szCs w:val="18"/>
        </w:rPr>
        <w:t>Shares;</w:t>
      </w:r>
      <w:proofErr w:type="gramEnd"/>
    </w:p>
    <w:p w14:paraId="4D79E410" w14:textId="77777777" w:rsidR="00783288" w:rsidRDefault="00783288">
      <w:pPr>
        <w:pStyle w:val="BodyText"/>
        <w:kinsoku w:val="0"/>
        <w:overflowPunct w:val="0"/>
        <w:spacing w:before="1"/>
        <w:rPr>
          <w:sz w:val="21"/>
          <w:szCs w:val="21"/>
        </w:rPr>
      </w:pPr>
    </w:p>
    <w:p w14:paraId="582F0796" w14:textId="77777777" w:rsidR="00783288" w:rsidRDefault="00E31420" w:rsidP="00512495">
      <w:pPr>
        <w:pStyle w:val="ListParagraph"/>
        <w:numPr>
          <w:ilvl w:val="3"/>
          <w:numId w:val="13"/>
        </w:numPr>
        <w:tabs>
          <w:tab w:val="left" w:pos="2955"/>
        </w:tabs>
        <w:kinsoku w:val="0"/>
        <w:overflowPunct w:val="0"/>
        <w:ind w:hanging="1134"/>
        <w:rPr>
          <w:color w:val="231F20"/>
          <w:sz w:val="18"/>
          <w:szCs w:val="18"/>
        </w:rPr>
      </w:pPr>
      <w:r>
        <w:rPr>
          <w:color w:val="231F20"/>
          <w:sz w:val="18"/>
          <w:szCs w:val="18"/>
        </w:rPr>
        <w:t>Broker Warrants over 1,009,333 Ordinary Shares were granted to Fox</w:t>
      </w:r>
      <w:r>
        <w:rPr>
          <w:color w:val="231F20"/>
          <w:spacing w:val="-13"/>
          <w:sz w:val="18"/>
          <w:szCs w:val="18"/>
        </w:rPr>
        <w:t xml:space="preserve"> </w:t>
      </w:r>
      <w:proofErr w:type="gramStart"/>
      <w:r>
        <w:rPr>
          <w:color w:val="231F20"/>
          <w:sz w:val="18"/>
          <w:szCs w:val="18"/>
        </w:rPr>
        <w:t>Davies;</w:t>
      </w:r>
      <w:proofErr w:type="gramEnd"/>
    </w:p>
    <w:p w14:paraId="1F42F42A" w14:textId="77777777" w:rsidR="00783288" w:rsidRDefault="00783288">
      <w:pPr>
        <w:pStyle w:val="BodyText"/>
        <w:kinsoku w:val="0"/>
        <w:overflowPunct w:val="0"/>
        <w:spacing w:before="9"/>
        <w:rPr>
          <w:sz w:val="20"/>
          <w:szCs w:val="20"/>
        </w:rPr>
      </w:pPr>
    </w:p>
    <w:p w14:paraId="669DAD99" w14:textId="38568473" w:rsidR="00783288" w:rsidRDefault="00E03C6C" w:rsidP="00512495">
      <w:pPr>
        <w:pStyle w:val="ListParagraph"/>
        <w:numPr>
          <w:ilvl w:val="3"/>
          <w:numId w:val="13"/>
        </w:numPr>
        <w:tabs>
          <w:tab w:val="left" w:pos="2955"/>
        </w:tabs>
        <w:kinsoku w:val="0"/>
        <w:overflowPunct w:val="0"/>
        <w:spacing w:before="1" w:line="235" w:lineRule="auto"/>
        <w:ind w:right="1037"/>
        <w:jc w:val="both"/>
        <w:rPr>
          <w:color w:val="231F20"/>
          <w:sz w:val="18"/>
          <w:szCs w:val="18"/>
        </w:rPr>
      </w:pPr>
      <w:r>
        <w:rPr>
          <w:color w:val="231F20"/>
          <w:sz w:val="18"/>
          <w:szCs w:val="18"/>
        </w:rPr>
        <w:t>O</w:t>
      </w:r>
      <w:r w:rsidR="00E31420">
        <w:rPr>
          <w:color w:val="231F20"/>
          <w:sz w:val="18"/>
          <w:szCs w:val="18"/>
        </w:rPr>
        <w:t xml:space="preserve">ptions over a total of 1,935,000 Ordinary Shares were granted to certain Directors and key </w:t>
      </w:r>
      <w:proofErr w:type="gramStart"/>
      <w:r w:rsidR="00E31420">
        <w:rPr>
          <w:color w:val="231F20"/>
          <w:sz w:val="18"/>
          <w:szCs w:val="18"/>
        </w:rPr>
        <w:t>personnel;</w:t>
      </w:r>
      <w:proofErr w:type="gramEnd"/>
      <w:r w:rsidR="00E31420">
        <w:rPr>
          <w:color w:val="231F20"/>
          <w:spacing w:val="-5"/>
          <w:sz w:val="18"/>
          <w:szCs w:val="18"/>
        </w:rPr>
        <w:t xml:space="preserve"> </w:t>
      </w:r>
      <w:r w:rsidR="00E31420">
        <w:rPr>
          <w:color w:val="231F20"/>
          <w:sz w:val="18"/>
          <w:szCs w:val="18"/>
        </w:rPr>
        <w:t>and</w:t>
      </w:r>
    </w:p>
    <w:p w14:paraId="4A19A537" w14:textId="77777777" w:rsidR="00783288" w:rsidRDefault="00783288">
      <w:pPr>
        <w:pStyle w:val="BodyText"/>
        <w:kinsoku w:val="0"/>
        <w:overflowPunct w:val="0"/>
        <w:rPr>
          <w:sz w:val="21"/>
          <w:szCs w:val="21"/>
        </w:rPr>
      </w:pPr>
    </w:p>
    <w:p w14:paraId="54E418A1" w14:textId="6A23F635" w:rsidR="00783288" w:rsidRDefault="00E31420" w:rsidP="00512495">
      <w:pPr>
        <w:pStyle w:val="ListParagraph"/>
        <w:numPr>
          <w:ilvl w:val="3"/>
          <w:numId w:val="13"/>
        </w:numPr>
        <w:tabs>
          <w:tab w:val="left" w:pos="2955"/>
        </w:tabs>
        <w:kinsoku w:val="0"/>
        <w:overflowPunct w:val="0"/>
        <w:ind w:hanging="1134"/>
        <w:rPr>
          <w:color w:val="231F20"/>
          <w:sz w:val="18"/>
          <w:szCs w:val="18"/>
        </w:rPr>
      </w:pPr>
      <w:r>
        <w:rPr>
          <w:color w:val="231F20"/>
          <w:sz w:val="18"/>
          <w:szCs w:val="18"/>
        </w:rPr>
        <w:t xml:space="preserve">certain existing </w:t>
      </w:r>
      <w:r w:rsidR="00E03C6C">
        <w:rPr>
          <w:color w:val="231F20"/>
          <w:sz w:val="18"/>
          <w:szCs w:val="18"/>
        </w:rPr>
        <w:t>Options</w:t>
      </w:r>
      <w:r>
        <w:rPr>
          <w:color w:val="231F20"/>
          <w:sz w:val="18"/>
          <w:szCs w:val="18"/>
        </w:rPr>
        <w:t xml:space="preserve"> in the Company were</w:t>
      </w:r>
      <w:r>
        <w:rPr>
          <w:color w:val="231F20"/>
          <w:spacing w:val="-1"/>
          <w:sz w:val="18"/>
          <w:szCs w:val="18"/>
        </w:rPr>
        <w:t xml:space="preserve"> </w:t>
      </w:r>
      <w:r>
        <w:rPr>
          <w:color w:val="231F20"/>
          <w:sz w:val="18"/>
          <w:szCs w:val="18"/>
        </w:rPr>
        <w:t>repriced.</w:t>
      </w:r>
    </w:p>
    <w:p w14:paraId="4D91B6AC" w14:textId="77777777" w:rsidR="00783288" w:rsidRDefault="00783288">
      <w:pPr>
        <w:pStyle w:val="BodyText"/>
        <w:kinsoku w:val="0"/>
        <w:overflowPunct w:val="0"/>
        <w:spacing w:before="5"/>
        <w:rPr>
          <w:sz w:val="20"/>
          <w:szCs w:val="20"/>
        </w:rPr>
      </w:pPr>
    </w:p>
    <w:p w14:paraId="6A19CAAF" w14:textId="78DE9E3E" w:rsidR="00783288" w:rsidRDefault="00E31420">
      <w:pPr>
        <w:pStyle w:val="BodyText"/>
        <w:kinsoku w:val="0"/>
        <w:overflowPunct w:val="0"/>
        <w:spacing w:before="1"/>
        <w:ind w:left="1821" w:right="1189"/>
        <w:rPr>
          <w:color w:val="231F20"/>
        </w:rPr>
      </w:pPr>
      <w:r>
        <w:rPr>
          <w:color w:val="231F20"/>
        </w:rPr>
        <w:t xml:space="preserve">Further details on the grant of warrants and </w:t>
      </w:r>
      <w:r w:rsidR="00E03C6C">
        <w:rPr>
          <w:color w:val="231F20"/>
        </w:rPr>
        <w:t xml:space="preserve">Options </w:t>
      </w:r>
      <w:r>
        <w:rPr>
          <w:color w:val="231F20"/>
        </w:rPr>
        <w:t xml:space="preserve">and the repricing of </w:t>
      </w:r>
      <w:r w:rsidR="00E03C6C">
        <w:rPr>
          <w:color w:val="231F20"/>
        </w:rPr>
        <w:t xml:space="preserve">Options </w:t>
      </w:r>
      <w:r>
        <w:rPr>
          <w:color w:val="231F20"/>
        </w:rPr>
        <w:t>are set out in paragraphs 11 and 10 of this Part VII respectively.</w:t>
      </w:r>
    </w:p>
    <w:p w14:paraId="7A81927B" w14:textId="77777777" w:rsidR="00783288" w:rsidRDefault="00783288">
      <w:pPr>
        <w:pStyle w:val="BodyText"/>
        <w:kinsoku w:val="0"/>
        <w:overflowPunct w:val="0"/>
        <w:spacing w:before="8"/>
        <w:rPr>
          <w:sz w:val="20"/>
          <w:szCs w:val="20"/>
        </w:rPr>
      </w:pPr>
    </w:p>
    <w:p w14:paraId="57DD8300" w14:textId="1EAB5D34" w:rsidR="00246C57" w:rsidRDefault="00246C57" w:rsidP="00512495">
      <w:pPr>
        <w:pStyle w:val="ListParagraph"/>
        <w:numPr>
          <w:ilvl w:val="2"/>
          <w:numId w:val="13"/>
        </w:numPr>
        <w:tabs>
          <w:tab w:val="left" w:pos="1822"/>
        </w:tabs>
        <w:kinsoku w:val="0"/>
        <w:overflowPunct w:val="0"/>
        <w:ind w:right="1038"/>
        <w:jc w:val="both"/>
        <w:rPr>
          <w:color w:val="231F20"/>
          <w:sz w:val="18"/>
          <w:szCs w:val="18"/>
        </w:rPr>
      </w:pPr>
      <w:r>
        <w:rPr>
          <w:color w:val="231F20"/>
          <w:sz w:val="18"/>
          <w:szCs w:val="18"/>
        </w:rPr>
        <w:t xml:space="preserve">On </w:t>
      </w:r>
      <w:r w:rsidR="00455319">
        <w:rPr>
          <w:sz w:val="18"/>
          <w:szCs w:val="18"/>
        </w:rPr>
        <w:t xml:space="preserve">11 December </w:t>
      </w:r>
      <w:r>
        <w:rPr>
          <w:sz w:val="18"/>
          <w:szCs w:val="18"/>
        </w:rPr>
        <w:t>2020</w:t>
      </w:r>
      <w:r>
        <w:rPr>
          <w:color w:val="231F20"/>
          <w:sz w:val="18"/>
          <w:szCs w:val="18"/>
        </w:rPr>
        <w:t xml:space="preserve"> pursuant to </w:t>
      </w:r>
      <w:r w:rsidR="00A20052">
        <w:rPr>
          <w:color w:val="231F20"/>
          <w:sz w:val="18"/>
          <w:szCs w:val="18"/>
        </w:rPr>
        <w:t>the December 2020 Fundraise</w:t>
      </w:r>
      <w:r>
        <w:rPr>
          <w:color w:val="231F20"/>
          <w:sz w:val="18"/>
          <w:szCs w:val="18"/>
        </w:rPr>
        <w:t xml:space="preserve"> carried out by the Company</w:t>
      </w:r>
      <w:r w:rsidR="00A20052">
        <w:rPr>
          <w:color w:val="231F20"/>
          <w:sz w:val="18"/>
          <w:szCs w:val="18"/>
        </w:rPr>
        <w:t xml:space="preserve"> and at the December 2020 Fundraise Price</w:t>
      </w:r>
      <w:r>
        <w:rPr>
          <w:color w:val="231F20"/>
          <w:sz w:val="18"/>
          <w:szCs w:val="18"/>
        </w:rPr>
        <w:t>:</w:t>
      </w:r>
    </w:p>
    <w:p w14:paraId="67F77CD3" w14:textId="77777777" w:rsidR="00246C57" w:rsidRDefault="00246C57" w:rsidP="00246C57">
      <w:pPr>
        <w:pStyle w:val="ListParagraph"/>
        <w:tabs>
          <w:tab w:val="left" w:pos="1822"/>
        </w:tabs>
        <w:kinsoku w:val="0"/>
        <w:overflowPunct w:val="0"/>
        <w:ind w:left="1821" w:right="1038" w:firstLine="0"/>
        <w:jc w:val="both"/>
        <w:rPr>
          <w:color w:val="231F20"/>
          <w:sz w:val="18"/>
          <w:szCs w:val="18"/>
        </w:rPr>
      </w:pPr>
    </w:p>
    <w:p w14:paraId="1C7CA516" w14:textId="77777777" w:rsidR="00B82AE5" w:rsidRDefault="00246C57" w:rsidP="00512495">
      <w:pPr>
        <w:pStyle w:val="ListParagraph"/>
        <w:numPr>
          <w:ilvl w:val="3"/>
          <w:numId w:val="13"/>
        </w:numPr>
        <w:tabs>
          <w:tab w:val="left" w:pos="2955"/>
        </w:tabs>
        <w:kinsoku w:val="0"/>
        <w:overflowPunct w:val="0"/>
        <w:spacing w:line="237" w:lineRule="auto"/>
        <w:ind w:left="2977" w:right="1038" w:hanging="1156"/>
        <w:jc w:val="both"/>
        <w:rPr>
          <w:color w:val="231F20"/>
          <w:sz w:val="18"/>
          <w:szCs w:val="18"/>
        </w:rPr>
      </w:pPr>
      <w:r>
        <w:rPr>
          <w:color w:val="231F20"/>
          <w:sz w:val="18"/>
          <w:szCs w:val="18"/>
        </w:rPr>
        <w:t xml:space="preserve">23,333,334 new Ordinary Shares were allotted to </w:t>
      </w:r>
      <w:proofErr w:type="spellStart"/>
      <w:proofErr w:type="gramStart"/>
      <w:r>
        <w:rPr>
          <w:color w:val="231F20"/>
          <w:sz w:val="18"/>
          <w:szCs w:val="18"/>
        </w:rPr>
        <w:t>Polymetal</w:t>
      </w:r>
      <w:proofErr w:type="spellEnd"/>
      <w:r w:rsidR="00455319">
        <w:rPr>
          <w:color w:val="231F20"/>
          <w:sz w:val="18"/>
          <w:szCs w:val="18"/>
        </w:rPr>
        <w:t>;</w:t>
      </w:r>
      <w:proofErr w:type="gramEnd"/>
    </w:p>
    <w:p w14:paraId="74D60F30" w14:textId="77777777" w:rsidR="00455319" w:rsidRDefault="00455319" w:rsidP="00BC739F">
      <w:pPr>
        <w:pStyle w:val="ListParagraph"/>
        <w:tabs>
          <w:tab w:val="left" w:pos="2955"/>
        </w:tabs>
        <w:kinsoku w:val="0"/>
        <w:overflowPunct w:val="0"/>
        <w:spacing w:line="237" w:lineRule="auto"/>
        <w:ind w:left="2977" w:right="1038" w:firstLine="0"/>
        <w:jc w:val="both"/>
        <w:rPr>
          <w:color w:val="231F20"/>
          <w:sz w:val="18"/>
          <w:szCs w:val="18"/>
        </w:rPr>
      </w:pPr>
    </w:p>
    <w:p w14:paraId="5311883E" w14:textId="5CE3FB5A" w:rsidR="00246C57" w:rsidRDefault="00246C57" w:rsidP="00512495">
      <w:pPr>
        <w:pStyle w:val="ListParagraph"/>
        <w:numPr>
          <w:ilvl w:val="3"/>
          <w:numId w:val="13"/>
        </w:numPr>
        <w:tabs>
          <w:tab w:val="left" w:pos="2955"/>
        </w:tabs>
        <w:kinsoku w:val="0"/>
        <w:overflowPunct w:val="0"/>
        <w:spacing w:line="237" w:lineRule="auto"/>
        <w:ind w:left="2977" w:right="1038" w:hanging="1156"/>
        <w:jc w:val="both"/>
        <w:rPr>
          <w:color w:val="231F20"/>
          <w:sz w:val="18"/>
          <w:szCs w:val="18"/>
        </w:rPr>
      </w:pPr>
      <w:r>
        <w:rPr>
          <w:color w:val="231F20"/>
          <w:sz w:val="18"/>
          <w:szCs w:val="18"/>
        </w:rPr>
        <w:t xml:space="preserve">Mr Martin French was granted an </w:t>
      </w:r>
      <w:r w:rsidR="00E03C6C">
        <w:rPr>
          <w:color w:val="231F20"/>
          <w:sz w:val="18"/>
          <w:szCs w:val="18"/>
        </w:rPr>
        <w:t>O</w:t>
      </w:r>
      <w:r>
        <w:rPr>
          <w:color w:val="231F20"/>
          <w:sz w:val="18"/>
          <w:szCs w:val="18"/>
        </w:rPr>
        <w:t>ption to subscribe for 1,000,000 Ordinary</w:t>
      </w:r>
      <w:r w:rsidR="00B82AE5">
        <w:rPr>
          <w:color w:val="231F20"/>
          <w:sz w:val="18"/>
          <w:szCs w:val="18"/>
        </w:rPr>
        <w:t xml:space="preserve"> </w:t>
      </w:r>
      <w:proofErr w:type="gramStart"/>
      <w:r w:rsidR="008F4DB7">
        <w:rPr>
          <w:color w:val="231F20"/>
          <w:sz w:val="18"/>
          <w:szCs w:val="18"/>
        </w:rPr>
        <w:t>Shares</w:t>
      </w:r>
      <w:r>
        <w:rPr>
          <w:color w:val="231F20"/>
          <w:sz w:val="18"/>
          <w:szCs w:val="18"/>
        </w:rPr>
        <w:t>;</w:t>
      </w:r>
      <w:proofErr w:type="gramEnd"/>
    </w:p>
    <w:p w14:paraId="62A48A43" w14:textId="77777777" w:rsidR="008F4DB7" w:rsidRDefault="008F4DB7" w:rsidP="00BC739F">
      <w:pPr>
        <w:pStyle w:val="ListParagraph"/>
        <w:tabs>
          <w:tab w:val="left" w:pos="2955"/>
        </w:tabs>
        <w:kinsoku w:val="0"/>
        <w:overflowPunct w:val="0"/>
        <w:spacing w:line="237" w:lineRule="auto"/>
        <w:ind w:left="2977" w:right="1038" w:firstLine="0"/>
        <w:jc w:val="both"/>
        <w:rPr>
          <w:color w:val="231F20"/>
          <w:sz w:val="18"/>
          <w:szCs w:val="18"/>
        </w:rPr>
      </w:pPr>
    </w:p>
    <w:p w14:paraId="5D592114" w14:textId="65BF7361" w:rsidR="008F4DB7" w:rsidRDefault="00B82AE5" w:rsidP="00512495">
      <w:pPr>
        <w:pStyle w:val="ListParagraph"/>
        <w:numPr>
          <w:ilvl w:val="3"/>
          <w:numId w:val="13"/>
        </w:numPr>
        <w:tabs>
          <w:tab w:val="left" w:pos="2955"/>
        </w:tabs>
        <w:kinsoku w:val="0"/>
        <w:overflowPunct w:val="0"/>
        <w:spacing w:line="237" w:lineRule="auto"/>
        <w:ind w:left="2977" w:right="1038" w:hanging="1156"/>
        <w:jc w:val="both"/>
        <w:rPr>
          <w:color w:val="231F20"/>
          <w:sz w:val="18"/>
          <w:szCs w:val="18"/>
        </w:rPr>
      </w:pPr>
      <w:r>
        <w:rPr>
          <w:color w:val="231F20"/>
          <w:sz w:val="18"/>
          <w:szCs w:val="18"/>
        </w:rPr>
        <w:t>3,333,333</w:t>
      </w:r>
      <w:r w:rsidR="008F4DB7">
        <w:rPr>
          <w:color w:val="231F20"/>
          <w:sz w:val="18"/>
          <w:szCs w:val="18"/>
        </w:rPr>
        <w:t xml:space="preserve"> new Ordinary Shares were allotted to </w:t>
      </w:r>
      <w:r>
        <w:rPr>
          <w:color w:val="231F20"/>
          <w:sz w:val="18"/>
          <w:szCs w:val="18"/>
        </w:rPr>
        <w:t xml:space="preserve">certain Subscribers; and </w:t>
      </w:r>
    </w:p>
    <w:p w14:paraId="10512BE2" w14:textId="77777777" w:rsidR="002D4CD0" w:rsidRPr="00FE358B" w:rsidRDefault="002D4CD0" w:rsidP="00FE358B">
      <w:pPr>
        <w:pStyle w:val="ListParagraph"/>
        <w:rPr>
          <w:color w:val="231F20"/>
          <w:sz w:val="18"/>
          <w:szCs w:val="18"/>
        </w:rPr>
      </w:pPr>
    </w:p>
    <w:p w14:paraId="7CBA40B4" w14:textId="1B085188" w:rsidR="002D4CD0" w:rsidRDefault="002D4CD0" w:rsidP="00512495">
      <w:pPr>
        <w:pStyle w:val="ListParagraph"/>
        <w:numPr>
          <w:ilvl w:val="3"/>
          <w:numId w:val="13"/>
        </w:numPr>
        <w:tabs>
          <w:tab w:val="left" w:pos="2955"/>
        </w:tabs>
        <w:kinsoku w:val="0"/>
        <w:overflowPunct w:val="0"/>
        <w:spacing w:line="237" w:lineRule="auto"/>
        <w:ind w:left="2977" w:right="1038" w:hanging="1156"/>
        <w:jc w:val="both"/>
        <w:rPr>
          <w:color w:val="231F20"/>
          <w:sz w:val="18"/>
          <w:szCs w:val="18"/>
        </w:rPr>
      </w:pPr>
      <w:r>
        <w:rPr>
          <w:color w:val="231F20"/>
          <w:sz w:val="18"/>
          <w:szCs w:val="18"/>
        </w:rPr>
        <w:t>55,556 Warrants over Ordinary Shares were granted to Fox Davies</w:t>
      </w:r>
    </w:p>
    <w:p w14:paraId="51F2B255" w14:textId="26674B17" w:rsidR="00702CAD" w:rsidRPr="003734E0" w:rsidRDefault="00702CAD" w:rsidP="00BC739F">
      <w:pPr>
        <w:rPr>
          <w:color w:val="231F20"/>
          <w:sz w:val="18"/>
          <w:szCs w:val="18"/>
        </w:rPr>
      </w:pPr>
    </w:p>
    <w:p w14:paraId="66B056D2" w14:textId="77777777" w:rsidR="00060CF2" w:rsidRDefault="00060CF2" w:rsidP="00512495">
      <w:pPr>
        <w:pStyle w:val="ListParagraph"/>
        <w:numPr>
          <w:ilvl w:val="1"/>
          <w:numId w:val="13"/>
        </w:numPr>
        <w:tabs>
          <w:tab w:val="left" w:pos="1822"/>
        </w:tabs>
        <w:kinsoku w:val="0"/>
        <w:overflowPunct w:val="0"/>
        <w:ind w:right="1037"/>
        <w:jc w:val="both"/>
        <w:rPr>
          <w:color w:val="231F20"/>
          <w:sz w:val="18"/>
          <w:szCs w:val="18"/>
        </w:rPr>
      </w:pPr>
      <w:bookmarkStart w:id="10" w:name="_Hlk63957830"/>
      <w:r>
        <w:rPr>
          <w:color w:val="231F20"/>
          <w:sz w:val="18"/>
          <w:szCs w:val="18"/>
        </w:rPr>
        <w:t>The Company raised gross proceeds of £2,500,000 from the December 2020 Fundraise from the following sources:</w:t>
      </w:r>
    </w:p>
    <w:p w14:paraId="15FF9E5E" w14:textId="77777777" w:rsidR="00060CF2" w:rsidRDefault="00060CF2" w:rsidP="00060CF2">
      <w:pPr>
        <w:pStyle w:val="ListParagraph"/>
        <w:tabs>
          <w:tab w:val="left" w:pos="1822"/>
        </w:tabs>
        <w:kinsoku w:val="0"/>
        <w:overflowPunct w:val="0"/>
        <w:ind w:left="840" w:right="1037" w:firstLine="0"/>
        <w:jc w:val="both"/>
        <w:rPr>
          <w:color w:val="231F20"/>
          <w:sz w:val="18"/>
          <w:szCs w:val="18"/>
        </w:rPr>
      </w:pPr>
    </w:p>
    <w:p w14:paraId="0A6B3B18" w14:textId="77777777" w:rsidR="00060CF2" w:rsidRDefault="00060CF2" w:rsidP="00512495">
      <w:pPr>
        <w:pStyle w:val="ListParagraph"/>
        <w:numPr>
          <w:ilvl w:val="3"/>
          <w:numId w:val="13"/>
        </w:numPr>
        <w:tabs>
          <w:tab w:val="left" w:pos="2955"/>
        </w:tabs>
        <w:kinsoku w:val="0"/>
        <w:overflowPunct w:val="0"/>
        <w:spacing w:line="237" w:lineRule="auto"/>
        <w:ind w:right="1038"/>
        <w:jc w:val="both"/>
        <w:rPr>
          <w:color w:val="231F20"/>
          <w:sz w:val="18"/>
          <w:szCs w:val="18"/>
        </w:rPr>
      </w:pPr>
      <w:r>
        <w:rPr>
          <w:color w:val="231F20"/>
          <w:sz w:val="18"/>
          <w:szCs w:val="18"/>
        </w:rPr>
        <w:t xml:space="preserve">£2,100,000 from the issue and allotment of 23,333,334 Ordinary Shares to </w:t>
      </w:r>
      <w:proofErr w:type="spellStart"/>
      <w:proofErr w:type="gramStart"/>
      <w:r>
        <w:rPr>
          <w:color w:val="231F20"/>
          <w:sz w:val="18"/>
          <w:szCs w:val="18"/>
        </w:rPr>
        <w:t>Polymetal</w:t>
      </w:r>
      <w:proofErr w:type="spellEnd"/>
      <w:r>
        <w:rPr>
          <w:color w:val="231F20"/>
          <w:sz w:val="18"/>
          <w:szCs w:val="18"/>
        </w:rPr>
        <w:t>;</w:t>
      </w:r>
      <w:proofErr w:type="gramEnd"/>
    </w:p>
    <w:p w14:paraId="4EC6AB02" w14:textId="77777777" w:rsidR="00060CF2" w:rsidRDefault="00060CF2" w:rsidP="00BC739F">
      <w:pPr>
        <w:pStyle w:val="ListParagraph"/>
        <w:tabs>
          <w:tab w:val="left" w:pos="2955"/>
        </w:tabs>
        <w:kinsoku w:val="0"/>
        <w:overflowPunct w:val="0"/>
        <w:spacing w:line="237" w:lineRule="auto"/>
        <w:ind w:left="2954" w:right="1038" w:firstLine="0"/>
        <w:jc w:val="both"/>
        <w:rPr>
          <w:color w:val="231F20"/>
          <w:sz w:val="18"/>
          <w:szCs w:val="18"/>
        </w:rPr>
      </w:pPr>
    </w:p>
    <w:p w14:paraId="369B5AC5" w14:textId="77777777" w:rsidR="00060CF2" w:rsidRDefault="00060CF2" w:rsidP="00512495">
      <w:pPr>
        <w:pStyle w:val="ListParagraph"/>
        <w:numPr>
          <w:ilvl w:val="3"/>
          <w:numId w:val="13"/>
        </w:numPr>
        <w:tabs>
          <w:tab w:val="left" w:pos="2955"/>
        </w:tabs>
        <w:kinsoku w:val="0"/>
        <w:overflowPunct w:val="0"/>
        <w:spacing w:line="237" w:lineRule="auto"/>
        <w:ind w:right="1038"/>
        <w:jc w:val="both"/>
        <w:rPr>
          <w:color w:val="231F20"/>
          <w:sz w:val="18"/>
          <w:szCs w:val="18"/>
        </w:rPr>
      </w:pPr>
      <w:r>
        <w:rPr>
          <w:color w:val="231F20"/>
          <w:sz w:val="18"/>
          <w:szCs w:val="18"/>
        </w:rPr>
        <w:t xml:space="preserve">£100,000 from the issue and allotment of 1,111,111 to </w:t>
      </w:r>
      <w:r w:rsidR="00BC739F">
        <w:rPr>
          <w:color w:val="231F20"/>
          <w:sz w:val="18"/>
          <w:szCs w:val="18"/>
        </w:rPr>
        <w:t xml:space="preserve">certain </w:t>
      </w:r>
      <w:proofErr w:type="spellStart"/>
      <w:r w:rsidR="00D80A4A">
        <w:rPr>
          <w:color w:val="231F20"/>
          <w:sz w:val="18"/>
          <w:szCs w:val="18"/>
        </w:rPr>
        <w:t>p</w:t>
      </w:r>
      <w:r>
        <w:rPr>
          <w:color w:val="231F20"/>
          <w:sz w:val="18"/>
          <w:szCs w:val="18"/>
        </w:rPr>
        <w:t>lacees</w:t>
      </w:r>
      <w:proofErr w:type="spellEnd"/>
      <w:r>
        <w:rPr>
          <w:color w:val="231F20"/>
          <w:sz w:val="18"/>
          <w:szCs w:val="18"/>
        </w:rPr>
        <w:t>; and</w:t>
      </w:r>
    </w:p>
    <w:p w14:paraId="00F618C1" w14:textId="77777777" w:rsidR="00060CF2" w:rsidRPr="00BC739F" w:rsidRDefault="00060CF2" w:rsidP="00BC739F">
      <w:pPr>
        <w:pStyle w:val="ListParagraph"/>
        <w:rPr>
          <w:color w:val="231F20"/>
          <w:sz w:val="18"/>
          <w:szCs w:val="18"/>
        </w:rPr>
      </w:pPr>
    </w:p>
    <w:p w14:paraId="7C2047C7" w14:textId="77777777" w:rsidR="00060CF2" w:rsidRPr="00BC739F" w:rsidRDefault="00060CF2" w:rsidP="00512495">
      <w:pPr>
        <w:pStyle w:val="ListParagraph"/>
        <w:numPr>
          <w:ilvl w:val="3"/>
          <w:numId w:val="13"/>
        </w:numPr>
        <w:tabs>
          <w:tab w:val="left" w:pos="2955"/>
        </w:tabs>
        <w:kinsoku w:val="0"/>
        <w:overflowPunct w:val="0"/>
        <w:spacing w:line="237" w:lineRule="auto"/>
        <w:ind w:right="1038"/>
        <w:jc w:val="both"/>
        <w:rPr>
          <w:color w:val="231F20"/>
          <w:sz w:val="18"/>
          <w:szCs w:val="18"/>
        </w:rPr>
      </w:pPr>
      <w:r>
        <w:rPr>
          <w:color w:val="231F20"/>
          <w:sz w:val="18"/>
          <w:szCs w:val="18"/>
        </w:rPr>
        <w:t xml:space="preserve">£300,000 from the issue and allotment of 3,333,333 to </w:t>
      </w:r>
      <w:r w:rsidR="00BC739F">
        <w:rPr>
          <w:color w:val="231F20"/>
          <w:sz w:val="18"/>
          <w:szCs w:val="18"/>
        </w:rPr>
        <w:t xml:space="preserve">certain </w:t>
      </w:r>
      <w:r w:rsidR="00D80A4A">
        <w:rPr>
          <w:color w:val="231F20"/>
          <w:sz w:val="18"/>
          <w:szCs w:val="18"/>
        </w:rPr>
        <w:t>s</w:t>
      </w:r>
      <w:r>
        <w:rPr>
          <w:color w:val="231F20"/>
          <w:sz w:val="18"/>
          <w:szCs w:val="18"/>
        </w:rPr>
        <w:t xml:space="preserve">ubscribers. </w:t>
      </w:r>
    </w:p>
    <w:p w14:paraId="7D6E88D0" w14:textId="77777777" w:rsidR="00060CF2" w:rsidRDefault="00060CF2" w:rsidP="00BC739F">
      <w:pPr>
        <w:pStyle w:val="ListParagraph"/>
        <w:tabs>
          <w:tab w:val="left" w:pos="1822"/>
        </w:tabs>
        <w:kinsoku w:val="0"/>
        <w:overflowPunct w:val="0"/>
        <w:ind w:left="840" w:right="1037" w:firstLine="0"/>
        <w:jc w:val="both"/>
        <w:rPr>
          <w:color w:val="231F20"/>
          <w:sz w:val="18"/>
          <w:szCs w:val="18"/>
        </w:rPr>
      </w:pPr>
    </w:p>
    <w:bookmarkEnd w:id="10"/>
    <w:p w14:paraId="2873C3DC" w14:textId="77777777" w:rsidR="00783288" w:rsidRDefault="00783288">
      <w:pPr>
        <w:pStyle w:val="BodyText"/>
        <w:kinsoku w:val="0"/>
        <w:overflowPunct w:val="0"/>
        <w:spacing w:before="10"/>
        <w:rPr>
          <w:sz w:val="20"/>
          <w:szCs w:val="20"/>
        </w:rPr>
      </w:pPr>
    </w:p>
    <w:p w14:paraId="427D678F" w14:textId="77777777" w:rsidR="001613C9" w:rsidRDefault="001613C9" w:rsidP="00512495">
      <w:pPr>
        <w:pStyle w:val="ListParagraph"/>
        <w:numPr>
          <w:ilvl w:val="1"/>
          <w:numId w:val="13"/>
        </w:numPr>
        <w:tabs>
          <w:tab w:val="left" w:pos="840"/>
        </w:tabs>
        <w:kinsoku w:val="0"/>
        <w:overflowPunct w:val="0"/>
        <w:spacing w:before="78"/>
        <w:ind w:left="839" w:right="1034"/>
        <w:jc w:val="both"/>
        <w:rPr>
          <w:color w:val="231F20"/>
          <w:sz w:val="18"/>
          <w:szCs w:val="18"/>
        </w:rPr>
      </w:pPr>
      <w:r>
        <w:rPr>
          <w:color w:val="231F20"/>
          <w:sz w:val="18"/>
          <w:szCs w:val="18"/>
        </w:rPr>
        <w:t xml:space="preserve">On 5 January 2021, the Company announced that it had resolved to issue Options over 1,400,000 Ordinary Shares </w:t>
      </w:r>
      <w:bookmarkStart w:id="11" w:name="_Hlk76289039"/>
      <w:r>
        <w:rPr>
          <w:color w:val="231F20"/>
          <w:sz w:val="18"/>
          <w:szCs w:val="18"/>
        </w:rPr>
        <w:t xml:space="preserve">exercisable at the price of 14p </w:t>
      </w:r>
      <w:bookmarkEnd w:id="11"/>
      <w:r>
        <w:rPr>
          <w:color w:val="231F20"/>
          <w:sz w:val="18"/>
          <w:szCs w:val="18"/>
        </w:rPr>
        <w:t xml:space="preserve">to Neil O’Brien, George Clegg, Ryan Fells and Paul Ensor, further details of which are set out at Paragraph 10 of this Part VII. </w:t>
      </w:r>
    </w:p>
    <w:p w14:paraId="5FFA9FFB" w14:textId="77777777" w:rsidR="001613C9" w:rsidRDefault="001613C9" w:rsidP="00512495">
      <w:pPr>
        <w:pStyle w:val="ListParagraph"/>
        <w:numPr>
          <w:ilvl w:val="1"/>
          <w:numId w:val="13"/>
        </w:numPr>
        <w:tabs>
          <w:tab w:val="left" w:pos="840"/>
        </w:tabs>
        <w:kinsoku w:val="0"/>
        <w:overflowPunct w:val="0"/>
        <w:spacing w:before="78"/>
        <w:ind w:left="839" w:right="1034"/>
        <w:jc w:val="both"/>
        <w:rPr>
          <w:color w:val="231F20"/>
          <w:sz w:val="18"/>
          <w:szCs w:val="18"/>
        </w:rPr>
      </w:pPr>
      <w:r>
        <w:rPr>
          <w:color w:val="231F20"/>
          <w:sz w:val="18"/>
          <w:szCs w:val="18"/>
        </w:rPr>
        <w:t xml:space="preserve">On 14 January 2021, the Company announced that it had received notifications from holders of Series A Warrants to exercise Series A Warrants over 200,000 new Ordinary Shares in the Company and accordingly the Company issued the new Ordinary Shares to the holders of the Series A Warrants for an aggregate cash value of £10,000, further details of which are set out at Paragraph 11 of this Part VII. </w:t>
      </w:r>
    </w:p>
    <w:p w14:paraId="2CD84184" w14:textId="77777777" w:rsidR="001613C9" w:rsidRDefault="001613C9" w:rsidP="00512495">
      <w:pPr>
        <w:pStyle w:val="ListParagraph"/>
        <w:numPr>
          <w:ilvl w:val="1"/>
          <w:numId w:val="13"/>
        </w:numPr>
        <w:tabs>
          <w:tab w:val="left" w:pos="840"/>
        </w:tabs>
        <w:kinsoku w:val="0"/>
        <w:overflowPunct w:val="0"/>
        <w:spacing w:before="78"/>
        <w:ind w:left="839" w:right="1034"/>
        <w:jc w:val="both"/>
        <w:rPr>
          <w:color w:val="231F20"/>
          <w:sz w:val="18"/>
          <w:szCs w:val="18"/>
        </w:rPr>
      </w:pPr>
      <w:r>
        <w:rPr>
          <w:color w:val="231F20"/>
          <w:sz w:val="18"/>
          <w:szCs w:val="18"/>
        </w:rPr>
        <w:t xml:space="preserve">On 5 February 2021, the Company announced that it had agreed to issue Ajay Kejriwal with Options over 250,000 Ordinary Shares exercisable at a price of 12.5p, further details of which are set out at Paragraph 10 of this Part VII. </w:t>
      </w:r>
    </w:p>
    <w:p w14:paraId="7F563CEA" w14:textId="77777777" w:rsidR="001613C9" w:rsidRDefault="001613C9" w:rsidP="00512495">
      <w:pPr>
        <w:pStyle w:val="ListParagraph"/>
        <w:numPr>
          <w:ilvl w:val="1"/>
          <w:numId w:val="13"/>
        </w:numPr>
        <w:tabs>
          <w:tab w:val="left" w:pos="840"/>
        </w:tabs>
        <w:kinsoku w:val="0"/>
        <w:overflowPunct w:val="0"/>
        <w:spacing w:before="78"/>
        <w:ind w:left="839" w:right="1034"/>
        <w:jc w:val="both"/>
        <w:rPr>
          <w:color w:val="231F20"/>
          <w:sz w:val="18"/>
          <w:szCs w:val="18"/>
        </w:rPr>
      </w:pPr>
      <w:r>
        <w:rPr>
          <w:color w:val="231F20"/>
          <w:sz w:val="18"/>
          <w:szCs w:val="18"/>
        </w:rPr>
        <w:t xml:space="preserve">On </w:t>
      </w:r>
      <w:r>
        <w:rPr>
          <w:sz w:val="18"/>
          <w:szCs w:val="18"/>
        </w:rPr>
        <w:t>19 May</w:t>
      </w:r>
      <w:r>
        <w:rPr>
          <w:color w:val="231F20"/>
          <w:sz w:val="18"/>
          <w:szCs w:val="18"/>
        </w:rPr>
        <w:t xml:space="preserve"> 2021, the Company announced that,</w:t>
      </w:r>
      <w:r w:rsidRPr="001613C9">
        <w:t xml:space="preserve"> </w:t>
      </w:r>
      <w:r w:rsidRPr="001613C9">
        <w:rPr>
          <w:color w:val="231F20"/>
          <w:sz w:val="18"/>
          <w:szCs w:val="18"/>
        </w:rPr>
        <w:t>conditional on various matters including upon Admission occurring on or before 31 July 2021,</w:t>
      </w:r>
      <w:r>
        <w:rPr>
          <w:color w:val="231F20"/>
          <w:sz w:val="18"/>
          <w:szCs w:val="18"/>
        </w:rPr>
        <w:t xml:space="preserve"> it had agreed to issue </w:t>
      </w:r>
      <w:r w:rsidRPr="000B2AF8">
        <w:rPr>
          <w:color w:val="231F20"/>
          <w:sz w:val="18"/>
          <w:szCs w:val="18"/>
        </w:rPr>
        <w:t xml:space="preserve">a total of 10,089,199 Labrador Consideration Shares and </w:t>
      </w:r>
      <w:r>
        <w:rPr>
          <w:color w:val="231F20"/>
          <w:sz w:val="18"/>
          <w:szCs w:val="18"/>
        </w:rPr>
        <w:t>11,100,000 Labrador Consideration Warrants to Altius pursuant to the Labrador Acquisition.</w:t>
      </w:r>
    </w:p>
    <w:p w14:paraId="3586BF91" w14:textId="542F8EFC" w:rsidR="001613C9" w:rsidRDefault="001613C9" w:rsidP="00512495">
      <w:pPr>
        <w:pStyle w:val="ListParagraph"/>
        <w:numPr>
          <w:ilvl w:val="1"/>
          <w:numId w:val="13"/>
        </w:numPr>
        <w:tabs>
          <w:tab w:val="left" w:pos="840"/>
        </w:tabs>
        <w:kinsoku w:val="0"/>
        <w:overflowPunct w:val="0"/>
        <w:spacing w:before="78"/>
        <w:ind w:right="1034"/>
        <w:jc w:val="both"/>
        <w:rPr>
          <w:color w:val="231F20"/>
          <w:sz w:val="18"/>
          <w:szCs w:val="18"/>
        </w:rPr>
      </w:pPr>
      <w:r w:rsidRPr="001613C9">
        <w:rPr>
          <w:color w:val="231F20"/>
          <w:sz w:val="18"/>
          <w:szCs w:val="18"/>
        </w:rPr>
        <w:t xml:space="preserve">On </w:t>
      </w:r>
      <w:r w:rsidR="00014F00">
        <w:rPr>
          <w:color w:val="231F20"/>
          <w:sz w:val="18"/>
          <w:szCs w:val="18"/>
        </w:rPr>
        <w:t>2 July</w:t>
      </w:r>
      <w:r w:rsidRPr="001613C9">
        <w:rPr>
          <w:color w:val="231F20"/>
          <w:sz w:val="18"/>
          <w:szCs w:val="18"/>
        </w:rPr>
        <w:t xml:space="preserve"> 2021, the Company announced that,</w:t>
      </w:r>
      <w:r w:rsidRPr="001613C9">
        <w:t xml:space="preserve"> </w:t>
      </w:r>
      <w:r w:rsidRPr="001613C9">
        <w:rPr>
          <w:color w:val="231F20"/>
          <w:sz w:val="18"/>
          <w:szCs w:val="18"/>
        </w:rPr>
        <w:t xml:space="preserve">conditional on various matters including upon Admission occurring on or before </w:t>
      </w:r>
      <w:r w:rsidR="00014F00">
        <w:rPr>
          <w:color w:val="231F20"/>
          <w:sz w:val="18"/>
          <w:szCs w:val="18"/>
        </w:rPr>
        <w:t>31 July</w:t>
      </w:r>
      <w:r w:rsidR="00F30857">
        <w:rPr>
          <w:color w:val="231F20"/>
          <w:sz w:val="18"/>
          <w:szCs w:val="18"/>
        </w:rPr>
        <w:t xml:space="preserve"> </w:t>
      </w:r>
      <w:r w:rsidRPr="001613C9">
        <w:rPr>
          <w:color w:val="231F20"/>
          <w:sz w:val="18"/>
          <w:szCs w:val="18"/>
        </w:rPr>
        <w:t xml:space="preserve">2021, it had agreed to issue a total of </w:t>
      </w:r>
      <w:r w:rsidR="00014F00">
        <w:rPr>
          <w:color w:val="231F20"/>
          <w:sz w:val="18"/>
          <w:szCs w:val="18"/>
        </w:rPr>
        <w:t>8,000,000</w:t>
      </w:r>
      <w:r w:rsidRPr="001613C9">
        <w:rPr>
          <w:color w:val="231F20"/>
          <w:sz w:val="18"/>
          <w:szCs w:val="18"/>
        </w:rPr>
        <w:t xml:space="preserve"> Placing Shares pursuant to the Placing.</w:t>
      </w:r>
    </w:p>
    <w:p w14:paraId="0F7BFEFE" w14:textId="48DEA0C8" w:rsidR="005D7785" w:rsidRDefault="005D7785" w:rsidP="00512495">
      <w:pPr>
        <w:pStyle w:val="ListParagraph"/>
        <w:numPr>
          <w:ilvl w:val="1"/>
          <w:numId w:val="13"/>
        </w:numPr>
        <w:tabs>
          <w:tab w:val="left" w:pos="840"/>
        </w:tabs>
        <w:kinsoku w:val="0"/>
        <w:overflowPunct w:val="0"/>
        <w:spacing w:before="78"/>
        <w:ind w:right="1034"/>
        <w:jc w:val="both"/>
        <w:rPr>
          <w:color w:val="231F20"/>
          <w:sz w:val="18"/>
          <w:szCs w:val="18"/>
        </w:rPr>
      </w:pPr>
      <w:r w:rsidRPr="001613C9">
        <w:rPr>
          <w:color w:val="231F20"/>
          <w:sz w:val="18"/>
          <w:szCs w:val="18"/>
        </w:rPr>
        <w:t xml:space="preserve">On </w:t>
      </w:r>
      <w:r>
        <w:rPr>
          <w:color w:val="231F20"/>
          <w:sz w:val="18"/>
          <w:szCs w:val="18"/>
        </w:rPr>
        <w:t>2 July</w:t>
      </w:r>
      <w:r w:rsidRPr="001613C9">
        <w:rPr>
          <w:color w:val="231F20"/>
          <w:sz w:val="18"/>
          <w:szCs w:val="18"/>
        </w:rPr>
        <w:t xml:space="preserve"> 2021, the Company </w:t>
      </w:r>
      <w:r>
        <w:rPr>
          <w:color w:val="231F20"/>
          <w:sz w:val="18"/>
          <w:szCs w:val="18"/>
        </w:rPr>
        <w:t xml:space="preserve">also </w:t>
      </w:r>
      <w:r w:rsidRPr="001613C9">
        <w:rPr>
          <w:color w:val="231F20"/>
          <w:sz w:val="18"/>
          <w:szCs w:val="18"/>
        </w:rPr>
        <w:t>announced th</w:t>
      </w:r>
      <w:r>
        <w:rPr>
          <w:color w:val="231F20"/>
          <w:sz w:val="18"/>
          <w:szCs w:val="18"/>
        </w:rPr>
        <w:t>e issue of 2,400,000 Options to certain Directors and key personnel</w:t>
      </w:r>
      <w:r w:rsidRPr="001613C9">
        <w:rPr>
          <w:color w:val="231F20"/>
          <w:sz w:val="18"/>
          <w:szCs w:val="18"/>
        </w:rPr>
        <w:t>,</w:t>
      </w:r>
      <w:r w:rsidRPr="001613C9">
        <w:t xml:space="preserve"> </w:t>
      </w:r>
      <w:r>
        <w:rPr>
          <w:color w:val="231F20"/>
          <w:sz w:val="18"/>
          <w:szCs w:val="18"/>
        </w:rPr>
        <w:t>exercisable at the price of 12p, further details of which are set out at Paragraph 10 of this Part VII</w:t>
      </w:r>
      <w:r w:rsidRPr="001613C9">
        <w:rPr>
          <w:color w:val="231F20"/>
          <w:sz w:val="18"/>
          <w:szCs w:val="18"/>
        </w:rPr>
        <w:t>.</w:t>
      </w:r>
    </w:p>
    <w:p w14:paraId="26CB185E" w14:textId="33935092" w:rsidR="001613C9" w:rsidRPr="001613C9" w:rsidRDefault="001613C9" w:rsidP="00512495">
      <w:pPr>
        <w:pStyle w:val="ListParagraph"/>
        <w:numPr>
          <w:ilvl w:val="1"/>
          <w:numId w:val="13"/>
        </w:numPr>
        <w:tabs>
          <w:tab w:val="left" w:pos="840"/>
        </w:tabs>
        <w:kinsoku w:val="0"/>
        <w:overflowPunct w:val="0"/>
        <w:spacing w:before="78"/>
        <w:ind w:right="1034"/>
        <w:jc w:val="both"/>
        <w:rPr>
          <w:color w:val="231F20"/>
          <w:sz w:val="18"/>
          <w:szCs w:val="18"/>
        </w:rPr>
      </w:pPr>
      <w:r w:rsidRPr="001613C9">
        <w:rPr>
          <w:color w:val="231F20"/>
          <w:sz w:val="18"/>
          <w:szCs w:val="18"/>
        </w:rPr>
        <w:t xml:space="preserve">Each Placing Share and Labrador Consideration Share will rank in full for all dividends and distributions declared made or paid after their issue and otherwise </w:t>
      </w:r>
      <w:proofErr w:type="spellStart"/>
      <w:r w:rsidRPr="001613C9">
        <w:rPr>
          <w:color w:val="231F20"/>
          <w:sz w:val="18"/>
          <w:szCs w:val="18"/>
        </w:rPr>
        <w:t>pari</w:t>
      </w:r>
      <w:proofErr w:type="spellEnd"/>
      <w:r w:rsidRPr="001613C9">
        <w:rPr>
          <w:color w:val="231F20"/>
          <w:sz w:val="18"/>
          <w:szCs w:val="18"/>
        </w:rPr>
        <w:t xml:space="preserve"> passu in all respects with each existing Ordinary Share and will have the same rights (including voting and dividend rights and rights on a return of capital).</w:t>
      </w:r>
    </w:p>
    <w:p w14:paraId="6B31F292" w14:textId="77777777" w:rsidR="001613C9" w:rsidRPr="008E00A8" w:rsidRDefault="001613C9" w:rsidP="008E00A8">
      <w:pPr>
        <w:rPr>
          <w:color w:val="231F20"/>
          <w:sz w:val="18"/>
          <w:szCs w:val="18"/>
        </w:rPr>
      </w:pPr>
    </w:p>
    <w:p w14:paraId="01BEAB62" w14:textId="1E6A1296" w:rsidR="001613C9" w:rsidRDefault="00E31420" w:rsidP="00512495">
      <w:pPr>
        <w:pStyle w:val="ListParagraph"/>
        <w:numPr>
          <w:ilvl w:val="1"/>
          <w:numId w:val="13"/>
        </w:numPr>
        <w:tabs>
          <w:tab w:val="left" w:pos="840"/>
        </w:tabs>
        <w:kinsoku w:val="0"/>
        <w:overflowPunct w:val="0"/>
        <w:spacing w:before="1"/>
        <w:ind w:left="839" w:right="1038"/>
        <w:jc w:val="both"/>
        <w:rPr>
          <w:color w:val="231F20"/>
          <w:sz w:val="18"/>
          <w:szCs w:val="18"/>
        </w:rPr>
      </w:pPr>
      <w:r>
        <w:rPr>
          <w:color w:val="231F20"/>
          <w:sz w:val="18"/>
          <w:szCs w:val="18"/>
        </w:rPr>
        <w:t xml:space="preserve">The </w:t>
      </w:r>
      <w:r w:rsidR="000B2AF8" w:rsidRPr="000B2AF8">
        <w:rPr>
          <w:color w:val="231F20"/>
          <w:sz w:val="18"/>
          <w:szCs w:val="18"/>
        </w:rPr>
        <w:t xml:space="preserve">Labrador Consideration Shares and 11,100,000 Labrador Consideration Warrants </w:t>
      </w:r>
      <w:r w:rsidR="000B2AF8">
        <w:rPr>
          <w:color w:val="231F20"/>
          <w:sz w:val="18"/>
          <w:szCs w:val="18"/>
        </w:rPr>
        <w:t xml:space="preserve">to be issued </w:t>
      </w:r>
      <w:r w:rsidR="000B2AF8" w:rsidRPr="000B2AF8">
        <w:rPr>
          <w:color w:val="231F20"/>
          <w:sz w:val="18"/>
          <w:szCs w:val="18"/>
        </w:rPr>
        <w:t xml:space="preserve">pursuant to the Labrador Acquisition </w:t>
      </w:r>
      <w:r>
        <w:rPr>
          <w:color w:val="231F20"/>
          <w:sz w:val="18"/>
          <w:szCs w:val="18"/>
        </w:rPr>
        <w:t>are to be allotted and issued pursuant to the authorities granted to the Directors at the Company’s annual general meeting held on 29 June 2020</w:t>
      </w:r>
      <w:r w:rsidR="001613C9">
        <w:rPr>
          <w:color w:val="231F20"/>
          <w:sz w:val="18"/>
          <w:szCs w:val="18"/>
        </w:rPr>
        <w:t>.</w:t>
      </w:r>
      <w:r w:rsidR="006673B0">
        <w:rPr>
          <w:color w:val="231F20"/>
          <w:sz w:val="18"/>
          <w:szCs w:val="18"/>
        </w:rPr>
        <w:t xml:space="preserve"> The Placing Shares are being issued under the authorities approved and mentioned in paragraph 3.1</w:t>
      </w:r>
      <w:r w:rsidR="005D7785">
        <w:rPr>
          <w:color w:val="231F20"/>
          <w:sz w:val="18"/>
          <w:szCs w:val="18"/>
        </w:rPr>
        <w:t>2</w:t>
      </w:r>
      <w:r w:rsidR="006673B0">
        <w:rPr>
          <w:color w:val="231F20"/>
          <w:sz w:val="18"/>
          <w:szCs w:val="18"/>
        </w:rPr>
        <w:t xml:space="preserve"> immediately below. </w:t>
      </w:r>
    </w:p>
    <w:p w14:paraId="39BF8C70" w14:textId="77777777" w:rsidR="001613C9" w:rsidRDefault="001613C9" w:rsidP="001613C9">
      <w:pPr>
        <w:pStyle w:val="ListParagraph"/>
        <w:tabs>
          <w:tab w:val="left" w:pos="840"/>
        </w:tabs>
        <w:kinsoku w:val="0"/>
        <w:overflowPunct w:val="0"/>
        <w:spacing w:before="1"/>
        <w:ind w:right="1038" w:firstLine="0"/>
        <w:jc w:val="both"/>
        <w:rPr>
          <w:color w:val="231F20"/>
          <w:sz w:val="18"/>
          <w:szCs w:val="18"/>
        </w:rPr>
      </w:pPr>
    </w:p>
    <w:p w14:paraId="7C2D9BCC" w14:textId="006AED59" w:rsidR="00783288" w:rsidRDefault="001613C9" w:rsidP="00512495">
      <w:pPr>
        <w:pStyle w:val="ListParagraph"/>
        <w:numPr>
          <w:ilvl w:val="1"/>
          <w:numId w:val="13"/>
        </w:numPr>
        <w:tabs>
          <w:tab w:val="left" w:pos="840"/>
        </w:tabs>
        <w:kinsoku w:val="0"/>
        <w:overflowPunct w:val="0"/>
        <w:spacing w:before="1"/>
        <w:ind w:left="839" w:right="1038"/>
        <w:jc w:val="both"/>
        <w:rPr>
          <w:color w:val="231F20"/>
          <w:sz w:val="18"/>
          <w:szCs w:val="18"/>
        </w:rPr>
      </w:pPr>
      <w:r>
        <w:rPr>
          <w:color w:val="231F20"/>
          <w:sz w:val="18"/>
          <w:szCs w:val="18"/>
        </w:rPr>
        <w:t>At the Company’s annual general meeting held on 29 June 2020</w:t>
      </w:r>
      <w:r w:rsidR="00E31420">
        <w:rPr>
          <w:color w:val="231F20"/>
          <w:sz w:val="18"/>
          <w:szCs w:val="18"/>
        </w:rPr>
        <w:t>, Shareholders resolved:</w:t>
      </w:r>
    </w:p>
    <w:p w14:paraId="7CBEC8E2" w14:textId="77777777" w:rsidR="00783288" w:rsidRDefault="00783288">
      <w:pPr>
        <w:pStyle w:val="BodyText"/>
        <w:kinsoku w:val="0"/>
        <w:overflowPunct w:val="0"/>
        <w:spacing w:before="8"/>
        <w:rPr>
          <w:sz w:val="20"/>
          <w:szCs w:val="20"/>
        </w:rPr>
      </w:pPr>
    </w:p>
    <w:p w14:paraId="3E2D75F8" w14:textId="7DA1A737" w:rsidR="00783288" w:rsidRDefault="00E31420" w:rsidP="00512495">
      <w:pPr>
        <w:pStyle w:val="ListParagraph"/>
        <w:numPr>
          <w:ilvl w:val="2"/>
          <w:numId w:val="13"/>
        </w:numPr>
        <w:tabs>
          <w:tab w:val="left" w:pos="1822"/>
        </w:tabs>
        <w:kinsoku w:val="0"/>
        <w:overflowPunct w:val="0"/>
        <w:ind w:right="1034"/>
        <w:jc w:val="both"/>
        <w:rPr>
          <w:color w:val="050606"/>
          <w:sz w:val="18"/>
          <w:szCs w:val="18"/>
        </w:rPr>
      </w:pPr>
      <w:r>
        <w:rPr>
          <w:color w:val="231F20"/>
          <w:sz w:val="18"/>
          <w:szCs w:val="18"/>
        </w:rPr>
        <w:t xml:space="preserve">That in accordance with section 551 of the Companies Act, the Board be generally and </w:t>
      </w:r>
      <w:r>
        <w:rPr>
          <w:color w:val="231F20"/>
          <w:sz w:val="18"/>
          <w:szCs w:val="18"/>
        </w:rPr>
        <w:lastRenderedPageBreak/>
        <w:t>unconditionally authorised to allot shares in the Company and to grant rights to subscribe for, or to</w:t>
      </w:r>
      <w:r>
        <w:rPr>
          <w:color w:val="231F20"/>
          <w:spacing w:val="-2"/>
          <w:sz w:val="18"/>
          <w:szCs w:val="18"/>
        </w:rPr>
        <w:t xml:space="preserve"> </w:t>
      </w:r>
      <w:r>
        <w:rPr>
          <w:color w:val="231F20"/>
          <w:sz w:val="18"/>
          <w:szCs w:val="18"/>
        </w:rPr>
        <w:t>convert</w:t>
      </w:r>
      <w:r>
        <w:rPr>
          <w:color w:val="231F20"/>
          <w:spacing w:val="-2"/>
          <w:sz w:val="18"/>
          <w:szCs w:val="18"/>
        </w:rPr>
        <w:t xml:space="preserve"> </w:t>
      </w:r>
      <w:r>
        <w:rPr>
          <w:color w:val="231F20"/>
          <w:sz w:val="18"/>
          <w:szCs w:val="18"/>
        </w:rPr>
        <w:t>any</w:t>
      </w:r>
      <w:r>
        <w:rPr>
          <w:color w:val="231F20"/>
          <w:spacing w:val="-3"/>
          <w:sz w:val="18"/>
          <w:szCs w:val="18"/>
        </w:rPr>
        <w:t xml:space="preserve"> </w:t>
      </w:r>
      <w:r>
        <w:rPr>
          <w:color w:val="231F20"/>
          <w:sz w:val="18"/>
          <w:szCs w:val="18"/>
        </w:rPr>
        <w:t>security</w:t>
      </w:r>
      <w:r>
        <w:rPr>
          <w:color w:val="231F20"/>
          <w:spacing w:val="-6"/>
          <w:sz w:val="18"/>
          <w:szCs w:val="18"/>
        </w:rPr>
        <w:t xml:space="preserve"> </w:t>
      </w:r>
      <w:r>
        <w:rPr>
          <w:color w:val="231F20"/>
          <w:sz w:val="18"/>
          <w:szCs w:val="18"/>
        </w:rPr>
        <w:t>into,</w:t>
      </w:r>
      <w:r>
        <w:rPr>
          <w:color w:val="231F20"/>
          <w:spacing w:val="-4"/>
          <w:sz w:val="18"/>
          <w:szCs w:val="18"/>
        </w:rPr>
        <w:t xml:space="preserve"> </w:t>
      </w:r>
      <w:r>
        <w:rPr>
          <w:color w:val="231F20"/>
          <w:sz w:val="18"/>
          <w:szCs w:val="18"/>
        </w:rPr>
        <w:t>shares</w:t>
      </w:r>
      <w:r>
        <w:rPr>
          <w:color w:val="231F20"/>
          <w:spacing w:val="-3"/>
          <w:sz w:val="18"/>
          <w:szCs w:val="18"/>
        </w:rPr>
        <w:t xml:space="preserve"> </w:t>
      </w:r>
      <w:r>
        <w:rPr>
          <w:color w:val="231F20"/>
          <w:sz w:val="18"/>
          <w:szCs w:val="18"/>
        </w:rPr>
        <w:t>in</w:t>
      </w:r>
      <w:r>
        <w:rPr>
          <w:color w:val="231F20"/>
          <w:spacing w:val="-1"/>
          <w:sz w:val="18"/>
          <w:szCs w:val="18"/>
        </w:rPr>
        <w:t xml:space="preserve"> </w:t>
      </w:r>
      <w:r>
        <w:rPr>
          <w:color w:val="231F20"/>
          <w:sz w:val="18"/>
          <w:szCs w:val="18"/>
        </w:rPr>
        <w:t>the</w:t>
      </w:r>
      <w:r>
        <w:rPr>
          <w:color w:val="231F20"/>
          <w:spacing w:val="-1"/>
          <w:sz w:val="18"/>
          <w:szCs w:val="18"/>
        </w:rPr>
        <w:t xml:space="preserve"> </w:t>
      </w:r>
      <w:r>
        <w:rPr>
          <w:color w:val="231F20"/>
          <w:sz w:val="18"/>
          <w:szCs w:val="18"/>
        </w:rPr>
        <w:t>Company</w:t>
      </w:r>
      <w:r>
        <w:rPr>
          <w:color w:val="231F20"/>
          <w:spacing w:val="-3"/>
          <w:sz w:val="18"/>
          <w:szCs w:val="18"/>
        </w:rPr>
        <w:t xml:space="preserve"> </w:t>
      </w:r>
      <w:r>
        <w:rPr>
          <w:color w:val="231F20"/>
          <w:sz w:val="18"/>
          <w:szCs w:val="18"/>
        </w:rPr>
        <w:t>(Rights)</w:t>
      </w:r>
      <w:r>
        <w:rPr>
          <w:color w:val="231F20"/>
          <w:spacing w:val="-4"/>
          <w:sz w:val="18"/>
          <w:szCs w:val="18"/>
        </w:rPr>
        <w:t xml:space="preserve"> </w:t>
      </w:r>
      <w:r>
        <w:rPr>
          <w:color w:val="231F20"/>
          <w:sz w:val="18"/>
          <w:szCs w:val="18"/>
        </w:rPr>
        <w:t>up to</w:t>
      </w:r>
      <w:r>
        <w:rPr>
          <w:color w:val="231F20"/>
          <w:spacing w:val="-4"/>
          <w:sz w:val="18"/>
          <w:szCs w:val="18"/>
        </w:rPr>
        <w:t xml:space="preserve"> </w:t>
      </w:r>
      <w:r>
        <w:rPr>
          <w:color w:val="231F20"/>
          <w:sz w:val="18"/>
          <w:szCs w:val="18"/>
        </w:rPr>
        <w:t>an</w:t>
      </w:r>
      <w:r>
        <w:rPr>
          <w:color w:val="231F20"/>
          <w:spacing w:val="-4"/>
          <w:sz w:val="18"/>
          <w:szCs w:val="18"/>
        </w:rPr>
        <w:t xml:space="preserve"> </w:t>
      </w:r>
      <w:r>
        <w:rPr>
          <w:color w:val="231F20"/>
          <w:sz w:val="18"/>
          <w:szCs w:val="18"/>
        </w:rPr>
        <w:t>aggregate</w:t>
      </w:r>
      <w:r>
        <w:rPr>
          <w:color w:val="231F20"/>
          <w:spacing w:val="-2"/>
          <w:sz w:val="18"/>
          <w:szCs w:val="18"/>
        </w:rPr>
        <w:t xml:space="preserve"> </w:t>
      </w:r>
      <w:r>
        <w:rPr>
          <w:color w:val="231F20"/>
          <w:sz w:val="18"/>
          <w:szCs w:val="18"/>
        </w:rPr>
        <w:t>nominal</w:t>
      </w:r>
      <w:r>
        <w:rPr>
          <w:color w:val="231F20"/>
          <w:spacing w:val="-4"/>
          <w:sz w:val="18"/>
          <w:szCs w:val="18"/>
        </w:rPr>
        <w:t xml:space="preserve"> </w:t>
      </w:r>
      <w:r>
        <w:rPr>
          <w:color w:val="231F20"/>
          <w:sz w:val="18"/>
          <w:szCs w:val="18"/>
        </w:rPr>
        <w:t>amount of £</w:t>
      </w:r>
      <w:r w:rsidR="001613C9">
        <w:rPr>
          <w:color w:val="231F20"/>
          <w:sz w:val="18"/>
          <w:szCs w:val="18"/>
        </w:rPr>
        <w:t>99</w:t>
      </w:r>
      <w:r>
        <w:rPr>
          <w:color w:val="231F20"/>
          <w:sz w:val="18"/>
          <w:szCs w:val="18"/>
        </w:rPr>
        <w:t xml:space="preserve">,000 (representing a total of </w:t>
      </w:r>
      <w:r w:rsidR="001613C9">
        <w:rPr>
          <w:color w:val="231F20"/>
          <w:sz w:val="18"/>
          <w:szCs w:val="18"/>
        </w:rPr>
        <w:t>99</w:t>
      </w:r>
      <w:r>
        <w:rPr>
          <w:color w:val="231F20"/>
          <w:sz w:val="18"/>
          <w:szCs w:val="18"/>
        </w:rPr>
        <w:t>,000,000 Ordinary Shares) provided that this authority shall unless renewed, varied or revoked by the Company, expire on the conclusion of the next annual</w:t>
      </w:r>
      <w:r>
        <w:rPr>
          <w:color w:val="231F20"/>
          <w:spacing w:val="-6"/>
          <w:sz w:val="18"/>
          <w:szCs w:val="18"/>
        </w:rPr>
        <w:t xml:space="preserve"> </w:t>
      </w:r>
      <w:r>
        <w:rPr>
          <w:color w:val="231F20"/>
          <w:sz w:val="18"/>
          <w:szCs w:val="18"/>
        </w:rPr>
        <w:t>general</w:t>
      </w:r>
      <w:r>
        <w:rPr>
          <w:color w:val="231F20"/>
          <w:spacing w:val="-6"/>
          <w:sz w:val="18"/>
          <w:szCs w:val="18"/>
        </w:rPr>
        <w:t xml:space="preserve"> </w:t>
      </w:r>
      <w:r>
        <w:rPr>
          <w:color w:val="231F20"/>
          <w:sz w:val="18"/>
          <w:szCs w:val="18"/>
        </w:rPr>
        <w:t>meeting</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8"/>
          <w:sz w:val="18"/>
          <w:szCs w:val="18"/>
        </w:rPr>
        <w:t xml:space="preserve"> </w:t>
      </w:r>
      <w:r>
        <w:rPr>
          <w:color w:val="231F20"/>
          <w:sz w:val="18"/>
          <w:szCs w:val="18"/>
        </w:rPr>
        <w:t>Company</w:t>
      </w:r>
      <w:r>
        <w:rPr>
          <w:color w:val="231F20"/>
          <w:spacing w:val="-8"/>
          <w:sz w:val="18"/>
          <w:szCs w:val="18"/>
        </w:rPr>
        <w:t xml:space="preserve"> </w:t>
      </w:r>
      <w:r>
        <w:rPr>
          <w:color w:val="231F20"/>
          <w:sz w:val="18"/>
          <w:szCs w:val="18"/>
        </w:rPr>
        <w:t>or</w:t>
      </w:r>
      <w:r>
        <w:rPr>
          <w:color w:val="231F20"/>
          <w:spacing w:val="-7"/>
          <w:sz w:val="18"/>
          <w:szCs w:val="18"/>
        </w:rPr>
        <w:t xml:space="preserve"> </w:t>
      </w:r>
      <w:r>
        <w:rPr>
          <w:color w:val="231F20"/>
          <w:sz w:val="18"/>
          <w:szCs w:val="18"/>
        </w:rPr>
        <w:t>30</w:t>
      </w:r>
      <w:r>
        <w:rPr>
          <w:color w:val="231F20"/>
          <w:spacing w:val="-6"/>
          <w:sz w:val="18"/>
          <w:szCs w:val="18"/>
        </w:rPr>
        <w:t xml:space="preserve"> </w:t>
      </w:r>
      <w:r>
        <w:rPr>
          <w:color w:val="231F20"/>
          <w:sz w:val="18"/>
          <w:szCs w:val="18"/>
        </w:rPr>
        <w:t>June</w:t>
      </w:r>
      <w:r>
        <w:rPr>
          <w:color w:val="231F20"/>
          <w:spacing w:val="-6"/>
          <w:sz w:val="18"/>
          <w:szCs w:val="18"/>
        </w:rPr>
        <w:t xml:space="preserve"> </w:t>
      </w:r>
      <w:r>
        <w:rPr>
          <w:color w:val="231F20"/>
          <w:sz w:val="18"/>
          <w:szCs w:val="18"/>
        </w:rPr>
        <w:t>202</w:t>
      </w:r>
      <w:r w:rsidR="001613C9">
        <w:rPr>
          <w:color w:val="231F20"/>
          <w:sz w:val="18"/>
          <w:szCs w:val="18"/>
        </w:rPr>
        <w:t>2</w:t>
      </w:r>
      <w:r>
        <w:rPr>
          <w:color w:val="231F20"/>
          <w:sz w:val="18"/>
          <w:szCs w:val="18"/>
        </w:rPr>
        <w:t>,</w:t>
      </w:r>
      <w:r>
        <w:rPr>
          <w:color w:val="231F20"/>
          <w:spacing w:val="-4"/>
          <w:sz w:val="18"/>
          <w:szCs w:val="18"/>
        </w:rPr>
        <w:t xml:space="preserve"> </w:t>
      </w:r>
      <w:r>
        <w:rPr>
          <w:color w:val="231F20"/>
          <w:sz w:val="18"/>
          <w:szCs w:val="18"/>
        </w:rPr>
        <w:t>whichever</w:t>
      </w:r>
      <w:r>
        <w:rPr>
          <w:color w:val="231F20"/>
          <w:spacing w:val="-6"/>
          <w:sz w:val="18"/>
          <w:szCs w:val="18"/>
        </w:rPr>
        <w:t xml:space="preserve"> </w:t>
      </w:r>
      <w:r>
        <w:rPr>
          <w:color w:val="231F20"/>
          <w:sz w:val="18"/>
          <w:szCs w:val="18"/>
        </w:rPr>
        <w:t>is</w:t>
      </w:r>
      <w:r>
        <w:rPr>
          <w:color w:val="231F20"/>
          <w:spacing w:val="-3"/>
          <w:sz w:val="18"/>
          <w:szCs w:val="18"/>
        </w:rPr>
        <w:t xml:space="preserve"> </w:t>
      </w:r>
      <w:r>
        <w:rPr>
          <w:color w:val="231F20"/>
          <w:sz w:val="18"/>
          <w:szCs w:val="18"/>
        </w:rPr>
        <w:t>earlier</w:t>
      </w:r>
      <w:r>
        <w:rPr>
          <w:color w:val="231F20"/>
          <w:spacing w:val="-7"/>
          <w:sz w:val="18"/>
          <w:szCs w:val="18"/>
        </w:rPr>
        <w:t xml:space="preserve"> </w:t>
      </w:r>
      <w:r>
        <w:rPr>
          <w:color w:val="231F20"/>
          <w:sz w:val="18"/>
          <w:szCs w:val="18"/>
        </w:rPr>
        <w:t>to</w:t>
      </w:r>
      <w:r>
        <w:rPr>
          <w:color w:val="231F20"/>
          <w:spacing w:val="-6"/>
          <w:sz w:val="18"/>
          <w:szCs w:val="18"/>
        </w:rPr>
        <w:t xml:space="preserve"> </w:t>
      </w:r>
      <w:r>
        <w:rPr>
          <w:color w:val="231F20"/>
          <w:sz w:val="18"/>
          <w:szCs w:val="18"/>
        </w:rPr>
        <w:t>occur,</w:t>
      </w:r>
      <w:r>
        <w:rPr>
          <w:color w:val="231F20"/>
          <w:spacing w:val="-6"/>
          <w:sz w:val="18"/>
          <w:szCs w:val="18"/>
        </w:rPr>
        <w:t xml:space="preserve"> </w:t>
      </w:r>
      <w:r>
        <w:rPr>
          <w:color w:val="231F20"/>
          <w:sz w:val="18"/>
          <w:szCs w:val="18"/>
        </w:rPr>
        <w:t>save</w:t>
      </w:r>
      <w:r>
        <w:rPr>
          <w:color w:val="231F20"/>
          <w:spacing w:val="-4"/>
          <w:sz w:val="18"/>
          <w:szCs w:val="18"/>
        </w:rPr>
        <w:t xml:space="preserve"> </w:t>
      </w:r>
      <w:r>
        <w:rPr>
          <w:color w:val="231F20"/>
          <w:sz w:val="18"/>
          <w:szCs w:val="18"/>
        </w:rPr>
        <w:t>that the</w:t>
      </w:r>
      <w:r>
        <w:rPr>
          <w:color w:val="231F20"/>
          <w:spacing w:val="-7"/>
          <w:sz w:val="18"/>
          <w:szCs w:val="18"/>
        </w:rPr>
        <w:t xml:space="preserve"> </w:t>
      </w:r>
      <w:r>
        <w:rPr>
          <w:color w:val="231F20"/>
          <w:sz w:val="18"/>
          <w:szCs w:val="18"/>
        </w:rPr>
        <w:t>Company</w:t>
      </w:r>
      <w:r>
        <w:rPr>
          <w:color w:val="231F20"/>
          <w:spacing w:val="-8"/>
          <w:sz w:val="18"/>
          <w:szCs w:val="18"/>
        </w:rPr>
        <w:t xml:space="preserve"> </w:t>
      </w:r>
      <w:r>
        <w:rPr>
          <w:color w:val="231F20"/>
          <w:sz w:val="18"/>
          <w:szCs w:val="18"/>
        </w:rPr>
        <w:t>may,</w:t>
      </w:r>
      <w:r>
        <w:rPr>
          <w:color w:val="231F20"/>
          <w:spacing w:val="-6"/>
          <w:sz w:val="18"/>
          <w:szCs w:val="18"/>
        </w:rPr>
        <w:t xml:space="preserve"> </w:t>
      </w:r>
      <w:r>
        <w:rPr>
          <w:color w:val="231F20"/>
          <w:sz w:val="18"/>
          <w:szCs w:val="18"/>
        </w:rPr>
        <w:t>before</w:t>
      </w:r>
      <w:r>
        <w:rPr>
          <w:color w:val="231F20"/>
          <w:spacing w:val="-6"/>
          <w:sz w:val="18"/>
          <w:szCs w:val="18"/>
        </w:rPr>
        <w:t xml:space="preserve"> </w:t>
      </w:r>
      <w:r>
        <w:rPr>
          <w:color w:val="231F20"/>
          <w:sz w:val="18"/>
          <w:szCs w:val="18"/>
        </w:rPr>
        <w:t>such</w:t>
      </w:r>
      <w:r>
        <w:rPr>
          <w:color w:val="231F20"/>
          <w:spacing w:val="-6"/>
          <w:sz w:val="18"/>
          <w:szCs w:val="18"/>
        </w:rPr>
        <w:t xml:space="preserve"> </w:t>
      </w:r>
      <w:r>
        <w:rPr>
          <w:color w:val="231F20"/>
          <w:sz w:val="18"/>
          <w:szCs w:val="18"/>
        </w:rPr>
        <w:t>expiry,</w:t>
      </w:r>
      <w:r>
        <w:rPr>
          <w:color w:val="231F20"/>
          <w:spacing w:val="-6"/>
          <w:sz w:val="18"/>
          <w:szCs w:val="18"/>
        </w:rPr>
        <w:t xml:space="preserve"> </w:t>
      </w:r>
      <w:r>
        <w:rPr>
          <w:color w:val="231F20"/>
          <w:sz w:val="18"/>
          <w:szCs w:val="18"/>
        </w:rPr>
        <w:t>make</w:t>
      </w:r>
      <w:r>
        <w:rPr>
          <w:color w:val="231F20"/>
          <w:spacing w:val="-6"/>
          <w:sz w:val="18"/>
          <w:szCs w:val="18"/>
        </w:rPr>
        <w:t xml:space="preserve"> </w:t>
      </w:r>
      <w:r>
        <w:rPr>
          <w:color w:val="231F20"/>
          <w:sz w:val="18"/>
          <w:szCs w:val="18"/>
        </w:rPr>
        <w:t>offer(s)</w:t>
      </w:r>
      <w:r>
        <w:rPr>
          <w:color w:val="231F20"/>
          <w:spacing w:val="-8"/>
          <w:sz w:val="18"/>
          <w:szCs w:val="18"/>
        </w:rPr>
        <w:t xml:space="preserve"> </w:t>
      </w:r>
      <w:r>
        <w:rPr>
          <w:color w:val="231F20"/>
          <w:sz w:val="18"/>
          <w:szCs w:val="18"/>
        </w:rPr>
        <w:t>or</w:t>
      </w:r>
      <w:r>
        <w:rPr>
          <w:color w:val="231F20"/>
          <w:spacing w:val="-7"/>
          <w:sz w:val="18"/>
          <w:szCs w:val="18"/>
        </w:rPr>
        <w:t xml:space="preserve"> </w:t>
      </w:r>
      <w:r>
        <w:rPr>
          <w:color w:val="231F20"/>
          <w:sz w:val="18"/>
          <w:szCs w:val="18"/>
        </w:rPr>
        <w:t>enter</w:t>
      </w:r>
      <w:r>
        <w:rPr>
          <w:color w:val="231F20"/>
          <w:spacing w:val="-9"/>
          <w:sz w:val="18"/>
          <w:szCs w:val="18"/>
        </w:rPr>
        <w:t xml:space="preserve"> </w:t>
      </w:r>
      <w:r>
        <w:rPr>
          <w:color w:val="231F20"/>
          <w:sz w:val="18"/>
          <w:szCs w:val="18"/>
        </w:rPr>
        <w:t>agreement(s)</w:t>
      </w:r>
      <w:r>
        <w:rPr>
          <w:color w:val="231F20"/>
          <w:spacing w:val="-7"/>
          <w:sz w:val="18"/>
          <w:szCs w:val="18"/>
        </w:rPr>
        <w:t xml:space="preserve"> </w:t>
      </w:r>
      <w:r>
        <w:rPr>
          <w:color w:val="231F20"/>
          <w:sz w:val="18"/>
          <w:szCs w:val="18"/>
        </w:rPr>
        <w:t>which</w:t>
      </w:r>
      <w:r>
        <w:rPr>
          <w:color w:val="231F20"/>
          <w:spacing w:val="-6"/>
          <w:sz w:val="18"/>
          <w:szCs w:val="18"/>
        </w:rPr>
        <w:t xml:space="preserve"> </w:t>
      </w:r>
      <w:r>
        <w:rPr>
          <w:color w:val="231F20"/>
          <w:sz w:val="18"/>
          <w:szCs w:val="18"/>
        </w:rPr>
        <w:t>would</w:t>
      </w:r>
      <w:r>
        <w:rPr>
          <w:color w:val="231F20"/>
          <w:spacing w:val="-6"/>
          <w:sz w:val="18"/>
          <w:szCs w:val="18"/>
        </w:rPr>
        <w:t xml:space="preserve"> </w:t>
      </w:r>
      <w:r>
        <w:rPr>
          <w:color w:val="231F20"/>
          <w:sz w:val="18"/>
          <w:szCs w:val="18"/>
        </w:rPr>
        <w:t>or</w:t>
      </w:r>
      <w:r>
        <w:rPr>
          <w:color w:val="231F20"/>
          <w:spacing w:val="-7"/>
          <w:sz w:val="18"/>
          <w:szCs w:val="18"/>
        </w:rPr>
        <w:t xml:space="preserve"> </w:t>
      </w:r>
      <w:r>
        <w:rPr>
          <w:color w:val="231F20"/>
          <w:sz w:val="18"/>
          <w:szCs w:val="18"/>
        </w:rPr>
        <w:t>might require shares to be allotted or Rights to be granted after such expiry and the Board may allot shares or grant Rights in pursuance of such offers or agreements notwithstanding that the authority conferred by this resolution has expired; and all unexercised authorities previously granted to the Board to allot shares and grant Rights be and are hereby</w:t>
      </w:r>
      <w:r>
        <w:rPr>
          <w:color w:val="231F20"/>
          <w:spacing w:val="-14"/>
          <w:sz w:val="18"/>
          <w:szCs w:val="18"/>
        </w:rPr>
        <w:t xml:space="preserve"> </w:t>
      </w:r>
      <w:r>
        <w:rPr>
          <w:color w:val="231F20"/>
          <w:sz w:val="18"/>
          <w:szCs w:val="18"/>
        </w:rPr>
        <w:t>revoked</w:t>
      </w:r>
      <w:r>
        <w:rPr>
          <w:color w:val="050606"/>
          <w:sz w:val="18"/>
          <w:szCs w:val="18"/>
        </w:rPr>
        <w:t>;</w:t>
      </w:r>
    </w:p>
    <w:p w14:paraId="71138C46" w14:textId="77777777" w:rsidR="00783288" w:rsidRDefault="00783288">
      <w:pPr>
        <w:pStyle w:val="BodyText"/>
        <w:kinsoku w:val="0"/>
        <w:overflowPunct w:val="0"/>
        <w:spacing w:before="10"/>
        <w:rPr>
          <w:sz w:val="20"/>
          <w:szCs w:val="20"/>
        </w:rPr>
      </w:pPr>
    </w:p>
    <w:p w14:paraId="15F949D3" w14:textId="3D98DD7F"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That, in accordance with section 570 of the Companies Act, the Board be generally empowered to</w:t>
      </w:r>
      <w:r>
        <w:rPr>
          <w:color w:val="231F20"/>
          <w:spacing w:val="-7"/>
          <w:sz w:val="18"/>
          <w:szCs w:val="18"/>
        </w:rPr>
        <w:t xml:space="preserve"> </w:t>
      </w:r>
      <w:r>
        <w:rPr>
          <w:color w:val="231F20"/>
          <w:sz w:val="18"/>
          <w:szCs w:val="18"/>
        </w:rPr>
        <w:t>allot</w:t>
      </w:r>
      <w:r>
        <w:rPr>
          <w:color w:val="231F20"/>
          <w:spacing w:val="-9"/>
          <w:sz w:val="18"/>
          <w:szCs w:val="18"/>
        </w:rPr>
        <w:t xml:space="preserve"> </w:t>
      </w:r>
      <w:r>
        <w:rPr>
          <w:color w:val="231F20"/>
          <w:sz w:val="18"/>
          <w:szCs w:val="18"/>
        </w:rPr>
        <w:t>equity</w:t>
      </w:r>
      <w:r>
        <w:rPr>
          <w:color w:val="231F20"/>
          <w:spacing w:val="-8"/>
          <w:sz w:val="18"/>
          <w:szCs w:val="18"/>
        </w:rPr>
        <w:t xml:space="preserve"> </w:t>
      </w:r>
      <w:r>
        <w:rPr>
          <w:color w:val="231F20"/>
          <w:sz w:val="18"/>
          <w:szCs w:val="18"/>
        </w:rPr>
        <w:t>securities</w:t>
      </w:r>
      <w:r>
        <w:rPr>
          <w:color w:val="231F20"/>
          <w:spacing w:val="-6"/>
          <w:sz w:val="18"/>
          <w:szCs w:val="18"/>
        </w:rPr>
        <w:t xml:space="preserve"> </w:t>
      </w:r>
      <w:r>
        <w:rPr>
          <w:color w:val="231F20"/>
          <w:sz w:val="18"/>
          <w:szCs w:val="18"/>
        </w:rPr>
        <w:t>(as</w:t>
      </w:r>
      <w:r>
        <w:rPr>
          <w:color w:val="231F20"/>
          <w:spacing w:val="-6"/>
          <w:sz w:val="18"/>
          <w:szCs w:val="18"/>
        </w:rPr>
        <w:t xml:space="preserve"> </w:t>
      </w:r>
      <w:r>
        <w:rPr>
          <w:color w:val="231F20"/>
          <w:sz w:val="18"/>
          <w:szCs w:val="18"/>
        </w:rPr>
        <w:t>defined</w:t>
      </w:r>
      <w:r>
        <w:rPr>
          <w:color w:val="231F20"/>
          <w:spacing w:val="-9"/>
          <w:sz w:val="18"/>
          <w:szCs w:val="18"/>
        </w:rPr>
        <w:t xml:space="preserve"> </w:t>
      </w:r>
      <w:r>
        <w:rPr>
          <w:color w:val="231F20"/>
          <w:sz w:val="18"/>
          <w:szCs w:val="18"/>
        </w:rPr>
        <w:t>in</w:t>
      </w:r>
      <w:r>
        <w:rPr>
          <w:color w:val="231F20"/>
          <w:spacing w:val="-10"/>
          <w:sz w:val="18"/>
          <w:szCs w:val="18"/>
        </w:rPr>
        <w:t xml:space="preserve"> </w:t>
      </w:r>
      <w:r>
        <w:rPr>
          <w:color w:val="231F20"/>
          <w:sz w:val="18"/>
          <w:szCs w:val="18"/>
        </w:rPr>
        <w:t>section</w:t>
      </w:r>
      <w:r>
        <w:rPr>
          <w:color w:val="231F20"/>
          <w:spacing w:val="-6"/>
          <w:sz w:val="18"/>
          <w:szCs w:val="18"/>
        </w:rPr>
        <w:t xml:space="preserve"> </w:t>
      </w:r>
      <w:r>
        <w:rPr>
          <w:color w:val="231F20"/>
          <w:sz w:val="18"/>
          <w:szCs w:val="18"/>
        </w:rPr>
        <w:t>560</w:t>
      </w:r>
      <w:r>
        <w:rPr>
          <w:color w:val="231F20"/>
          <w:spacing w:val="-6"/>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Companies</w:t>
      </w:r>
      <w:r>
        <w:rPr>
          <w:color w:val="231F20"/>
          <w:spacing w:val="-6"/>
          <w:sz w:val="18"/>
          <w:szCs w:val="18"/>
        </w:rPr>
        <w:t xml:space="preserve"> </w:t>
      </w:r>
      <w:r>
        <w:rPr>
          <w:color w:val="231F20"/>
          <w:sz w:val="18"/>
          <w:szCs w:val="18"/>
        </w:rPr>
        <w:t>Act)</w:t>
      </w:r>
      <w:r>
        <w:rPr>
          <w:color w:val="231F20"/>
          <w:spacing w:val="-8"/>
          <w:sz w:val="18"/>
          <w:szCs w:val="18"/>
        </w:rPr>
        <w:t xml:space="preserve"> </w:t>
      </w:r>
      <w:r>
        <w:rPr>
          <w:color w:val="231F20"/>
          <w:sz w:val="18"/>
          <w:szCs w:val="18"/>
        </w:rPr>
        <w:t>for</w:t>
      </w:r>
      <w:r>
        <w:rPr>
          <w:color w:val="231F20"/>
          <w:spacing w:val="-7"/>
          <w:sz w:val="18"/>
          <w:szCs w:val="18"/>
        </w:rPr>
        <w:t xml:space="preserve"> </w:t>
      </w:r>
      <w:r>
        <w:rPr>
          <w:color w:val="231F20"/>
          <w:sz w:val="18"/>
          <w:szCs w:val="18"/>
        </w:rPr>
        <w:t>cash</w:t>
      </w:r>
      <w:r>
        <w:rPr>
          <w:color w:val="231F20"/>
          <w:spacing w:val="-9"/>
          <w:sz w:val="18"/>
          <w:szCs w:val="18"/>
        </w:rPr>
        <w:t xml:space="preserve"> </w:t>
      </w:r>
      <w:r>
        <w:rPr>
          <w:color w:val="231F20"/>
          <w:sz w:val="18"/>
          <w:szCs w:val="18"/>
        </w:rPr>
        <w:t>pursuant</w:t>
      </w:r>
      <w:r>
        <w:rPr>
          <w:color w:val="231F20"/>
          <w:spacing w:val="-6"/>
          <w:sz w:val="18"/>
          <w:szCs w:val="18"/>
        </w:rPr>
        <w:t xml:space="preserve"> </w:t>
      </w:r>
      <w:r>
        <w:rPr>
          <w:color w:val="231F20"/>
          <w:sz w:val="18"/>
          <w:szCs w:val="18"/>
        </w:rPr>
        <w:t>to</w:t>
      </w:r>
      <w:r>
        <w:rPr>
          <w:color w:val="231F20"/>
          <w:spacing w:val="-6"/>
          <w:sz w:val="18"/>
          <w:szCs w:val="18"/>
        </w:rPr>
        <w:t xml:space="preserve"> </w:t>
      </w:r>
      <w:r>
        <w:rPr>
          <w:color w:val="231F20"/>
          <w:sz w:val="18"/>
          <w:szCs w:val="18"/>
        </w:rPr>
        <w:t>the authority</w:t>
      </w:r>
      <w:r>
        <w:rPr>
          <w:color w:val="231F20"/>
          <w:spacing w:val="-8"/>
          <w:sz w:val="18"/>
          <w:szCs w:val="18"/>
        </w:rPr>
        <w:t xml:space="preserve"> </w:t>
      </w:r>
      <w:r>
        <w:rPr>
          <w:color w:val="231F20"/>
          <w:sz w:val="18"/>
          <w:szCs w:val="18"/>
        </w:rPr>
        <w:t>conferred</w:t>
      </w:r>
      <w:r>
        <w:rPr>
          <w:color w:val="231F20"/>
          <w:spacing w:val="-6"/>
          <w:sz w:val="18"/>
          <w:szCs w:val="18"/>
        </w:rPr>
        <w:t xml:space="preserve"> </w:t>
      </w:r>
      <w:r>
        <w:rPr>
          <w:color w:val="231F20"/>
          <w:sz w:val="18"/>
          <w:szCs w:val="18"/>
        </w:rPr>
        <w:t>by</w:t>
      </w:r>
      <w:r>
        <w:rPr>
          <w:color w:val="231F20"/>
          <w:spacing w:val="-8"/>
          <w:sz w:val="18"/>
          <w:szCs w:val="18"/>
        </w:rPr>
        <w:t xml:space="preserve"> </w:t>
      </w:r>
      <w:r>
        <w:rPr>
          <w:color w:val="231F20"/>
          <w:sz w:val="18"/>
          <w:szCs w:val="18"/>
        </w:rPr>
        <w:t>the</w:t>
      </w:r>
      <w:r>
        <w:rPr>
          <w:color w:val="231F20"/>
          <w:spacing w:val="-5"/>
          <w:sz w:val="18"/>
          <w:szCs w:val="18"/>
        </w:rPr>
        <w:t xml:space="preserve"> </w:t>
      </w:r>
      <w:r>
        <w:rPr>
          <w:color w:val="231F20"/>
          <w:sz w:val="18"/>
          <w:szCs w:val="18"/>
        </w:rPr>
        <w:t>resolution</w:t>
      </w:r>
      <w:r>
        <w:rPr>
          <w:color w:val="231F20"/>
          <w:spacing w:val="-6"/>
          <w:sz w:val="18"/>
          <w:szCs w:val="18"/>
        </w:rPr>
        <w:t xml:space="preserve"> </w:t>
      </w:r>
      <w:r>
        <w:rPr>
          <w:color w:val="231F20"/>
          <w:sz w:val="18"/>
          <w:szCs w:val="18"/>
        </w:rPr>
        <w:t>set</w:t>
      </w:r>
      <w:r>
        <w:rPr>
          <w:color w:val="231F20"/>
          <w:spacing w:val="-6"/>
          <w:sz w:val="18"/>
          <w:szCs w:val="18"/>
        </w:rPr>
        <w:t xml:space="preserve"> </w:t>
      </w:r>
      <w:r>
        <w:rPr>
          <w:color w:val="231F20"/>
          <w:sz w:val="18"/>
          <w:szCs w:val="18"/>
        </w:rPr>
        <w:t>out</w:t>
      </w:r>
      <w:r>
        <w:rPr>
          <w:color w:val="231F20"/>
          <w:spacing w:val="-6"/>
          <w:sz w:val="18"/>
          <w:szCs w:val="18"/>
        </w:rPr>
        <w:t xml:space="preserve"> </w:t>
      </w:r>
      <w:r>
        <w:rPr>
          <w:color w:val="231F20"/>
          <w:sz w:val="18"/>
          <w:szCs w:val="18"/>
        </w:rPr>
        <w:t>at</w:t>
      </w:r>
      <w:r>
        <w:rPr>
          <w:color w:val="231F20"/>
          <w:spacing w:val="-8"/>
          <w:sz w:val="18"/>
          <w:szCs w:val="18"/>
        </w:rPr>
        <w:t xml:space="preserve"> </w:t>
      </w:r>
      <w:r>
        <w:rPr>
          <w:color w:val="231F20"/>
          <w:sz w:val="18"/>
          <w:szCs w:val="18"/>
        </w:rPr>
        <w:t>3.</w:t>
      </w:r>
      <w:r w:rsidR="001613C9">
        <w:rPr>
          <w:color w:val="231F20"/>
          <w:sz w:val="18"/>
          <w:szCs w:val="18"/>
        </w:rPr>
        <w:t>11</w:t>
      </w:r>
      <w:r>
        <w:rPr>
          <w:color w:val="231F20"/>
          <w:sz w:val="18"/>
          <w:szCs w:val="18"/>
        </w:rPr>
        <w:t>.1</w:t>
      </w:r>
      <w:r>
        <w:rPr>
          <w:color w:val="231F20"/>
          <w:spacing w:val="-9"/>
          <w:sz w:val="18"/>
          <w:szCs w:val="18"/>
        </w:rPr>
        <w:t xml:space="preserve"> </w:t>
      </w:r>
      <w:r>
        <w:rPr>
          <w:color w:val="231F20"/>
          <w:sz w:val="18"/>
          <w:szCs w:val="18"/>
        </w:rPr>
        <w:t>above</w:t>
      </w:r>
      <w:r>
        <w:rPr>
          <w:color w:val="231F20"/>
          <w:spacing w:val="-9"/>
          <w:sz w:val="18"/>
          <w:szCs w:val="18"/>
        </w:rPr>
        <w:t xml:space="preserve"> </w:t>
      </w:r>
      <w:r>
        <w:rPr>
          <w:color w:val="231F20"/>
          <w:sz w:val="18"/>
          <w:szCs w:val="18"/>
        </w:rPr>
        <w:t>or</w:t>
      </w:r>
      <w:r>
        <w:rPr>
          <w:color w:val="231F20"/>
          <w:spacing w:val="-8"/>
          <w:sz w:val="18"/>
          <w:szCs w:val="18"/>
        </w:rPr>
        <w:t xml:space="preserve"> </w:t>
      </w:r>
      <w:r>
        <w:rPr>
          <w:color w:val="231F20"/>
          <w:sz w:val="18"/>
          <w:szCs w:val="18"/>
        </w:rPr>
        <w:t>by</w:t>
      </w:r>
      <w:r>
        <w:rPr>
          <w:color w:val="231F20"/>
          <w:spacing w:val="-7"/>
          <w:sz w:val="18"/>
          <w:szCs w:val="18"/>
        </w:rPr>
        <w:t xml:space="preserve"> </w:t>
      </w:r>
      <w:r>
        <w:rPr>
          <w:color w:val="231F20"/>
          <w:sz w:val="18"/>
          <w:szCs w:val="18"/>
        </w:rPr>
        <w:t>way</w:t>
      </w:r>
      <w:r>
        <w:rPr>
          <w:color w:val="231F20"/>
          <w:spacing w:val="-8"/>
          <w:sz w:val="18"/>
          <w:szCs w:val="18"/>
        </w:rPr>
        <w:t xml:space="preserve"> </w:t>
      </w:r>
      <w:r>
        <w:rPr>
          <w:color w:val="231F20"/>
          <w:sz w:val="18"/>
          <w:szCs w:val="18"/>
        </w:rPr>
        <w:t>of</w:t>
      </w:r>
      <w:r>
        <w:rPr>
          <w:color w:val="231F20"/>
          <w:spacing w:val="-6"/>
          <w:sz w:val="18"/>
          <w:szCs w:val="18"/>
        </w:rPr>
        <w:t xml:space="preserve"> </w:t>
      </w:r>
      <w:r>
        <w:rPr>
          <w:color w:val="231F20"/>
          <w:sz w:val="18"/>
          <w:szCs w:val="18"/>
        </w:rPr>
        <w:t>a</w:t>
      </w:r>
      <w:r>
        <w:rPr>
          <w:color w:val="231F20"/>
          <w:spacing w:val="-5"/>
          <w:sz w:val="18"/>
          <w:szCs w:val="18"/>
        </w:rPr>
        <w:t xml:space="preserve"> </w:t>
      </w:r>
      <w:r>
        <w:rPr>
          <w:color w:val="231F20"/>
          <w:sz w:val="18"/>
          <w:szCs w:val="18"/>
        </w:rPr>
        <w:t>sale</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treasury</w:t>
      </w:r>
      <w:r>
        <w:rPr>
          <w:color w:val="231F20"/>
          <w:spacing w:val="-8"/>
          <w:sz w:val="18"/>
          <w:szCs w:val="18"/>
        </w:rPr>
        <w:t xml:space="preserve"> </w:t>
      </w:r>
      <w:r>
        <w:rPr>
          <w:color w:val="231F20"/>
          <w:sz w:val="18"/>
          <w:szCs w:val="18"/>
        </w:rPr>
        <w:t>shares, as if section 561(1) of the Companies Act did not apply to any such allotment, provided that this power shall be limited</w:t>
      </w:r>
      <w:r>
        <w:rPr>
          <w:color w:val="231F20"/>
          <w:spacing w:val="-1"/>
          <w:sz w:val="18"/>
          <w:szCs w:val="18"/>
        </w:rPr>
        <w:t xml:space="preserve"> </w:t>
      </w:r>
      <w:r>
        <w:rPr>
          <w:color w:val="231F20"/>
          <w:sz w:val="18"/>
          <w:szCs w:val="18"/>
        </w:rPr>
        <w:t>to:</w:t>
      </w:r>
    </w:p>
    <w:p w14:paraId="1791E8D0" w14:textId="77777777" w:rsidR="00783288" w:rsidRDefault="00783288">
      <w:pPr>
        <w:pStyle w:val="BodyText"/>
        <w:kinsoku w:val="0"/>
        <w:overflowPunct w:val="0"/>
        <w:spacing w:before="10"/>
        <w:rPr>
          <w:sz w:val="20"/>
          <w:szCs w:val="20"/>
        </w:rPr>
      </w:pPr>
    </w:p>
    <w:p w14:paraId="539D4023" w14:textId="77777777" w:rsidR="00783288" w:rsidRDefault="00E31420" w:rsidP="00512495">
      <w:pPr>
        <w:pStyle w:val="ListParagraph"/>
        <w:numPr>
          <w:ilvl w:val="0"/>
          <w:numId w:val="12"/>
        </w:numPr>
        <w:tabs>
          <w:tab w:val="left" w:pos="2170"/>
        </w:tabs>
        <w:kinsoku w:val="0"/>
        <w:overflowPunct w:val="0"/>
        <w:ind w:right="1037"/>
        <w:jc w:val="both"/>
        <w:rPr>
          <w:color w:val="050606"/>
          <w:sz w:val="18"/>
          <w:szCs w:val="18"/>
        </w:rPr>
      </w:pPr>
      <w:r>
        <w:rPr>
          <w:color w:val="231F20"/>
          <w:sz w:val="18"/>
          <w:szCs w:val="18"/>
        </w:rPr>
        <w:t>the</w:t>
      </w:r>
      <w:r>
        <w:rPr>
          <w:color w:val="231F20"/>
          <w:spacing w:val="-7"/>
          <w:sz w:val="18"/>
          <w:szCs w:val="18"/>
        </w:rPr>
        <w:t xml:space="preserve"> </w:t>
      </w:r>
      <w:r>
        <w:rPr>
          <w:color w:val="231F20"/>
          <w:sz w:val="18"/>
          <w:szCs w:val="18"/>
        </w:rPr>
        <w:t>allotment</w:t>
      </w:r>
      <w:r>
        <w:rPr>
          <w:color w:val="231F20"/>
          <w:spacing w:val="-10"/>
          <w:sz w:val="18"/>
          <w:szCs w:val="18"/>
        </w:rPr>
        <w:t xml:space="preserve"> </w:t>
      </w:r>
      <w:r>
        <w:rPr>
          <w:color w:val="231F20"/>
          <w:sz w:val="18"/>
          <w:szCs w:val="18"/>
        </w:rPr>
        <w:t>of</w:t>
      </w:r>
      <w:r>
        <w:rPr>
          <w:color w:val="231F20"/>
          <w:spacing w:val="-6"/>
          <w:sz w:val="18"/>
          <w:szCs w:val="18"/>
        </w:rPr>
        <w:t xml:space="preserve"> </w:t>
      </w:r>
      <w:r>
        <w:rPr>
          <w:color w:val="231F20"/>
          <w:sz w:val="18"/>
          <w:szCs w:val="18"/>
        </w:rPr>
        <w:t>equity</w:t>
      </w:r>
      <w:r>
        <w:rPr>
          <w:color w:val="231F20"/>
          <w:spacing w:val="-9"/>
          <w:sz w:val="18"/>
          <w:szCs w:val="18"/>
        </w:rPr>
        <w:t xml:space="preserve"> </w:t>
      </w:r>
      <w:r>
        <w:rPr>
          <w:color w:val="231F20"/>
          <w:sz w:val="18"/>
          <w:szCs w:val="18"/>
        </w:rPr>
        <w:t>securities</w:t>
      </w:r>
      <w:r>
        <w:rPr>
          <w:color w:val="231F20"/>
          <w:spacing w:val="-9"/>
          <w:sz w:val="18"/>
          <w:szCs w:val="18"/>
        </w:rPr>
        <w:t xml:space="preserve"> </w:t>
      </w:r>
      <w:r>
        <w:rPr>
          <w:color w:val="231F20"/>
          <w:sz w:val="18"/>
          <w:szCs w:val="18"/>
        </w:rPr>
        <w:t>in</w:t>
      </w:r>
      <w:r>
        <w:rPr>
          <w:color w:val="231F20"/>
          <w:spacing w:val="-9"/>
          <w:sz w:val="18"/>
          <w:szCs w:val="18"/>
        </w:rPr>
        <w:t xml:space="preserve"> </w:t>
      </w:r>
      <w:r>
        <w:rPr>
          <w:color w:val="231F20"/>
          <w:sz w:val="18"/>
          <w:szCs w:val="18"/>
        </w:rPr>
        <w:t>connection</w:t>
      </w:r>
      <w:r>
        <w:rPr>
          <w:color w:val="231F20"/>
          <w:spacing w:val="-10"/>
          <w:sz w:val="18"/>
          <w:szCs w:val="18"/>
        </w:rPr>
        <w:t xml:space="preserve"> </w:t>
      </w:r>
      <w:r>
        <w:rPr>
          <w:color w:val="231F20"/>
          <w:sz w:val="18"/>
          <w:szCs w:val="18"/>
        </w:rPr>
        <w:t>with</w:t>
      </w:r>
      <w:r>
        <w:rPr>
          <w:color w:val="231F20"/>
          <w:spacing w:val="-6"/>
          <w:sz w:val="18"/>
          <w:szCs w:val="18"/>
        </w:rPr>
        <w:t xml:space="preserve"> </w:t>
      </w:r>
      <w:r>
        <w:rPr>
          <w:color w:val="231F20"/>
          <w:sz w:val="18"/>
          <w:szCs w:val="18"/>
        </w:rPr>
        <w:t>an</w:t>
      </w:r>
      <w:r>
        <w:rPr>
          <w:color w:val="231F20"/>
          <w:spacing w:val="-7"/>
          <w:sz w:val="18"/>
          <w:szCs w:val="18"/>
        </w:rPr>
        <w:t xml:space="preserve"> </w:t>
      </w:r>
      <w:r>
        <w:rPr>
          <w:color w:val="231F20"/>
          <w:sz w:val="18"/>
          <w:szCs w:val="18"/>
        </w:rPr>
        <w:t>offer</w:t>
      </w:r>
      <w:r>
        <w:rPr>
          <w:color w:val="231F20"/>
          <w:spacing w:val="-9"/>
          <w:sz w:val="18"/>
          <w:szCs w:val="18"/>
        </w:rPr>
        <w:t xml:space="preserve"> </w:t>
      </w:r>
      <w:r>
        <w:rPr>
          <w:color w:val="231F20"/>
          <w:sz w:val="18"/>
          <w:szCs w:val="18"/>
        </w:rPr>
        <w:t>of</w:t>
      </w:r>
      <w:r>
        <w:rPr>
          <w:color w:val="231F20"/>
          <w:spacing w:val="-6"/>
          <w:sz w:val="18"/>
          <w:szCs w:val="18"/>
        </w:rPr>
        <w:t xml:space="preserve"> </w:t>
      </w:r>
      <w:r>
        <w:rPr>
          <w:color w:val="231F20"/>
          <w:sz w:val="18"/>
          <w:szCs w:val="18"/>
        </w:rPr>
        <w:t>equity</w:t>
      </w:r>
      <w:r>
        <w:rPr>
          <w:color w:val="231F20"/>
          <w:spacing w:val="-9"/>
          <w:sz w:val="18"/>
          <w:szCs w:val="18"/>
        </w:rPr>
        <w:t xml:space="preserve"> </w:t>
      </w:r>
      <w:r>
        <w:rPr>
          <w:color w:val="231F20"/>
          <w:sz w:val="18"/>
          <w:szCs w:val="18"/>
        </w:rPr>
        <w:t>securities</w:t>
      </w:r>
      <w:r>
        <w:rPr>
          <w:color w:val="231F20"/>
          <w:spacing w:val="-9"/>
          <w:sz w:val="18"/>
          <w:szCs w:val="18"/>
        </w:rPr>
        <w:t xml:space="preserve"> </w:t>
      </w:r>
      <w:r>
        <w:rPr>
          <w:color w:val="231F20"/>
          <w:sz w:val="18"/>
          <w:szCs w:val="18"/>
        </w:rPr>
        <w:t>to</w:t>
      </w:r>
      <w:r>
        <w:rPr>
          <w:color w:val="231F20"/>
          <w:spacing w:val="-9"/>
          <w:sz w:val="18"/>
          <w:szCs w:val="18"/>
        </w:rPr>
        <w:t xml:space="preserve"> </w:t>
      </w:r>
      <w:r>
        <w:rPr>
          <w:color w:val="231F20"/>
          <w:sz w:val="18"/>
          <w:szCs w:val="18"/>
        </w:rPr>
        <w:t>the</w:t>
      </w:r>
      <w:r>
        <w:rPr>
          <w:color w:val="231F20"/>
          <w:spacing w:val="-10"/>
          <w:sz w:val="18"/>
          <w:szCs w:val="18"/>
        </w:rPr>
        <w:t xml:space="preserve"> </w:t>
      </w:r>
      <w:r>
        <w:rPr>
          <w:color w:val="231F20"/>
          <w:sz w:val="18"/>
          <w:szCs w:val="18"/>
        </w:rPr>
        <w:t>holders of</w:t>
      </w:r>
      <w:r>
        <w:rPr>
          <w:color w:val="231F20"/>
          <w:spacing w:val="-5"/>
          <w:sz w:val="18"/>
          <w:szCs w:val="18"/>
        </w:rPr>
        <w:t xml:space="preserve"> </w:t>
      </w:r>
      <w:r>
        <w:rPr>
          <w:color w:val="231F20"/>
          <w:sz w:val="18"/>
          <w:szCs w:val="18"/>
        </w:rPr>
        <w:t>ordinary</w:t>
      </w:r>
      <w:r>
        <w:rPr>
          <w:color w:val="231F20"/>
          <w:spacing w:val="-6"/>
          <w:sz w:val="18"/>
          <w:szCs w:val="18"/>
        </w:rPr>
        <w:t xml:space="preserve"> </w:t>
      </w:r>
      <w:r>
        <w:rPr>
          <w:color w:val="231F20"/>
          <w:sz w:val="18"/>
          <w:szCs w:val="18"/>
        </w:rPr>
        <w:t>shares</w:t>
      </w:r>
      <w:r>
        <w:rPr>
          <w:color w:val="231F20"/>
          <w:spacing w:val="-3"/>
          <w:sz w:val="18"/>
          <w:szCs w:val="18"/>
        </w:rPr>
        <w:t xml:space="preserve"> </w:t>
      </w:r>
      <w:r>
        <w:rPr>
          <w:color w:val="231F20"/>
          <w:sz w:val="18"/>
          <w:szCs w:val="18"/>
        </w:rPr>
        <w:t>in</w:t>
      </w:r>
      <w:r>
        <w:rPr>
          <w:color w:val="231F20"/>
          <w:spacing w:val="-6"/>
          <w:sz w:val="18"/>
          <w:szCs w:val="18"/>
        </w:rPr>
        <w:t xml:space="preserve"> </w:t>
      </w:r>
      <w:r>
        <w:rPr>
          <w:color w:val="231F20"/>
          <w:sz w:val="18"/>
          <w:szCs w:val="18"/>
        </w:rPr>
        <w:t>proportion</w:t>
      </w:r>
      <w:r>
        <w:rPr>
          <w:color w:val="231F20"/>
          <w:spacing w:val="-4"/>
          <w:sz w:val="18"/>
          <w:szCs w:val="18"/>
        </w:rPr>
        <w:t xml:space="preserve"> </w:t>
      </w:r>
      <w:r>
        <w:rPr>
          <w:color w:val="231F20"/>
          <w:sz w:val="18"/>
          <w:szCs w:val="18"/>
        </w:rPr>
        <w:t>(as</w:t>
      </w:r>
      <w:r>
        <w:rPr>
          <w:color w:val="231F20"/>
          <w:spacing w:val="-6"/>
          <w:sz w:val="18"/>
          <w:szCs w:val="18"/>
        </w:rPr>
        <w:t xml:space="preserve"> </w:t>
      </w:r>
      <w:r>
        <w:rPr>
          <w:color w:val="231F20"/>
          <w:sz w:val="18"/>
          <w:szCs w:val="18"/>
        </w:rPr>
        <w:t>nearly</w:t>
      </w:r>
      <w:r>
        <w:rPr>
          <w:color w:val="231F20"/>
          <w:spacing w:val="-6"/>
          <w:sz w:val="18"/>
          <w:szCs w:val="18"/>
        </w:rPr>
        <w:t xml:space="preserve"> </w:t>
      </w:r>
      <w:r>
        <w:rPr>
          <w:color w:val="231F20"/>
          <w:sz w:val="18"/>
          <w:szCs w:val="18"/>
        </w:rPr>
        <w:t>as</w:t>
      </w:r>
      <w:r>
        <w:rPr>
          <w:color w:val="231F20"/>
          <w:spacing w:val="-3"/>
          <w:sz w:val="18"/>
          <w:szCs w:val="18"/>
        </w:rPr>
        <w:t xml:space="preserve"> </w:t>
      </w:r>
      <w:r>
        <w:rPr>
          <w:color w:val="231F20"/>
          <w:sz w:val="18"/>
          <w:szCs w:val="18"/>
        </w:rPr>
        <w:t>practicable)</w:t>
      </w:r>
      <w:r>
        <w:rPr>
          <w:color w:val="231F20"/>
          <w:spacing w:val="-7"/>
          <w:sz w:val="18"/>
          <w:szCs w:val="18"/>
        </w:rPr>
        <w:t xml:space="preserve"> </w:t>
      </w:r>
      <w:r>
        <w:rPr>
          <w:color w:val="231F20"/>
          <w:sz w:val="18"/>
          <w:szCs w:val="18"/>
        </w:rPr>
        <w:t>to</w:t>
      </w:r>
      <w:r>
        <w:rPr>
          <w:color w:val="231F20"/>
          <w:spacing w:val="-2"/>
          <w:sz w:val="18"/>
          <w:szCs w:val="18"/>
        </w:rPr>
        <w:t xml:space="preserve"> </w:t>
      </w:r>
      <w:r>
        <w:rPr>
          <w:color w:val="231F20"/>
          <w:sz w:val="18"/>
          <w:szCs w:val="18"/>
        </w:rPr>
        <w:t>their</w:t>
      </w:r>
      <w:r>
        <w:rPr>
          <w:color w:val="231F20"/>
          <w:spacing w:val="-4"/>
          <w:sz w:val="18"/>
          <w:szCs w:val="18"/>
        </w:rPr>
        <w:t xml:space="preserve"> </w:t>
      </w:r>
      <w:r>
        <w:rPr>
          <w:color w:val="231F20"/>
          <w:sz w:val="18"/>
          <w:szCs w:val="18"/>
        </w:rPr>
        <w:t>respective</w:t>
      </w:r>
      <w:r>
        <w:rPr>
          <w:color w:val="231F20"/>
          <w:spacing w:val="-6"/>
          <w:sz w:val="18"/>
          <w:szCs w:val="18"/>
        </w:rPr>
        <w:t xml:space="preserve"> </w:t>
      </w:r>
      <w:r>
        <w:rPr>
          <w:color w:val="231F20"/>
          <w:sz w:val="18"/>
          <w:szCs w:val="18"/>
        </w:rPr>
        <w:t>holdings;</w:t>
      </w:r>
      <w:r>
        <w:rPr>
          <w:color w:val="231F20"/>
          <w:spacing w:val="-4"/>
          <w:sz w:val="18"/>
          <w:szCs w:val="18"/>
        </w:rPr>
        <w:t xml:space="preserve"> </w:t>
      </w:r>
      <w:r>
        <w:rPr>
          <w:color w:val="231F20"/>
          <w:sz w:val="18"/>
          <w:szCs w:val="18"/>
        </w:rPr>
        <w:t>and</w:t>
      </w:r>
      <w:r>
        <w:rPr>
          <w:color w:val="231F20"/>
          <w:spacing w:val="-4"/>
          <w:sz w:val="18"/>
          <w:szCs w:val="18"/>
        </w:rPr>
        <w:t xml:space="preserve"> </w:t>
      </w:r>
      <w:r>
        <w:rPr>
          <w:color w:val="231F20"/>
          <w:spacing w:val="-3"/>
          <w:sz w:val="18"/>
          <w:szCs w:val="18"/>
        </w:rPr>
        <w:t xml:space="preserve">to </w:t>
      </w:r>
      <w:r>
        <w:rPr>
          <w:color w:val="231F20"/>
          <w:sz w:val="18"/>
          <w:szCs w:val="18"/>
        </w:rPr>
        <w:t xml:space="preserve">holders of other equity securities as required by the rights of those securities or as the Directors otherwise consider necessary, but subject to such exclusions or arrangements </w:t>
      </w:r>
      <w:r>
        <w:rPr>
          <w:color w:val="231F20"/>
          <w:spacing w:val="-3"/>
          <w:sz w:val="18"/>
          <w:szCs w:val="18"/>
        </w:rPr>
        <w:t xml:space="preserve">as </w:t>
      </w:r>
      <w:r>
        <w:rPr>
          <w:color w:val="231F20"/>
          <w:sz w:val="18"/>
          <w:szCs w:val="18"/>
        </w:rPr>
        <w:t>the</w:t>
      </w:r>
      <w:r>
        <w:rPr>
          <w:color w:val="231F20"/>
          <w:spacing w:val="-2"/>
          <w:sz w:val="18"/>
          <w:szCs w:val="18"/>
        </w:rPr>
        <w:t xml:space="preserve"> </w:t>
      </w:r>
      <w:r>
        <w:rPr>
          <w:color w:val="231F20"/>
          <w:sz w:val="18"/>
          <w:szCs w:val="18"/>
        </w:rPr>
        <w:t>Directors</w:t>
      </w:r>
      <w:r>
        <w:rPr>
          <w:color w:val="231F20"/>
          <w:spacing w:val="-4"/>
          <w:sz w:val="18"/>
          <w:szCs w:val="18"/>
        </w:rPr>
        <w:t xml:space="preserve"> </w:t>
      </w:r>
      <w:r>
        <w:rPr>
          <w:color w:val="231F20"/>
          <w:sz w:val="18"/>
          <w:szCs w:val="18"/>
        </w:rPr>
        <w:t>may</w:t>
      </w:r>
      <w:r>
        <w:rPr>
          <w:color w:val="231F20"/>
          <w:spacing w:val="-4"/>
          <w:sz w:val="18"/>
          <w:szCs w:val="18"/>
        </w:rPr>
        <w:t xml:space="preserve"> </w:t>
      </w:r>
      <w:r>
        <w:rPr>
          <w:color w:val="231F20"/>
          <w:sz w:val="18"/>
          <w:szCs w:val="18"/>
        </w:rPr>
        <w:t>deem</w:t>
      </w:r>
      <w:r>
        <w:rPr>
          <w:color w:val="231F20"/>
          <w:spacing w:val="-1"/>
          <w:sz w:val="18"/>
          <w:szCs w:val="18"/>
        </w:rPr>
        <w:t xml:space="preserve"> </w:t>
      </w:r>
      <w:r>
        <w:rPr>
          <w:color w:val="231F20"/>
          <w:sz w:val="18"/>
          <w:szCs w:val="18"/>
        </w:rPr>
        <w:t>necessary</w:t>
      </w:r>
      <w:r>
        <w:rPr>
          <w:color w:val="231F20"/>
          <w:spacing w:val="-4"/>
          <w:sz w:val="18"/>
          <w:szCs w:val="18"/>
        </w:rPr>
        <w:t xml:space="preserve"> </w:t>
      </w:r>
      <w:r>
        <w:rPr>
          <w:color w:val="231F20"/>
          <w:sz w:val="18"/>
          <w:szCs w:val="18"/>
        </w:rPr>
        <w:t>or</w:t>
      </w:r>
      <w:r>
        <w:rPr>
          <w:color w:val="231F20"/>
          <w:spacing w:val="-3"/>
          <w:sz w:val="18"/>
          <w:szCs w:val="18"/>
        </w:rPr>
        <w:t xml:space="preserve"> </w:t>
      </w:r>
      <w:r>
        <w:rPr>
          <w:color w:val="231F20"/>
          <w:sz w:val="18"/>
          <w:szCs w:val="18"/>
        </w:rPr>
        <w:t>expedient</w:t>
      </w:r>
      <w:r>
        <w:rPr>
          <w:color w:val="231F20"/>
          <w:spacing w:val="-3"/>
          <w:sz w:val="18"/>
          <w:szCs w:val="18"/>
        </w:rPr>
        <w:t xml:space="preserve"> </w:t>
      </w:r>
      <w:r>
        <w:rPr>
          <w:color w:val="231F20"/>
          <w:sz w:val="18"/>
          <w:szCs w:val="18"/>
        </w:rPr>
        <w:t>in</w:t>
      </w:r>
      <w:r>
        <w:rPr>
          <w:color w:val="231F20"/>
          <w:spacing w:val="-1"/>
          <w:sz w:val="18"/>
          <w:szCs w:val="18"/>
        </w:rPr>
        <w:t xml:space="preserve"> </w:t>
      </w:r>
      <w:r>
        <w:rPr>
          <w:color w:val="231F20"/>
          <w:sz w:val="18"/>
          <w:szCs w:val="18"/>
        </w:rPr>
        <w:t>relation</w:t>
      </w:r>
      <w:r>
        <w:rPr>
          <w:color w:val="231F20"/>
          <w:spacing w:val="-2"/>
          <w:sz w:val="18"/>
          <w:szCs w:val="18"/>
        </w:rPr>
        <w:t xml:space="preserve"> </w:t>
      </w:r>
      <w:r>
        <w:rPr>
          <w:color w:val="231F20"/>
          <w:sz w:val="18"/>
          <w:szCs w:val="18"/>
        </w:rPr>
        <w:t>to</w:t>
      </w:r>
      <w:r>
        <w:rPr>
          <w:color w:val="231F20"/>
          <w:spacing w:val="-5"/>
          <w:sz w:val="18"/>
          <w:szCs w:val="18"/>
        </w:rPr>
        <w:t xml:space="preserve"> </w:t>
      </w:r>
      <w:r>
        <w:rPr>
          <w:color w:val="231F20"/>
          <w:sz w:val="18"/>
          <w:szCs w:val="18"/>
        </w:rPr>
        <w:t>any</w:t>
      </w:r>
      <w:r>
        <w:rPr>
          <w:color w:val="231F20"/>
          <w:spacing w:val="-4"/>
          <w:sz w:val="18"/>
          <w:szCs w:val="18"/>
        </w:rPr>
        <w:t xml:space="preserve"> </w:t>
      </w:r>
      <w:r>
        <w:rPr>
          <w:color w:val="231F20"/>
          <w:sz w:val="18"/>
          <w:szCs w:val="18"/>
        </w:rPr>
        <w:t>treasury</w:t>
      </w:r>
      <w:r>
        <w:rPr>
          <w:color w:val="231F20"/>
          <w:spacing w:val="-3"/>
          <w:sz w:val="18"/>
          <w:szCs w:val="18"/>
        </w:rPr>
        <w:t xml:space="preserve"> </w:t>
      </w:r>
      <w:r>
        <w:rPr>
          <w:color w:val="231F20"/>
          <w:sz w:val="18"/>
          <w:szCs w:val="18"/>
        </w:rPr>
        <w:t>shares,</w:t>
      </w:r>
      <w:r>
        <w:rPr>
          <w:color w:val="231F20"/>
          <w:spacing w:val="-3"/>
          <w:sz w:val="18"/>
          <w:szCs w:val="18"/>
        </w:rPr>
        <w:t xml:space="preserve"> </w:t>
      </w:r>
      <w:r>
        <w:rPr>
          <w:color w:val="231F20"/>
          <w:sz w:val="18"/>
          <w:szCs w:val="18"/>
        </w:rPr>
        <w:t>fractional entitlements or record dates, arising out of any legal or practical problems under the laws of any overseas territory or the requirements of any regulatory body or stock exchange;</w:t>
      </w:r>
      <w:r>
        <w:rPr>
          <w:color w:val="231F20"/>
          <w:spacing w:val="-27"/>
          <w:sz w:val="18"/>
          <w:szCs w:val="18"/>
        </w:rPr>
        <w:t xml:space="preserve"> </w:t>
      </w:r>
      <w:r>
        <w:rPr>
          <w:color w:val="231F20"/>
          <w:sz w:val="18"/>
          <w:szCs w:val="18"/>
        </w:rPr>
        <w:t>and</w:t>
      </w:r>
    </w:p>
    <w:p w14:paraId="52B270FB" w14:textId="77777777" w:rsidR="00783288" w:rsidRDefault="00783288">
      <w:pPr>
        <w:pStyle w:val="BodyText"/>
        <w:kinsoku w:val="0"/>
        <w:overflowPunct w:val="0"/>
      </w:pPr>
    </w:p>
    <w:p w14:paraId="22A5271A" w14:textId="4936AEB4" w:rsidR="00783288" w:rsidRDefault="00E31420" w:rsidP="00512495">
      <w:pPr>
        <w:pStyle w:val="ListParagraph"/>
        <w:numPr>
          <w:ilvl w:val="0"/>
          <w:numId w:val="12"/>
        </w:numPr>
        <w:tabs>
          <w:tab w:val="left" w:pos="2170"/>
        </w:tabs>
        <w:kinsoku w:val="0"/>
        <w:overflowPunct w:val="0"/>
        <w:ind w:right="1038"/>
        <w:jc w:val="both"/>
        <w:rPr>
          <w:color w:val="231F20"/>
          <w:sz w:val="18"/>
          <w:szCs w:val="18"/>
        </w:rPr>
      </w:pPr>
      <w:r>
        <w:rPr>
          <w:color w:val="231F20"/>
          <w:sz w:val="18"/>
          <w:szCs w:val="18"/>
        </w:rPr>
        <w:t>the allotment of equity securities (otherwise than pursuant to paragraph 3.</w:t>
      </w:r>
      <w:r w:rsidR="001613C9">
        <w:rPr>
          <w:color w:val="231F20"/>
          <w:sz w:val="18"/>
          <w:szCs w:val="18"/>
        </w:rPr>
        <w:t>11</w:t>
      </w:r>
      <w:r>
        <w:rPr>
          <w:color w:val="231F20"/>
          <w:sz w:val="18"/>
          <w:szCs w:val="18"/>
        </w:rPr>
        <w:t>.1 above) up to an aggregate nominal amount of</w:t>
      </w:r>
      <w:r>
        <w:rPr>
          <w:color w:val="231F20"/>
          <w:spacing w:val="-5"/>
          <w:sz w:val="18"/>
          <w:szCs w:val="18"/>
        </w:rPr>
        <w:t xml:space="preserve"> </w:t>
      </w:r>
      <w:r>
        <w:rPr>
          <w:color w:val="231F20"/>
          <w:sz w:val="18"/>
          <w:szCs w:val="18"/>
        </w:rPr>
        <w:t>£</w:t>
      </w:r>
      <w:r w:rsidR="001613C9">
        <w:rPr>
          <w:color w:val="231F20"/>
          <w:sz w:val="18"/>
          <w:szCs w:val="18"/>
        </w:rPr>
        <w:t>99</w:t>
      </w:r>
      <w:r>
        <w:rPr>
          <w:color w:val="231F20"/>
          <w:sz w:val="18"/>
          <w:szCs w:val="18"/>
        </w:rPr>
        <w:t>,000,</w:t>
      </w:r>
    </w:p>
    <w:p w14:paraId="34D9C2B9" w14:textId="77777777" w:rsidR="00783288" w:rsidRDefault="00783288">
      <w:pPr>
        <w:pStyle w:val="BodyText"/>
        <w:kinsoku w:val="0"/>
        <w:overflowPunct w:val="0"/>
        <w:spacing w:before="11"/>
        <w:rPr>
          <w:sz w:val="20"/>
          <w:szCs w:val="20"/>
        </w:rPr>
      </w:pPr>
    </w:p>
    <w:p w14:paraId="1754167F" w14:textId="7FF95B6B" w:rsidR="001613C9" w:rsidRPr="00D570C4" w:rsidRDefault="00E31420" w:rsidP="00D570C4">
      <w:pPr>
        <w:pStyle w:val="BodyText"/>
        <w:kinsoku w:val="0"/>
        <w:overflowPunct w:val="0"/>
        <w:ind w:left="1809" w:right="1034"/>
        <w:jc w:val="both"/>
        <w:rPr>
          <w:b/>
          <w:i/>
          <w:color w:val="231F20"/>
        </w:rPr>
      </w:pPr>
      <w:r>
        <w:rPr>
          <w:color w:val="231F20"/>
        </w:rPr>
        <w:t>and</w:t>
      </w:r>
      <w:r>
        <w:rPr>
          <w:color w:val="231F20"/>
          <w:spacing w:val="-5"/>
        </w:rPr>
        <w:t xml:space="preserve"> </w:t>
      </w:r>
      <w:r>
        <w:rPr>
          <w:color w:val="231F20"/>
        </w:rPr>
        <w:t>provided</w:t>
      </w:r>
      <w:r>
        <w:rPr>
          <w:color w:val="231F20"/>
          <w:spacing w:val="-4"/>
        </w:rPr>
        <w:t xml:space="preserve"> </w:t>
      </w:r>
      <w:r>
        <w:rPr>
          <w:color w:val="231F20"/>
        </w:rPr>
        <w:t>that</w:t>
      </w:r>
      <w:r>
        <w:rPr>
          <w:color w:val="231F20"/>
          <w:spacing w:val="-4"/>
        </w:rPr>
        <w:t xml:space="preserve"> </w:t>
      </w:r>
      <w:r>
        <w:rPr>
          <w:color w:val="231F20"/>
        </w:rPr>
        <w:t>this</w:t>
      </w:r>
      <w:r>
        <w:rPr>
          <w:color w:val="231F20"/>
          <w:spacing w:val="-3"/>
        </w:rPr>
        <w:t xml:space="preserve"> </w:t>
      </w:r>
      <w:r>
        <w:rPr>
          <w:color w:val="231F20"/>
        </w:rPr>
        <w:t>power</w:t>
      </w:r>
      <w:r>
        <w:rPr>
          <w:color w:val="231F20"/>
          <w:spacing w:val="-5"/>
        </w:rPr>
        <w:t xml:space="preserve"> </w:t>
      </w:r>
      <w:r>
        <w:rPr>
          <w:color w:val="231F20"/>
        </w:rPr>
        <w:t>shall</w:t>
      </w:r>
      <w:r>
        <w:rPr>
          <w:color w:val="231F20"/>
          <w:spacing w:val="-4"/>
        </w:rPr>
        <w:t xml:space="preserve"> </w:t>
      </w:r>
      <w:r>
        <w:rPr>
          <w:color w:val="231F20"/>
        </w:rPr>
        <w:t>expire</w:t>
      </w:r>
      <w:r>
        <w:rPr>
          <w:color w:val="231F20"/>
          <w:spacing w:val="-4"/>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conclusion</w:t>
      </w:r>
      <w:r>
        <w:rPr>
          <w:color w:val="231F20"/>
          <w:spacing w:val="-4"/>
        </w:rPr>
        <w:t xml:space="preserve"> </w:t>
      </w:r>
      <w:r>
        <w:rPr>
          <w:color w:val="231F20"/>
        </w:rPr>
        <w:t>of</w:t>
      </w:r>
      <w:r>
        <w:rPr>
          <w:color w:val="231F20"/>
          <w:spacing w:val="-2"/>
        </w:rPr>
        <w:t xml:space="preserve"> </w:t>
      </w:r>
      <w:r>
        <w:rPr>
          <w:color w:val="231F20"/>
        </w:rPr>
        <w:t>the</w:t>
      </w:r>
      <w:r>
        <w:rPr>
          <w:color w:val="231F20"/>
          <w:spacing w:val="-4"/>
        </w:rPr>
        <w:t xml:space="preserve"> </w:t>
      </w:r>
      <w:r>
        <w:rPr>
          <w:color w:val="231F20"/>
        </w:rPr>
        <w:t>next</w:t>
      </w:r>
      <w:r>
        <w:rPr>
          <w:color w:val="231F20"/>
          <w:spacing w:val="-5"/>
        </w:rPr>
        <w:t xml:space="preserve"> </w:t>
      </w:r>
      <w:r>
        <w:rPr>
          <w:color w:val="231F20"/>
        </w:rPr>
        <w:t>annual</w:t>
      </w:r>
      <w:r>
        <w:rPr>
          <w:color w:val="231F20"/>
          <w:spacing w:val="-4"/>
        </w:rPr>
        <w:t xml:space="preserve"> </w:t>
      </w:r>
      <w:r>
        <w:rPr>
          <w:color w:val="231F20"/>
        </w:rPr>
        <w:t>general</w:t>
      </w:r>
      <w:r>
        <w:rPr>
          <w:color w:val="231F20"/>
          <w:spacing w:val="-4"/>
        </w:rPr>
        <w:t xml:space="preserve"> </w:t>
      </w:r>
      <w:r>
        <w:rPr>
          <w:color w:val="231F20"/>
        </w:rPr>
        <w:t>meeting</w:t>
      </w:r>
      <w:r>
        <w:rPr>
          <w:color w:val="231F20"/>
          <w:spacing w:val="-4"/>
        </w:rPr>
        <w:t xml:space="preserve"> </w:t>
      </w:r>
      <w:r>
        <w:rPr>
          <w:color w:val="231F20"/>
        </w:rPr>
        <w:t>of the Company or 30 June 202</w:t>
      </w:r>
      <w:r w:rsidR="001613C9">
        <w:rPr>
          <w:color w:val="231F20"/>
        </w:rPr>
        <w:t>2</w:t>
      </w:r>
      <w:r>
        <w:rPr>
          <w:color w:val="231F20"/>
        </w:rPr>
        <w:t>, whichever is earlier to occur (unless renewed, varied or revoked by the Company prior to or on that date) save that the Company may, before such expiry, make offer(s) or agreement(s) which would or might require equity securities to be allotted after such expiry and the Board may allot equity securities in pursuance of any such offers or agreements notwithstanding that the power conferred by this resolution has</w:t>
      </w:r>
      <w:r>
        <w:rPr>
          <w:color w:val="231F20"/>
          <w:spacing w:val="-5"/>
        </w:rPr>
        <w:t xml:space="preserve"> </w:t>
      </w:r>
      <w:r>
        <w:rPr>
          <w:color w:val="231F20"/>
        </w:rPr>
        <w:t>expired.</w:t>
      </w:r>
      <w:r w:rsidR="002012BA">
        <w:rPr>
          <w:color w:val="231F20"/>
        </w:rPr>
        <w:t xml:space="preserve"> </w:t>
      </w:r>
    </w:p>
    <w:p w14:paraId="0491CC97" w14:textId="73782F69" w:rsidR="009B4A54" w:rsidRDefault="009B4A54" w:rsidP="001613C9">
      <w:pPr>
        <w:pStyle w:val="ListParagraph"/>
        <w:tabs>
          <w:tab w:val="left" w:pos="840"/>
        </w:tabs>
        <w:kinsoku w:val="0"/>
        <w:overflowPunct w:val="0"/>
        <w:spacing w:before="78"/>
        <w:ind w:right="1034" w:firstLine="0"/>
        <w:jc w:val="both"/>
        <w:rPr>
          <w:color w:val="231F20"/>
          <w:sz w:val="18"/>
          <w:szCs w:val="18"/>
        </w:rPr>
      </w:pPr>
    </w:p>
    <w:p w14:paraId="53DAFA68" w14:textId="64BFB771" w:rsidR="00783288" w:rsidRDefault="00E31420" w:rsidP="00512495">
      <w:pPr>
        <w:pStyle w:val="ListParagraph"/>
        <w:numPr>
          <w:ilvl w:val="1"/>
          <w:numId w:val="13"/>
        </w:numPr>
        <w:tabs>
          <w:tab w:val="left" w:pos="840"/>
        </w:tabs>
        <w:kinsoku w:val="0"/>
        <w:overflowPunct w:val="0"/>
        <w:spacing w:before="78"/>
        <w:ind w:left="839" w:right="1034"/>
        <w:jc w:val="both"/>
        <w:rPr>
          <w:color w:val="231F20"/>
          <w:sz w:val="18"/>
          <w:szCs w:val="18"/>
        </w:rPr>
      </w:pPr>
      <w:r>
        <w:rPr>
          <w:color w:val="231F20"/>
          <w:sz w:val="18"/>
          <w:szCs w:val="18"/>
        </w:rPr>
        <w:t>The</w:t>
      </w:r>
      <w:r>
        <w:rPr>
          <w:color w:val="231F20"/>
          <w:spacing w:val="-7"/>
          <w:sz w:val="18"/>
          <w:szCs w:val="18"/>
        </w:rPr>
        <w:t xml:space="preserve"> </w:t>
      </w:r>
      <w:r>
        <w:rPr>
          <w:color w:val="231F20"/>
          <w:sz w:val="18"/>
          <w:szCs w:val="18"/>
        </w:rPr>
        <w:t>provisions</w:t>
      </w:r>
      <w:r>
        <w:rPr>
          <w:color w:val="231F20"/>
          <w:spacing w:val="-8"/>
          <w:sz w:val="18"/>
          <w:szCs w:val="18"/>
        </w:rPr>
        <w:t xml:space="preserve"> </w:t>
      </w:r>
      <w:r>
        <w:rPr>
          <w:color w:val="231F20"/>
          <w:sz w:val="18"/>
          <w:szCs w:val="18"/>
        </w:rPr>
        <w:t>of</w:t>
      </w:r>
      <w:r>
        <w:rPr>
          <w:color w:val="231F20"/>
          <w:spacing w:val="-10"/>
          <w:sz w:val="18"/>
          <w:szCs w:val="18"/>
        </w:rPr>
        <w:t xml:space="preserve"> </w:t>
      </w:r>
      <w:r>
        <w:rPr>
          <w:color w:val="231F20"/>
          <w:sz w:val="18"/>
          <w:szCs w:val="18"/>
        </w:rPr>
        <w:t>section</w:t>
      </w:r>
      <w:r>
        <w:rPr>
          <w:color w:val="231F20"/>
          <w:spacing w:val="-6"/>
          <w:sz w:val="18"/>
          <w:szCs w:val="18"/>
        </w:rPr>
        <w:t xml:space="preserve"> </w:t>
      </w:r>
      <w:r>
        <w:rPr>
          <w:color w:val="231F20"/>
          <w:sz w:val="18"/>
          <w:szCs w:val="18"/>
        </w:rPr>
        <w:t>561(1)</w:t>
      </w:r>
      <w:r>
        <w:rPr>
          <w:color w:val="231F20"/>
          <w:spacing w:val="-8"/>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7"/>
          <w:sz w:val="18"/>
          <w:szCs w:val="18"/>
        </w:rPr>
        <w:t xml:space="preserve"> </w:t>
      </w:r>
      <w:r>
        <w:rPr>
          <w:color w:val="231F20"/>
          <w:sz w:val="18"/>
          <w:szCs w:val="18"/>
        </w:rPr>
        <w:t>Companies</w:t>
      </w:r>
      <w:r>
        <w:rPr>
          <w:color w:val="231F20"/>
          <w:spacing w:val="-6"/>
          <w:sz w:val="18"/>
          <w:szCs w:val="18"/>
        </w:rPr>
        <w:t xml:space="preserve"> </w:t>
      </w:r>
      <w:r>
        <w:rPr>
          <w:color w:val="231F20"/>
          <w:sz w:val="18"/>
          <w:szCs w:val="18"/>
        </w:rPr>
        <w:t>Act</w:t>
      </w:r>
      <w:r>
        <w:rPr>
          <w:color w:val="231F20"/>
          <w:spacing w:val="-7"/>
          <w:sz w:val="18"/>
          <w:szCs w:val="18"/>
        </w:rPr>
        <w:t xml:space="preserve"> </w:t>
      </w:r>
      <w:r>
        <w:rPr>
          <w:color w:val="231F20"/>
          <w:sz w:val="18"/>
          <w:szCs w:val="18"/>
        </w:rPr>
        <w:t>(to</w:t>
      </w:r>
      <w:r>
        <w:rPr>
          <w:color w:val="231F20"/>
          <w:spacing w:val="-9"/>
          <w:sz w:val="18"/>
          <w:szCs w:val="18"/>
        </w:rPr>
        <w:t xml:space="preserve"> </w:t>
      </w:r>
      <w:r>
        <w:rPr>
          <w:color w:val="231F20"/>
          <w:sz w:val="18"/>
          <w:szCs w:val="18"/>
        </w:rPr>
        <w:t>the</w:t>
      </w:r>
      <w:r>
        <w:rPr>
          <w:color w:val="231F20"/>
          <w:spacing w:val="-7"/>
          <w:sz w:val="18"/>
          <w:szCs w:val="18"/>
        </w:rPr>
        <w:t xml:space="preserve"> </w:t>
      </w:r>
      <w:r>
        <w:rPr>
          <w:color w:val="231F20"/>
          <w:sz w:val="18"/>
          <w:szCs w:val="18"/>
        </w:rPr>
        <w:t>extent</w:t>
      </w:r>
      <w:r>
        <w:rPr>
          <w:color w:val="231F20"/>
          <w:spacing w:val="-6"/>
          <w:sz w:val="18"/>
          <w:szCs w:val="18"/>
        </w:rPr>
        <w:t xml:space="preserve"> </w:t>
      </w:r>
      <w:r>
        <w:rPr>
          <w:color w:val="231F20"/>
          <w:sz w:val="18"/>
          <w:szCs w:val="18"/>
        </w:rPr>
        <w:t>not</w:t>
      </w:r>
      <w:r>
        <w:rPr>
          <w:color w:val="231F20"/>
          <w:spacing w:val="-9"/>
          <w:sz w:val="18"/>
          <w:szCs w:val="18"/>
        </w:rPr>
        <w:t xml:space="preserve"> </w:t>
      </w:r>
      <w:r>
        <w:rPr>
          <w:color w:val="231F20"/>
          <w:sz w:val="18"/>
          <w:szCs w:val="18"/>
        </w:rPr>
        <w:t>dis-applied</w:t>
      </w:r>
      <w:r>
        <w:rPr>
          <w:color w:val="231F20"/>
          <w:spacing w:val="-7"/>
          <w:sz w:val="18"/>
          <w:szCs w:val="18"/>
        </w:rPr>
        <w:t xml:space="preserve"> </w:t>
      </w:r>
      <w:r>
        <w:rPr>
          <w:color w:val="231F20"/>
          <w:sz w:val="18"/>
          <w:szCs w:val="18"/>
        </w:rPr>
        <w:t>pursuant</w:t>
      </w:r>
      <w:r>
        <w:rPr>
          <w:color w:val="231F20"/>
          <w:spacing w:val="-6"/>
          <w:sz w:val="18"/>
          <w:szCs w:val="18"/>
        </w:rPr>
        <w:t xml:space="preserve"> </w:t>
      </w:r>
      <w:r>
        <w:rPr>
          <w:color w:val="231F20"/>
          <w:sz w:val="18"/>
          <w:szCs w:val="18"/>
        </w:rPr>
        <w:t>to</w:t>
      </w:r>
      <w:r>
        <w:rPr>
          <w:color w:val="231F20"/>
          <w:spacing w:val="-10"/>
          <w:sz w:val="18"/>
          <w:szCs w:val="18"/>
        </w:rPr>
        <w:t xml:space="preserve"> </w:t>
      </w:r>
      <w:r>
        <w:rPr>
          <w:color w:val="231F20"/>
          <w:sz w:val="18"/>
          <w:szCs w:val="18"/>
        </w:rPr>
        <w:t>sections</w:t>
      </w:r>
      <w:r>
        <w:rPr>
          <w:color w:val="231F20"/>
          <w:spacing w:val="-8"/>
          <w:sz w:val="18"/>
          <w:szCs w:val="18"/>
        </w:rPr>
        <w:t xml:space="preserve"> </w:t>
      </w:r>
      <w:r>
        <w:rPr>
          <w:color w:val="231F20"/>
          <w:sz w:val="18"/>
          <w:szCs w:val="18"/>
        </w:rPr>
        <w:t>570- 571 of the Companies Act) confer on shareholders certain rights of pre-emption in respect of the allotment of equity</w:t>
      </w:r>
      <w:r>
        <w:rPr>
          <w:color w:val="231F20"/>
          <w:spacing w:val="-10"/>
          <w:sz w:val="18"/>
          <w:szCs w:val="18"/>
        </w:rPr>
        <w:t xml:space="preserve"> </w:t>
      </w:r>
      <w:r>
        <w:rPr>
          <w:color w:val="231F20"/>
          <w:sz w:val="18"/>
          <w:szCs w:val="18"/>
        </w:rPr>
        <w:t>securities</w:t>
      </w:r>
      <w:r>
        <w:rPr>
          <w:color w:val="231F20"/>
          <w:spacing w:val="-7"/>
          <w:sz w:val="18"/>
          <w:szCs w:val="18"/>
        </w:rPr>
        <w:t xml:space="preserve"> </w:t>
      </w:r>
      <w:r>
        <w:rPr>
          <w:color w:val="231F20"/>
          <w:sz w:val="18"/>
          <w:szCs w:val="18"/>
        </w:rPr>
        <w:t>(as</w:t>
      </w:r>
      <w:r>
        <w:rPr>
          <w:color w:val="231F20"/>
          <w:spacing w:val="-9"/>
          <w:sz w:val="18"/>
          <w:szCs w:val="18"/>
        </w:rPr>
        <w:t xml:space="preserve"> </w:t>
      </w:r>
      <w:r>
        <w:rPr>
          <w:color w:val="231F20"/>
          <w:sz w:val="18"/>
          <w:szCs w:val="18"/>
        </w:rPr>
        <w:t>defined</w:t>
      </w:r>
      <w:r>
        <w:rPr>
          <w:color w:val="231F20"/>
          <w:spacing w:val="-9"/>
          <w:sz w:val="18"/>
          <w:szCs w:val="18"/>
        </w:rPr>
        <w:t xml:space="preserve"> </w:t>
      </w:r>
      <w:r>
        <w:rPr>
          <w:color w:val="231F20"/>
          <w:sz w:val="18"/>
          <w:szCs w:val="18"/>
        </w:rPr>
        <w:t>in</w:t>
      </w:r>
      <w:r>
        <w:rPr>
          <w:color w:val="231F20"/>
          <w:spacing w:val="-10"/>
          <w:sz w:val="18"/>
          <w:szCs w:val="18"/>
        </w:rPr>
        <w:t xml:space="preserve"> </w:t>
      </w:r>
      <w:r>
        <w:rPr>
          <w:color w:val="231F20"/>
          <w:sz w:val="18"/>
          <w:szCs w:val="18"/>
        </w:rPr>
        <w:t>section</w:t>
      </w:r>
      <w:r>
        <w:rPr>
          <w:color w:val="231F20"/>
          <w:spacing w:val="-8"/>
          <w:sz w:val="18"/>
          <w:szCs w:val="18"/>
        </w:rPr>
        <w:t xml:space="preserve"> </w:t>
      </w:r>
      <w:r>
        <w:rPr>
          <w:color w:val="231F20"/>
          <w:sz w:val="18"/>
          <w:szCs w:val="18"/>
        </w:rPr>
        <w:t>560</w:t>
      </w:r>
      <w:r>
        <w:rPr>
          <w:color w:val="231F20"/>
          <w:spacing w:val="-8"/>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8"/>
          <w:sz w:val="18"/>
          <w:szCs w:val="18"/>
        </w:rPr>
        <w:t xml:space="preserve"> </w:t>
      </w:r>
      <w:r>
        <w:rPr>
          <w:color w:val="231F20"/>
          <w:sz w:val="18"/>
          <w:szCs w:val="18"/>
        </w:rPr>
        <w:t>Companies</w:t>
      </w:r>
      <w:r>
        <w:rPr>
          <w:color w:val="231F20"/>
          <w:spacing w:val="-9"/>
          <w:sz w:val="18"/>
          <w:szCs w:val="18"/>
        </w:rPr>
        <w:t xml:space="preserve"> </w:t>
      </w:r>
      <w:r>
        <w:rPr>
          <w:color w:val="231F20"/>
          <w:sz w:val="18"/>
          <w:szCs w:val="18"/>
        </w:rPr>
        <w:t>Act)</w:t>
      </w:r>
      <w:r>
        <w:rPr>
          <w:color w:val="231F20"/>
          <w:spacing w:val="-9"/>
          <w:sz w:val="18"/>
          <w:szCs w:val="18"/>
        </w:rPr>
        <w:t xml:space="preserve"> </w:t>
      </w:r>
      <w:r>
        <w:rPr>
          <w:color w:val="231F20"/>
          <w:sz w:val="18"/>
          <w:szCs w:val="18"/>
        </w:rPr>
        <w:t>which</w:t>
      </w:r>
      <w:r>
        <w:rPr>
          <w:color w:val="231F20"/>
          <w:spacing w:val="-8"/>
          <w:sz w:val="18"/>
          <w:szCs w:val="18"/>
        </w:rPr>
        <w:t xml:space="preserve"> </w:t>
      </w:r>
      <w:r>
        <w:rPr>
          <w:color w:val="231F20"/>
          <w:sz w:val="18"/>
          <w:szCs w:val="18"/>
        </w:rPr>
        <w:t>are,</w:t>
      </w:r>
      <w:r>
        <w:rPr>
          <w:color w:val="231F20"/>
          <w:spacing w:val="-8"/>
          <w:sz w:val="18"/>
          <w:szCs w:val="18"/>
        </w:rPr>
        <w:t xml:space="preserve"> </w:t>
      </w:r>
      <w:r>
        <w:rPr>
          <w:color w:val="231F20"/>
          <w:sz w:val="18"/>
          <w:szCs w:val="18"/>
        </w:rPr>
        <w:t>or</w:t>
      </w:r>
      <w:r>
        <w:rPr>
          <w:color w:val="231F20"/>
          <w:spacing w:val="-11"/>
          <w:sz w:val="18"/>
          <w:szCs w:val="18"/>
        </w:rPr>
        <w:t xml:space="preserve"> </w:t>
      </w:r>
      <w:r>
        <w:rPr>
          <w:color w:val="231F20"/>
          <w:sz w:val="18"/>
          <w:szCs w:val="18"/>
        </w:rPr>
        <w:t>are</w:t>
      </w:r>
      <w:r>
        <w:rPr>
          <w:color w:val="231F20"/>
          <w:spacing w:val="-9"/>
          <w:sz w:val="18"/>
          <w:szCs w:val="18"/>
        </w:rPr>
        <w:t xml:space="preserve"> </w:t>
      </w:r>
      <w:r>
        <w:rPr>
          <w:color w:val="231F20"/>
          <w:sz w:val="18"/>
          <w:szCs w:val="18"/>
        </w:rPr>
        <w:t>to</w:t>
      </w:r>
      <w:r>
        <w:rPr>
          <w:color w:val="231F20"/>
          <w:spacing w:val="-8"/>
          <w:sz w:val="18"/>
          <w:szCs w:val="18"/>
        </w:rPr>
        <w:t xml:space="preserve"> </w:t>
      </w:r>
      <w:r>
        <w:rPr>
          <w:color w:val="231F20"/>
          <w:sz w:val="18"/>
          <w:szCs w:val="18"/>
        </w:rPr>
        <w:t>be,</w:t>
      </w:r>
      <w:r>
        <w:rPr>
          <w:color w:val="231F20"/>
          <w:spacing w:val="-8"/>
          <w:sz w:val="18"/>
          <w:szCs w:val="18"/>
        </w:rPr>
        <w:t xml:space="preserve"> </w:t>
      </w:r>
      <w:r>
        <w:rPr>
          <w:color w:val="231F20"/>
          <w:sz w:val="18"/>
          <w:szCs w:val="18"/>
        </w:rPr>
        <w:t>paid</w:t>
      </w:r>
      <w:r>
        <w:rPr>
          <w:color w:val="231F20"/>
          <w:spacing w:val="-8"/>
          <w:sz w:val="18"/>
          <w:szCs w:val="18"/>
        </w:rPr>
        <w:t xml:space="preserve"> </w:t>
      </w:r>
      <w:r>
        <w:rPr>
          <w:color w:val="231F20"/>
          <w:sz w:val="18"/>
          <w:szCs w:val="18"/>
        </w:rPr>
        <w:t>up</w:t>
      </w:r>
      <w:r>
        <w:rPr>
          <w:color w:val="231F20"/>
          <w:spacing w:val="-9"/>
          <w:sz w:val="18"/>
          <w:szCs w:val="18"/>
        </w:rPr>
        <w:t xml:space="preserve"> </w:t>
      </w:r>
      <w:r>
        <w:rPr>
          <w:color w:val="231F20"/>
          <w:sz w:val="18"/>
          <w:szCs w:val="18"/>
        </w:rPr>
        <w:t>in</w:t>
      </w:r>
      <w:r>
        <w:rPr>
          <w:color w:val="231F20"/>
          <w:spacing w:val="-10"/>
          <w:sz w:val="18"/>
          <w:szCs w:val="18"/>
        </w:rPr>
        <w:t xml:space="preserve"> </w:t>
      </w:r>
      <w:r>
        <w:rPr>
          <w:color w:val="231F20"/>
          <w:sz w:val="18"/>
          <w:szCs w:val="18"/>
        </w:rPr>
        <w:t>cash</w:t>
      </w:r>
      <w:r>
        <w:rPr>
          <w:color w:val="231F20"/>
          <w:spacing w:val="-8"/>
          <w:sz w:val="18"/>
          <w:szCs w:val="18"/>
        </w:rPr>
        <w:t xml:space="preserve"> </w:t>
      </w:r>
      <w:r>
        <w:rPr>
          <w:color w:val="231F20"/>
          <w:sz w:val="18"/>
          <w:szCs w:val="18"/>
        </w:rPr>
        <w:t>and, upon Admission, will apply to any shares to be allotted by the Board, except to the extent dis-applied by the resolution referred to in paragraph 3.</w:t>
      </w:r>
      <w:r w:rsidR="001613C9">
        <w:rPr>
          <w:color w:val="231F20"/>
          <w:sz w:val="18"/>
          <w:szCs w:val="18"/>
        </w:rPr>
        <w:t>1</w:t>
      </w:r>
      <w:r w:rsidR="00F30857">
        <w:rPr>
          <w:color w:val="231F20"/>
          <w:sz w:val="18"/>
          <w:szCs w:val="18"/>
        </w:rPr>
        <w:t>1</w:t>
      </w:r>
      <w:r>
        <w:rPr>
          <w:color w:val="231F20"/>
          <w:sz w:val="18"/>
          <w:szCs w:val="18"/>
        </w:rPr>
        <w:t xml:space="preserve"> of this Part</w:t>
      </w:r>
      <w:r>
        <w:rPr>
          <w:color w:val="231F20"/>
          <w:spacing w:val="-2"/>
          <w:sz w:val="18"/>
          <w:szCs w:val="18"/>
        </w:rPr>
        <w:t xml:space="preserve"> </w:t>
      </w:r>
      <w:r>
        <w:rPr>
          <w:color w:val="231F20"/>
          <w:sz w:val="18"/>
          <w:szCs w:val="18"/>
        </w:rPr>
        <w:t>VII.</w:t>
      </w:r>
    </w:p>
    <w:p w14:paraId="25614BD7" w14:textId="33E8A1AA" w:rsidR="00783288" w:rsidRDefault="00E31420" w:rsidP="00512495">
      <w:pPr>
        <w:pStyle w:val="ListParagraph"/>
        <w:numPr>
          <w:ilvl w:val="1"/>
          <w:numId w:val="13"/>
        </w:numPr>
        <w:tabs>
          <w:tab w:val="left" w:pos="840"/>
        </w:tabs>
        <w:kinsoku w:val="0"/>
        <w:overflowPunct w:val="0"/>
        <w:spacing w:before="78"/>
        <w:ind w:left="839" w:right="1034"/>
        <w:jc w:val="both"/>
      </w:pPr>
      <w:r>
        <w:rPr>
          <w:color w:val="231F20"/>
          <w:sz w:val="18"/>
          <w:szCs w:val="18"/>
        </w:rPr>
        <w:t>Otherwise than pursuant to the Options</w:t>
      </w:r>
      <w:r w:rsidR="000B2AF8">
        <w:rPr>
          <w:color w:val="231F20"/>
          <w:sz w:val="18"/>
          <w:szCs w:val="18"/>
        </w:rPr>
        <w:t xml:space="preserve"> and the Warrants</w:t>
      </w:r>
      <w:r>
        <w:rPr>
          <w:color w:val="231F20"/>
          <w:sz w:val="18"/>
          <w:szCs w:val="18"/>
        </w:rPr>
        <w:t xml:space="preserve"> set out in paragraph</w:t>
      </w:r>
      <w:r w:rsidR="000B2AF8">
        <w:rPr>
          <w:color w:val="231F20"/>
          <w:sz w:val="18"/>
          <w:szCs w:val="18"/>
        </w:rPr>
        <w:t>s</w:t>
      </w:r>
      <w:r>
        <w:rPr>
          <w:color w:val="231F20"/>
          <w:sz w:val="18"/>
          <w:szCs w:val="18"/>
        </w:rPr>
        <w:t xml:space="preserve"> 10 </w:t>
      </w:r>
      <w:r w:rsidR="000B2AF8">
        <w:rPr>
          <w:color w:val="231F20"/>
          <w:sz w:val="18"/>
          <w:szCs w:val="18"/>
        </w:rPr>
        <w:t xml:space="preserve">and 11 </w:t>
      </w:r>
      <w:r>
        <w:rPr>
          <w:color w:val="231F20"/>
          <w:sz w:val="18"/>
          <w:szCs w:val="18"/>
        </w:rPr>
        <w:t>of this Part VII of this Document, no share or loan capital of the Company is under option or agreed conditionally or unconditionally to be put under</w:t>
      </w:r>
      <w:r>
        <w:rPr>
          <w:color w:val="231F20"/>
          <w:spacing w:val="-8"/>
          <w:sz w:val="18"/>
          <w:szCs w:val="18"/>
        </w:rPr>
        <w:t xml:space="preserve"> </w:t>
      </w:r>
      <w:r>
        <w:rPr>
          <w:color w:val="231F20"/>
          <w:sz w:val="18"/>
          <w:szCs w:val="18"/>
        </w:rPr>
        <w:t>option.</w:t>
      </w:r>
    </w:p>
    <w:p w14:paraId="382F2C22" w14:textId="77777777" w:rsidR="00033F9D" w:rsidRDefault="00033F9D" w:rsidP="00033F9D">
      <w:pPr>
        <w:pStyle w:val="Heading1"/>
        <w:tabs>
          <w:tab w:val="left" w:pos="840"/>
        </w:tabs>
        <w:kinsoku w:val="0"/>
        <w:overflowPunct w:val="0"/>
        <w:ind w:left="839"/>
        <w:rPr>
          <w:color w:val="231F20"/>
        </w:rPr>
      </w:pPr>
    </w:p>
    <w:p w14:paraId="20A7305A" w14:textId="0645A09C" w:rsidR="00783288" w:rsidRDefault="00E31420" w:rsidP="00512495">
      <w:pPr>
        <w:pStyle w:val="Heading1"/>
        <w:numPr>
          <w:ilvl w:val="0"/>
          <w:numId w:val="13"/>
        </w:numPr>
        <w:tabs>
          <w:tab w:val="left" w:pos="840"/>
        </w:tabs>
        <w:kinsoku w:val="0"/>
        <w:overflowPunct w:val="0"/>
        <w:ind w:left="839"/>
        <w:rPr>
          <w:color w:val="231F20"/>
        </w:rPr>
      </w:pPr>
      <w:r>
        <w:rPr>
          <w:color w:val="231F20"/>
        </w:rPr>
        <w:t>Articles of Association</w:t>
      </w:r>
    </w:p>
    <w:p w14:paraId="48F6BDD8" w14:textId="77777777" w:rsidR="00783288" w:rsidRDefault="00783288">
      <w:pPr>
        <w:pStyle w:val="BodyText"/>
        <w:kinsoku w:val="0"/>
        <w:overflowPunct w:val="0"/>
        <w:spacing w:before="3"/>
        <w:rPr>
          <w:b/>
          <w:bCs/>
          <w:sz w:val="21"/>
          <w:szCs w:val="21"/>
        </w:rPr>
      </w:pPr>
    </w:p>
    <w:p w14:paraId="3CDDD672" w14:textId="77777777" w:rsidR="00783288" w:rsidRDefault="00E31420">
      <w:pPr>
        <w:pStyle w:val="BodyText"/>
        <w:kinsoku w:val="0"/>
        <w:overflowPunct w:val="0"/>
        <w:ind w:left="827" w:right="1189"/>
        <w:rPr>
          <w:color w:val="231F20"/>
        </w:rPr>
      </w:pPr>
      <w:r>
        <w:rPr>
          <w:color w:val="231F20"/>
        </w:rPr>
        <w:t>The Company’s objects and purposes are not limited by its Memorandum or Articles. The Articles contain provisions, inter alia, to the following effect:</w:t>
      </w:r>
    </w:p>
    <w:p w14:paraId="25789820" w14:textId="77777777" w:rsidR="00783288" w:rsidRDefault="00783288">
      <w:pPr>
        <w:pStyle w:val="BodyText"/>
        <w:kinsoku w:val="0"/>
        <w:overflowPunct w:val="0"/>
        <w:spacing w:before="11"/>
        <w:rPr>
          <w:sz w:val="20"/>
          <w:szCs w:val="20"/>
        </w:rPr>
      </w:pPr>
    </w:p>
    <w:p w14:paraId="1E70CCC2" w14:textId="77777777" w:rsidR="00783288" w:rsidRDefault="00E31420" w:rsidP="00512495">
      <w:pPr>
        <w:pStyle w:val="ListParagraph"/>
        <w:numPr>
          <w:ilvl w:val="1"/>
          <w:numId w:val="13"/>
        </w:numPr>
        <w:tabs>
          <w:tab w:val="left" w:pos="840"/>
        </w:tabs>
        <w:kinsoku w:val="0"/>
        <w:overflowPunct w:val="0"/>
        <w:ind w:left="839"/>
        <w:rPr>
          <w:color w:val="060707"/>
          <w:sz w:val="18"/>
          <w:szCs w:val="18"/>
        </w:rPr>
      </w:pPr>
      <w:r>
        <w:rPr>
          <w:color w:val="060707"/>
          <w:sz w:val="18"/>
          <w:szCs w:val="18"/>
        </w:rPr>
        <w:t>Voting</w:t>
      </w:r>
      <w:r>
        <w:rPr>
          <w:color w:val="060707"/>
          <w:spacing w:val="-3"/>
          <w:sz w:val="18"/>
          <w:szCs w:val="18"/>
        </w:rPr>
        <w:t xml:space="preserve"> </w:t>
      </w:r>
      <w:r>
        <w:rPr>
          <w:color w:val="060707"/>
          <w:sz w:val="18"/>
          <w:szCs w:val="18"/>
        </w:rPr>
        <w:t>rights</w:t>
      </w:r>
    </w:p>
    <w:p w14:paraId="686BECBD" w14:textId="77777777" w:rsidR="00783288" w:rsidRDefault="00783288">
      <w:pPr>
        <w:pStyle w:val="BodyText"/>
        <w:kinsoku w:val="0"/>
        <w:overflowPunct w:val="0"/>
        <w:spacing w:before="9"/>
        <w:rPr>
          <w:sz w:val="20"/>
          <w:szCs w:val="20"/>
        </w:rPr>
      </w:pPr>
    </w:p>
    <w:p w14:paraId="0F660CB1" w14:textId="77777777" w:rsidR="00783288" w:rsidRDefault="00E31420" w:rsidP="00512495">
      <w:pPr>
        <w:pStyle w:val="ListParagraph"/>
        <w:numPr>
          <w:ilvl w:val="2"/>
          <w:numId w:val="13"/>
        </w:numPr>
        <w:tabs>
          <w:tab w:val="left" w:pos="1822"/>
        </w:tabs>
        <w:kinsoku w:val="0"/>
        <w:overflowPunct w:val="0"/>
        <w:ind w:right="1034"/>
        <w:jc w:val="both"/>
        <w:rPr>
          <w:color w:val="231F20"/>
          <w:sz w:val="18"/>
          <w:szCs w:val="18"/>
        </w:rPr>
      </w:pPr>
      <w:r>
        <w:rPr>
          <w:color w:val="231F20"/>
          <w:sz w:val="18"/>
          <w:szCs w:val="18"/>
        </w:rPr>
        <w:t>Subject</w:t>
      </w:r>
      <w:r>
        <w:rPr>
          <w:color w:val="231F20"/>
          <w:spacing w:val="-4"/>
          <w:sz w:val="18"/>
          <w:szCs w:val="18"/>
        </w:rPr>
        <w:t xml:space="preserve"> </w:t>
      </w:r>
      <w:r>
        <w:rPr>
          <w:color w:val="231F20"/>
          <w:sz w:val="18"/>
          <w:szCs w:val="18"/>
        </w:rPr>
        <w:t>to</w:t>
      </w:r>
      <w:r>
        <w:rPr>
          <w:color w:val="231F20"/>
          <w:spacing w:val="-3"/>
          <w:sz w:val="18"/>
          <w:szCs w:val="18"/>
        </w:rPr>
        <w:t xml:space="preserve"> </w:t>
      </w:r>
      <w:r>
        <w:rPr>
          <w:color w:val="231F20"/>
          <w:sz w:val="18"/>
          <w:szCs w:val="18"/>
        </w:rPr>
        <w:t>any</w:t>
      </w:r>
      <w:r>
        <w:rPr>
          <w:color w:val="231F20"/>
          <w:spacing w:val="-4"/>
          <w:sz w:val="18"/>
          <w:szCs w:val="18"/>
        </w:rPr>
        <w:t xml:space="preserve"> </w:t>
      </w:r>
      <w:r>
        <w:rPr>
          <w:color w:val="231F20"/>
          <w:sz w:val="18"/>
          <w:szCs w:val="18"/>
        </w:rPr>
        <w:t>special</w:t>
      </w:r>
      <w:r>
        <w:rPr>
          <w:color w:val="231F20"/>
          <w:spacing w:val="-3"/>
          <w:sz w:val="18"/>
          <w:szCs w:val="18"/>
        </w:rPr>
        <w:t xml:space="preserve"> </w:t>
      </w:r>
      <w:r>
        <w:rPr>
          <w:color w:val="231F20"/>
          <w:sz w:val="18"/>
          <w:szCs w:val="18"/>
        </w:rPr>
        <w:t>terms</w:t>
      </w:r>
      <w:r>
        <w:rPr>
          <w:color w:val="231F20"/>
          <w:spacing w:val="-3"/>
          <w:sz w:val="18"/>
          <w:szCs w:val="18"/>
        </w:rPr>
        <w:t xml:space="preserve"> </w:t>
      </w:r>
      <w:r>
        <w:rPr>
          <w:color w:val="231F20"/>
          <w:sz w:val="18"/>
          <w:szCs w:val="18"/>
        </w:rPr>
        <w:t>as</w:t>
      </w:r>
      <w:r>
        <w:rPr>
          <w:color w:val="231F20"/>
          <w:spacing w:val="-2"/>
          <w:sz w:val="18"/>
          <w:szCs w:val="18"/>
        </w:rPr>
        <w:t xml:space="preserve"> </w:t>
      </w:r>
      <w:r>
        <w:rPr>
          <w:color w:val="231F20"/>
          <w:sz w:val="18"/>
          <w:szCs w:val="18"/>
        </w:rPr>
        <w:t>to</w:t>
      </w:r>
      <w:r>
        <w:rPr>
          <w:color w:val="231F20"/>
          <w:spacing w:val="-3"/>
          <w:sz w:val="18"/>
          <w:szCs w:val="18"/>
        </w:rPr>
        <w:t xml:space="preserve"> </w:t>
      </w:r>
      <w:r>
        <w:rPr>
          <w:color w:val="231F20"/>
          <w:sz w:val="18"/>
          <w:szCs w:val="18"/>
        </w:rPr>
        <w:t>voting</w:t>
      </w:r>
      <w:r>
        <w:rPr>
          <w:color w:val="231F20"/>
          <w:spacing w:val="-3"/>
          <w:sz w:val="18"/>
          <w:szCs w:val="18"/>
        </w:rPr>
        <w:t xml:space="preserve"> </w:t>
      </w:r>
      <w:r>
        <w:rPr>
          <w:color w:val="231F20"/>
          <w:sz w:val="18"/>
          <w:szCs w:val="18"/>
        </w:rPr>
        <w:t>on</w:t>
      </w:r>
      <w:r>
        <w:rPr>
          <w:color w:val="231F20"/>
          <w:spacing w:val="-3"/>
          <w:sz w:val="18"/>
          <w:szCs w:val="18"/>
        </w:rPr>
        <w:t xml:space="preserve"> </w:t>
      </w:r>
      <w:r>
        <w:rPr>
          <w:color w:val="231F20"/>
          <w:sz w:val="18"/>
          <w:szCs w:val="18"/>
        </w:rPr>
        <w:t>which</w:t>
      </w:r>
      <w:r>
        <w:rPr>
          <w:color w:val="231F20"/>
          <w:spacing w:val="-3"/>
          <w:sz w:val="18"/>
          <w:szCs w:val="18"/>
        </w:rPr>
        <w:t xml:space="preserve"> </w:t>
      </w:r>
      <w:r>
        <w:rPr>
          <w:color w:val="231F20"/>
          <w:sz w:val="18"/>
          <w:szCs w:val="18"/>
        </w:rPr>
        <w:t>any</w:t>
      </w:r>
      <w:r>
        <w:rPr>
          <w:color w:val="231F20"/>
          <w:spacing w:val="-5"/>
          <w:sz w:val="18"/>
          <w:szCs w:val="18"/>
        </w:rPr>
        <w:t xml:space="preserve"> </w:t>
      </w:r>
      <w:r>
        <w:rPr>
          <w:color w:val="231F20"/>
          <w:sz w:val="18"/>
          <w:szCs w:val="18"/>
        </w:rPr>
        <w:t>shares</w:t>
      </w:r>
      <w:r>
        <w:rPr>
          <w:color w:val="231F20"/>
          <w:spacing w:val="-2"/>
          <w:sz w:val="18"/>
          <w:szCs w:val="18"/>
        </w:rPr>
        <w:t xml:space="preserve"> </w:t>
      </w:r>
      <w:r>
        <w:rPr>
          <w:color w:val="231F20"/>
          <w:sz w:val="18"/>
          <w:szCs w:val="18"/>
        </w:rPr>
        <w:t>may</w:t>
      </w:r>
      <w:r>
        <w:rPr>
          <w:color w:val="231F20"/>
          <w:spacing w:val="-5"/>
          <w:sz w:val="18"/>
          <w:szCs w:val="18"/>
        </w:rPr>
        <w:t xml:space="preserve"> </w:t>
      </w:r>
      <w:r>
        <w:rPr>
          <w:color w:val="231F20"/>
          <w:sz w:val="18"/>
          <w:szCs w:val="18"/>
        </w:rPr>
        <w:t>have</w:t>
      </w:r>
      <w:r>
        <w:rPr>
          <w:color w:val="231F20"/>
          <w:spacing w:val="-3"/>
          <w:sz w:val="18"/>
          <w:szCs w:val="18"/>
        </w:rPr>
        <w:t xml:space="preserve"> </w:t>
      </w:r>
      <w:r>
        <w:rPr>
          <w:color w:val="231F20"/>
          <w:sz w:val="18"/>
          <w:szCs w:val="18"/>
        </w:rPr>
        <w:t>been</w:t>
      </w:r>
      <w:r>
        <w:rPr>
          <w:color w:val="231F20"/>
          <w:spacing w:val="-5"/>
          <w:sz w:val="18"/>
          <w:szCs w:val="18"/>
        </w:rPr>
        <w:t xml:space="preserve"> </w:t>
      </w:r>
      <w:r>
        <w:rPr>
          <w:color w:val="231F20"/>
          <w:sz w:val="18"/>
          <w:szCs w:val="18"/>
        </w:rPr>
        <w:t>issued,</w:t>
      </w:r>
      <w:r>
        <w:rPr>
          <w:color w:val="231F20"/>
          <w:spacing w:val="-3"/>
          <w:sz w:val="18"/>
          <w:szCs w:val="18"/>
        </w:rPr>
        <w:t xml:space="preserve"> </w:t>
      </w:r>
      <w:r>
        <w:rPr>
          <w:color w:val="231F20"/>
          <w:sz w:val="18"/>
          <w:szCs w:val="18"/>
        </w:rPr>
        <w:t>on</w:t>
      </w:r>
      <w:r>
        <w:rPr>
          <w:color w:val="231F20"/>
          <w:spacing w:val="-3"/>
          <w:sz w:val="18"/>
          <w:szCs w:val="18"/>
        </w:rPr>
        <w:t xml:space="preserve"> </w:t>
      </w:r>
      <w:r>
        <w:rPr>
          <w:color w:val="231F20"/>
          <w:sz w:val="18"/>
          <w:szCs w:val="18"/>
        </w:rPr>
        <w:t>a</w:t>
      </w:r>
      <w:r>
        <w:rPr>
          <w:color w:val="231F20"/>
          <w:spacing w:val="-5"/>
          <w:sz w:val="18"/>
          <w:szCs w:val="18"/>
        </w:rPr>
        <w:t xml:space="preserve"> </w:t>
      </w:r>
      <w:r>
        <w:rPr>
          <w:color w:val="231F20"/>
          <w:sz w:val="18"/>
          <w:szCs w:val="18"/>
        </w:rPr>
        <w:t>show of hands every member has one vote, and on a poll every member has one vote for every share of which he is the holder.</w:t>
      </w:r>
    </w:p>
    <w:p w14:paraId="5901A9B5" w14:textId="77777777" w:rsidR="00783288" w:rsidRDefault="00783288">
      <w:pPr>
        <w:pStyle w:val="BodyText"/>
        <w:kinsoku w:val="0"/>
        <w:overflowPunct w:val="0"/>
        <w:spacing w:before="11"/>
        <w:rPr>
          <w:sz w:val="20"/>
          <w:szCs w:val="20"/>
        </w:rPr>
      </w:pPr>
    </w:p>
    <w:p w14:paraId="2FD86291"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A member of the Company is not entitled in respect of any shares held by him to vote at any general meeting of the Company if any amounts payable by him in respect of those shares have not been paid (unless the Board otherwise determines), or if the member has failed to comply with a notice under section 793 of the Companies</w:t>
      </w:r>
      <w:r>
        <w:rPr>
          <w:color w:val="231F20"/>
          <w:spacing w:val="-1"/>
          <w:sz w:val="18"/>
          <w:szCs w:val="18"/>
        </w:rPr>
        <w:t xml:space="preserve"> </w:t>
      </w:r>
      <w:r>
        <w:rPr>
          <w:color w:val="231F20"/>
          <w:sz w:val="18"/>
          <w:szCs w:val="18"/>
        </w:rPr>
        <w:t>Act.</w:t>
      </w:r>
    </w:p>
    <w:p w14:paraId="1B4A180A" w14:textId="77777777" w:rsidR="00783288" w:rsidRDefault="00783288">
      <w:pPr>
        <w:pStyle w:val="BodyText"/>
        <w:kinsoku w:val="0"/>
        <w:overflowPunct w:val="0"/>
        <w:spacing w:before="10"/>
        <w:rPr>
          <w:sz w:val="20"/>
          <w:szCs w:val="20"/>
        </w:rPr>
      </w:pPr>
    </w:p>
    <w:p w14:paraId="0488F66D"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A holder of Deferred Shares is not entitled to receive notice of any general meeting of the Company or to attend, speak or vote in such a general</w:t>
      </w:r>
      <w:r>
        <w:rPr>
          <w:color w:val="231F20"/>
          <w:spacing w:val="-12"/>
          <w:sz w:val="18"/>
          <w:szCs w:val="18"/>
        </w:rPr>
        <w:t xml:space="preserve"> </w:t>
      </w:r>
      <w:r>
        <w:rPr>
          <w:color w:val="231F20"/>
          <w:sz w:val="18"/>
          <w:szCs w:val="18"/>
        </w:rPr>
        <w:t>meeting.</w:t>
      </w:r>
    </w:p>
    <w:p w14:paraId="15626F52" w14:textId="77777777" w:rsidR="00783288" w:rsidRDefault="00783288">
      <w:pPr>
        <w:pStyle w:val="BodyText"/>
        <w:kinsoku w:val="0"/>
        <w:overflowPunct w:val="0"/>
        <w:spacing w:before="9"/>
        <w:rPr>
          <w:sz w:val="20"/>
          <w:szCs w:val="20"/>
        </w:rPr>
      </w:pPr>
    </w:p>
    <w:p w14:paraId="7C554758" w14:textId="77777777" w:rsidR="00783288" w:rsidRDefault="00E31420" w:rsidP="00512495">
      <w:pPr>
        <w:pStyle w:val="ListParagraph"/>
        <w:keepNext/>
        <w:keepLines/>
        <w:numPr>
          <w:ilvl w:val="1"/>
          <w:numId w:val="13"/>
        </w:numPr>
        <w:tabs>
          <w:tab w:val="left" w:pos="840"/>
        </w:tabs>
        <w:kinsoku w:val="0"/>
        <w:overflowPunct w:val="0"/>
        <w:ind w:left="839"/>
        <w:rPr>
          <w:color w:val="060707"/>
          <w:sz w:val="18"/>
          <w:szCs w:val="18"/>
        </w:rPr>
      </w:pPr>
      <w:r>
        <w:rPr>
          <w:color w:val="060707"/>
          <w:sz w:val="18"/>
          <w:szCs w:val="18"/>
        </w:rPr>
        <w:lastRenderedPageBreak/>
        <w:t>General</w:t>
      </w:r>
      <w:r>
        <w:rPr>
          <w:color w:val="060707"/>
          <w:spacing w:val="-3"/>
          <w:sz w:val="18"/>
          <w:szCs w:val="18"/>
        </w:rPr>
        <w:t xml:space="preserve"> </w:t>
      </w:r>
      <w:r>
        <w:rPr>
          <w:color w:val="060707"/>
          <w:sz w:val="18"/>
          <w:szCs w:val="18"/>
        </w:rPr>
        <w:t>meetings</w:t>
      </w:r>
    </w:p>
    <w:p w14:paraId="6E9F01C3" w14:textId="77777777" w:rsidR="00783288" w:rsidRDefault="00783288" w:rsidP="009A2801">
      <w:pPr>
        <w:pStyle w:val="BodyText"/>
        <w:keepNext/>
        <w:keepLines/>
        <w:kinsoku w:val="0"/>
        <w:overflowPunct w:val="0"/>
        <w:rPr>
          <w:sz w:val="21"/>
          <w:szCs w:val="21"/>
        </w:rPr>
      </w:pPr>
    </w:p>
    <w:p w14:paraId="65138D59" w14:textId="77777777" w:rsidR="00783288" w:rsidRDefault="00E31420" w:rsidP="00512495">
      <w:pPr>
        <w:pStyle w:val="ListParagraph"/>
        <w:keepNext/>
        <w:keepLines/>
        <w:numPr>
          <w:ilvl w:val="2"/>
          <w:numId w:val="13"/>
        </w:numPr>
        <w:tabs>
          <w:tab w:val="left" w:pos="1822"/>
        </w:tabs>
        <w:kinsoku w:val="0"/>
        <w:overflowPunct w:val="0"/>
        <w:ind w:right="1037"/>
        <w:jc w:val="both"/>
        <w:rPr>
          <w:color w:val="231F20"/>
          <w:sz w:val="18"/>
          <w:szCs w:val="18"/>
        </w:rPr>
      </w:pPr>
      <w:r>
        <w:rPr>
          <w:color w:val="231F20"/>
          <w:sz w:val="18"/>
          <w:szCs w:val="18"/>
        </w:rPr>
        <w:t>Subject to the Companies Act, an annual general meeting must be called by at least 21 clear days’ notice and all other general meetings must be called by at least 14 clear days’</w:t>
      </w:r>
      <w:r>
        <w:rPr>
          <w:color w:val="231F20"/>
          <w:spacing w:val="-27"/>
          <w:sz w:val="18"/>
          <w:szCs w:val="18"/>
        </w:rPr>
        <w:t xml:space="preserve"> </w:t>
      </w:r>
      <w:r>
        <w:rPr>
          <w:color w:val="231F20"/>
          <w:sz w:val="18"/>
          <w:szCs w:val="18"/>
        </w:rPr>
        <w:t>notice.</w:t>
      </w:r>
    </w:p>
    <w:p w14:paraId="3A2284BF" w14:textId="77777777" w:rsidR="00783288" w:rsidRDefault="00783288">
      <w:pPr>
        <w:pStyle w:val="BodyText"/>
        <w:kinsoku w:val="0"/>
        <w:overflowPunct w:val="0"/>
        <w:spacing w:before="9"/>
        <w:rPr>
          <w:sz w:val="20"/>
          <w:szCs w:val="20"/>
        </w:rPr>
      </w:pPr>
    </w:p>
    <w:p w14:paraId="594B5F10"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Notices</w:t>
      </w:r>
      <w:r>
        <w:rPr>
          <w:color w:val="231F20"/>
          <w:spacing w:val="-3"/>
          <w:sz w:val="18"/>
          <w:szCs w:val="18"/>
        </w:rPr>
        <w:t xml:space="preserve"> </w:t>
      </w:r>
      <w:r>
        <w:rPr>
          <w:color w:val="231F20"/>
          <w:sz w:val="18"/>
          <w:szCs w:val="18"/>
        </w:rPr>
        <w:t>must</w:t>
      </w:r>
      <w:r>
        <w:rPr>
          <w:color w:val="231F20"/>
          <w:spacing w:val="-4"/>
          <w:sz w:val="18"/>
          <w:szCs w:val="18"/>
        </w:rPr>
        <w:t xml:space="preserve"> </w:t>
      </w:r>
      <w:r>
        <w:rPr>
          <w:color w:val="231F20"/>
          <w:sz w:val="18"/>
          <w:szCs w:val="18"/>
        </w:rPr>
        <w:t>be</w:t>
      </w:r>
      <w:r>
        <w:rPr>
          <w:color w:val="231F20"/>
          <w:spacing w:val="-4"/>
          <w:sz w:val="18"/>
          <w:szCs w:val="18"/>
        </w:rPr>
        <w:t xml:space="preserve"> </w:t>
      </w:r>
      <w:r>
        <w:rPr>
          <w:color w:val="231F20"/>
          <w:sz w:val="18"/>
          <w:szCs w:val="18"/>
        </w:rPr>
        <w:t>given</w:t>
      </w:r>
      <w:r>
        <w:rPr>
          <w:color w:val="231F20"/>
          <w:spacing w:val="-4"/>
          <w:sz w:val="18"/>
          <w:szCs w:val="18"/>
        </w:rPr>
        <w:t xml:space="preserve"> </w:t>
      </w:r>
      <w:r>
        <w:rPr>
          <w:color w:val="231F20"/>
          <w:sz w:val="18"/>
          <w:szCs w:val="18"/>
        </w:rPr>
        <w:t>in</w:t>
      </w:r>
      <w:r>
        <w:rPr>
          <w:color w:val="231F20"/>
          <w:spacing w:val="-3"/>
          <w:sz w:val="18"/>
          <w:szCs w:val="18"/>
        </w:rPr>
        <w:t xml:space="preserve"> </w:t>
      </w:r>
      <w:r>
        <w:rPr>
          <w:color w:val="231F20"/>
          <w:sz w:val="18"/>
          <w:szCs w:val="18"/>
        </w:rPr>
        <w:t>the</w:t>
      </w:r>
      <w:r>
        <w:rPr>
          <w:color w:val="231F20"/>
          <w:spacing w:val="-6"/>
          <w:sz w:val="18"/>
          <w:szCs w:val="18"/>
        </w:rPr>
        <w:t xml:space="preserve"> </w:t>
      </w:r>
      <w:r>
        <w:rPr>
          <w:color w:val="231F20"/>
          <w:sz w:val="18"/>
          <w:szCs w:val="18"/>
        </w:rPr>
        <w:t>manner</w:t>
      </w:r>
      <w:r>
        <w:rPr>
          <w:color w:val="231F20"/>
          <w:spacing w:val="-4"/>
          <w:sz w:val="18"/>
          <w:szCs w:val="18"/>
        </w:rPr>
        <w:t xml:space="preserve"> </w:t>
      </w:r>
      <w:r>
        <w:rPr>
          <w:color w:val="231F20"/>
          <w:sz w:val="18"/>
          <w:szCs w:val="18"/>
        </w:rPr>
        <w:t>stated</w:t>
      </w:r>
      <w:r>
        <w:rPr>
          <w:color w:val="231F20"/>
          <w:spacing w:val="-4"/>
          <w:sz w:val="18"/>
          <w:szCs w:val="18"/>
        </w:rPr>
        <w:t xml:space="preserve"> </w:t>
      </w:r>
      <w:r>
        <w:rPr>
          <w:color w:val="231F20"/>
          <w:sz w:val="18"/>
          <w:szCs w:val="18"/>
        </w:rPr>
        <w:t>in</w:t>
      </w:r>
      <w:r>
        <w:rPr>
          <w:color w:val="231F20"/>
          <w:spacing w:val="-3"/>
          <w:sz w:val="18"/>
          <w:szCs w:val="18"/>
        </w:rPr>
        <w:t xml:space="preserve"> </w:t>
      </w:r>
      <w:r>
        <w:rPr>
          <w:color w:val="231F20"/>
          <w:sz w:val="18"/>
          <w:szCs w:val="18"/>
        </w:rPr>
        <w:t>the</w:t>
      </w:r>
      <w:r>
        <w:rPr>
          <w:color w:val="231F20"/>
          <w:spacing w:val="-1"/>
          <w:sz w:val="18"/>
          <w:szCs w:val="18"/>
        </w:rPr>
        <w:t xml:space="preserve"> </w:t>
      </w:r>
      <w:r>
        <w:rPr>
          <w:color w:val="231F20"/>
          <w:sz w:val="18"/>
          <w:szCs w:val="18"/>
        </w:rPr>
        <w:t>Articles</w:t>
      </w:r>
      <w:r>
        <w:rPr>
          <w:color w:val="231F20"/>
          <w:spacing w:val="-3"/>
          <w:sz w:val="18"/>
          <w:szCs w:val="18"/>
        </w:rPr>
        <w:t xml:space="preserve"> </w:t>
      </w:r>
      <w:r>
        <w:rPr>
          <w:color w:val="231F20"/>
          <w:sz w:val="18"/>
          <w:szCs w:val="18"/>
        </w:rPr>
        <w:t>to</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members,</w:t>
      </w:r>
      <w:r>
        <w:rPr>
          <w:color w:val="231F20"/>
          <w:spacing w:val="-1"/>
          <w:sz w:val="18"/>
          <w:szCs w:val="18"/>
        </w:rPr>
        <w:t xml:space="preserve"> </w:t>
      </w:r>
      <w:r>
        <w:rPr>
          <w:color w:val="231F20"/>
          <w:sz w:val="18"/>
          <w:szCs w:val="18"/>
        </w:rPr>
        <w:t>other</w:t>
      </w:r>
      <w:r>
        <w:rPr>
          <w:color w:val="231F20"/>
          <w:spacing w:val="-4"/>
          <w:sz w:val="18"/>
          <w:szCs w:val="18"/>
        </w:rPr>
        <w:t xml:space="preserve"> </w:t>
      </w:r>
      <w:r>
        <w:rPr>
          <w:color w:val="231F20"/>
          <w:sz w:val="18"/>
          <w:szCs w:val="18"/>
        </w:rPr>
        <w:t>than</w:t>
      </w:r>
      <w:r>
        <w:rPr>
          <w:color w:val="231F20"/>
          <w:spacing w:val="-1"/>
          <w:sz w:val="18"/>
          <w:szCs w:val="18"/>
        </w:rPr>
        <w:t xml:space="preserve"> </w:t>
      </w:r>
      <w:r>
        <w:rPr>
          <w:color w:val="231F20"/>
          <w:sz w:val="18"/>
          <w:szCs w:val="18"/>
        </w:rPr>
        <w:t>those</w:t>
      </w:r>
      <w:r>
        <w:rPr>
          <w:color w:val="231F20"/>
          <w:spacing w:val="-4"/>
          <w:sz w:val="18"/>
          <w:szCs w:val="18"/>
        </w:rPr>
        <w:t xml:space="preserve"> </w:t>
      </w:r>
      <w:r>
        <w:rPr>
          <w:color w:val="231F20"/>
          <w:sz w:val="18"/>
          <w:szCs w:val="18"/>
        </w:rPr>
        <w:t>who under the provisions of the Articles or under the rights attached to the shares held by them are not entitled to receive the notice, and to the</w:t>
      </w:r>
      <w:r>
        <w:rPr>
          <w:color w:val="231F20"/>
          <w:spacing w:val="1"/>
          <w:sz w:val="18"/>
          <w:szCs w:val="18"/>
        </w:rPr>
        <w:t xml:space="preserve"> </w:t>
      </w:r>
      <w:r>
        <w:rPr>
          <w:color w:val="231F20"/>
          <w:sz w:val="18"/>
          <w:szCs w:val="18"/>
        </w:rPr>
        <w:t>auditors.</w:t>
      </w:r>
    </w:p>
    <w:p w14:paraId="3B8AD42F" w14:textId="77777777" w:rsidR="00783288" w:rsidRDefault="00783288">
      <w:pPr>
        <w:pStyle w:val="BodyText"/>
        <w:kinsoku w:val="0"/>
        <w:overflowPunct w:val="0"/>
        <w:spacing w:before="10"/>
        <w:rPr>
          <w:sz w:val="20"/>
          <w:szCs w:val="20"/>
        </w:rPr>
      </w:pPr>
    </w:p>
    <w:p w14:paraId="57FAF414"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No</w:t>
      </w:r>
      <w:r>
        <w:rPr>
          <w:color w:val="231F20"/>
          <w:spacing w:val="-2"/>
          <w:sz w:val="18"/>
          <w:szCs w:val="18"/>
        </w:rPr>
        <w:t xml:space="preserve"> </w:t>
      </w:r>
      <w:r>
        <w:rPr>
          <w:color w:val="231F20"/>
          <w:sz w:val="18"/>
          <w:szCs w:val="18"/>
        </w:rPr>
        <w:t>business</w:t>
      </w:r>
      <w:r>
        <w:rPr>
          <w:color w:val="231F20"/>
          <w:spacing w:val="-3"/>
          <w:sz w:val="18"/>
          <w:szCs w:val="18"/>
        </w:rPr>
        <w:t xml:space="preserve"> </w:t>
      </w:r>
      <w:r>
        <w:rPr>
          <w:color w:val="231F20"/>
          <w:sz w:val="18"/>
          <w:szCs w:val="18"/>
        </w:rPr>
        <w:t>may</w:t>
      </w:r>
      <w:r>
        <w:rPr>
          <w:color w:val="231F20"/>
          <w:spacing w:val="-3"/>
          <w:sz w:val="18"/>
          <w:szCs w:val="18"/>
        </w:rPr>
        <w:t xml:space="preserve"> </w:t>
      </w:r>
      <w:r>
        <w:rPr>
          <w:color w:val="231F20"/>
          <w:sz w:val="18"/>
          <w:szCs w:val="18"/>
        </w:rPr>
        <w:t>be</w:t>
      </w:r>
      <w:r>
        <w:rPr>
          <w:color w:val="231F20"/>
          <w:spacing w:val="-1"/>
          <w:sz w:val="18"/>
          <w:szCs w:val="18"/>
        </w:rPr>
        <w:t xml:space="preserve"> </w:t>
      </w:r>
      <w:r>
        <w:rPr>
          <w:color w:val="231F20"/>
          <w:sz w:val="18"/>
          <w:szCs w:val="18"/>
        </w:rPr>
        <w:t>transacted</w:t>
      </w:r>
      <w:r>
        <w:rPr>
          <w:color w:val="231F20"/>
          <w:spacing w:val="-2"/>
          <w:sz w:val="18"/>
          <w:szCs w:val="18"/>
        </w:rPr>
        <w:t xml:space="preserve"> </w:t>
      </w:r>
      <w:r>
        <w:rPr>
          <w:color w:val="231F20"/>
          <w:sz w:val="18"/>
          <w:szCs w:val="18"/>
        </w:rPr>
        <w:t>at</w:t>
      </w:r>
      <w:r>
        <w:rPr>
          <w:color w:val="231F20"/>
          <w:spacing w:val="-4"/>
          <w:sz w:val="18"/>
          <w:szCs w:val="18"/>
        </w:rPr>
        <w:t xml:space="preserve"> </w:t>
      </w:r>
      <w:r>
        <w:rPr>
          <w:color w:val="231F20"/>
          <w:sz w:val="18"/>
          <w:szCs w:val="18"/>
        </w:rPr>
        <w:t>any</w:t>
      </w:r>
      <w:r>
        <w:rPr>
          <w:color w:val="231F20"/>
          <w:spacing w:val="-6"/>
          <w:sz w:val="18"/>
          <w:szCs w:val="18"/>
        </w:rPr>
        <w:t xml:space="preserve"> </w:t>
      </w:r>
      <w:r>
        <w:rPr>
          <w:color w:val="231F20"/>
          <w:sz w:val="18"/>
          <w:szCs w:val="18"/>
        </w:rPr>
        <w:t>general</w:t>
      </w:r>
      <w:r>
        <w:rPr>
          <w:color w:val="231F20"/>
          <w:spacing w:val="-4"/>
          <w:sz w:val="18"/>
          <w:szCs w:val="18"/>
        </w:rPr>
        <w:t xml:space="preserve"> </w:t>
      </w:r>
      <w:r>
        <w:rPr>
          <w:color w:val="231F20"/>
          <w:sz w:val="18"/>
          <w:szCs w:val="18"/>
        </w:rPr>
        <w:t>meeting</w:t>
      </w:r>
      <w:r>
        <w:rPr>
          <w:color w:val="231F20"/>
          <w:spacing w:val="-4"/>
          <w:sz w:val="18"/>
          <w:szCs w:val="18"/>
        </w:rPr>
        <w:t xml:space="preserve"> </w:t>
      </w:r>
      <w:r>
        <w:rPr>
          <w:color w:val="231F20"/>
          <w:sz w:val="18"/>
          <w:szCs w:val="18"/>
        </w:rPr>
        <w:t>unless</w:t>
      </w:r>
      <w:r>
        <w:rPr>
          <w:color w:val="231F20"/>
          <w:spacing w:val="-3"/>
          <w:sz w:val="18"/>
          <w:szCs w:val="18"/>
        </w:rPr>
        <w:t xml:space="preserve"> </w:t>
      </w:r>
      <w:r>
        <w:rPr>
          <w:color w:val="231F20"/>
          <w:sz w:val="18"/>
          <w:szCs w:val="18"/>
        </w:rPr>
        <w:t>a</w:t>
      </w:r>
      <w:r>
        <w:rPr>
          <w:color w:val="231F20"/>
          <w:spacing w:val="-5"/>
          <w:sz w:val="18"/>
          <w:szCs w:val="18"/>
        </w:rPr>
        <w:t xml:space="preserve"> </w:t>
      </w:r>
      <w:r>
        <w:rPr>
          <w:color w:val="231F20"/>
          <w:sz w:val="18"/>
          <w:szCs w:val="18"/>
        </w:rPr>
        <w:t>quorum</w:t>
      </w:r>
      <w:r>
        <w:rPr>
          <w:color w:val="231F20"/>
          <w:spacing w:val="-3"/>
          <w:sz w:val="18"/>
          <w:szCs w:val="18"/>
        </w:rPr>
        <w:t xml:space="preserve"> </w:t>
      </w:r>
      <w:r>
        <w:rPr>
          <w:color w:val="231F20"/>
          <w:sz w:val="18"/>
          <w:szCs w:val="18"/>
        </w:rPr>
        <w:t>is</w:t>
      </w:r>
      <w:r>
        <w:rPr>
          <w:color w:val="231F20"/>
          <w:spacing w:val="-3"/>
          <w:sz w:val="18"/>
          <w:szCs w:val="18"/>
        </w:rPr>
        <w:t xml:space="preserve"> </w:t>
      </w:r>
      <w:r>
        <w:rPr>
          <w:color w:val="231F20"/>
          <w:sz w:val="18"/>
          <w:szCs w:val="18"/>
        </w:rPr>
        <w:t>present</w:t>
      </w:r>
      <w:r>
        <w:rPr>
          <w:color w:val="231F20"/>
          <w:spacing w:val="-2"/>
          <w:sz w:val="18"/>
          <w:szCs w:val="18"/>
        </w:rPr>
        <w:t xml:space="preserve"> </w:t>
      </w:r>
      <w:r>
        <w:rPr>
          <w:color w:val="231F20"/>
          <w:sz w:val="18"/>
          <w:szCs w:val="18"/>
        </w:rPr>
        <w:t>which</w:t>
      </w:r>
      <w:r>
        <w:rPr>
          <w:color w:val="231F20"/>
          <w:spacing w:val="-6"/>
          <w:sz w:val="18"/>
          <w:szCs w:val="18"/>
        </w:rPr>
        <w:t xml:space="preserve"> </w:t>
      </w:r>
      <w:r>
        <w:rPr>
          <w:color w:val="231F20"/>
          <w:sz w:val="18"/>
          <w:szCs w:val="18"/>
        </w:rPr>
        <w:t>will</w:t>
      </w:r>
      <w:r>
        <w:rPr>
          <w:color w:val="231F20"/>
          <w:spacing w:val="-2"/>
          <w:sz w:val="18"/>
          <w:szCs w:val="18"/>
        </w:rPr>
        <w:t xml:space="preserve"> </w:t>
      </w:r>
      <w:r>
        <w:rPr>
          <w:color w:val="231F20"/>
          <w:sz w:val="18"/>
          <w:szCs w:val="18"/>
        </w:rPr>
        <w:t>be constituted by two persons entitled to vote at the meeting each being a member or a proxy for a member or a representative of a corporation which is a member. If within half an hour from the time</w:t>
      </w:r>
      <w:r>
        <w:rPr>
          <w:color w:val="231F20"/>
          <w:spacing w:val="-17"/>
          <w:sz w:val="18"/>
          <w:szCs w:val="18"/>
        </w:rPr>
        <w:t xml:space="preserve"> </w:t>
      </w:r>
      <w:r>
        <w:rPr>
          <w:color w:val="231F20"/>
          <w:sz w:val="18"/>
          <w:szCs w:val="18"/>
        </w:rPr>
        <w:t>appointed</w:t>
      </w:r>
      <w:r>
        <w:rPr>
          <w:color w:val="231F20"/>
          <w:spacing w:val="-13"/>
          <w:sz w:val="18"/>
          <w:szCs w:val="18"/>
        </w:rPr>
        <w:t xml:space="preserve"> </w:t>
      </w:r>
      <w:r>
        <w:rPr>
          <w:color w:val="231F20"/>
          <w:sz w:val="18"/>
          <w:szCs w:val="18"/>
        </w:rPr>
        <w:t>for</w:t>
      </w:r>
      <w:r>
        <w:rPr>
          <w:color w:val="231F20"/>
          <w:spacing w:val="-14"/>
          <w:sz w:val="18"/>
          <w:szCs w:val="18"/>
        </w:rPr>
        <w:t xml:space="preserve"> </w:t>
      </w:r>
      <w:r>
        <w:rPr>
          <w:color w:val="231F20"/>
          <w:sz w:val="18"/>
          <w:szCs w:val="18"/>
        </w:rPr>
        <w:t>the</w:t>
      </w:r>
      <w:r>
        <w:rPr>
          <w:color w:val="231F20"/>
          <w:spacing w:val="-13"/>
          <w:sz w:val="18"/>
          <w:szCs w:val="18"/>
        </w:rPr>
        <w:t xml:space="preserve"> </w:t>
      </w:r>
      <w:r>
        <w:rPr>
          <w:color w:val="231F20"/>
          <w:sz w:val="18"/>
          <w:szCs w:val="18"/>
        </w:rPr>
        <w:t>meeting</w:t>
      </w:r>
      <w:r>
        <w:rPr>
          <w:color w:val="231F20"/>
          <w:spacing w:val="-16"/>
          <w:sz w:val="18"/>
          <w:szCs w:val="18"/>
        </w:rPr>
        <w:t xml:space="preserve"> </w:t>
      </w:r>
      <w:r>
        <w:rPr>
          <w:color w:val="231F20"/>
          <w:sz w:val="18"/>
          <w:szCs w:val="18"/>
        </w:rPr>
        <w:t>a</w:t>
      </w:r>
      <w:r>
        <w:rPr>
          <w:color w:val="231F20"/>
          <w:spacing w:val="-14"/>
          <w:sz w:val="18"/>
          <w:szCs w:val="18"/>
        </w:rPr>
        <w:t xml:space="preserve"> </w:t>
      </w:r>
      <w:r>
        <w:rPr>
          <w:color w:val="231F20"/>
          <w:sz w:val="18"/>
          <w:szCs w:val="18"/>
        </w:rPr>
        <w:t>quorum</w:t>
      </w:r>
      <w:r>
        <w:rPr>
          <w:color w:val="231F20"/>
          <w:spacing w:val="-15"/>
          <w:sz w:val="18"/>
          <w:szCs w:val="18"/>
        </w:rPr>
        <w:t xml:space="preserve"> </w:t>
      </w:r>
      <w:r>
        <w:rPr>
          <w:color w:val="231F20"/>
          <w:sz w:val="18"/>
          <w:szCs w:val="18"/>
        </w:rPr>
        <w:t>is</w:t>
      </w:r>
      <w:r>
        <w:rPr>
          <w:color w:val="231F20"/>
          <w:spacing w:val="-15"/>
          <w:sz w:val="18"/>
          <w:szCs w:val="18"/>
        </w:rPr>
        <w:t xml:space="preserve"> </w:t>
      </w:r>
      <w:r>
        <w:rPr>
          <w:color w:val="231F20"/>
          <w:sz w:val="18"/>
          <w:szCs w:val="18"/>
        </w:rPr>
        <w:t>not</w:t>
      </w:r>
      <w:r>
        <w:rPr>
          <w:color w:val="231F20"/>
          <w:spacing w:val="-16"/>
          <w:sz w:val="18"/>
          <w:szCs w:val="18"/>
        </w:rPr>
        <w:t xml:space="preserve"> </w:t>
      </w:r>
      <w:r>
        <w:rPr>
          <w:color w:val="231F20"/>
          <w:sz w:val="18"/>
          <w:szCs w:val="18"/>
        </w:rPr>
        <w:t>present,</w:t>
      </w:r>
      <w:r>
        <w:rPr>
          <w:color w:val="231F20"/>
          <w:spacing w:val="-16"/>
          <w:sz w:val="18"/>
          <w:szCs w:val="18"/>
        </w:rPr>
        <w:t xml:space="preserve"> </w:t>
      </w:r>
      <w:r>
        <w:rPr>
          <w:color w:val="231F20"/>
          <w:sz w:val="18"/>
          <w:szCs w:val="18"/>
        </w:rPr>
        <w:t>the</w:t>
      </w:r>
      <w:r>
        <w:rPr>
          <w:color w:val="231F20"/>
          <w:spacing w:val="-16"/>
          <w:sz w:val="18"/>
          <w:szCs w:val="18"/>
        </w:rPr>
        <w:t xml:space="preserve"> </w:t>
      </w:r>
      <w:r>
        <w:rPr>
          <w:color w:val="231F20"/>
          <w:sz w:val="18"/>
          <w:szCs w:val="18"/>
        </w:rPr>
        <w:t>meeting,</w:t>
      </w:r>
      <w:r>
        <w:rPr>
          <w:color w:val="231F20"/>
          <w:spacing w:val="-14"/>
          <w:sz w:val="18"/>
          <w:szCs w:val="18"/>
        </w:rPr>
        <w:t xml:space="preserve"> </w:t>
      </w:r>
      <w:r>
        <w:rPr>
          <w:color w:val="231F20"/>
          <w:sz w:val="18"/>
          <w:szCs w:val="18"/>
        </w:rPr>
        <w:t>if</w:t>
      </w:r>
      <w:r>
        <w:rPr>
          <w:color w:val="231F20"/>
          <w:spacing w:val="-14"/>
          <w:sz w:val="18"/>
          <w:szCs w:val="18"/>
        </w:rPr>
        <w:t xml:space="preserve"> </w:t>
      </w:r>
      <w:r>
        <w:rPr>
          <w:color w:val="231F20"/>
          <w:sz w:val="18"/>
          <w:szCs w:val="18"/>
        </w:rPr>
        <w:t>convened</w:t>
      </w:r>
      <w:r>
        <w:rPr>
          <w:color w:val="231F20"/>
          <w:spacing w:val="-16"/>
          <w:sz w:val="18"/>
          <w:szCs w:val="18"/>
        </w:rPr>
        <w:t xml:space="preserve"> </w:t>
      </w:r>
      <w:r>
        <w:rPr>
          <w:color w:val="231F20"/>
          <w:sz w:val="18"/>
          <w:szCs w:val="18"/>
        </w:rPr>
        <w:t>on</w:t>
      </w:r>
      <w:r>
        <w:rPr>
          <w:color w:val="231F20"/>
          <w:spacing w:val="-16"/>
          <w:sz w:val="18"/>
          <w:szCs w:val="18"/>
        </w:rPr>
        <w:t xml:space="preserve"> </w:t>
      </w:r>
      <w:r>
        <w:rPr>
          <w:color w:val="231F20"/>
          <w:sz w:val="18"/>
          <w:szCs w:val="18"/>
        </w:rPr>
        <w:t>the</w:t>
      </w:r>
      <w:r>
        <w:rPr>
          <w:color w:val="231F20"/>
          <w:spacing w:val="-14"/>
          <w:sz w:val="18"/>
          <w:szCs w:val="18"/>
        </w:rPr>
        <w:t xml:space="preserve"> </w:t>
      </w:r>
      <w:r>
        <w:rPr>
          <w:color w:val="231F20"/>
          <w:sz w:val="18"/>
          <w:szCs w:val="18"/>
        </w:rPr>
        <w:t>requisition of, or by, members, will be dissolved. In any other case, it will stand adjourned to the same day in the next week at the same time and place, or to such other day and at such other time and place as the Board may</w:t>
      </w:r>
      <w:r>
        <w:rPr>
          <w:color w:val="231F20"/>
          <w:spacing w:val="2"/>
          <w:sz w:val="18"/>
          <w:szCs w:val="18"/>
        </w:rPr>
        <w:t xml:space="preserve"> </w:t>
      </w:r>
      <w:r>
        <w:rPr>
          <w:color w:val="231F20"/>
          <w:sz w:val="18"/>
          <w:szCs w:val="18"/>
        </w:rPr>
        <w:t>determine.</w:t>
      </w:r>
    </w:p>
    <w:p w14:paraId="51727769" w14:textId="77777777" w:rsidR="00783288" w:rsidRDefault="00783288">
      <w:pPr>
        <w:pStyle w:val="BodyText"/>
        <w:kinsoku w:val="0"/>
        <w:overflowPunct w:val="0"/>
        <w:spacing w:before="8"/>
        <w:rPr>
          <w:sz w:val="20"/>
          <w:szCs w:val="20"/>
        </w:rPr>
      </w:pPr>
    </w:p>
    <w:p w14:paraId="2F5BD04F" w14:textId="77777777" w:rsidR="00783288" w:rsidRDefault="00E31420" w:rsidP="00512495">
      <w:pPr>
        <w:pStyle w:val="ListParagraph"/>
        <w:numPr>
          <w:ilvl w:val="2"/>
          <w:numId w:val="13"/>
        </w:numPr>
        <w:tabs>
          <w:tab w:val="left" w:pos="1822"/>
        </w:tabs>
        <w:kinsoku w:val="0"/>
        <w:overflowPunct w:val="0"/>
        <w:spacing w:before="1"/>
        <w:ind w:right="1035"/>
        <w:jc w:val="both"/>
        <w:rPr>
          <w:color w:val="231F20"/>
          <w:sz w:val="18"/>
          <w:szCs w:val="18"/>
        </w:rPr>
      </w:pPr>
      <w:r>
        <w:rPr>
          <w:color w:val="231F20"/>
          <w:sz w:val="18"/>
          <w:szCs w:val="18"/>
        </w:rPr>
        <w:t>At a general meeting a resolution put to the vote will be decided on a show of hands unless, before or on the declaration of the show of hands, a poll is demanded by the chairman or by at least</w:t>
      </w:r>
      <w:r>
        <w:rPr>
          <w:color w:val="231F20"/>
          <w:spacing w:val="-9"/>
          <w:sz w:val="18"/>
          <w:szCs w:val="18"/>
        </w:rPr>
        <w:t xml:space="preserve"> </w:t>
      </w:r>
      <w:r>
        <w:rPr>
          <w:color w:val="231F20"/>
          <w:sz w:val="18"/>
          <w:szCs w:val="18"/>
        </w:rPr>
        <w:t>five</w:t>
      </w:r>
      <w:r>
        <w:rPr>
          <w:color w:val="231F20"/>
          <w:spacing w:val="-9"/>
          <w:sz w:val="18"/>
          <w:szCs w:val="18"/>
        </w:rPr>
        <w:t xml:space="preserve"> </w:t>
      </w:r>
      <w:r>
        <w:rPr>
          <w:color w:val="231F20"/>
          <w:sz w:val="18"/>
          <w:szCs w:val="18"/>
        </w:rPr>
        <w:t>members</w:t>
      </w:r>
      <w:r>
        <w:rPr>
          <w:color w:val="231F20"/>
          <w:spacing w:val="-9"/>
          <w:sz w:val="18"/>
          <w:szCs w:val="18"/>
        </w:rPr>
        <w:t xml:space="preserve"> </w:t>
      </w:r>
      <w:r>
        <w:rPr>
          <w:color w:val="231F20"/>
          <w:sz w:val="18"/>
          <w:szCs w:val="18"/>
        </w:rPr>
        <w:t>present</w:t>
      </w:r>
      <w:r>
        <w:rPr>
          <w:color w:val="231F20"/>
          <w:spacing w:val="-9"/>
          <w:sz w:val="18"/>
          <w:szCs w:val="18"/>
        </w:rPr>
        <w:t xml:space="preserve"> </w:t>
      </w:r>
      <w:r>
        <w:rPr>
          <w:color w:val="231F20"/>
          <w:sz w:val="18"/>
          <w:szCs w:val="18"/>
        </w:rPr>
        <w:t>in</w:t>
      </w:r>
      <w:r>
        <w:rPr>
          <w:color w:val="231F20"/>
          <w:spacing w:val="-10"/>
          <w:sz w:val="18"/>
          <w:szCs w:val="18"/>
        </w:rPr>
        <w:t xml:space="preserve"> </w:t>
      </w:r>
      <w:r>
        <w:rPr>
          <w:color w:val="231F20"/>
          <w:sz w:val="18"/>
          <w:szCs w:val="18"/>
        </w:rPr>
        <w:t>person</w:t>
      </w:r>
      <w:r>
        <w:rPr>
          <w:color w:val="231F20"/>
          <w:spacing w:val="-9"/>
          <w:sz w:val="18"/>
          <w:szCs w:val="18"/>
        </w:rPr>
        <w:t xml:space="preserve"> </w:t>
      </w:r>
      <w:r>
        <w:rPr>
          <w:color w:val="231F20"/>
          <w:sz w:val="18"/>
          <w:szCs w:val="18"/>
        </w:rPr>
        <w:t>or</w:t>
      </w:r>
      <w:r>
        <w:rPr>
          <w:color w:val="231F20"/>
          <w:spacing w:val="-8"/>
          <w:sz w:val="18"/>
          <w:szCs w:val="18"/>
        </w:rPr>
        <w:t xml:space="preserve"> </w:t>
      </w:r>
      <w:r>
        <w:rPr>
          <w:color w:val="231F20"/>
          <w:sz w:val="18"/>
          <w:szCs w:val="18"/>
        </w:rPr>
        <w:t>by</w:t>
      </w:r>
      <w:r>
        <w:rPr>
          <w:color w:val="231F20"/>
          <w:spacing w:val="-10"/>
          <w:sz w:val="18"/>
          <w:szCs w:val="18"/>
        </w:rPr>
        <w:t xml:space="preserve"> </w:t>
      </w:r>
      <w:r>
        <w:rPr>
          <w:color w:val="231F20"/>
          <w:sz w:val="18"/>
          <w:szCs w:val="18"/>
        </w:rPr>
        <w:t>proxy</w:t>
      </w:r>
      <w:r>
        <w:rPr>
          <w:color w:val="231F20"/>
          <w:spacing w:val="-9"/>
          <w:sz w:val="18"/>
          <w:szCs w:val="18"/>
        </w:rPr>
        <w:t xml:space="preserve"> </w:t>
      </w:r>
      <w:r>
        <w:rPr>
          <w:color w:val="231F20"/>
          <w:sz w:val="18"/>
          <w:szCs w:val="18"/>
        </w:rPr>
        <w:t>and</w:t>
      </w:r>
      <w:r>
        <w:rPr>
          <w:color w:val="231F20"/>
          <w:spacing w:val="-9"/>
          <w:sz w:val="18"/>
          <w:szCs w:val="18"/>
        </w:rPr>
        <w:t xml:space="preserve"> </w:t>
      </w:r>
      <w:r>
        <w:rPr>
          <w:color w:val="231F20"/>
          <w:sz w:val="18"/>
          <w:szCs w:val="18"/>
        </w:rPr>
        <w:t>entitled</w:t>
      </w:r>
      <w:r>
        <w:rPr>
          <w:color w:val="231F20"/>
          <w:spacing w:val="-10"/>
          <w:sz w:val="18"/>
          <w:szCs w:val="18"/>
        </w:rPr>
        <w:t xml:space="preserve"> </w:t>
      </w:r>
      <w:r>
        <w:rPr>
          <w:color w:val="231F20"/>
          <w:sz w:val="18"/>
          <w:szCs w:val="18"/>
        </w:rPr>
        <w:t>to</w:t>
      </w:r>
      <w:r>
        <w:rPr>
          <w:color w:val="231F20"/>
          <w:spacing w:val="-9"/>
          <w:sz w:val="18"/>
          <w:szCs w:val="18"/>
        </w:rPr>
        <w:t xml:space="preserve"> </w:t>
      </w:r>
      <w:r>
        <w:rPr>
          <w:color w:val="231F20"/>
          <w:sz w:val="18"/>
          <w:szCs w:val="18"/>
        </w:rPr>
        <w:t>vote</w:t>
      </w:r>
      <w:r>
        <w:rPr>
          <w:color w:val="231F20"/>
          <w:spacing w:val="-8"/>
          <w:sz w:val="18"/>
          <w:szCs w:val="18"/>
        </w:rPr>
        <w:t xml:space="preserve"> </w:t>
      </w:r>
      <w:r>
        <w:rPr>
          <w:color w:val="231F20"/>
          <w:sz w:val="18"/>
          <w:szCs w:val="18"/>
        </w:rPr>
        <w:t>or</w:t>
      </w:r>
      <w:r>
        <w:rPr>
          <w:color w:val="231F20"/>
          <w:spacing w:val="-9"/>
          <w:sz w:val="18"/>
          <w:szCs w:val="18"/>
        </w:rPr>
        <w:t xml:space="preserve"> </w:t>
      </w:r>
      <w:r>
        <w:rPr>
          <w:color w:val="231F20"/>
          <w:sz w:val="18"/>
          <w:szCs w:val="18"/>
        </w:rPr>
        <w:t>by</w:t>
      </w:r>
      <w:r>
        <w:rPr>
          <w:color w:val="231F20"/>
          <w:spacing w:val="-9"/>
          <w:sz w:val="18"/>
          <w:szCs w:val="18"/>
        </w:rPr>
        <w:t xml:space="preserve"> </w:t>
      </w:r>
      <w:r>
        <w:rPr>
          <w:color w:val="231F20"/>
          <w:sz w:val="18"/>
          <w:szCs w:val="18"/>
        </w:rPr>
        <w:t>a</w:t>
      </w:r>
      <w:r>
        <w:rPr>
          <w:color w:val="231F20"/>
          <w:spacing w:val="-11"/>
          <w:sz w:val="18"/>
          <w:szCs w:val="18"/>
        </w:rPr>
        <w:t xml:space="preserve"> </w:t>
      </w:r>
      <w:r>
        <w:rPr>
          <w:color w:val="231F20"/>
          <w:sz w:val="18"/>
          <w:szCs w:val="18"/>
        </w:rPr>
        <w:t>member</w:t>
      </w:r>
      <w:r>
        <w:rPr>
          <w:color w:val="231F20"/>
          <w:spacing w:val="-8"/>
          <w:sz w:val="18"/>
          <w:szCs w:val="18"/>
        </w:rPr>
        <w:t xml:space="preserve"> </w:t>
      </w:r>
      <w:r>
        <w:rPr>
          <w:color w:val="231F20"/>
          <w:sz w:val="18"/>
          <w:szCs w:val="18"/>
        </w:rPr>
        <w:t>or</w:t>
      </w:r>
      <w:r>
        <w:rPr>
          <w:color w:val="231F20"/>
          <w:spacing w:val="-12"/>
          <w:sz w:val="18"/>
          <w:szCs w:val="18"/>
        </w:rPr>
        <w:t xml:space="preserve"> </w:t>
      </w:r>
      <w:r>
        <w:rPr>
          <w:color w:val="231F20"/>
          <w:sz w:val="18"/>
          <w:szCs w:val="18"/>
        </w:rPr>
        <w:t>members entitled</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vote</w:t>
      </w:r>
      <w:r>
        <w:rPr>
          <w:color w:val="231F20"/>
          <w:spacing w:val="-4"/>
          <w:sz w:val="18"/>
          <w:szCs w:val="18"/>
        </w:rPr>
        <w:t xml:space="preserve"> </w:t>
      </w:r>
      <w:r>
        <w:rPr>
          <w:color w:val="231F20"/>
          <w:sz w:val="18"/>
          <w:szCs w:val="18"/>
        </w:rPr>
        <w:t>and</w:t>
      </w:r>
      <w:r>
        <w:rPr>
          <w:color w:val="231F20"/>
          <w:spacing w:val="-3"/>
          <w:sz w:val="18"/>
          <w:szCs w:val="18"/>
        </w:rPr>
        <w:t xml:space="preserve"> </w:t>
      </w:r>
      <w:r>
        <w:rPr>
          <w:color w:val="231F20"/>
          <w:sz w:val="18"/>
          <w:szCs w:val="18"/>
        </w:rPr>
        <w:t>holding</w:t>
      </w:r>
      <w:r>
        <w:rPr>
          <w:color w:val="231F20"/>
          <w:spacing w:val="-4"/>
          <w:sz w:val="18"/>
          <w:szCs w:val="18"/>
        </w:rPr>
        <w:t xml:space="preserve"> </w:t>
      </w:r>
      <w:r>
        <w:rPr>
          <w:color w:val="231F20"/>
          <w:sz w:val="18"/>
          <w:szCs w:val="18"/>
        </w:rPr>
        <w:t>or</w:t>
      </w:r>
      <w:r>
        <w:rPr>
          <w:color w:val="231F20"/>
          <w:spacing w:val="-4"/>
          <w:sz w:val="18"/>
          <w:szCs w:val="18"/>
        </w:rPr>
        <w:t xml:space="preserve"> </w:t>
      </w:r>
      <w:r>
        <w:rPr>
          <w:color w:val="231F20"/>
          <w:sz w:val="18"/>
          <w:szCs w:val="18"/>
        </w:rPr>
        <w:t>representing</w:t>
      </w:r>
      <w:r>
        <w:rPr>
          <w:color w:val="231F20"/>
          <w:spacing w:val="-4"/>
          <w:sz w:val="18"/>
          <w:szCs w:val="18"/>
        </w:rPr>
        <w:t xml:space="preserve"> </w:t>
      </w:r>
      <w:r>
        <w:rPr>
          <w:color w:val="231F20"/>
          <w:sz w:val="18"/>
          <w:szCs w:val="18"/>
        </w:rPr>
        <w:t>by</w:t>
      </w:r>
      <w:r>
        <w:rPr>
          <w:color w:val="231F20"/>
          <w:spacing w:val="-5"/>
          <w:sz w:val="18"/>
          <w:szCs w:val="18"/>
        </w:rPr>
        <w:t xml:space="preserve"> </w:t>
      </w:r>
      <w:r>
        <w:rPr>
          <w:color w:val="231F20"/>
          <w:sz w:val="18"/>
          <w:szCs w:val="18"/>
        </w:rPr>
        <w:t>proxy</w:t>
      </w:r>
      <w:r>
        <w:rPr>
          <w:color w:val="231F20"/>
          <w:spacing w:val="-6"/>
          <w:sz w:val="18"/>
          <w:szCs w:val="18"/>
        </w:rPr>
        <w:t xml:space="preserve"> </w:t>
      </w:r>
      <w:r>
        <w:rPr>
          <w:color w:val="231F20"/>
          <w:sz w:val="18"/>
          <w:szCs w:val="18"/>
        </w:rPr>
        <w:t>at</w:t>
      </w:r>
      <w:r>
        <w:rPr>
          <w:color w:val="231F20"/>
          <w:spacing w:val="-4"/>
          <w:sz w:val="18"/>
          <w:szCs w:val="18"/>
        </w:rPr>
        <w:t xml:space="preserve"> </w:t>
      </w:r>
      <w:r>
        <w:rPr>
          <w:color w:val="231F20"/>
          <w:sz w:val="18"/>
          <w:szCs w:val="18"/>
        </w:rPr>
        <w:t>least</w:t>
      </w:r>
      <w:r>
        <w:rPr>
          <w:color w:val="231F20"/>
          <w:spacing w:val="-1"/>
          <w:sz w:val="18"/>
          <w:szCs w:val="18"/>
        </w:rPr>
        <w:t xml:space="preserve"> </w:t>
      </w:r>
      <w:r>
        <w:rPr>
          <w:color w:val="231F20"/>
          <w:sz w:val="18"/>
          <w:szCs w:val="18"/>
        </w:rPr>
        <w:t>one</w:t>
      </w:r>
      <w:r>
        <w:rPr>
          <w:color w:val="231F20"/>
          <w:spacing w:val="-4"/>
          <w:sz w:val="18"/>
          <w:szCs w:val="18"/>
        </w:rPr>
        <w:t xml:space="preserve"> </w:t>
      </w:r>
      <w:r>
        <w:rPr>
          <w:color w:val="231F20"/>
          <w:sz w:val="18"/>
          <w:szCs w:val="18"/>
        </w:rPr>
        <w:t>tenth</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3"/>
          <w:sz w:val="18"/>
          <w:szCs w:val="18"/>
        </w:rPr>
        <w:t xml:space="preserve"> </w:t>
      </w:r>
      <w:r>
        <w:rPr>
          <w:color w:val="231F20"/>
          <w:sz w:val="18"/>
          <w:szCs w:val="18"/>
        </w:rPr>
        <w:t>total</w:t>
      </w:r>
      <w:r>
        <w:rPr>
          <w:color w:val="231F20"/>
          <w:spacing w:val="-4"/>
          <w:sz w:val="18"/>
          <w:szCs w:val="18"/>
        </w:rPr>
        <w:t xml:space="preserve"> </w:t>
      </w:r>
      <w:r>
        <w:rPr>
          <w:color w:val="231F20"/>
          <w:sz w:val="18"/>
          <w:szCs w:val="18"/>
        </w:rPr>
        <w:t>voting</w:t>
      </w:r>
      <w:r>
        <w:rPr>
          <w:color w:val="231F20"/>
          <w:spacing w:val="-4"/>
          <w:sz w:val="18"/>
          <w:szCs w:val="18"/>
        </w:rPr>
        <w:t xml:space="preserve"> </w:t>
      </w:r>
      <w:r>
        <w:rPr>
          <w:color w:val="231F20"/>
          <w:sz w:val="18"/>
          <w:szCs w:val="18"/>
        </w:rPr>
        <w:t>rights</w:t>
      </w:r>
      <w:r>
        <w:rPr>
          <w:color w:val="231F20"/>
          <w:spacing w:val="-6"/>
          <w:sz w:val="18"/>
          <w:szCs w:val="18"/>
        </w:rPr>
        <w:t xml:space="preserve"> </w:t>
      </w:r>
      <w:r>
        <w:rPr>
          <w:color w:val="231F20"/>
          <w:sz w:val="18"/>
          <w:szCs w:val="18"/>
        </w:rPr>
        <w:t>of all the members having the right to vote on the</w:t>
      </w:r>
      <w:r>
        <w:rPr>
          <w:color w:val="231F20"/>
          <w:spacing w:val="-5"/>
          <w:sz w:val="18"/>
          <w:szCs w:val="18"/>
        </w:rPr>
        <w:t xml:space="preserve"> </w:t>
      </w:r>
      <w:r>
        <w:rPr>
          <w:color w:val="231F20"/>
          <w:sz w:val="18"/>
          <w:szCs w:val="18"/>
        </w:rPr>
        <w:t>resolution.</w:t>
      </w:r>
    </w:p>
    <w:p w14:paraId="70534661" w14:textId="77777777" w:rsidR="00783288" w:rsidRDefault="00783288">
      <w:pPr>
        <w:pStyle w:val="BodyText"/>
        <w:kinsoku w:val="0"/>
        <w:overflowPunct w:val="0"/>
        <w:rPr>
          <w:sz w:val="21"/>
          <w:szCs w:val="21"/>
        </w:rPr>
      </w:pPr>
    </w:p>
    <w:p w14:paraId="45BFF5B8"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The appointment of a proxy must be in writing (this includes electronic form) and in any usual form,</w:t>
      </w:r>
      <w:r>
        <w:rPr>
          <w:color w:val="231F20"/>
          <w:spacing w:val="-4"/>
          <w:sz w:val="18"/>
          <w:szCs w:val="18"/>
        </w:rPr>
        <w:t xml:space="preserve"> </w:t>
      </w:r>
      <w:r>
        <w:rPr>
          <w:color w:val="231F20"/>
          <w:sz w:val="18"/>
          <w:szCs w:val="18"/>
        </w:rPr>
        <w:t>or</w:t>
      </w:r>
      <w:r>
        <w:rPr>
          <w:color w:val="231F20"/>
          <w:spacing w:val="-3"/>
          <w:sz w:val="18"/>
          <w:szCs w:val="18"/>
        </w:rPr>
        <w:t xml:space="preserve"> </w:t>
      </w:r>
      <w:r>
        <w:rPr>
          <w:color w:val="231F20"/>
          <w:sz w:val="18"/>
          <w:szCs w:val="18"/>
        </w:rPr>
        <w:t>such</w:t>
      </w:r>
      <w:r>
        <w:rPr>
          <w:color w:val="231F20"/>
          <w:spacing w:val="-3"/>
          <w:sz w:val="18"/>
          <w:szCs w:val="18"/>
        </w:rPr>
        <w:t xml:space="preserve"> </w:t>
      </w:r>
      <w:r>
        <w:rPr>
          <w:color w:val="231F20"/>
          <w:sz w:val="18"/>
          <w:szCs w:val="18"/>
        </w:rPr>
        <w:t>other</w:t>
      </w:r>
      <w:r>
        <w:rPr>
          <w:color w:val="231F20"/>
          <w:spacing w:val="-3"/>
          <w:sz w:val="18"/>
          <w:szCs w:val="18"/>
        </w:rPr>
        <w:t xml:space="preserve"> </w:t>
      </w:r>
      <w:r>
        <w:rPr>
          <w:color w:val="231F20"/>
          <w:sz w:val="18"/>
          <w:szCs w:val="18"/>
        </w:rPr>
        <w:t>form</w:t>
      </w:r>
      <w:r>
        <w:rPr>
          <w:color w:val="231F20"/>
          <w:spacing w:val="-3"/>
          <w:sz w:val="18"/>
          <w:szCs w:val="18"/>
        </w:rPr>
        <w:t xml:space="preserve"> </w:t>
      </w:r>
      <w:r>
        <w:rPr>
          <w:color w:val="231F20"/>
          <w:sz w:val="18"/>
          <w:szCs w:val="18"/>
        </w:rPr>
        <w:t>as</w:t>
      </w:r>
      <w:r>
        <w:rPr>
          <w:color w:val="231F20"/>
          <w:spacing w:val="-5"/>
          <w:sz w:val="18"/>
          <w:szCs w:val="18"/>
        </w:rPr>
        <w:t xml:space="preserve"> </w:t>
      </w:r>
      <w:r>
        <w:rPr>
          <w:color w:val="231F20"/>
          <w:sz w:val="18"/>
          <w:szCs w:val="18"/>
        </w:rPr>
        <w:t>may</w:t>
      </w:r>
      <w:r>
        <w:rPr>
          <w:color w:val="231F20"/>
          <w:spacing w:val="-5"/>
          <w:sz w:val="18"/>
          <w:szCs w:val="18"/>
        </w:rPr>
        <w:t xml:space="preserve"> </w:t>
      </w:r>
      <w:r>
        <w:rPr>
          <w:color w:val="231F20"/>
          <w:sz w:val="18"/>
          <w:szCs w:val="18"/>
        </w:rPr>
        <w:t>be</w:t>
      </w:r>
      <w:r>
        <w:rPr>
          <w:color w:val="231F20"/>
          <w:spacing w:val="-3"/>
          <w:sz w:val="18"/>
          <w:szCs w:val="18"/>
        </w:rPr>
        <w:t xml:space="preserve"> </w:t>
      </w:r>
      <w:r>
        <w:rPr>
          <w:color w:val="231F20"/>
          <w:sz w:val="18"/>
          <w:szCs w:val="18"/>
        </w:rPr>
        <w:t>approved</w:t>
      </w:r>
      <w:r>
        <w:rPr>
          <w:color w:val="231F20"/>
          <w:spacing w:val="-3"/>
          <w:sz w:val="18"/>
          <w:szCs w:val="18"/>
        </w:rPr>
        <w:t xml:space="preserve"> </w:t>
      </w:r>
      <w:r>
        <w:rPr>
          <w:color w:val="231F20"/>
          <w:sz w:val="18"/>
          <w:szCs w:val="18"/>
        </w:rPr>
        <w:t>by</w:t>
      </w:r>
      <w:r>
        <w:rPr>
          <w:color w:val="231F20"/>
          <w:spacing w:val="-6"/>
          <w:sz w:val="18"/>
          <w:szCs w:val="18"/>
        </w:rPr>
        <w:t xml:space="preserve"> </w:t>
      </w:r>
      <w:r>
        <w:rPr>
          <w:color w:val="231F20"/>
          <w:sz w:val="18"/>
          <w:szCs w:val="18"/>
        </w:rPr>
        <w:t>the</w:t>
      </w:r>
      <w:r>
        <w:rPr>
          <w:color w:val="231F20"/>
          <w:spacing w:val="-3"/>
          <w:sz w:val="18"/>
          <w:szCs w:val="18"/>
        </w:rPr>
        <w:t xml:space="preserve"> </w:t>
      </w:r>
      <w:r>
        <w:rPr>
          <w:color w:val="231F20"/>
          <w:sz w:val="18"/>
          <w:szCs w:val="18"/>
        </w:rPr>
        <w:t>Board,</w:t>
      </w:r>
      <w:r>
        <w:rPr>
          <w:color w:val="231F20"/>
          <w:spacing w:val="-3"/>
          <w:sz w:val="18"/>
          <w:szCs w:val="18"/>
        </w:rPr>
        <w:t xml:space="preserve"> </w:t>
      </w:r>
      <w:r>
        <w:rPr>
          <w:color w:val="231F20"/>
          <w:sz w:val="18"/>
          <w:szCs w:val="18"/>
        </w:rPr>
        <w:t>and</w:t>
      </w:r>
      <w:r>
        <w:rPr>
          <w:color w:val="231F20"/>
          <w:spacing w:val="-3"/>
          <w:sz w:val="18"/>
          <w:szCs w:val="18"/>
        </w:rPr>
        <w:t xml:space="preserve"> </w:t>
      </w:r>
      <w:r>
        <w:rPr>
          <w:color w:val="231F20"/>
          <w:sz w:val="18"/>
          <w:szCs w:val="18"/>
        </w:rPr>
        <w:t>must</w:t>
      </w:r>
      <w:r>
        <w:rPr>
          <w:color w:val="231F20"/>
          <w:spacing w:val="-3"/>
          <w:sz w:val="18"/>
          <w:szCs w:val="18"/>
        </w:rPr>
        <w:t xml:space="preserve"> </w:t>
      </w:r>
      <w:r>
        <w:rPr>
          <w:color w:val="231F20"/>
          <w:sz w:val="18"/>
          <w:szCs w:val="18"/>
        </w:rPr>
        <w:t>be</w:t>
      </w:r>
      <w:r>
        <w:rPr>
          <w:color w:val="231F20"/>
          <w:spacing w:val="-4"/>
          <w:sz w:val="18"/>
          <w:szCs w:val="18"/>
        </w:rPr>
        <w:t xml:space="preserve"> </w:t>
      </w:r>
      <w:r>
        <w:rPr>
          <w:color w:val="231F20"/>
          <w:sz w:val="18"/>
          <w:szCs w:val="18"/>
        </w:rPr>
        <w:t>signed</w:t>
      </w:r>
      <w:r>
        <w:rPr>
          <w:color w:val="231F20"/>
          <w:spacing w:val="-3"/>
          <w:sz w:val="18"/>
          <w:szCs w:val="18"/>
        </w:rPr>
        <w:t xml:space="preserve"> </w:t>
      </w:r>
      <w:r>
        <w:rPr>
          <w:color w:val="231F20"/>
          <w:sz w:val="18"/>
          <w:szCs w:val="18"/>
        </w:rPr>
        <w:t>by</w:t>
      </w:r>
      <w:r>
        <w:rPr>
          <w:color w:val="231F20"/>
          <w:spacing w:val="-5"/>
          <w:sz w:val="18"/>
          <w:szCs w:val="18"/>
        </w:rPr>
        <w:t xml:space="preserve"> </w:t>
      </w:r>
      <w:r>
        <w:rPr>
          <w:color w:val="231F20"/>
          <w:sz w:val="18"/>
          <w:szCs w:val="18"/>
        </w:rPr>
        <w:t>the</w:t>
      </w:r>
      <w:r>
        <w:rPr>
          <w:color w:val="231F20"/>
          <w:spacing w:val="-3"/>
          <w:sz w:val="18"/>
          <w:szCs w:val="18"/>
        </w:rPr>
        <w:t xml:space="preserve"> </w:t>
      </w:r>
      <w:r>
        <w:rPr>
          <w:color w:val="231F20"/>
          <w:sz w:val="18"/>
          <w:szCs w:val="18"/>
        </w:rPr>
        <w:t>appointor or</w:t>
      </w:r>
      <w:r>
        <w:rPr>
          <w:color w:val="231F20"/>
          <w:spacing w:val="-4"/>
          <w:sz w:val="18"/>
          <w:szCs w:val="18"/>
        </w:rPr>
        <w:t xml:space="preserve"> </w:t>
      </w:r>
      <w:r>
        <w:rPr>
          <w:color w:val="231F20"/>
          <w:sz w:val="18"/>
          <w:szCs w:val="18"/>
        </w:rPr>
        <w:t>by</w:t>
      </w:r>
      <w:r>
        <w:rPr>
          <w:color w:val="231F20"/>
          <w:spacing w:val="-5"/>
          <w:sz w:val="18"/>
          <w:szCs w:val="18"/>
        </w:rPr>
        <w:t xml:space="preserve"> </w:t>
      </w:r>
      <w:r>
        <w:rPr>
          <w:color w:val="231F20"/>
          <w:sz w:val="18"/>
          <w:szCs w:val="18"/>
        </w:rPr>
        <w:t>his</w:t>
      </w:r>
      <w:r>
        <w:rPr>
          <w:color w:val="231F20"/>
          <w:spacing w:val="-3"/>
          <w:sz w:val="18"/>
          <w:szCs w:val="18"/>
        </w:rPr>
        <w:t xml:space="preserve"> </w:t>
      </w:r>
      <w:r>
        <w:rPr>
          <w:color w:val="231F20"/>
          <w:sz w:val="18"/>
          <w:szCs w:val="18"/>
        </w:rPr>
        <w:t>agent</w:t>
      </w:r>
      <w:r>
        <w:rPr>
          <w:color w:val="231F20"/>
          <w:spacing w:val="-5"/>
          <w:sz w:val="18"/>
          <w:szCs w:val="18"/>
        </w:rPr>
        <w:t xml:space="preserve"> </w:t>
      </w:r>
      <w:r>
        <w:rPr>
          <w:color w:val="231F20"/>
          <w:sz w:val="18"/>
          <w:szCs w:val="18"/>
        </w:rPr>
        <w:t>duly</w:t>
      </w:r>
      <w:r>
        <w:rPr>
          <w:color w:val="231F20"/>
          <w:spacing w:val="-6"/>
          <w:sz w:val="18"/>
          <w:szCs w:val="18"/>
        </w:rPr>
        <w:t xml:space="preserve"> </w:t>
      </w:r>
      <w:r>
        <w:rPr>
          <w:color w:val="231F20"/>
          <w:sz w:val="18"/>
          <w:szCs w:val="18"/>
        </w:rPr>
        <w:t>authorised</w:t>
      </w:r>
      <w:r>
        <w:rPr>
          <w:color w:val="231F20"/>
          <w:spacing w:val="-5"/>
          <w:sz w:val="18"/>
          <w:szCs w:val="18"/>
        </w:rPr>
        <w:t xml:space="preserve"> </w:t>
      </w:r>
      <w:r>
        <w:rPr>
          <w:color w:val="231F20"/>
          <w:sz w:val="18"/>
          <w:szCs w:val="18"/>
        </w:rPr>
        <w:t>in</w:t>
      </w:r>
      <w:r>
        <w:rPr>
          <w:color w:val="231F20"/>
          <w:spacing w:val="-4"/>
          <w:sz w:val="18"/>
          <w:szCs w:val="18"/>
        </w:rPr>
        <w:t xml:space="preserve"> </w:t>
      </w:r>
      <w:r>
        <w:rPr>
          <w:color w:val="231F20"/>
          <w:sz w:val="18"/>
          <w:szCs w:val="18"/>
        </w:rPr>
        <w:t>writing</w:t>
      </w:r>
      <w:r>
        <w:rPr>
          <w:color w:val="231F20"/>
          <w:spacing w:val="-3"/>
          <w:sz w:val="18"/>
          <w:szCs w:val="18"/>
        </w:rPr>
        <w:t xml:space="preserve"> </w:t>
      </w:r>
      <w:r>
        <w:rPr>
          <w:color w:val="231F20"/>
          <w:sz w:val="18"/>
          <w:szCs w:val="18"/>
        </w:rPr>
        <w:t>or</w:t>
      </w:r>
      <w:r>
        <w:rPr>
          <w:color w:val="231F20"/>
          <w:spacing w:val="-4"/>
          <w:sz w:val="18"/>
          <w:szCs w:val="18"/>
        </w:rPr>
        <w:t xml:space="preserve"> </w:t>
      </w:r>
      <w:r>
        <w:rPr>
          <w:color w:val="231F20"/>
          <w:sz w:val="18"/>
          <w:szCs w:val="18"/>
        </w:rPr>
        <w:t>if</w:t>
      </w:r>
      <w:r>
        <w:rPr>
          <w:color w:val="231F20"/>
          <w:spacing w:val="-3"/>
          <w:sz w:val="18"/>
          <w:szCs w:val="18"/>
        </w:rPr>
        <w:t xml:space="preserve"> </w:t>
      </w:r>
      <w:r>
        <w:rPr>
          <w:color w:val="231F20"/>
          <w:sz w:val="18"/>
          <w:szCs w:val="18"/>
        </w:rPr>
        <w:t>the</w:t>
      </w:r>
      <w:r>
        <w:rPr>
          <w:color w:val="231F20"/>
          <w:spacing w:val="-4"/>
          <w:sz w:val="18"/>
          <w:szCs w:val="18"/>
        </w:rPr>
        <w:t xml:space="preserve"> </w:t>
      </w:r>
      <w:r>
        <w:rPr>
          <w:color w:val="231F20"/>
          <w:sz w:val="18"/>
          <w:szCs w:val="18"/>
        </w:rPr>
        <w:t>appointor</w:t>
      </w:r>
      <w:r>
        <w:rPr>
          <w:color w:val="231F20"/>
          <w:spacing w:val="-4"/>
          <w:sz w:val="18"/>
          <w:szCs w:val="18"/>
        </w:rPr>
        <w:t xml:space="preserve"> </w:t>
      </w:r>
      <w:r>
        <w:rPr>
          <w:color w:val="231F20"/>
          <w:sz w:val="18"/>
          <w:szCs w:val="18"/>
        </w:rPr>
        <w:t>is</w:t>
      </w:r>
      <w:r>
        <w:rPr>
          <w:color w:val="231F20"/>
          <w:spacing w:val="-6"/>
          <w:sz w:val="18"/>
          <w:szCs w:val="18"/>
        </w:rPr>
        <w:t xml:space="preserve"> </w:t>
      </w:r>
      <w:r>
        <w:rPr>
          <w:color w:val="231F20"/>
          <w:sz w:val="18"/>
          <w:szCs w:val="18"/>
        </w:rPr>
        <w:t>a</w:t>
      </w:r>
      <w:r>
        <w:rPr>
          <w:color w:val="231F20"/>
          <w:spacing w:val="-3"/>
          <w:sz w:val="18"/>
          <w:szCs w:val="18"/>
        </w:rPr>
        <w:t xml:space="preserve"> </w:t>
      </w:r>
      <w:r>
        <w:rPr>
          <w:color w:val="231F20"/>
          <w:sz w:val="18"/>
          <w:szCs w:val="18"/>
        </w:rPr>
        <w:t>corporation,</w:t>
      </w:r>
      <w:r>
        <w:rPr>
          <w:color w:val="231F20"/>
          <w:spacing w:val="-6"/>
          <w:sz w:val="18"/>
          <w:szCs w:val="18"/>
        </w:rPr>
        <w:t xml:space="preserve"> </w:t>
      </w:r>
      <w:r>
        <w:rPr>
          <w:color w:val="231F20"/>
          <w:sz w:val="18"/>
          <w:szCs w:val="18"/>
        </w:rPr>
        <w:t>must</w:t>
      </w:r>
      <w:r>
        <w:rPr>
          <w:color w:val="231F20"/>
          <w:spacing w:val="-3"/>
          <w:sz w:val="18"/>
          <w:szCs w:val="18"/>
        </w:rPr>
        <w:t xml:space="preserve"> </w:t>
      </w:r>
      <w:r>
        <w:rPr>
          <w:color w:val="231F20"/>
          <w:sz w:val="18"/>
          <w:szCs w:val="18"/>
        </w:rPr>
        <w:t>be</w:t>
      </w:r>
      <w:r>
        <w:rPr>
          <w:color w:val="231F20"/>
          <w:spacing w:val="-4"/>
          <w:sz w:val="18"/>
          <w:szCs w:val="18"/>
        </w:rPr>
        <w:t xml:space="preserve"> </w:t>
      </w:r>
      <w:r>
        <w:rPr>
          <w:color w:val="231F20"/>
          <w:sz w:val="18"/>
          <w:szCs w:val="18"/>
        </w:rPr>
        <w:t>either</w:t>
      </w:r>
      <w:r>
        <w:rPr>
          <w:color w:val="231F20"/>
          <w:spacing w:val="-6"/>
          <w:sz w:val="18"/>
          <w:szCs w:val="18"/>
        </w:rPr>
        <w:t xml:space="preserve"> </w:t>
      </w:r>
      <w:r>
        <w:rPr>
          <w:color w:val="231F20"/>
          <w:sz w:val="18"/>
          <w:szCs w:val="18"/>
        </w:rPr>
        <w:t>under its common seal or signed by an officer or agent so authorised. The Board may, but will not be bound to, require evidence of authority of such officer or agent. An instrument of proxy need not be witnessed.</w:t>
      </w:r>
    </w:p>
    <w:p w14:paraId="70425EB2" w14:textId="77777777" w:rsidR="00783288" w:rsidRDefault="00783288">
      <w:pPr>
        <w:pStyle w:val="BodyText"/>
        <w:kinsoku w:val="0"/>
        <w:overflowPunct w:val="0"/>
        <w:spacing w:before="8"/>
        <w:rPr>
          <w:sz w:val="20"/>
          <w:szCs w:val="20"/>
        </w:rPr>
      </w:pPr>
    </w:p>
    <w:p w14:paraId="3D37BE1D" w14:textId="77777777" w:rsidR="00783288" w:rsidRDefault="00E31420" w:rsidP="00512495">
      <w:pPr>
        <w:pStyle w:val="ListParagraph"/>
        <w:numPr>
          <w:ilvl w:val="2"/>
          <w:numId w:val="13"/>
        </w:numPr>
        <w:tabs>
          <w:tab w:val="left" w:pos="1822"/>
        </w:tabs>
        <w:kinsoku w:val="0"/>
        <w:overflowPunct w:val="0"/>
        <w:spacing w:before="1"/>
        <w:ind w:right="1036"/>
        <w:jc w:val="both"/>
        <w:rPr>
          <w:color w:val="231F20"/>
          <w:sz w:val="18"/>
          <w:szCs w:val="18"/>
        </w:rPr>
      </w:pPr>
      <w:r>
        <w:rPr>
          <w:color w:val="231F20"/>
          <w:sz w:val="18"/>
          <w:szCs w:val="18"/>
        </w:rPr>
        <w:t>The</w:t>
      </w:r>
      <w:r>
        <w:rPr>
          <w:color w:val="231F20"/>
          <w:spacing w:val="-6"/>
          <w:sz w:val="18"/>
          <w:szCs w:val="18"/>
        </w:rPr>
        <w:t xml:space="preserve"> </w:t>
      </w:r>
      <w:r>
        <w:rPr>
          <w:color w:val="231F20"/>
          <w:sz w:val="18"/>
          <w:szCs w:val="18"/>
        </w:rPr>
        <w:t>proxy</w:t>
      </w:r>
      <w:r>
        <w:rPr>
          <w:color w:val="231F20"/>
          <w:spacing w:val="-6"/>
          <w:sz w:val="18"/>
          <w:szCs w:val="18"/>
        </w:rPr>
        <w:t xml:space="preserve"> </w:t>
      </w:r>
      <w:r>
        <w:rPr>
          <w:color w:val="231F20"/>
          <w:sz w:val="18"/>
          <w:szCs w:val="18"/>
        </w:rPr>
        <w:t>will</w:t>
      </w:r>
      <w:r>
        <w:rPr>
          <w:color w:val="231F20"/>
          <w:spacing w:val="-6"/>
          <w:sz w:val="18"/>
          <w:szCs w:val="18"/>
        </w:rPr>
        <w:t xml:space="preserve"> </w:t>
      </w:r>
      <w:r>
        <w:rPr>
          <w:color w:val="231F20"/>
          <w:sz w:val="18"/>
          <w:szCs w:val="18"/>
        </w:rPr>
        <w:t>be</w:t>
      </w:r>
      <w:r>
        <w:rPr>
          <w:color w:val="231F20"/>
          <w:spacing w:val="-6"/>
          <w:sz w:val="18"/>
          <w:szCs w:val="18"/>
        </w:rPr>
        <w:t xml:space="preserve"> </w:t>
      </w:r>
      <w:r>
        <w:rPr>
          <w:color w:val="231F20"/>
          <w:sz w:val="18"/>
          <w:szCs w:val="18"/>
        </w:rPr>
        <w:t>deemed</w:t>
      </w:r>
      <w:r>
        <w:rPr>
          <w:color w:val="231F20"/>
          <w:spacing w:val="-9"/>
          <w:sz w:val="18"/>
          <w:szCs w:val="18"/>
        </w:rPr>
        <w:t xml:space="preserve"> </w:t>
      </w:r>
      <w:r>
        <w:rPr>
          <w:color w:val="231F20"/>
          <w:sz w:val="18"/>
          <w:szCs w:val="18"/>
        </w:rPr>
        <w:t>to</w:t>
      </w:r>
      <w:r>
        <w:rPr>
          <w:color w:val="231F20"/>
          <w:spacing w:val="-9"/>
          <w:sz w:val="18"/>
          <w:szCs w:val="18"/>
        </w:rPr>
        <w:t xml:space="preserve"> </w:t>
      </w:r>
      <w:r>
        <w:rPr>
          <w:color w:val="231F20"/>
          <w:sz w:val="18"/>
          <w:szCs w:val="18"/>
        </w:rPr>
        <w:t>include</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right</w:t>
      </w:r>
      <w:r>
        <w:rPr>
          <w:color w:val="231F20"/>
          <w:spacing w:val="-9"/>
          <w:sz w:val="18"/>
          <w:szCs w:val="18"/>
        </w:rPr>
        <w:t xml:space="preserve"> </w:t>
      </w:r>
      <w:r>
        <w:rPr>
          <w:color w:val="231F20"/>
          <w:sz w:val="18"/>
          <w:szCs w:val="18"/>
        </w:rPr>
        <w:t>to</w:t>
      </w:r>
      <w:r>
        <w:rPr>
          <w:color w:val="231F20"/>
          <w:spacing w:val="-9"/>
          <w:sz w:val="18"/>
          <w:szCs w:val="18"/>
        </w:rPr>
        <w:t xml:space="preserve"> </w:t>
      </w:r>
      <w:r>
        <w:rPr>
          <w:color w:val="231F20"/>
          <w:sz w:val="18"/>
          <w:szCs w:val="18"/>
        </w:rPr>
        <w:t>demand</w:t>
      </w:r>
      <w:r>
        <w:rPr>
          <w:color w:val="231F20"/>
          <w:spacing w:val="-8"/>
          <w:sz w:val="18"/>
          <w:szCs w:val="18"/>
        </w:rPr>
        <w:t xml:space="preserve"> </w:t>
      </w:r>
      <w:r>
        <w:rPr>
          <w:color w:val="231F20"/>
          <w:sz w:val="18"/>
          <w:szCs w:val="18"/>
        </w:rPr>
        <w:t>or</w:t>
      </w:r>
      <w:r>
        <w:rPr>
          <w:color w:val="231F20"/>
          <w:spacing w:val="-9"/>
          <w:sz w:val="18"/>
          <w:szCs w:val="18"/>
        </w:rPr>
        <w:t xml:space="preserve"> </w:t>
      </w:r>
      <w:r>
        <w:rPr>
          <w:color w:val="231F20"/>
          <w:sz w:val="18"/>
          <w:szCs w:val="18"/>
        </w:rPr>
        <w:t>join</w:t>
      </w:r>
      <w:r>
        <w:rPr>
          <w:color w:val="231F20"/>
          <w:spacing w:val="-6"/>
          <w:sz w:val="18"/>
          <w:szCs w:val="18"/>
        </w:rPr>
        <w:t xml:space="preserve"> </w:t>
      </w:r>
      <w:r>
        <w:rPr>
          <w:color w:val="231F20"/>
          <w:sz w:val="18"/>
          <w:szCs w:val="18"/>
        </w:rPr>
        <w:t>in</w:t>
      </w:r>
      <w:r>
        <w:rPr>
          <w:color w:val="231F20"/>
          <w:spacing w:val="-9"/>
          <w:sz w:val="18"/>
          <w:szCs w:val="18"/>
        </w:rPr>
        <w:t xml:space="preserve"> </w:t>
      </w:r>
      <w:r>
        <w:rPr>
          <w:color w:val="231F20"/>
          <w:sz w:val="18"/>
          <w:szCs w:val="18"/>
        </w:rPr>
        <w:t>demanding</w:t>
      </w:r>
      <w:r>
        <w:rPr>
          <w:color w:val="231F20"/>
          <w:spacing w:val="-9"/>
          <w:sz w:val="18"/>
          <w:szCs w:val="18"/>
        </w:rPr>
        <w:t xml:space="preserve"> </w:t>
      </w:r>
      <w:r>
        <w:rPr>
          <w:color w:val="231F20"/>
          <w:sz w:val="18"/>
          <w:szCs w:val="18"/>
        </w:rPr>
        <w:t>a</w:t>
      </w:r>
      <w:r>
        <w:rPr>
          <w:color w:val="231F20"/>
          <w:spacing w:val="-9"/>
          <w:sz w:val="18"/>
          <w:szCs w:val="18"/>
        </w:rPr>
        <w:t xml:space="preserve"> </w:t>
      </w:r>
      <w:r>
        <w:rPr>
          <w:color w:val="231F20"/>
          <w:sz w:val="18"/>
          <w:szCs w:val="18"/>
        </w:rPr>
        <w:t>poll</w:t>
      </w:r>
      <w:r>
        <w:rPr>
          <w:color w:val="231F20"/>
          <w:spacing w:val="-6"/>
          <w:sz w:val="18"/>
          <w:szCs w:val="18"/>
        </w:rPr>
        <w:t xml:space="preserve"> </w:t>
      </w:r>
      <w:r>
        <w:rPr>
          <w:color w:val="231F20"/>
          <w:sz w:val="18"/>
          <w:szCs w:val="18"/>
        </w:rPr>
        <w:t>and</w:t>
      </w:r>
      <w:r>
        <w:rPr>
          <w:color w:val="231F20"/>
          <w:spacing w:val="-8"/>
          <w:sz w:val="18"/>
          <w:szCs w:val="18"/>
        </w:rPr>
        <w:t xml:space="preserve"> </w:t>
      </w:r>
      <w:r>
        <w:rPr>
          <w:color w:val="231F20"/>
          <w:sz w:val="18"/>
          <w:szCs w:val="18"/>
        </w:rPr>
        <w:t>generally to act at the meeting for the member giving the</w:t>
      </w:r>
      <w:r>
        <w:rPr>
          <w:color w:val="231F20"/>
          <w:spacing w:val="-11"/>
          <w:sz w:val="18"/>
          <w:szCs w:val="18"/>
        </w:rPr>
        <w:t xml:space="preserve"> </w:t>
      </w:r>
      <w:r>
        <w:rPr>
          <w:color w:val="231F20"/>
          <w:sz w:val="18"/>
          <w:szCs w:val="18"/>
        </w:rPr>
        <w:t>proxy.</w:t>
      </w:r>
    </w:p>
    <w:p w14:paraId="1E85244C" w14:textId="77777777" w:rsidR="00783288" w:rsidRDefault="00783288">
      <w:pPr>
        <w:pStyle w:val="BodyText"/>
        <w:kinsoku w:val="0"/>
        <w:overflowPunct w:val="0"/>
        <w:spacing w:before="11"/>
        <w:rPr>
          <w:sz w:val="20"/>
          <w:szCs w:val="20"/>
        </w:rPr>
      </w:pPr>
    </w:p>
    <w:p w14:paraId="060E5F36" w14:textId="46FF599A" w:rsidR="00783288" w:rsidRPr="00DB2451" w:rsidRDefault="00E31420" w:rsidP="00512495">
      <w:pPr>
        <w:pStyle w:val="ListParagraph"/>
        <w:numPr>
          <w:ilvl w:val="2"/>
          <w:numId w:val="13"/>
        </w:numPr>
        <w:tabs>
          <w:tab w:val="left" w:pos="1822"/>
        </w:tabs>
        <w:kinsoku w:val="0"/>
        <w:overflowPunct w:val="0"/>
        <w:ind w:right="1037"/>
        <w:jc w:val="both"/>
      </w:pPr>
      <w:r>
        <w:rPr>
          <w:color w:val="231F20"/>
          <w:sz w:val="18"/>
          <w:szCs w:val="18"/>
        </w:rPr>
        <w:t>The directors of the Company may direct that members or proxies wishing to attend any general meeting must submit to such searches or other security arrangements or restrictions as the directors</w:t>
      </w:r>
      <w:r>
        <w:rPr>
          <w:color w:val="231F20"/>
          <w:spacing w:val="8"/>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11"/>
          <w:sz w:val="18"/>
          <w:szCs w:val="18"/>
        </w:rPr>
        <w:t xml:space="preserve"> </w:t>
      </w:r>
      <w:r>
        <w:rPr>
          <w:color w:val="231F20"/>
          <w:sz w:val="18"/>
          <w:szCs w:val="18"/>
        </w:rPr>
        <w:t>Company</w:t>
      </w:r>
      <w:r>
        <w:rPr>
          <w:color w:val="231F20"/>
          <w:spacing w:val="8"/>
          <w:sz w:val="18"/>
          <w:szCs w:val="18"/>
        </w:rPr>
        <w:t xml:space="preserve"> </w:t>
      </w:r>
      <w:r>
        <w:rPr>
          <w:color w:val="231F20"/>
          <w:sz w:val="18"/>
          <w:szCs w:val="18"/>
        </w:rPr>
        <w:t>consider</w:t>
      </w:r>
      <w:r>
        <w:rPr>
          <w:color w:val="231F20"/>
          <w:spacing w:val="8"/>
          <w:sz w:val="18"/>
          <w:szCs w:val="18"/>
        </w:rPr>
        <w:t xml:space="preserve"> </w:t>
      </w:r>
      <w:r>
        <w:rPr>
          <w:color w:val="231F20"/>
          <w:sz w:val="18"/>
          <w:szCs w:val="18"/>
        </w:rPr>
        <w:t>appropriate</w:t>
      </w:r>
      <w:r>
        <w:rPr>
          <w:color w:val="231F20"/>
          <w:spacing w:val="7"/>
          <w:sz w:val="18"/>
          <w:szCs w:val="18"/>
        </w:rPr>
        <w:t xml:space="preserve"> </w:t>
      </w:r>
      <w:r>
        <w:rPr>
          <w:color w:val="231F20"/>
          <w:sz w:val="18"/>
          <w:szCs w:val="18"/>
        </w:rPr>
        <w:t>in</w:t>
      </w:r>
      <w:r>
        <w:rPr>
          <w:color w:val="231F20"/>
          <w:spacing w:val="11"/>
          <w:sz w:val="18"/>
          <w:szCs w:val="18"/>
        </w:rPr>
        <w:t xml:space="preserve"> </w:t>
      </w:r>
      <w:r>
        <w:rPr>
          <w:color w:val="231F20"/>
          <w:sz w:val="18"/>
          <w:szCs w:val="18"/>
        </w:rPr>
        <w:t>the</w:t>
      </w:r>
      <w:r>
        <w:rPr>
          <w:color w:val="231F20"/>
          <w:spacing w:val="10"/>
          <w:sz w:val="18"/>
          <w:szCs w:val="18"/>
        </w:rPr>
        <w:t xml:space="preserve"> </w:t>
      </w:r>
      <w:r>
        <w:rPr>
          <w:color w:val="231F20"/>
          <w:sz w:val="18"/>
          <w:szCs w:val="18"/>
        </w:rPr>
        <w:t>circumstances</w:t>
      </w:r>
      <w:r>
        <w:rPr>
          <w:color w:val="231F20"/>
          <w:spacing w:val="10"/>
          <w:sz w:val="18"/>
          <w:szCs w:val="18"/>
        </w:rPr>
        <w:t xml:space="preserve"> </w:t>
      </w:r>
      <w:r>
        <w:rPr>
          <w:color w:val="231F20"/>
          <w:sz w:val="18"/>
          <w:szCs w:val="18"/>
        </w:rPr>
        <w:t>and</w:t>
      </w:r>
      <w:r>
        <w:rPr>
          <w:color w:val="231F20"/>
          <w:spacing w:val="8"/>
          <w:sz w:val="18"/>
          <w:szCs w:val="18"/>
        </w:rPr>
        <w:t xml:space="preserve"> </w:t>
      </w:r>
      <w:r>
        <w:rPr>
          <w:color w:val="231F20"/>
          <w:sz w:val="18"/>
          <w:szCs w:val="18"/>
        </w:rPr>
        <w:t>may,</w:t>
      </w:r>
      <w:r>
        <w:rPr>
          <w:color w:val="231F20"/>
          <w:spacing w:val="9"/>
          <w:sz w:val="18"/>
          <w:szCs w:val="18"/>
        </w:rPr>
        <w:t xml:space="preserve"> </w:t>
      </w:r>
      <w:r>
        <w:rPr>
          <w:color w:val="231F20"/>
          <w:sz w:val="18"/>
          <w:szCs w:val="18"/>
        </w:rPr>
        <w:t>in</w:t>
      </w:r>
      <w:r>
        <w:rPr>
          <w:color w:val="231F20"/>
          <w:spacing w:val="8"/>
          <w:sz w:val="18"/>
          <w:szCs w:val="18"/>
        </w:rPr>
        <w:t xml:space="preserve"> </w:t>
      </w:r>
      <w:r>
        <w:rPr>
          <w:color w:val="231F20"/>
          <w:sz w:val="18"/>
          <w:szCs w:val="18"/>
        </w:rPr>
        <w:t>their</w:t>
      </w:r>
      <w:r>
        <w:rPr>
          <w:color w:val="231F20"/>
          <w:spacing w:val="9"/>
          <w:sz w:val="18"/>
          <w:szCs w:val="18"/>
        </w:rPr>
        <w:t xml:space="preserve"> </w:t>
      </w:r>
      <w:r>
        <w:rPr>
          <w:color w:val="231F20"/>
          <w:sz w:val="18"/>
          <w:szCs w:val="18"/>
        </w:rPr>
        <w:t>absolute</w:t>
      </w:r>
      <w:r w:rsidR="00DB2451">
        <w:rPr>
          <w:color w:val="231F20"/>
          <w:sz w:val="18"/>
          <w:szCs w:val="18"/>
        </w:rPr>
        <w:t xml:space="preserve"> </w:t>
      </w:r>
      <w:r w:rsidRPr="00DB2451">
        <w:rPr>
          <w:sz w:val="18"/>
          <w:szCs w:val="18"/>
        </w:rPr>
        <w:t>discretion, refuse entry to or eject from, such general meeting any member or proxy who fails to submit to such searches or otherwise to comply with such security arrangements or restrictions.</w:t>
      </w:r>
    </w:p>
    <w:p w14:paraId="70675E0D" w14:textId="77777777" w:rsidR="00783288" w:rsidRDefault="00783288">
      <w:pPr>
        <w:pStyle w:val="BodyText"/>
        <w:kinsoku w:val="0"/>
        <w:overflowPunct w:val="0"/>
        <w:spacing w:before="9"/>
        <w:rPr>
          <w:sz w:val="12"/>
          <w:szCs w:val="12"/>
        </w:rPr>
      </w:pPr>
    </w:p>
    <w:p w14:paraId="489004D8" w14:textId="77777777" w:rsidR="00783288" w:rsidRDefault="00E31420" w:rsidP="00512495">
      <w:pPr>
        <w:pStyle w:val="ListParagraph"/>
        <w:numPr>
          <w:ilvl w:val="1"/>
          <w:numId w:val="13"/>
        </w:numPr>
        <w:tabs>
          <w:tab w:val="left" w:pos="840"/>
        </w:tabs>
        <w:kinsoku w:val="0"/>
        <w:overflowPunct w:val="0"/>
        <w:spacing w:before="94"/>
        <w:ind w:left="839"/>
        <w:rPr>
          <w:color w:val="231F20"/>
          <w:sz w:val="18"/>
          <w:szCs w:val="18"/>
        </w:rPr>
      </w:pPr>
      <w:r>
        <w:rPr>
          <w:color w:val="231F20"/>
          <w:sz w:val="18"/>
          <w:szCs w:val="18"/>
        </w:rPr>
        <w:t>Dividends</w:t>
      </w:r>
    </w:p>
    <w:p w14:paraId="5816B081" w14:textId="77777777" w:rsidR="00783288" w:rsidRDefault="00783288">
      <w:pPr>
        <w:pStyle w:val="BodyText"/>
        <w:kinsoku w:val="0"/>
        <w:overflowPunct w:val="0"/>
        <w:spacing w:before="9"/>
        <w:rPr>
          <w:sz w:val="20"/>
          <w:szCs w:val="20"/>
        </w:rPr>
      </w:pPr>
    </w:p>
    <w:p w14:paraId="797E1D20"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Subject</w:t>
      </w:r>
      <w:r>
        <w:rPr>
          <w:color w:val="231F20"/>
          <w:spacing w:val="-4"/>
          <w:sz w:val="18"/>
          <w:szCs w:val="18"/>
        </w:rPr>
        <w:t xml:space="preserve"> </w:t>
      </w:r>
      <w:r>
        <w:rPr>
          <w:color w:val="231F20"/>
          <w:sz w:val="18"/>
          <w:szCs w:val="18"/>
        </w:rPr>
        <w:t>to</w:t>
      </w:r>
      <w:r>
        <w:rPr>
          <w:color w:val="231F20"/>
          <w:spacing w:val="-5"/>
          <w:sz w:val="18"/>
          <w:szCs w:val="18"/>
        </w:rPr>
        <w:t xml:space="preserve"> </w:t>
      </w:r>
      <w:r>
        <w:rPr>
          <w:color w:val="231F20"/>
          <w:sz w:val="18"/>
          <w:szCs w:val="18"/>
        </w:rPr>
        <w:t>the</w:t>
      </w:r>
      <w:r>
        <w:rPr>
          <w:color w:val="231F20"/>
          <w:spacing w:val="-4"/>
          <w:sz w:val="18"/>
          <w:szCs w:val="18"/>
        </w:rPr>
        <w:t xml:space="preserve"> </w:t>
      </w:r>
      <w:r>
        <w:rPr>
          <w:color w:val="231F20"/>
          <w:sz w:val="18"/>
          <w:szCs w:val="18"/>
        </w:rPr>
        <w:t>provisions</w:t>
      </w:r>
      <w:r>
        <w:rPr>
          <w:color w:val="231F20"/>
          <w:spacing w:val="-3"/>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5"/>
          <w:sz w:val="18"/>
          <w:szCs w:val="18"/>
        </w:rPr>
        <w:t xml:space="preserve"> </w:t>
      </w:r>
      <w:r>
        <w:rPr>
          <w:color w:val="231F20"/>
          <w:sz w:val="18"/>
          <w:szCs w:val="18"/>
        </w:rPr>
        <w:t>Companies</w:t>
      </w:r>
      <w:r>
        <w:rPr>
          <w:color w:val="231F20"/>
          <w:spacing w:val="-4"/>
          <w:sz w:val="18"/>
          <w:szCs w:val="18"/>
        </w:rPr>
        <w:t xml:space="preserve"> </w:t>
      </w:r>
      <w:r>
        <w:rPr>
          <w:color w:val="231F20"/>
          <w:sz w:val="18"/>
          <w:szCs w:val="18"/>
        </w:rPr>
        <w:t>Act</w:t>
      </w:r>
      <w:r>
        <w:rPr>
          <w:color w:val="231F20"/>
          <w:spacing w:val="-4"/>
          <w:sz w:val="18"/>
          <w:szCs w:val="18"/>
        </w:rPr>
        <w:t xml:space="preserve"> </w:t>
      </w:r>
      <w:r>
        <w:rPr>
          <w:color w:val="231F20"/>
          <w:sz w:val="18"/>
          <w:szCs w:val="18"/>
        </w:rPr>
        <w:t>and</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any</w:t>
      </w:r>
      <w:r>
        <w:rPr>
          <w:color w:val="231F20"/>
          <w:spacing w:val="-5"/>
          <w:sz w:val="18"/>
          <w:szCs w:val="18"/>
        </w:rPr>
        <w:t xml:space="preserve"> </w:t>
      </w:r>
      <w:r>
        <w:rPr>
          <w:color w:val="231F20"/>
          <w:sz w:val="18"/>
          <w:szCs w:val="18"/>
        </w:rPr>
        <w:t>special</w:t>
      </w:r>
      <w:r>
        <w:rPr>
          <w:color w:val="231F20"/>
          <w:spacing w:val="-4"/>
          <w:sz w:val="18"/>
          <w:szCs w:val="18"/>
        </w:rPr>
        <w:t xml:space="preserve"> </w:t>
      </w:r>
      <w:r>
        <w:rPr>
          <w:color w:val="231F20"/>
          <w:sz w:val="18"/>
          <w:szCs w:val="18"/>
        </w:rPr>
        <w:t>rights</w:t>
      </w:r>
      <w:r>
        <w:rPr>
          <w:color w:val="231F20"/>
          <w:spacing w:val="-3"/>
          <w:sz w:val="18"/>
          <w:szCs w:val="18"/>
        </w:rPr>
        <w:t xml:space="preserve"> </w:t>
      </w:r>
      <w:r>
        <w:rPr>
          <w:color w:val="231F20"/>
          <w:sz w:val="18"/>
          <w:szCs w:val="18"/>
        </w:rPr>
        <w:t>attaching</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any</w:t>
      </w:r>
      <w:r>
        <w:rPr>
          <w:color w:val="231F20"/>
          <w:spacing w:val="-5"/>
          <w:sz w:val="18"/>
          <w:szCs w:val="18"/>
        </w:rPr>
        <w:t xml:space="preserve"> </w:t>
      </w:r>
      <w:r>
        <w:rPr>
          <w:color w:val="231F20"/>
          <w:sz w:val="18"/>
          <w:szCs w:val="18"/>
        </w:rPr>
        <w:t>shares, the Shareholders are to distribute amongst themselves the profits of the Company according to their respective rights and priorities, provided that no dividend will be declared in excess of the amount recommended by the directors of the</w:t>
      </w:r>
      <w:r>
        <w:rPr>
          <w:color w:val="231F20"/>
          <w:spacing w:val="-6"/>
          <w:sz w:val="18"/>
          <w:szCs w:val="18"/>
        </w:rPr>
        <w:t xml:space="preserve"> </w:t>
      </w:r>
      <w:r>
        <w:rPr>
          <w:color w:val="231F20"/>
          <w:sz w:val="18"/>
          <w:szCs w:val="18"/>
        </w:rPr>
        <w:t>Company.</w:t>
      </w:r>
    </w:p>
    <w:p w14:paraId="763053C6" w14:textId="77777777" w:rsidR="00783288" w:rsidRDefault="00783288">
      <w:pPr>
        <w:pStyle w:val="BodyText"/>
        <w:kinsoku w:val="0"/>
        <w:overflowPunct w:val="0"/>
        <w:spacing w:before="10"/>
        <w:rPr>
          <w:sz w:val="20"/>
          <w:szCs w:val="20"/>
        </w:rPr>
      </w:pPr>
    </w:p>
    <w:p w14:paraId="370ADC93"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 xml:space="preserve">A member will not be entitled to receive any dividend (interim, </w:t>
      </w:r>
      <w:proofErr w:type="gramStart"/>
      <w:r>
        <w:rPr>
          <w:color w:val="231F20"/>
          <w:sz w:val="18"/>
          <w:szCs w:val="18"/>
        </w:rPr>
        <w:t>final</w:t>
      </w:r>
      <w:proofErr w:type="gramEnd"/>
      <w:r>
        <w:rPr>
          <w:color w:val="231F20"/>
          <w:sz w:val="18"/>
          <w:szCs w:val="18"/>
        </w:rPr>
        <w:t xml:space="preserve"> or</w:t>
      </w:r>
      <w:r>
        <w:rPr>
          <w:color w:val="231F20"/>
          <w:spacing w:val="-5"/>
          <w:sz w:val="18"/>
          <w:szCs w:val="18"/>
        </w:rPr>
        <w:t xml:space="preserve"> </w:t>
      </w:r>
      <w:r>
        <w:rPr>
          <w:color w:val="231F20"/>
          <w:sz w:val="18"/>
          <w:szCs w:val="18"/>
        </w:rPr>
        <w:t>otherwise):</w:t>
      </w:r>
    </w:p>
    <w:p w14:paraId="36BCC0CE" w14:textId="77777777" w:rsidR="00783288" w:rsidRDefault="00783288">
      <w:pPr>
        <w:pStyle w:val="BodyText"/>
        <w:kinsoku w:val="0"/>
        <w:overflowPunct w:val="0"/>
        <w:spacing w:before="10"/>
        <w:rPr>
          <w:sz w:val="20"/>
          <w:szCs w:val="20"/>
        </w:rPr>
      </w:pPr>
    </w:p>
    <w:p w14:paraId="023D6AAB" w14:textId="77777777" w:rsidR="00783288" w:rsidRDefault="00E31420" w:rsidP="00512495">
      <w:pPr>
        <w:pStyle w:val="ListParagraph"/>
        <w:numPr>
          <w:ilvl w:val="0"/>
          <w:numId w:val="11"/>
        </w:numPr>
        <w:tabs>
          <w:tab w:val="left" w:pos="2182"/>
        </w:tabs>
        <w:kinsoku w:val="0"/>
        <w:overflowPunct w:val="0"/>
        <w:ind w:right="1038"/>
        <w:rPr>
          <w:color w:val="231F20"/>
          <w:sz w:val="18"/>
          <w:szCs w:val="18"/>
        </w:rPr>
      </w:pPr>
      <w:r>
        <w:rPr>
          <w:color w:val="231F20"/>
          <w:sz w:val="18"/>
          <w:szCs w:val="18"/>
        </w:rPr>
        <w:t>on</w:t>
      </w:r>
      <w:r>
        <w:rPr>
          <w:color w:val="231F20"/>
          <w:spacing w:val="-10"/>
          <w:sz w:val="18"/>
          <w:szCs w:val="18"/>
        </w:rPr>
        <w:t xml:space="preserve"> </w:t>
      </w:r>
      <w:r>
        <w:rPr>
          <w:color w:val="231F20"/>
          <w:sz w:val="18"/>
          <w:szCs w:val="18"/>
        </w:rPr>
        <w:t>any</w:t>
      </w:r>
      <w:r>
        <w:rPr>
          <w:color w:val="231F20"/>
          <w:spacing w:val="-10"/>
          <w:sz w:val="18"/>
          <w:szCs w:val="18"/>
        </w:rPr>
        <w:t xml:space="preserve"> </w:t>
      </w:r>
      <w:r>
        <w:rPr>
          <w:color w:val="231F20"/>
          <w:sz w:val="18"/>
          <w:szCs w:val="18"/>
        </w:rPr>
        <w:t>shares</w:t>
      </w:r>
      <w:r>
        <w:rPr>
          <w:color w:val="231F20"/>
          <w:spacing w:val="-10"/>
          <w:sz w:val="18"/>
          <w:szCs w:val="18"/>
        </w:rPr>
        <w:t xml:space="preserve"> </w:t>
      </w:r>
      <w:r>
        <w:rPr>
          <w:color w:val="231F20"/>
          <w:sz w:val="18"/>
          <w:szCs w:val="18"/>
        </w:rPr>
        <w:t>carrying</w:t>
      </w:r>
      <w:r>
        <w:rPr>
          <w:color w:val="231F20"/>
          <w:spacing w:val="-11"/>
          <w:sz w:val="18"/>
          <w:szCs w:val="18"/>
        </w:rPr>
        <w:t xml:space="preserve"> </w:t>
      </w:r>
      <w:r>
        <w:rPr>
          <w:color w:val="231F20"/>
          <w:sz w:val="18"/>
          <w:szCs w:val="18"/>
        </w:rPr>
        <w:t>deferred</w:t>
      </w:r>
      <w:r>
        <w:rPr>
          <w:color w:val="231F20"/>
          <w:spacing w:val="-9"/>
          <w:sz w:val="18"/>
          <w:szCs w:val="18"/>
        </w:rPr>
        <w:t xml:space="preserve"> </w:t>
      </w:r>
      <w:r>
        <w:rPr>
          <w:color w:val="231F20"/>
          <w:sz w:val="18"/>
          <w:szCs w:val="18"/>
        </w:rPr>
        <w:t>or</w:t>
      </w:r>
      <w:r>
        <w:rPr>
          <w:color w:val="231F20"/>
          <w:spacing w:val="-9"/>
          <w:sz w:val="18"/>
          <w:szCs w:val="18"/>
        </w:rPr>
        <w:t xml:space="preserve"> </w:t>
      </w:r>
      <w:r>
        <w:rPr>
          <w:color w:val="231F20"/>
          <w:sz w:val="18"/>
          <w:szCs w:val="18"/>
        </w:rPr>
        <w:t>non-preferred</w:t>
      </w:r>
      <w:r>
        <w:rPr>
          <w:color w:val="231F20"/>
          <w:spacing w:val="-11"/>
          <w:sz w:val="18"/>
          <w:szCs w:val="18"/>
        </w:rPr>
        <w:t xml:space="preserve"> </w:t>
      </w:r>
      <w:r>
        <w:rPr>
          <w:color w:val="231F20"/>
          <w:sz w:val="18"/>
          <w:szCs w:val="18"/>
        </w:rPr>
        <w:t>rights,</w:t>
      </w:r>
      <w:r>
        <w:rPr>
          <w:color w:val="231F20"/>
          <w:spacing w:val="-11"/>
          <w:sz w:val="18"/>
          <w:szCs w:val="18"/>
        </w:rPr>
        <w:t xml:space="preserve"> </w:t>
      </w:r>
      <w:r>
        <w:rPr>
          <w:color w:val="231F20"/>
          <w:sz w:val="18"/>
          <w:szCs w:val="18"/>
        </w:rPr>
        <w:t>including</w:t>
      </w:r>
      <w:r>
        <w:rPr>
          <w:color w:val="231F20"/>
          <w:spacing w:val="-11"/>
          <w:sz w:val="18"/>
          <w:szCs w:val="18"/>
        </w:rPr>
        <w:t xml:space="preserve"> </w:t>
      </w:r>
      <w:r>
        <w:rPr>
          <w:color w:val="231F20"/>
          <w:sz w:val="18"/>
          <w:szCs w:val="18"/>
        </w:rPr>
        <w:t>the</w:t>
      </w:r>
      <w:r>
        <w:rPr>
          <w:color w:val="231F20"/>
          <w:spacing w:val="-9"/>
          <w:sz w:val="18"/>
          <w:szCs w:val="18"/>
        </w:rPr>
        <w:t xml:space="preserve"> </w:t>
      </w:r>
      <w:r>
        <w:rPr>
          <w:color w:val="231F20"/>
          <w:sz w:val="18"/>
          <w:szCs w:val="18"/>
        </w:rPr>
        <w:t>Deferred</w:t>
      </w:r>
      <w:r>
        <w:rPr>
          <w:color w:val="231F20"/>
          <w:spacing w:val="-11"/>
          <w:sz w:val="18"/>
          <w:szCs w:val="18"/>
        </w:rPr>
        <w:t xml:space="preserve"> </w:t>
      </w:r>
      <w:r>
        <w:rPr>
          <w:color w:val="231F20"/>
          <w:sz w:val="18"/>
          <w:szCs w:val="18"/>
        </w:rPr>
        <w:t>Shares,</w:t>
      </w:r>
      <w:r>
        <w:rPr>
          <w:color w:val="231F20"/>
          <w:spacing w:val="-11"/>
          <w:sz w:val="18"/>
          <w:szCs w:val="18"/>
        </w:rPr>
        <w:t xml:space="preserve"> </w:t>
      </w:r>
      <w:r>
        <w:rPr>
          <w:color w:val="231F20"/>
          <w:sz w:val="18"/>
          <w:szCs w:val="18"/>
        </w:rPr>
        <w:t>if</w:t>
      </w:r>
      <w:r>
        <w:rPr>
          <w:color w:val="231F20"/>
          <w:spacing w:val="-9"/>
          <w:sz w:val="18"/>
          <w:szCs w:val="18"/>
        </w:rPr>
        <w:t xml:space="preserve"> </w:t>
      </w:r>
      <w:r>
        <w:rPr>
          <w:color w:val="231F20"/>
          <w:sz w:val="18"/>
          <w:szCs w:val="18"/>
        </w:rPr>
        <w:t>any preferential dividend is in arrears; or</w:t>
      </w:r>
    </w:p>
    <w:p w14:paraId="0931CEB5" w14:textId="77777777" w:rsidR="00783288" w:rsidRDefault="00783288">
      <w:pPr>
        <w:pStyle w:val="BodyText"/>
        <w:kinsoku w:val="0"/>
        <w:overflowPunct w:val="0"/>
        <w:spacing w:before="11"/>
        <w:rPr>
          <w:sz w:val="20"/>
          <w:szCs w:val="20"/>
        </w:rPr>
      </w:pPr>
    </w:p>
    <w:p w14:paraId="56D3AC27" w14:textId="77777777" w:rsidR="00783288" w:rsidRDefault="00E31420" w:rsidP="00512495">
      <w:pPr>
        <w:pStyle w:val="ListParagraph"/>
        <w:numPr>
          <w:ilvl w:val="0"/>
          <w:numId w:val="11"/>
        </w:numPr>
        <w:tabs>
          <w:tab w:val="left" w:pos="2182"/>
        </w:tabs>
        <w:kinsoku w:val="0"/>
        <w:overflowPunct w:val="0"/>
        <w:ind w:right="1035"/>
        <w:rPr>
          <w:color w:val="231F20"/>
          <w:sz w:val="18"/>
          <w:szCs w:val="18"/>
        </w:rPr>
      </w:pPr>
      <w:r>
        <w:rPr>
          <w:color w:val="231F20"/>
          <w:sz w:val="18"/>
          <w:szCs w:val="18"/>
        </w:rPr>
        <w:t>if</w:t>
      </w:r>
      <w:r>
        <w:rPr>
          <w:color w:val="231F20"/>
          <w:spacing w:val="-4"/>
          <w:sz w:val="18"/>
          <w:szCs w:val="18"/>
        </w:rPr>
        <w:t xml:space="preserve"> </w:t>
      </w:r>
      <w:r>
        <w:rPr>
          <w:color w:val="231F20"/>
          <w:sz w:val="18"/>
          <w:szCs w:val="18"/>
        </w:rPr>
        <w:t>he</w:t>
      </w:r>
      <w:r>
        <w:rPr>
          <w:color w:val="231F20"/>
          <w:spacing w:val="-3"/>
          <w:sz w:val="18"/>
          <w:szCs w:val="18"/>
        </w:rPr>
        <w:t xml:space="preserve"> </w:t>
      </w:r>
      <w:r>
        <w:rPr>
          <w:color w:val="231F20"/>
          <w:sz w:val="18"/>
          <w:szCs w:val="18"/>
        </w:rPr>
        <w:t>has</w:t>
      </w:r>
      <w:r>
        <w:rPr>
          <w:color w:val="231F20"/>
          <w:spacing w:val="-2"/>
          <w:sz w:val="18"/>
          <w:szCs w:val="18"/>
        </w:rPr>
        <w:t xml:space="preserve"> </w:t>
      </w:r>
      <w:r>
        <w:rPr>
          <w:color w:val="231F20"/>
          <w:sz w:val="18"/>
          <w:szCs w:val="18"/>
        </w:rPr>
        <w:t>a</w:t>
      </w:r>
      <w:r>
        <w:rPr>
          <w:color w:val="231F20"/>
          <w:spacing w:val="-3"/>
          <w:sz w:val="18"/>
          <w:szCs w:val="18"/>
        </w:rPr>
        <w:t xml:space="preserve"> </w:t>
      </w:r>
      <w:r>
        <w:rPr>
          <w:color w:val="231F20"/>
          <w:sz w:val="18"/>
          <w:szCs w:val="18"/>
        </w:rPr>
        <w:t>holding</w:t>
      </w:r>
      <w:r>
        <w:rPr>
          <w:color w:val="231F20"/>
          <w:spacing w:val="-3"/>
          <w:sz w:val="18"/>
          <w:szCs w:val="18"/>
        </w:rPr>
        <w:t xml:space="preserve"> </w:t>
      </w:r>
      <w:r>
        <w:rPr>
          <w:color w:val="231F20"/>
          <w:sz w:val="18"/>
          <w:szCs w:val="18"/>
        </w:rPr>
        <w:t>of</w:t>
      </w:r>
      <w:r>
        <w:rPr>
          <w:color w:val="231F20"/>
          <w:spacing w:val="-5"/>
          <w:sz w:val="18"/>
          <w:szCs w:val="18"/>
        </w:rPr>
        <w:t xml:space="preserve"> </w:t>
      </w:r>
      <w:r>
        <w:rPr>
          <w:color w:val="231F20"/>
          <w:sz w:val="18"/>
          <w:szCs w:val="18"/>
        </w:rPr>
        <w:t>at</w:t>
      </w:r>
      <w:r>
        <w:rPr>
          <w:color w:val="231F20"/>
          <w:spacing w:val="-3"/>
          <w:sz w:val="18"/>
          <w:szCs w:val="18"/>
        </w:rPr>
        <w:t xml:space="preserve"> </w:t>
      </w:r>
      <w:r>
        <w:rPr>
          <w:color w:val="231F20"/>
          <w:sz w:val="18"/>
          <w:szCs w:val="18"/>
        </w:rPr>
        <w:t>least</w:t>
      </w:r>
      <w:r>
        <w:rPr>
          <w:color w:val="231F20"/>
          <w:spacing w:val="-3"/>
          <w:sz w:val="18"/>
          <w:szCs w:val="18"/>
        </w:rPr>
        <w:t xml:space="preserve"> </w:t>
      </w:r>
      <w:r>
        <w:rPr>
          <w:color w:val="231F20"/>
          <w:sz w:val="18"/>
          <w:szCs w:val="18"/>
        </w:rPr>
        <w:t>0.25%</w:t>
      </w:r>
      <w:r>
        <w:rPr>
          <w:color w:val="231F20"/>
          <w:spacing w:val="-3"/>
          <w:sz w:val="18"/>
          <w:szCs w:val="18"/>
        </w:rPr>
        <w:t xml:space="preserve"> </w:t>
      </w:r>
      <w:r>
        <w:rPr>
          <w:color w:val="231F20"/>
          <w:sz w:val="18"/>
          <w:szCs w:val="18"/>
        </w:rPr>
        <w:t>of</w:t>
      </w:r>
      <w:r>
        <w:rPr>
          <w:color w:val="231F20"/>
          <w:spacing w:val="-5"/>
          <w:sz w:val="18"/>
          <w:szCs w:val="18"/>
        </w:rPr>
        <w:t xml:space="preserve"> </w:t>
      </w:r>
      <w:r>
        <w:rPr>
          <w:color w:val="231F20"/>
          <w:sz w:val="18"/>
          <w:szCs w:val="18"/>
        </w:rPr>
        <w:t>any</w:t>
      </w:r>
      <w:r>
        <w:rPr>
          <w:color w:val="231F20"/>
          <w:spacing w:val="-5"/>
          <w:sz w:val="18"/>
          <w:szCs w:val="18"/>
        </w:rPr>
        <w:t xml:space="preserve"> </w:t>
      </w:r>
      <w:r>
        <w:rPr>
          <w:color w:val="231F20"/>
          <w:sz w:val="18"/>
          <w:szCs w:val="18"/>
        </w:rPr>
        <w:t>class</w:t>
      </w:r>
      <w:r>
        <w:rPr>
          <w:color w:val="231F20"/>
          <w:spacing w:val="-2"/>
          <w:sz w:val="18"/>
          <w:szCs w:val="18"/>
        </w:rPr>
        <w:t xml:space="preserve"> </w:t>
      </w:r>
      <w:r>
        <w:rPr>
          <w:color w:val="231F20"/>
          <w:sz w:val="18"/>
          <w:szCs w:val="18"/>
        </w:rPr>
        <w:t>of</w:t>
      </w:r>
      <w:r>
        <w:rPr>
          <w:color w:val="231F20"/>
          <w:spacing w:val="-3"/>
          <w:sz w:val="18"/>
          <w:szCs w:val="18"/>
        </w:rPr>
        <w:t xml:space="preserve"> </w:t>
      </w:r>
      <w:r>
        <w:rPr>
          <w:color w:val="231F20"/>
          <w:sz w:val="18"/>
          <w:szCs w:val="18"/>
        </w:rPr>
        <w:t>shares</w:t>
      </w:r>
      <w:r>
        <w:rPr>
          <w:color w:val="231F20"/>
          <w:spacing w:val="-5"/>
          <w:sz w:val="18"/>
          <w:szCs w:val="18"/>
        </w:rPr>
        <w:t xml:space="preserve"> </w:t>
      </w:r>
      <w:r>
        <w:rPr>
          <w:color w:val="231F20"/>
          <w:sz w:val="18"/>
          <w:szCs w:val="18"/>
        </w:rPr>
        <w:t>of</w:t>
      </w:r>
      <w:r>
        <w:rPr>
          <w:color w:val="231F20"/>
          <w:spacing w:val="-5"/>
          <w:sz w:val="18"/>
          <w:szCs w:val="18"/>
        </w:rPr>
        <w:t xml:space="preserve"> </w:t>
      </w:r>
      <w:r>
        <w:rPr>
          <w:color w:val="231F20"/>
          <w:sz w:val="18"/>
          <w:szCs w:val="18"/>
        </w:rPr>
        <w:t>the</w:t>
      </w:r>
      <w:r>
        <w:rPr>
          <w:color w:val="231F20"/>
          <w:spacing w:val="-3"/>
          <w:sz w:val="18"/>
          <w:szCs w:val="18"/>
        </w:rPr>
        <w:t xml:space="preserve"> </w:t>
      </w:r>
      <w:r>
        <w:rPr>
          <w:color w:val="231F20"/>
          <w:sz w:val="18"/>
          <w:szCs w:val="18"/>
        </w:rPr>
        <w:t>Company</w:t>
      </w:r>
      <w:r>
        <w:rPr>
          <w:color w:val="231F20"/>
          <w:spacing w:val="-5"/>
          <w:sz w:val="18"/>
          <w:szCs w:val="18"/>
        </w:rPr>
        <w:t xml:space="preserve"> </w:t>
      </w:r>
      <w:r>
        <w:rPr>
          <w:color w:val="231F20"/>
          <w:sz w:val="18"/>
          <w:szCs w:val="18"/>
        </w:rPr>
        <w:t>and</w:t>
      </w:r>
      <w:r>
        <w:rPr>
          <w:color w:val="231F20"/>
          <w:spacing w:val="-5"/>
          <w:sz w:val="18"/>
          <w:szCs w:val="18"/>
        </w:rPr>
        <w:t xml:space="preserve"> </w:t>
      </w:r>
      <w:r>
        <w:rPr>
          <w:color w:val="231F20"/>
          <w:sz w:val="18"/>
          <w:szCs w:val="18"/>
        </w:rPr>
        <w:t>has</w:t>
      </w:r>
      <w:r>
        <w:rPr>
          <w:color w:val="231F20"/>
          <w:spacing w:val="-2"/>
          <w:sz w:val="18"/>
          <w:szCs w:val="18"/>
        </w:rPr>
        <w:t xml:space="preserve"> </w:t>
      </w:r>
      <w:r>
        <w:rPr>
          <w:color w:val="231F20"/>
          <w:sz w:val="18"/>
          <w:szCs w:val="18"/>
        </w:rPr>
        <w:t>failed</w:t>
      </w:r>
      <w:r>
        <w:rPr>
          <w:color w:val="231F20"/>
          <w:spacing w:val="-3"/>
          <w:sz w:val="18"/>
          <w:szCs w:val="18"/>
        </w:rPr>
        <w:t xml:space="preserve"> </w:t>
      </w:r>
      <w:r>
        <w:rPr>
          <w:color w:val="231F20"/>
          <w:sz w:val="18"/>
          <w:szCs w:val="18"/>
        </w:rPr>
        <w:t>to comply with a notice under section 793 of the Companies</w:t>
      </w:r>
      <w:r>
        <w:rPr>
          <w:color w:val="231F20"/>
          <w:spacing w:val="-3"/>
          <w:sz w:val="18"/>
          <w:szCs w:val="18"/>
        </w:rPr>
        <w:t xml:space="preserve"> </w:t>
      </w:r>
      <w:r>
        <w:rPr>
          <w:color w:val="231F20"/>
          <w:sz w:val="18"/>
          <w:szCs w:val="18"/>
        </w:rPr>
        <w:t>Act.</w:t>
      </w:r>
    </w:p>
    <w:p w14:paraId="1180400F" w14:textId="77777777" w:rsidR="00783288" w:rsidRDefault="00783288">
      <w:pPr>
        <w:pStyle w:val="BodyText"/>
        <w:kinsoku w:val="0"/>
        <w:overflowPunct w:val="0"/>
        <w:spacing w:before="9"/>
        <w:rPr>
          <w:sz w:val="20"/>
          <w:szCs w:val="20"/>
        </w:rPr>
      </w:pPr>
    </w:p>
    <w:p w14:paraId="00263939"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Interim dividends may be paid if profits are available for distribution and if the Board so</w:t>
      </w:r>
      <w:r>
        <w:rPr>
          <w:color w:val="231F20"/>
          <w:spacing w:val="-25"/>
          <w:sz w:val="18"/>
          <w:szCs w:val="18"/>
        </w:rPr>
        <w:t xml:space="preserve"> </w:t>
      </w:r>
      <w:r>
        <w:rPr>
          <w:color w:val="231F20"/>
          <w:sz w:val="18"/>
          <w:szCs w:val="18"/>
        </w:rPr>
        <w:t>resolves.</w:t>
      </w:r>
    </w:p>
    <w:p w14:paraId="556DF4E8" w14:textId="77777777" w:rsidR="00783288" w:rsidRDefault="00783288">
      <w:pPr>
        <w:pStyle w:val="BodyText"/>
        <w:kinsoku w:val="0"/>
        <w:overflowPunct w:val="0"/>
        <w:spacing w:before="9"/>
        <w:rPr>
          <w:sz w:val="20"/>
          <w:szCs w:val="20"/>
        </w:rPr>
      </w:pPr>
    </w:p>
    <w:p w14:paraId="765940C5" w14:textId="77777777" w:rsidR="00783288" w:rsidRDefault="00E31420" w:rsidP="00512495">
      <w:pPr>
        <w:pStyle w:val="ListParagraph"/>
        <w:numPr>
          <w:ilvl w:val="2"/>
          <w:numId w:val="13"/>
        </w:numPr>
        <w:tabs>
          <w:tab w:val="left" w:pos="1822"/>
        </w:tabs>
        <w:kinsoku w:val="0"/>
        <w:overflowPunct w:val="0"/>
        <w:ind w:right="1038"/>
        <w:jc w:val="both"/>
        <w:rPr>
          <w:color w:val="231F20"/>
          <w:sz w:val="18"/>
          <w:szCs w:val="18"/>
        </w:rPr>
      </w:pPr>
      <w:r>
        <w:rPr>
          <w:color w:val="231F20"/>
          <w:sz w:val="18"/>
          <w:szCs w:val="18"/>
        </w:rPr>
        <w:t>Any</w:t>
      </w:r>
      <w:r>
        <w:rPr>
          <w:color w:val="231F20"/>
          <w:spacing w:val="-4"/>
          <w:sz w:val="18"/>
          <w:szCs w:val="18"/>
        </w:rPr>
        <w:t xml:space="preserve"> </w:t>
      </w:r>
      <w:r>
        <w:rPr>
          <w:color w:val="231F20"/>
          <w:sz w:val="18"/>
          <w:szCs w:val="18"/>
        </w:rPr>
        <w:t>dividend</w:t>
      </w:r>
      <w:r>
        <w:rPr>
          <w:color w:val="231F20"/>
          <w:spacing w:val="-4"/>
          <w:sz w:val="18"/>
          <w:szCs w:val="18"/>
        </w:rPr>
        <w:t xml:space="preserve"> </w:t>
      </w:r>
      <w:r>
        <w:rPr>
          <w:color w:val="231F20"/>
          <w:sz w:val="18"/>
          <w:szCs w:val="18"/>
        </w:rPr>
        <w:t>unclaimed</w:t>
      </w:r>
      <w:r>
        <w:rPr>
          <w:color w:val="231F20"/>
          <w:spacing w:val="-4"/>
          <w:sz w:val="18"/>
          <w:szCs w:val="18"/>
        </w:rPr>
        <w:t xml:space="preserve"> </w:t>
      </w:r>
      <w:r>
        <w:rPr>
          <w:color w:val="231F20"/>
          <w:sz w:val="18"/>
          <w:szCs w:val="18"/>
        </w:rPr>
        <w:t>after</w:t>
      </w:r>
      <w:r>
        <w:rPr>
          <w:color w:val="231F20"/>
          <w:spacing w:val="-4"/>
          <w:sz w:val="18"/>
          <w:szCs w:val="18"/>
        </w:rPr>
        <w:t xml:space="preserve"> </w:t>
      </w:r>
      <w:r>
        <w:rPr>
          <w:color w:val="231F20"/>
          <w:sz w:val="18"/>
          <w:szCs w:val="18"/>
        </w:rPr>
        <w:t>a</w:t>
      </w:r>
      <w:r>
        <w:rPr>
          <w:color w:val="231F20"/>
          <w:spacing w:val="-1"/>
          <w:sz w:val="18"/>
          <w:szCs w:val="18"/>
        </w:rPr>
        <w:t xml:space="preserve"> </w:t>
      </w:r>
      <w:r>
        <w:rPr>
          <w:color w:val="231F20"/>
          <w:sz w:val="18"/>
          <w:szCs w:val="18"/>
        </w:rPr>
        <w:t>period</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12</w:t>
      </w:r>
      <w:r>
        <w:rPr>
          <w:color w:val="231F20"/>
          <w:spacing w:val="-4"/>
          <w:sz w:val="18"/>
          <w:szCs w:val="18"/>
        </w:rPr>
        <w:t xml:space="preserve"> </w:t>
      </w:r>
      <w:r>
        <w:rPr>
          <w:color w:val="231F20"/>
          <w:sz w:val="18"/>
          <w:szCs w:val="18"/>
        </w:rPr>
        <w:t>years</w:t>
      </w:r>
      <w:r>
        <w:rPr>
          <w:color w:val="231F20"/>
          <w:spacing w:val="-3"/>
          <w:sz w:val="18"/>
          <w:szCs w:val="18"/>
        </w:rPr>
        <w:t xml:space="preserve"> </w:t>
      </w:r>
      <w:r>
        <w:rPr>
          <w:color w:val="231F20"/>
          <w:sz w:val="18"/>
          <w:szCs w:val="18"/>
        </w:rPr>
        <w:t>from</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date</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its</w:t>
      </w:r>
      <w:r>
        <w:rPr>
          <w:color w:val="231F20"/>
          <w:spacing w:val="-3"/>
          <w:sz w:val="18"/>
          <w:szCs w:val="18"/>
        </w:rPr>
        <w:t xml:space="preserve"> </w:t>
      </w:r>
      <w:r>
        <w:rPr>
          <w:color w:val="231F20"/>
          <w:sz w:val="18"/>
          <w:szCs w:val="18"/>
        </w:rPr>
        <w:t>declaration</w:t>
      </w:r>
      <w:r>
        <w:rPr>
          <w:color w:val="231F20"/>
          <w:spacing w:val="-1"/>
          <w:sz w:val="18"/>
          <w:szCs w:val="18"/>
        </w:rPr>
        <w:t xml:space="preserve"> </w:t>
      </w:r>
      <w:r>
        <w:rPr>
          <w:color w:val="231F20"/>
          <w:sz w:val="18"/>
          <w:szCs w:val="18"/>
        </w:rPr>
        <w:t>will</w:t>
      </w:r>
      <w:r>
        <w:rPr>
          <w:color w:val="231F20"/>
          <w:spacing w:val="-4"/>
          <w:sz w:val="18"/>
          <w:szCs w:val="18"/>
        </w:rPr>
        <w:t xml:space="preserve"> </w:t>
      </w:r>
      <w:r>
        <w:rPr>
          <w:color w:val="231F20"/>
          <w:sz w:val="18"/>
          <w:szCs w:val="18"/>
        </w:rPr>
        <w:t>be</w:t>
      </w:r>
      <w:r>
        <w:rPr>
          <w:color w:val="231F20"/>
          <w:spacing w:val="-4"/>
          <w:sz w:val="18"/>
          <w:szCs w:val="18"/>
        </w:rPr>
        <w:t xml:space="preserve"> </w:t>
      </w:r>
      <w:r>
        <w:rPr>
          <w:color w:val="231F20"/>
          <w:sz w:val="18"/>
          <w:szCs w:val="18"/>
        </w:rPr>
        <w:t>forfeited and will revert to the</w:t>
      </w:r>
      <w:r>
        <w:rPr>
          <w:color w:val="231F20"/>
          <w:spacing w:val="1"/>
          <w:sz w:val="18"/>
          <w:szCs w:val="18"/>
        </w:rPr>
        <w:t xml:space="preserve"> </w:t>
      </w:r>
      <w:r>
        <w:rPr>
          <w:color w:val="231F20"/>
          <w:sz w:val="18"/>
          <w:szCs w:val="18"/>
        </w:rPr>
        <w:t>Company.</w:t>
      </w:r>
    </w:p>
    <w:p w14:paraId="5916C1A5" w14:textId="77777777" w:rsidR="00783288" w:rsidRDefault="00783288">
      <w:pPr>
        <w:pStyle w:val="BodyText"/>
        <w:kinsoku w:val="0"/>
        <w:overflowPunct w:val="0"/>
        <w:rPr>
          <w:sz w:val="21"/>
          <w:szCs w:val="21"/>
        </w:rPr>
      </w:pPr>
    </w:p>
    <w:p w14:paraId="590FCF5A"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The Deferred Shares have no right to participate in the profits of the</w:t>
      </w:r>
      <w:r>
        <w:rPr>
          <w:color w:val="231F20"/>
          <w:spacing w:val="-6"/>
          <w:sz w:val="18"/>
          <w:szCs w:val="18"/>
        </w:rPr>
        <w:t xml:space="preserve"> </w:t>
      </w:r>
      <w:r>
        <w:rPr>
          <w:color w:val="231F20"/>
          <w:sz w:val="18"/>
          <w:szCs w:val="18"/>
        </w:rPr>
        <w:t>Company.</w:t>
      </w:r>
    </w:p>
    <w:p w14:paraId="4E928590" w14:textId="77777777" w:rsidR="00783288" w:rsidRDefault="00783288">
      <w:pPr>
        <w:pStyle w:val="BodyText"/>
        <w:kinsoku w:val="0"/>
        <w:overflowPunct w:val="0"/>
        <w:spacing w:before="9"/>
        <w:rPr>
          <w:sz w:val="20"/>
          <w:szCs w:val="20"/>
        </w:rPr>
      </w:pPr>
    </w:p>
    <w:p w14:paraId="661AC54B"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Return of</w:t>
      </w:r>
      <w:r>
        <w:rPr>
          <w:color w:val="231F20"/>
          <w:spacing w:val="-2"/>
          <w:sz w:val="18"/>
          <w:szCs w:val="18"/>
        </w:rPr>
        <w:t xml:space="preserve"> </w:t>
      </w:r>
      <w:r>
        <w:rPr>
          <w:color w:val="231F20"/>
          <w:sz w:val="18"/>
          <w:szCs w:val="18"/>
        </w:rPr>
        <w:t>Capital</w:t>
      </w:r>
    </w:p>
    <w:p w14:paraId="2C0FC23D" w14:textId="77777777" w:rsidR="00783288" w:rsidRDefault="00783288">
      <w:pPr>
        <w:pStyle w:val="BodyText"/>
        <w:kinsoku w:val="0"/>
        <w:overflowPunct w:val="0"/>
        <w:spacing w:before="10"/>
        <w:rPr>
          <w:sz w:val="20"/>
          <w:szCs w:val="20"/>
        </w:rPr>
      </w:pPr>
    </w:p>
    <w:p w14:paraId="739B5887" w14:textId="77777777" w:rsidR="00783288" w:rsidRDefault="00E31420" w:rsidP="00512495">
      <w:pPr>
        <w:pStyle w:val="ListParagraph"/>
        <w:numPr>
          <w:ilvl w:val="2"/>
          <w:numId w:val="13"/>
        </w:numPr>
        <w:tabs>
          <w:tab w:val="left" w:pos="1822"/>
        </w:tabs>
        <w:kinsoku w:val="0"/>
        <w:overflowPunct w:val="0"/>
        <w:ind w:right="1038"/>
        <w:jc w:val="both"/>
        <w:rPr>
          <w:color w:val="231F20"/>
          <w:sz w:val="18"/>
          <w:szCs w:val="18"/>
        </w:rPr>
      </w:pPr>
      <w:r>
        <w:rPr>
          <w:color w:val="231F20"/>
          <w:sz w:val="18"/>
          <w:szCs w:val="18"/>
        </w:rPr>
        <w:t>On a winding-up of the Company, the balance of the assets available for distribution will, subject to any sanction required by the Companies Act, be divided amongst the</w:t>
      </w:r>
      <w:r>
        <w:rPr>
          <w:color w:val="231F20"/>
          <w:spacing w:val="-17"/>
          <w:sz w:val="18"/>
          <w:szCs w:val="18"/>
        </w:rPr>
        <w:t xml:space="preserve"> </w:t>
      </w:r>
      <w:r>
        <w:rPr>
          <w:color w:val="231F20"/>
          <w:sz w:val="18"/>
          <w:szCs w:val="18"/>
        </w:rPr>
        <w:t>members.</w:t>
      </w:r>
    </w:p>
    <w:p w14:paraId="29A01FFE" w14:textId="77777777" w:rsidR="00783288" w:rsidRDefault="00783288">
      <w:pPr>
        <w:pStyle w:val="BodyText"/>
        <w:kinsoku w:val="0"/>
        <w:overflowPunct w:val="0"/>
        <w:spacing w:before="11"/>
        <w:rPr>
          <w:sz w:val="20"/>
          <w:szCs w:val="20"/>
        </w:rPr>
      </w:pPr>
    </w:p>
    <w:p w14:paraId="7EF80AF1"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lastRenderedPageBreak/>
        <w:t>On</w:t>
      </w:r>
      <w:r>
        <w:rPr>
          <w:color w:val="231F20"/>
          <w:spacing w:val="-4"/>
          <w:sz w:val="18"/>
          <w:szCs w:val="18"/>
        </w:rPr>
        <w:t xml:space="preserve"> </w:t>
      </w:r>
      <w:r>
        <w:rPr>
          <w:color w:val="231F20"/>
          <w:sz w:val="18"/>
          <w:szCs w:val="18"/>
        </w:rPr>
        <w:t>a</w:t>
      </w:r>
      <w:r>
        <w:rPr>
          <w:color w:val="231F20"/>
          <w:spacing w:val="-1"/>
          <w:sz w:val="18"/>
          <w:szCs w:val="18"/>
        </w:rPr>
        <w:t xml:space="preserve"> </w:t>
      </w:r>
      <w:r>
        <w:rPr>
          <w:color w:val="231F20"/>
          <w:sz w:val="18"/>
          <w:szCs w:val="18"/>
        </w:rPr>
        <w:t>winding-up</w:t>
      </w:r>
      <w:r>
        <w:rPr>
          <w:color w:val="231F20"/>
          <w:spacing w:val="-4"/>
          <w:sz w:val="18"/>
          <w:szCs w:val="18"/>
        </w:rPr>
        <w:t xml:space="preserve"> </w:t>
      </w:r>
      <w:r>
        <w:rPr>
          <w:color w:val="231F20"/>
          <w:sz w:val="18"/>
          <w:szCs w:val="18"/>
        </w:rPr>
        <w:t>or</w:t>
      </w:r>
      <w:r>
        <w:rPr>
          <w:color w:val="231F20"/>
          <w:spacing w:val="-4"/>
          <w:sz w:val="18"/>
          <w:szCs w:val="18"/>
        </w:rPr>
        <w:t xml:space="preserve"> </w:t>
      </w:r>
      <w:r>
        <w:rPr>
          <w:color w:val="231F20"/>
          <w:sz w:val="18"/>
          <w:szCs w:val="18"/>
        </w:rPr>
        <w:t>a</w:t>
      </w:r>
      <w:r>
        <w:rPr>
          <w:color w:val="231F20"/>
          <w:spacing w:val="-3"/>
          <w:sz w:val="18"/>
          <w:szCs w:val="18"/>
        </w:rPr>
        <w:t xml:space="preserve"> </w:t>
      </w:r>
      <w:r>
        <w:rPr>
          <w:color w:val="231F20"/>
          <w:sz w:val="18"/>
          <w:szCs w:val="18"/>
        </w:rPr>
        <w:t>return</w:t>
      </w:r>
      <w:r>
        <w:rPr>
          <w:color w:val="231F20"/>
          <w:spacing w:val="-4"/>
          <w:sz w:val="18"/>
          <w:szCs w:val="18"/>
        </w:rPr>
        <w:t xml:space="preserve"> </w:t>
      </w:r>
      <w:r>
        <w:rPr>
          <w:color w:val="231F20"/>
          <w:sz w:val="18"/>
          <w:szCs w:val="18"/>
        </w:rPr>
        <w:t>of</w:t>
      </w:r>
      <w:r>
        <w:rPr>
          <w:color w:val="231F20"/>
          <w:spacing w:val="-6"/>
          <w:sz w:val="18"/>
          <w:szCs w:val="18"/>
        </w:rPr>
        <w:t xml:space="preserve"> </w:t>
      </w:r>
      <w:r>
        <w:rPr>
          <w:color w:val="231F20"/>
          <w:sz w:val="18"/>
          <w:szCs w:val="18"/>
        </w:rPr>
        <w:t>capital,</w:t>
      </w:r>
      <w:r>
        <w:rPr>
          <w:color w:val="231F20"/>
          <w:spacing w:val="-3"/>
          <w:sz w:val="18"/>
          <w:szCs w:val="18"/>
        </w:rPr>
        <w:t xml:space="preserve"> </w:t>
      </w:r>
      <w:r>
        <w:rPr>
          <w:color w:val="231F20"/>
          <w:sz w:val="18"/>
          <w:szCs w:val="18"/>
        </w:rPr>
        <w:t>the</w:t>
      </w:r>
      <w:r>
        <w:rPr>
          <w:color w:val="231F20"/>
          <w:spacing w:val="-4"/>
          <w:sz w:val="18"/>
          <w:szCs w:val="18"/>
        </w:rPr>
        <w:t xml:space="preserve"> </w:t>
      </w:r>
      <w:r>
        <w:rPr>
          <w:color w:val="231F20"/>
          <w:sz w:val="18"/>
          <w:szCs w:val="18"/>
        </w:rPr>
        <w:t>paying</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1"/>
          <w:sz w:val="18"/>
          <w:szCs w:val="18"/>
        </w:rPr>
        <w:t xml:space="preserve"> </w:t>
      </w:r>
      <w:r>
        <w:rPr>
          <w:color w:val="231F20"/>
          <w:sz w:val="18"/>
          <w:szCs w:val="18"/>
        </w:rPr>
        <w:t>nominal</w:t>
      </w:r>
      <w:r>
        <w:rPr>
          <w:color w:val="231F20"/>
          <w:spacing w:val="-4"/>
          <w:sz w:val="18"/>
          <w:szCs w:val="18"/>
        </w:rPr>
        <w:t xml:space="preserve"> </w:t>
      </w:r>
      <w:r>
        <w:rPr>
          <w:color w:val="231F20"/>
          <w:sz w:val="18"/>
          <w:szCs w:val="18"/>
        </w:rPr>
        <w:t>amount</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capital</w:t>
      </w:r>
      <w:r>
        <w:rPr>
          <w:color w:val="231F20"/>
          <w:spacing w:val="-3"/>
          <w:sz w:val="18"/>
          <w:szCs w:val="18"/>
        </w:rPr>
        <w:t xml:space="preserve"> </w:t>
      </w:r>
      <w:r>
        <w:rPr>
          <w:color w:val="231F20"/>
          <w:sz w:val="18"/>
          <w:szCs w:val="18"/>
        </w:rPr>
        <w:t>paid</w:t>
      </w:r>
      <w:r>
        <w:rPr>
          <w:color w:val="231F20"/>
          <w:spacing w:val="-4"/>
          <w:sz w:val="18"/>
          <w:szCs w:val="18"/>
        </w:rPr>
        <w:t xml:space="preserve"> </w:t>
      </w:r>
      <w:r>
        <w:rPr>
          <w:color w:val="231F20"/>
          <w:sz w:val="18"/>
          <w:szCs w:val="18"/>
        </w:rPr>
        <w:t>up</w:t>
      </w:r>
      <w:r>
        <w:rPr>
          <w:color w:val="231F20"/>
          <w:spacing w:val="-4"/>
          <w:sz w:val="18"/>
          <w:szCs w:val="18"/>
        </w:rPr>
        <w:t xml:space="preserve"> </w:t>
      </w:r>
      <w:r>
        <w:rPr>
          <w:color w:val="231F20"/>
          <w:sz w:val="18"/>
          <w:szCs w:val="18"/>
        </w:rPr>
        <w:t>on</w:t>
      </w:r>
      <w:r>
        <w:rPr>
          <w:color w:val="231F20"/>
          <w:spacing w:val="-4"/>
          <w:sz w:val="18"/>
          <w:szCs w:val="18"/>
        </w:rPr>
        <w:t xml:space="preserve"> </w:t>
      </w:r>
      <w:r>
        <w:rPr>
          <w:color w:val="231F20"/>
          <w:sz w:val="18"/>
          <w:szCs w:val="18"/>
        </w:rPr>
        <w:t>the Deferred Shares from assets available for distribution will only occur after paying the holders of the Ordinary Shares the nominal capital paid-up together with the sum of £1,000,000 on each Ordinary</w:t>
      </w:r>
      <w:r>
        <w:rPr>
          <w:color w:val="231F20"/>
          <w:spacing w:val="-14"/>
          <w:sz w:val="18"/>
          <w:szCs w:val="18"/>
        </w:rPr>
        <w:t xml:space="preserve"> </w:t>
      </w:r>
      <w:r>
        <w:rPr>
          <w:color w:val="231F20"/>
          <w:sz w:val="18"/>
          <w:szCs w:val="18"/>
        </w:rPr>
        <w:t>Share.</w:t>
      </w:r>
      <w:r>
        <w:rPr>
          <w:color w:val="231F20"/>
          <w:spacing w:val="-11"/>
          <w:sz w:val="18"/>
          <w:szCs w:val="18"/>
        </w:rPr>
        <w:t xml:space="preserve"> </w:t>
      </w:r>
      <w:r>
        <w:rPr>
          <w:color w:val="231F20"/>
          <w:sz w:val="18"/>
          <w:szCs w:val="18"/>
        </w:rPr>
        <w:t>The</w:t>
      </w:r>
      <w:r>
        <w:rPr>
          <w:color w:val="231F20"/>
          <w:spacing w:val="-13"/>
          <w:sz w:val="18"/>
          <w:szCs w:val="18"/>
        </w:rPr>
        <w:t xml:space="preserve"> </w:t>
      </w:r>
      <w:r>
        <w:rPr>
          <w:color w:val="231F20"/>
          <w:sz w:val="18"/>
          <w:szCs w:val="18"/>
        </w:rPr>
        <w:t>holders</w:t>
      </w:r>
      <w:r>
        <w:rPr>
          <w:color w:val="231F20"/>
          <w:spacing w:val="-14"/>
          <w:sz w:val="18"/>
          <w:szCs w:val="18"/>
        </w:rPr>
        <w:t xml:space="preserve"> </w:t>
      </w:r>
      <w:r>
        <w:rPr>
          <w:color w:val="231F20"/>
          <w:sz w:val="18"/>
          <w:szCs w:val="18"/>
        </w:rPr>
        <w:t>of</w:t>
      </w:r>
      <w:r>
        <w:rPr>
          <w:color w:val="231F20"/>
          <w:spacing w:val="-14"/>
          <w:sz w:val="18"/>
          <w:szCs w:val="18"/>
        </w:rPr>
        <w:t xml:space="preserve"> </w:t>
      </w:r>
      <w:r>
        <w:rPr>
          <w:color w:val="231F20"/>
          <w:sz w:val="18"/>
          <w:szCs w:val="18"/>
        </w:rPr>
        <w:t>Deferred</w:t>
      </w:r>
      <w:r>
        <w:rPr>
          <w:color w:val="231F20"/>
          <w:spacing w:val="-11"/>
          <w:sz w:val="18"/>
          <w:szCs w:val="18"/>
        </w:rPr>
        <w:t xml:space="preserve"> </w:t>
      </w:r>
      <w:r>
        <w:rPr>
          <w:color w:val="231F20"/>
          <w:sz w:val="18"/>
          <w:szCs w:val="18"/>
        </w:rPr>
        <w:t>Shares</w:t>
      </w:r>
      <w:r>
        <w:rPr>
          <w:color w:val="231F20"/>
          <w:spacing w:val="-14"/>
          <w:sz w:val="18"/>
          <w:szCs w:val="18"/>
        </w:rPr>
        <w:t xml:space="preserve"> </w:t>
      </w:r>
      <w:r>
        <w:rPr>
          <w:color w:val="231F20"/>
          <w:sz w:val="18"/>
          <w:szCs w:val="18"/>
        </w:rPr>
        <w:t>are</w:t>
      </w:r>
      <w:r>
        <w:rPr>
          <w:color w:val="231F20"/>
          <w:spacing w:val="-13"/>
          <w:sz w:val="18"/>
          <w:szCs w:val="18"/>
        </w:rPr>
        <w:t xml:space="preserve"> </w:t>
      </w:r>
      <w:r>
        <w:rPr>
          <w:color w:val="231F20"/>
          <w:sz w:val="18"/>
          <w:szCs w:val="18"/>
        </w:rPr>
        <w:t>not</w:t>
      </w:r>
      <w:r>
        <w:rPr>
          <w:color w:val="231F20"/>
          <w:spacing w:val="-11"/>
          <w:sz w:val="18"/>
          <w:szCs w:val="18"/>
        </w:rPr>
        <w:t xml:space="preserve"> </w:t>
      </w:r>
      <w:r>
        <w:rPr>
          <w:color w:val="231F20"/>
          <w:sz w:val="18"/>
          <w:szCs w:val="18"/>
        </w:rPr>
        <w:t>entitled</w:t>
      </w:r>
      <w:r>
        <w:rPr>
          <w:color w:val="231F20"/>
          <w:spacing w:val="-10"/>
          <w:sz w:val="18"/>
          <w:szCs w:val="18"/>
        </w:rPr>
        <w:t xml:space="preserve"> </w:t>
      </w:r>
      <w:r>
        <w:rPr>
          <w:color w:val="231F20"/>
          <w:sz w:val="18"/>
          <w:szCs w:val="18"/>
        </w:rPr>
        <w:t>to</w:t>
      </w:r>
      <w:r>
        <w:rPr>
          <w:color w:val="231F20"/>
          <w:spacing w:val="-13"/>
          <w:sz w:val="18"/>
          <w:szCs w:val="18"/>
        </w:rPr>
        <w:t xml:space="preserve"> </w:t>
      </w:r>
      <w:r>
        <w:rPr>
          <w:color w:val="231F20"/>
          <w:sz w:val="18"/>
          <w:szCs w:val="18"/>
        </w:rPr>
        <w:t>any</w:t>
      </w:r>
      <w:r>
        <w:rPr>
          <w:color w:val="231F20"/>
          <w:spacing w:val="-15"/>
          <w:sz w:val="18"/>
          <w:szCs w:val="18"/>
        </w:rPr>
        <w:t xml:space="preserve"> </w:t>
      </w:r>
      <w:r>
        <w:rPr>
          <w:color w:val="231F20"/>
          <w:sz w:val="18"/>
          <w:szCs w:val="18"/>
        </w:rPr>
        <w:t>further</w:t>
      </w:r>
      <w:r>
        <w:rPr>
          <w:color w:val="231F20"/>
          <w:spacing w:val="-12"/>
          <w:sz w:val="18"/>
          <w:szCs w:val="18"/>
        </w:rPr>
        <w:t xml:space="preserve"> </w:t>
      </w:r>
      <w:r>
        <w:rPr>
          <w:color w:val="231F20"/>
          <w:sz w:val="18"/>
          <w:szCs w:val="18"/>
        </w:rPr>
        <w:t>right</w:t>
      </w:r>
      <w:r>
        <w:rPr>
          <w:color w:val="231F20"/>
          <w:spacing w:val="-15"/>
          <w:sz w:val="18"/>
          <w:szCs w:val="18"/>
        </w:rPr>
        <w:t xml:space="preserve"> </w:t>
      </w:r>
      <w:r>
        <w:rPr>
          <w:color w:val="231F20"/>
          <w:sz w:val="18"/>
          <w:szCs w:val="18"/>
        </w:rPr>
        <w:t>of</w:t>
      </w:r>
      <w:r>
        <w:rPr>
          <w:color w:val="231F20"/>
          <w:spacing w:val="-14"/>
          <w:sz w:val="18"/>
          <w:szCs w:val="18"/>
        </w:rPr>
        <w:t xml:space="preserve"> </w:t>
      </w:r>
      <w:r>
        <w:rPr>
          <w:color w:val="231F20"/>
          <w:sz w:val="18"/>
          <w:szCs w:val="18"/>
        </w:rPr>
        <w:t>participation in the assets of the Company.</w:t>
      </w:r>
    </w:p>
    <w:p w14:paraId="0CC8BE2F" w14:textId="77777777" w:rsidR="00783288" w:rsidRDefault="00783288">
      <w:pPr>
        <w:pStyle w:val="BodyText"/>
        <w:kinsoku w:val="0"/>
        <w:overflowPunct w:val="0"/>
        <w:spacing w:before="9"/>
        <w:rPr>
          <w:sz w:val="20"/>
          <w:szCs w:val="20"/>
        </w:rPr>
      </w:pPr>
    </w:p>
    <w:p w14:paraId="0C34C3A8"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Redeemable shares</w:t>
      </w:r>
    </w:p>
    <w:p w14:paraId="5F42A872" w14:textId="77777777" w:rsidR="00783288" w:rsidRDefault="00783288">
      <w:pPr>
        <w:pStyle w:val="BodyText"/>
        <w:kinsoku w:val="0"/>
        <w:overflowPunct w:val="0"/>
        <w:spacing w:before="10"/>
        <w:rPr>
          <w:sz w:val="20"/>
          <w:szCs w:val="20"/>
        </w:rPr>
      </w:pPr>
    </w:p>
    <w:p w14:paraId="1B4501E5"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The Company may issue shares which are to be redeemed or are liable to be redeemed at the option of the Company and/or the holders of those</w:t>
      </w:r>
      <w:r>
        <w:rPr>
          <w:color w:val="231F20"/>
          <w:spacing w:val="-8"/>
          <w:sz w:val="18"/>
          <w:szCs w:val="18"/>
        </w:rPr>
        <w:t xml:space="preserve"> </w:t>
      </w:r>
      <w:r>
        <w:rPr>
          <w:color w:val="231F20"/>
          <w:sz w:val="18"/>
          <w:szCs w:val="18"/>
        </w:rPr>
        <w:t>shares.</w:t>
      </w:r>
    </w:p>
    <w:p w14:paraId="416677EC" w14:textId="77777777" w:rsidR="00783288" w:rsidRDefault="00783288">
      <w:pPr>
        <w:pStyle w:val="BodyText"/>
        <w:kinsoku w:val="0"/>
        <w:overflowPunct w:val="0"/>
        <w:spacing w:before="11"/>
        <w:rPr>
          <w:sz w:val="20"/>
          <w:szCs w:val="20"/>
        </w:rPr>
      </w:pPr>
    </w:p>
    <w:p w14:paraId="13136863"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The Ordinary Shares and the Deferred Shares are not</w:t>
      </w:r>
      <w:r>
        <w:rPr>
          <w:color w:val="231F20"/>
          <w:spacing w:val="-5"/>
          <w:sz w:val="18"/>
          <w:szCs w:val="18"/>
        </w:rPr>
        <w:t xml:space="preserve"> </w:t>
      </w:r>
      <w:r>
        <w:rPr>
          <w:color w:val="231F20"/>
          <w:sz w:val="18"/>
          <w:szCs w:val="18"/>
        </w:rPr>
        <w:t>redeemable.</w:t>
      </w:r>
    </w:p>
    <w:p w14:paraId="6A9854A9" w14:textId="77777777" w:rsidR="00783288" w:rsidRDefault="00783288">
      <w:pPr>
        <w:pStyle w:val="BodyText"/>
        <w:kinsoku w:val="0"/>
        <w:overflowPunct w:val="0"/>
        <w:spacing w:before="9"/>
        <w:rPr>
          <w:sz w:val="20"/>
          <w:szCs w:val="20"/>
        </w:rPr>
      </w:pPr>
    </w:p>
    <w:p w14:paraId="70F4C829" w14:textId="77777777" w:rsidR="00783288" w:rsidRDefault="00E31420" w:rsidP="00512495">
      <w:pPr>
        <w:pStyle w:val="ListParagraph"/>
        <w:numPr>
          <w:ilvl w:val="1"/>
          <w:numId w:val="13"/>
        </w:numPr>
        <w:tabs>
          <w:tab w:val="left" w:pos="840"/>
        </w:tabs>
        <w:kinsoku w:val="0"/>
        <w:overflowPunct w:val="0"/>
        <w:ind w:left="839"/>
        <w:rPr>
          <w:color w:val="060707"/>
          <w:sz w:val="18"/>
          <w:szCs w:val="18"/>
        </w:rPr>
      </w:pPr>
      <w:r>
        <w:rPr>
          <w:color w:val="060707"/>
          <w:sz w:val="18"/>
          <w:szCs w:val="18"/>
        </w:rPr>
        <w:t>Transfer of</w:t>
      </w:r>
      <w:r>
        <w:rPr>
          <w:color w:val="060707"/>
          <w:spacing w:val="-3"/>
          <w:sz w:val="18"/>
          <w:szCs w:val="18"/>
        </w:rPr>
        <w:t xml:space="preserve"> </w:t>
      </w:r>
      <w:r>
        <w:rPr>
          <w:color w:val="060707"/>
          <w:sz w:val="18"/>
          <w:szCs w:val="18"/>
        </w:rPr>
        <w:t>shares</w:t>
      </w:r>
    </w:p>
    <w:p w14:paraId="79AFB4E4" w14:textId="77777777" w:rsidR="00783288" w:rsidRDefault="00783288">
      <w:pPr>
        <w:pStyle w:val="BodyText"/>
        <w:kinsoku w:val="0"/>
        <w:overflowPunct w:val="0"/>
        <w:spacing w:before="9"/>
        <w:rPr>
          <w:sz w:val="20"/>
          <w:szCs w:val="20"/>
        </w:rPr>
      </w:pPr>
    </w:p>
    <w:p w14:paraId="64BB9386" w14:textId="77777777" w:rsidR="00783288" w:rsidRDefault="00E31420" w:rsidP="00512495">
      <w:pPr>
        <w:pStyle w:val="ListParagraph"/>
        <w:numPr>
          <w:ilvl w:val="2"/>
          <w:numId w:val="13"/>
        </w:numPr>
        <w:tabs>
          <w:tab w:val="left" w:pos="1822"/>
        </w:tabs>
        <w:kinsoku w:val="0"/>
        <w:overflowPunct w:val="0"/>
        <w:spacing w:before="1"/>
        <w:ind w:right="1034"/>
        <w:jc w:val="both"/>
        <w:rPr>
          <w:color w:val="231F20"/>
          <w:sz w:val="18"/>
          <w:szCs w:val="18"/>
        </w:rPr>
      </w:pPr>
      <w:r>
        <w:rPr>
          <w:color w:val="231F20"/>
          <w:sz w:val="18"/>
          <w:szCs w:val="18"/>
        </w:rPr>
        <w:t>Subject</w:t>
      </w:r>
      <w:r>
        <w:rPr>
          <w:color w:val="231F20"/>
          <w:spacing w:val="-3"/>
          <w:sz w:val="18"/>
          <w:szCs w:val="18"/>
        </w:rPr>
        <w:t xml:space="preserve"> </w:t>
      </w:r>
      <w:r>
        <w:rPr>
          <w:color w:val="231F20"/>
          <w:sz w:val="18"/>
          <w:szCs w:val="18"/>
        </w:rPr>
        <w:t>to</w:t>
      </w:r>
      <w:r>
        <w:rPr>
          <w:color w:val="231F20"/>
          <w:spacing w:val="-2"/>
          <w:sz w:val="18"/>
          <w:szCs w:val="18"/>
        </w:rPr>
        <w:t xml:space="preserve"> </w:t>
      </w:r>
      <w:r>
        <w:rPr>
          <w:color w:val="231F20"/>
          <w:sz w:val="18"/>
          <w:szCs w:val="18"/>
        </w:rPr>
        <w:t>the</w:t>
      </w:r>
      <w:r>
        <w:rPr>
          <w:color w:val="231F20"/>
          <w:spacing w:val="-1"/>
          <w:sz w:val="18"/>
          <w:szCs w:val="18"/>
        </w:rPr>
        <w:t xml:space="preserve"> </w:t>
      </w:r>
      <w:r>
        <w:rPr>
          <w:color w:val="231F20"/>
          <w:sz w:val="18"/>
          <w:szCs w:val="18"/>
        </w:rPr>
        <w:t>provisions</w:t>
      </w:r>
      <w:r>
        <w:rPr>
          <w:color w:val="231F20"/>
          <w:spacing w:val="-4"/>
          <w:sz w:val="18"/>
          <w:szCs w:val="18"/>
        </w:rPr>
        <w:t xml:space="preserve"> </w:t>
      </w:r>
      <w:r>
        <w:rPr>
          <w:color w:val="231F20"/>
          <w:sz w:val="18"/>
          <w:szCs w:val="18"/>
        </w:rPr>
        <w:t>of</w:t>
      </w:r>
      <w:r>
        <w:rPr>
          <w:color w:val="231F20"/>
          <w:spacing w:val="-3"/>
          <w:sz w:val="18"/>
          <w:szCs w:val="18"/>
        </w:rPr>
        <w:t xml:space="preserve"> </w:t>
      </w:r>
      <w:r>
        <w:rPr>
          <w:color w:val="231F20"/>
          <w:sz w:val="18"/>
          <w:szCs w:val="18"/>
        </w:rPr>
        <w:t>the</w:t>
      </w:r>
      <w:r>
        <w:rPr>
          <w:color w:val="231F20"/>
          <w:spacing w:val="-1"/>
          <w:sz w:val="18"/>
          <w:szCs w:val="18"/>
        </w:rPr>
        <w:t xml:space="preserve"> </w:t>
      </w:r>
      <w:r>
        <w:rPr>
          <w:color w:val="231F20"/>
          <w:sz w:val="18"/>
          <w:szCs w:val="18"/>
        </w:rPr>
        <w:t>Articles</w:t>
      </w:r>
      <w:r>
        <w:rPr>
          <w:color w:val="231F20"/>
          <w:spacing w:val="-2"/>
          <w:sz w:val="18"/>
          <w:szCs w:val="18"/>
        </w:rPr>
        <w:t xml:space="preserve"> </w:t>
      </w:r>
      <w:r>
        <w:rPr>
          <w:color w:val="231F20"/>
          <w:sz w:val="18"/>
          <w:szCs w:val="18"/>
        </w:rPr>
        <w:t>relating</w:t>
      </w:r>
      <w:r>
        <w:rPr>
          <w:color w:val="231F20"/>
          <w:spacing w:val="-2"/>
          <w:sz w:val="18"/>
          <w:szCs w:val="18"/>
        </w:rPr>
        <w:t xml:space="preserve"> </w:t>
      </w:r>
      <w:r>
        <w:rPr>
          <w:color w:val="231F20"/>
          <w:sz w:val="18"/>
          <w:szCs w:val="18"/>
        </w:rPr>
        <w:t>to</w:t>
      </w:r>
      <w:r>
        <w:rPr>
          <w:color w:val="231F20"/>
          <w:spacing w:val="-1"/>
          <w:sz w:val="18"/>
          <w:szCs w:val="18"/>
        </w:rPr>
        <w:t xml:space="preserve"> </w:t>
      </w:r>
      <w:r>
        <w:rPr>
          <w:color w:val="231F20"/>
          <w:sz w:val="18"/>
          <w:szCs w:val="18"/>
        </w:rPr>
        <w:t>CREST,</w:t>
      </w:r>
      <w:r>
        <w:rPr>
          <w:color w:val="231F20"/>
          <w:spacing w:val="-3"/>
          <w:sz w:val="18"/>
          <w:szCs w:val="18"/>
        </w:rPr>
        <w:t xml:space="preserve"> </w:t>
      </w:r>
      <w:r>
        <w:rPr>
          <w:color w:val="231F20"/>
          <w:sz w:val="18"/>
          <w:szCs w:val="18"/>
        </w:rPr>
        <w:t>all</w:t>
      </w:r>
      <w:r>
        <w:rPr>
          <w:color w:val="231F20"/>
          <w:spacing w:val="-1"/>
          <w:sz w:val="18"/>
          <w:szCs w:val="18"/>
        </w:rPr>
        <w:t xml:space="preserve"> </w:t>
      </w:r>
      <w:r>
        <w:rPr>
          <w:color w:val="231F20"/>
          <w:sz w:val="18"/>
          <w:szCs w:val="18"/>
        </w:rPr>
        <w:t>transfers</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shares</w:t>
      </w:r>
      <w:r>
        <w:rPr>
          <w:color w:val="231F20"/>
          <w:spacing w:val="-2"/>
          <w:sz w:val="18"/>
          <w:szCs w:val="18"/>
        </w:rPr>
        <w:t xml:space="preserve"> </w:t>
      </w:r>
      <w:r>
        <w:rPr>
          <w:color w:val="231F20"/>
          <w:sz w:val="18"/>
          <w:szCs w:val="18"/>
        </w:rPr>
        <w:t>will</w:t>
      </w:r>
      <w:r>
        <w:rPr>
          <w:color w:val="231F20"/>
          <w:spacing w:val="-5"/>
          <w:sz w:val="18"/>
          <w:szCs w:val="18"/>
        </w:rPr>
        <w:t xml:space="preserve"> </w:t>
      </w:r>
      <w:r>
        <w:rPr>
          <w:color w:val="231F20"/>
          <w:sz w:val="18"/>
          <w:szCs w:val="18"/>
        </w:rPr>
        <w:t>be</w:t>
      </w:r>
      <w:r>
        <w:rPr>
          <w:color w:val="231F20"/>
          <w:spacing w:val="-1"/>
          <w:sz w:val="18"/>
          <w:szCs w:val="18"/>
        </w:rPr>
        <w:t xml:space="preserve"> </w:t>
      </w:r>
      <w:r>
        <w:rPr>
          <w:color w:val="231F20"/>
          <w:sz w:val="18"/>
          <w:szCs w:val="18"/>
        </w:rPr>
        <w:t>effected in</w:t>
      </w:r>
      <w:r>
        <w:rPr>
          <w:color w:val="231F20"/>
          <w:spacing w:val="-9"/>
          <w:sz w:val="18"/>
          <w:szCs w:val="18"/>
        </w:rPr>
        <w:t xml:space="preserve"> </w:t>
      </w:r>
      <w:r>
        <w:rPr>
          <w:color w:val="231F20"/>
          <w:sz w:val="18"/>
          <w:szCs w:val="18"/>
        </w:rPr>
        <w:t>any</w:t>
      </w:r>
      <w:r>
        <w:rPr>
          <w:color w:val="231F20"/>
          <w:spacing w:val="-9"/>
          <w:sz w:val="18"/>
          <w:szCs w:val="18"/>
        </w:rPr>
        <w:t xml:space="preserve"> </w:t>
      </w:r>
      <w:r>
        <w:rPr>
          <w:color w:val="231F20"/>
          <w:sz w:val="18"/>
          <w:szCs w:val="18"/>
        </w:rPr>
        <w:t>usual</w:t>
      </w:r>
      <w:r>
        <w:rPr>
          <w:color w:val="231F20"/>
          <w:spacing w:val="-9"/>
          <w:sz w:val="18"/>
          <w:szCs w:val="18"/>
        </w:rPr>
        <w:t xml:space="preserve"> </w:t>
      </w:r>
      <w:r>
        <w:rPr>
          <w:color w:val="231F20"/>
          <w:sz w:val="18"/>
          <w:szCs w:val="18"/>
        </w:rPr>
        <w:t>form</w:t>
      </w:r>
      <w:r>
        <w:rPr>
          <w:color w:val="231F20"/>
          <w:spacing w:val="-7"/>
          <w:sz w:val="18"/>
          <w:szCs w:val="18"/>
        </w:rPr>
        <w:t xml:space="preserve"> </w:t>
      </w:r>
      <w:r>
        <w:rPr>
          <w:color w:val="231F20"/>
          <w:sz w:val="18"/>
          <w:szCs w:val="18"/>
        </w:rPr>
        <w:t>or</w:t>
      </w:r>
      <w:r>
        <w:rPr>
          <w:color w:val="231F20"/>
          <w:spacing w:val="-8"/>
          <w:sz w:val="18"/>
          <w:szCs w:val="18"/>
        </w:rPr>
        <w:t xml:space="preserve"> </w:t>
      </w:r>
      <w:r>
        <w:rPr>
          <w:color w:val="231F20"/>
          <w:sz w:val="18"/>
          <w:szCs w:val="18"/>
        </w:rPr>
        <w:t>in</w:t>
      </w:r>
      <w:r>
        <w:rPr>
          <w:color w:val="231F20"/>
          <w:spacing w:val="-11"/>
          <w:sz w:val="18"/>
          <w:szCs w:val="18"/>
        </w:rPr>
        <w:t xml:space="preserve"> </w:t>
      </w:r>
      <w:r>
        <w:rPr>
          <w:color w:val="231F20"/>
          <w:sz w:val="18"/>
          <w:szCs w:val="18"/>
        </w:rPr>
        <w:t>such</w:t>
      </w:r>
      <w:r>
        <w:rPr>
          <w:color w:val="231F20"/>
          <w:spacing w:val="-8"/>
          <w:sz w:val="18"/>
          <w:szCs w:val="18"/>
        </w:rPr>
        <w:t xml:space="preserve"> </w:t>
      </w:r>
      <w:r>
        <w:rPr>
          <w:color w:val="231F20"/>
          <w:sz w:val="18"/>
          <w:szCs w:val="18"/>
        </w:rPr>
        <w:t>other</w:t>
      </w:r>
      <w:r>
        <w:rPr>
          <w:color w:val="231F20"/>
          <w:spacing w:val="-8"/>
          <w:sz w:val="18"/>
          <w:szCs w:val="18"/>
        </w:rPr>
        <w:t xml:space="preserve"> </w:t>
      </w:r>
      <w:r>
        <w:rPr>
          <w:color w:val="231F20"/>
          <w:sz w:val="18"/>
          <w:szCs w:val="18"/>
        </w:rPr>
        <w:t>form</w:t>
      </w:r>
      <w:r>
        <w:rPr>
          <w:color w:val="231F20"/>
          <w:spacing w:val="-10"/>
          <w:sz w:val="18"/>
          <w:szCs w:val="18"/>
        </w:rPr>
        <w:t xml:space="preserve"> </w:t>
      </w:r>
      <w:r>
        <w:rPr>
          <w:color w:val="231F20"/>
          <w:sz w:val="18"/>
          <w:szCs w:val="18"/>
        </w:rPr>
        <w:t>as</w:t>
      </w:r>
      <w:r>
        <w:rPr>
          <w:color w:val="231F20"/>
          <w:spacing w:val="-7"/>
          <w:sz w:val="18"/>
          <w:szCs w:val="18"/>
        </w:rPr>
        <w:t xml:space="preserve"> </w:t>
      </w:r>
      <w:r>
        <w:rPr>
          <w:color w:val="231F20"/>
          <w:sz w:val="18"/>
          <w:szCs w:val="18"/>
        </w:rPr>
        <w:t>the</w:t>
      </w:r>
      <w:r>
        <w:rPr>
          <w:color w:val="231F20"/>
          <w:spacing w:val="-9"/>
          <w:sz w:val="18"/>
          <w:szCs w:val="18"/>
        </w:rPr>
        <w:t xml:space="preserve"> </w:t>
      </w:r>
      <w:r>
        <w:rPr>
          <w:color w:val="231F20"/>
          <w:sz w:val="18"/>
          <w:szCs w:val="18"/>
        </w:rPr>
        <w:t>Board</w:t>
      </w:r>
      <w:r>
        <w:rPr>
          <w:color w:val="231F20"/>
          <w:spacing w:val="-8"/>
          <w:sz w:val="18"/>
          <w:szCs w:val="18"/>
        </w:rPr>
        <w:t xml:space="preserve"> </w:t>
      </w:r>
      <w:r>
        <w:rPr>
          <w:color w:val="231F20"/>
          <w:sz w:val="18"/>
          <w:szCs w:val="18"/>
        </w:rPr>
        <w:t>approves</w:t>
      </w:r>
      <w:r>
        <w:rPr>
          <w:color w:val="231F20"/>
          <w:spacing w:val="-9"/>
          <w:sz w:val="18"/>
          <w:szCs w:val="18"/>
        </w:rPr>
        <w:t xml:space="preserve"> </w:t>
      </w:r>
      <w:r>
        <w:rPr>
          <w:color w:val="231F20"/>
          <w:sz w:val="18"/>
          <w:szCs w:val="18"/>
        </w:rPr>
        <w:t>and</w:t>
      </w:r>
      <w:r>
        <w:rPr>
          <w:color w:val="231F20"/>
          <w:spacing w:val="-9"/>
          <w:sz w:val="18"/>
          <w:szCs w:val="18"/>
        </w:rPr>
        <w:t xml:space="preserve"> </w:t>
      </w:r>
      <w:r>
        <w:rPr>
          <w:color w:val="231F20"/>
          <w:sz w:val="18"/>
          <w:szCs w:val="18"/>
        </w:rPr>
        <w:t>must</w:t>
      </w:r>
      <w:r>
        <w:rPr>
          <w:color w:val="231F20"/>
          <w:spacing w:val="-10"/>
          <w:sz w:val="18"/>
          <w:szCs w:val="18"/>
        </w:rPr>
        <w:t xml:space="preserve"> </w:t>
      </w:r>
      <w:r>
        <w:rPr>
          <w:color w:val="231F20"/>
          <w:sz w:val="18"/>
          <w:szCs w:val="18"/>
        </w:rPr>
        <w:t>be</w:t>
      </w:r>
      <w:r>
        <w:rPr>
          <w:color w:val="231F20"/>
          <w:spacing w:val="-8"/>
          <w:sz w:val="18"/>
          <w:szCs w:val="18"/>
        </w:rPr>
        <w:t xml:space="preserve"> </w:t>
      </w:r>
      <w:r>
        <w:rPr>
          <w:color w:val="231F20"/>
          <w:sz w:val="18"/>
          <w:szCs w:val="18"/>
        </w:rPr>
        <w:t>signed</w:t>
      </w:r>
      <w:r>
        <w:rPr>
          <w:color w:val="231F20"/>
          <w:spacing w:val="-9"/>
          <w:sz w:val="18"/>
          <w:szCs w:val="18"/>
        </w:rPr>
        <w:t xml:space="preserve"> </w:t>
      </w:r>
      <w:r>
        <w:rPr>
          <w:color w:val="231F20"/>
          <w:sz w:val="18"/>
          <w:szCs w:val="18"/>
        </w:rPr>
        <w:t>by</w:t>
      </w:r>
      <w:r>
        <w:rPr>
          <w:color w:val="231F20"/>
          <w:spacing w:val="-9"/>
          <w:sz w:val="18"/>
          <w:szCs w:val="18"/>
        </w:rPr>
        <w:t xml:space="preserve"> </w:t>
      </w:r>
      <w:r>
        <w:rPr>
          <w:color w:val="231F20"/>
          <w:sz w:val="18"/>
          <w:szCs w:val="18"/>
        </w:rPr>
        <w:t>or</w:t>
      </w:r>
      <w:r>
        <w:rPr>
          <w:color w:val="231F20"/>
          <w:spacing w:val="-9"/>
          <w:sz w:val="18"/>
          <w:szCs w:val="18"/>
        </w:rPr>
        <w:t xml:space="preserve"> </w:t>
      </w:r>
      <w:r>
        <w:rPr>
          <w:color w:val="231F20"/>
          <w:sz w:val="18"/>
          <w:szCs w:val="18"/>
        </w:rPr>
        <w:t>on</w:t>
      </w:r>
      <w:r>
        <w:rPr>
          <w:color w:val="231F20"/>
          <w:spacing w:val="-10"/>
          <w:sz w:val="18"/>
          <w:szCs w:val="18"/>
        </w:rPr>
        <w:t xml:space="preserve"> </w:t>
      </w:r>
      <w:r>
        <w:rPr>
          <w:color w:val="231F20"/>
          <w:sz w:val="18"/>
          <w:szCs w:val="18"/>
        </w:rPr>
        <w:t>behalf of the transferor and, in the case of a partly paid share, by or on behalf of the</w:t>
      </w:r>
      <w:r>
        <w:rPr>
          <w:color w:val="231F20"/>
          <w:spacing w:val="-26"/>
          <w:sz w:val="18"/>
          <w:szCs w:val="18"/>
        </w:rPr>
        <w:t xml:space="preserve"> </w:t>
      </w:r>
      <w:r>
        <w:rPr>
          <w:color w:val="231F20"/>
          <w:sz w:val="18"/>
          <w:szCs w:val="18"/>
        </w:rPr>
        <w:t>transferee.</w:t>
      </w:r>
    </w:p>
    <w:p w14:paraId="0B176FE6" w14:textId="77777777" w:rsidR="00783288" w:rsidRDefault="00783288">
      <w:pPr>
        <w:pStyle w:val="BodyText"/>
        <w:kinsoku w:val="0"/>
        <w:overflowPunct w:val="0"/>
        <w:spacing w:before="10"/>
        <w:rPr>
          <w:sz w:val="20"/>
          <w:szCs w:val="20"/>
        </w:rPr>
      </w:pPr>
    </w:p>
    <w:p w14:paraId="1D2C7378"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The</w:t>
      </w:r>
      <w:r>
        <w:rPr>
          <w:color w:val="231F20"/>
          <w:spacing w:val="-15"/>
          <w:sz w:val="18"/>
          <w:szCs w:val="18"/>
        </w:rPr>
        <w:t xml:space="preserve"> </w:t>
      </w:r>
      <w:r>
        <w:rPr>
          <w:color w:val="231F20"/>
          <w:sz w:val="18"/>
          <w:szCs w:val="18"/>
        </w:rPr>
        <w:t>Directors</w:t>
      </w:r>
      <w:r>
        <w:rPr>
          <w:color w:val="231F20"/>
          <w:spacing w:val="-15"/>
          <w:sz w:val="18"/>
          <w:szCs w:val="18"/>
        </w:rPr>
        <w:t xml:space="preserve"> </w:t>
      </w:r>
      <w:r>
        <w:rPr>
          <w:color w:val="231F20"/>
          <w:sz w:val="18"/>
          <w:szCs w:val="18"/>
        </w:rPr>
        <w:t>may,</w:t>
      </w:r>
      <w:r>
        <w:rPr>
          <w:color w:val="231F20"/>
          <w:spacing w:val="-17"/>
          <w:sz w:val="18"/>
          <w:szCs w:val="18"/>
        </w:rPr>
        <w:t xml:space="preserve"> </w:t>
      </w:r>
      <w:r>
        <w:rPr>
          <w:color w:val="231F20"/>
          <w:sz w:val="18"/>
          <w:szCs w:val="18"/>
        </w:rPr>
        <w:t>in</w:t>
      </w:r>
      <w:r>
        <w:rPr>
          <w:color w:val="231F20"/>
          <w:spacing w:val="-14"/>
          <w:sz w:val="18"/>
          <w:szCs w:val="18"/>
        </w:rPr>
        <w:t xml:space="preserve"> </w:t>
      </w:r>
      <w:r>
        <w:rPr>
          <w:color w:val="231F20"/>
          <w:sz w:val="18"/>
          <w:szCs w:val="18"/>
        </w:rPr>
        <w:t>their</w:t>
      </w:r>
      <w:r>
        <w:rPr>
          <w:color w:val="231F20"/>
          <w:spacing w:val="-17"/>
          <w:sz w:val="18"/>
          <w:szCs w:val="18"/>
        </w:rPr>
        <w:t xml:space="preserve"> </w:t>
      </w:r>
      <w:r>
        <w:rPr>
          <w:color w:val="231F20"/>
          <w:sz w:val="18"/>
          <w:szCs w:val="18"/>
        </w:rPr>
        <w:t>absolute</w:t>
      </w:r>
      <w:r>
        <w:rPr>
          <w:color w:val="231F20"/>
          <w:spacing w:val="-17"/>
          <w:sz w:val="18"/>
          <w:szCs w:val="18"/>
        </w:rPr>
        <w:t xml:space="preserve"> </w:t>
      </w:r>
      <w:r>
        <w:rPr>
          <w:color w:val="231F20"/>
          <w:sz w:val="18"/>
          <w:szCs w:val="18"/>
        </w:rPr>
        <w:t>discretion</w:t>
      </w:r>
      <w:r>
        <w:rPr>
          <w:color w:val="231F20"/>
          <w:spacing w:val="-14"/>
          <w:sz w:val="18"/>
          <w:szCs w:val="18"/>
        </w:rPr>
        <w:t xml:space="preserve"> </w:t>
      </w:r>
      <w:r>
        <w:rPr>
          <w:color w:val="231F20"/>
          <w:sz w:val="18"/>
          <w:szCs w:val="18"/>
        </w:rPr>
        <w:t>and</w:t>
      </w:r>
      <w:r>
        <w:rPr>
          <w:color w:val="231F20"/>
          <w:spacing w:val="-14"/>
          <w:sz w:val="18"/>
          <w:szCs w:val="18"/>
        </w:rPr>
        <w:t xml:space="preserve"> </w:t>
      </w:r>
      <w:r>
        <w:rPr>
          <w:color w:val="231F20"/>
          <w:sz w:val="18"/>
          <w:szCs w:val="18"/>
        </w:rPr>
        <w:t>without</w:t>
      </w:r>
      <w:r>
        <w:rPr>
          <w:color w:val="231F20"/>
          <w:spacing w:val="-15"/>
          <w:sz w:val="18"/>
          <w:szCs w:val="18"/>
        </w:rPr>
        <w:t xml:space="preserve"> </w:t>
      </w:r>
      <w:r>
        <w:rPr>
          <w:color w:val="231F20"/>
          <w:sz w:val="18"/>
          <w:szCs w:val="18"/>
        </w:rPr>
        <w:t>assigning</w:t>
      </w:r>
      <w:r>
        <w:rPr>
          <w:color w:val="231F20"/>
          <w:spacing w:val="-17"/>
          <w:sz w:val="18"/>
          <w:szCs w:val="18"/>
        </w:rPr>
        <w:t xml:space="preserve"> </w:t>
      </w:r>
      <w:r>
        <w:rPr>
          <w:color w:val="231F20"/>
          <w:sz w:val="18"/>
          <w:szCs w:val="18"/>
        </w:rPr>
        <w:t>any</w:t>
      </w:r>
      <w:r>
        <w:rPr>
          <w:color w:val="231F20"/>
          <w:spacing w:val="-16"/>
          <w:sz w:val="18"/>
          <w:szCs w:val="18"/>
        </w:rPr>
        <w:t xml:space="preserve"> </w:t>
      </w:r>
      <w:r>
        <w:rPr>
          <w:color w:val="231F20"/>
          <w:sz w:val="18"/>
          <w:szCs w:val="18"/>
        </w:rPr>
        <w:t>reason,</w:t>
      </w:r>
      <w:r>
        <w:rPr>
          <w:color w:val="231F20"/>
          <w:spacing w:val="-15"/>
          <w:sz w:val="18"/>
          <w:szCs w:val="18"/>
        </w:rPr>
        <w:t xml:space="preserve"> </w:t>
      </w:r>
      <w:r>
        <w:rPr>
          <w:color w:val="231F20"/>
          <w:sz w:val="18"/>
          <w:szCs w:val="18"/>
        </w:rPr>
        <w:t>refuse</w:t>
      </w:r>
      <w:r>
        <w:rPr>
          <w:color w:val="231F20"/>
          <w:spacing w:val="-14"/>
          <w:sz w:val="18"/>
          <w:szCs w:val="18"/>
        </w:rPr>
        <w:t xml:space="preserve"> </w:t>
      </w:r>
      <w:r>
        <w:rPr>
          <w:color w:val="231F20"/>
          <w:sz w:val="18"/>
          <w:szCs w:val="18"/>
        </w:rPr>
        <w:t>to</w:t>
      </w:r>
      <w:r>
        <w:rPr>
          <w:color w:val="231F20"/>
          <w:spacing w:val="-14"/>
          <w:sz w:val="18"/>
          <w:szCs w:val="18"/>
        </w:rPr>
        <w:t xml:space="preserve"> </w:t>
      </w:r>
      <w:r>
        <w:rPr>
          <w:color w:val="231F20"/>
          <w:sz w:val="18"/>
          <w:szCs w:val="18"/>
        </w:rPr>
        <w:t>register the transfer of a share in certificated form if it is not fully paid or if the Company has a lien on it, or</w:t>
      </w:r>
      <w:r>
        <w:rPr>
          <w:color w:val="231F20"/>
          <w:spacing w:val="-6"/>
          <w:sz w:val="18"/>
          <w:szCs w:val="18"/>
        </w:rPr>
        <w:t xml:space="preserve"> </w:t>
      </w:r>
      <w:r>
        <w:rPr>
          <w:color w:val="231F20"/>
          <w:sz w:val="18"/>
          <w:szCs w:val="18"/>
        </w:rPr>
        <w:t>if</w:t>
      </w:r>
      <w:r>
        <w:rPr>
          <w:color w:val="231F20"/>
          <w:spacing w:val="-5"/>
          <w:sz w:val="18"/>
          <w:szCs w:val="18"/>
        </w:rPr>
        <w:t xml:space="preserve"> </w:t>
      </w:r>
      <w:r>
        <w:rPr>
          <w:color w:val="231F20"/>
          <w:sz w:val="18"/>
          <w:szCs w:val="18"/>
        </w:rPr>
        <w:t>it</w:t>
      </w:r>
      <w:r>
        <w:rPr>
          <w:color w:val="231F20"/>
          <w:spacing w:val="-5"/>
          <w:sz w:val="18"/>
          <w:szCs w:val="18"/>
        </w:rPr>
        <w:t xml:space="preserve"> </w:t>
      </w:r>
      <w:r>
        <w:rPr>
          <w:color w:val="231F20"/>
          <w:sz w:val="18"/>
          <w:szCs w:val="18"/>
        </w:rPr>
        <w:t>is</w:t>
      </w:r>
      <w:r>
        <w:rPr>
          <w:color w:val="231F20"/>
          <w:spacing w:val="-5"/>
          <w:sz w:val="18"/>
          <w:szCs w:val="18"/>
        </w:rPr>
        <w:t xml:space="preserve"> </w:t>
      </w:r>
      <w:r>
        <w:rPr>
          <w:color w:val="231F20"/>
          <w:sz w:val="18"/>
          <w:szCs w:val="18"/>
        </w:rPr>
        <w:t>not</w:t>
      </w:r>
      <w:r>
        <w:rPr>
          <w:color w:val="231F20"/>
          <w:spacing w:val="-5"/>
          <w:sz w:val="18"/>
          <w:szCs w:val="18"/>
        </w:rPr>
        <w:t xml:space="preserve"> </w:t>
      </w:r>
      <w:r>
        <w:rPr>
          <w:color w:val="231F20"/>
          <w:sz w:val="18"/>
          <w:szCs w:val="18"/>
        </w:rPr>
        <w:t>duly</w:t>
      </w:r>
      <w:r>
        <w:rPr>
          <w:color w:val="231F20"/>
          <w:spacing w:val="-7"/>
          <w:sz w:val="18"/>
          <w:szCs w:val="18"/>
        </w:rPr>
        <w:t xml:space="preserve"> </w:t>
      </w:r>
      <w:r>
        <w:rPr>
          <w:color w:val="231F20"/>
          <w:sz w:val="18"/>
          <w:szCs w:val="18"/>
        </w:rPr>
        <w:t>stamped,</w:t>
      </w:r>
      <w:r>
        <w:rPr>
          <w:color w:val="231F20"/>
          <w:spacing w:val="-8"/>
          <w:sz w:val="18"/>
          <w:szCs w:val="18"/>
        </w:rPr>
        <w:t xml:space="preserve"> </w:t>
      </w:r>
      <w:r>
        <w:rPr>
          <w:color w:val="231F20"/>
          <w:sz w:val="18"/>
          <w:szCs w:val="18"/>
        </w:rPr>
        <w:t>or</w:t>
      </w:r>
      <w:r>
        <w:rPr>
          <w:color w:val="231F20"/>
          <w:spacing w:val="-6"/>
          <w:sz w:val="18"/>
          <w:szCs w:val="18"/>
        </w:rPr>
        <w:t xml:space="preserve"> </w:t>
      </w:r>
      <w:r>
        <w:rPr>
          <w:color w:val="231F20"/>
          <w:sz w:val="18"/>
          <w:szCs w:val="18"/>
        </w:rPr>
        <w:t>if</w:t>
      </w:r>
      <w:r>
        <w:rPr>
          <w:color w:val="231F20"/>
          <w:spacing w:val="-8"/>
          <w:sz w:val="18"/>
          <w:szCs w:val="18"/>
        </w:rPr>
        <w:t xml:space="preserve"> </w:t>
      </w:r>
      <w:r>
        <w:rPr>
          <w:color w:val="231F20"/>
          <w:sz w:val="18"/>
          <w:szCs w:val="18"/>
        </w:rPr>
        <w:t>it</w:t>
      </w:r>
      <w:r>
        <w:rPr>
          <w:color w:val="231F20"/>
          <w:spacing w:val="-5"/>
          <w:sz w:val="18"/>
          <w:szCs w:val="18"/>
        </w:rPr>
        <w:t xml:space="preserve"> </w:t>
      </w:r>
      <w:r>
        <w:rPr>
          <w:color w:val="231F20"/>
          <w:sz w:val="18"/>
          <w:szCs w:val="18"/>
        </w:rPr>
        <w:t>is</w:t>
      </w:r>
      <w:r>
        <w:rPr>
          <w:color w:val="231F20"/>
          <w:spacing w:val="-5"/>
          <w:sz w:val="18"/>
          <w:szCs w:val="18"/>
        </w:rPr>
        <w:t xml:space="preserve"> </w:t>
      </w:r>
      <w:r>
        <w:rPr>
          <w:color w:val="231F20"/>
          <w:sz w:val="18"/>
          <w:szCs w:val="18"/>
        </w:rPr>
        <w:t>by</w:t>
      </w:r>
      <w:r>
        <w:rPr>
          <w:color w:val="231F20"/>
          <w:spacing w:val="-7"/>
          <w:sz w:val="18"/>
          <w:szCs w:val="18"/>
        </w:rPr>
        <w:t xml:space="preserve"> </w:t>
      </w:r>
      <w:r>
        <w:rPr>
          <w:color w:val="231F20"/>
          <w:sz w:val="18"/>
          <w:szCs w:val="18"/>
        </w:rPr>
        <w:t>a</w:t>
      </w:r>
      <w:r>
        <w:rPr>
          <w:color w:val="231F20"/>
          <w:spacing w:val="-5"/>
          <w:sz w:val="18"/>
          <w:szCs w:val="18"/>
        </w:rPr>
        <w:t xml:space="preserve"> </w:t>
      </w:r>
      <w:r>
        <w:rPr>
          <w:color w:val="231F20"/>
          <w:sz w:val="18"/>
          <w:szCs w:val="18"/>
        </w:rPr>
        <w:t>member</w:t>
      </w:r>
      <w:r>
        <w:rPr>
          <w:color w:val="231F20"/>
          <w:spacing w:val="-6"/>
          <w:sz w:val="18"/>
          <w:szCs w:val="18"/>
        </w:rPr>
        <w:t xml:space="preserve"> </w:t>
      </w:r>
      <w:r>
        <w:rPr>
          <w:color w:val="231F20"/>
          <w:sz w:val="18"/>
          <w:szCs w:val="18"/>
        </w:rPr>
        <w:t>who</w:t>
      </w:r>
      <w:r>
        <w:rPr>
          <w:color w:val="231F20"/>
          <w:spacing w:val="-5"/>
          <w:sz w:val="18"/>
          <w:szCs w:val="18"/>
        </w:rPr>
        <w:t xml:space="preserve"> </w:t>
      </w:r>
      <w:r>
        <w:rPr>
          <w:color w:val="231F20"/>
          <w:sz w:val="18"/>
          <w:szCs w:val="18"/>
        </w:rPr>
        <w:t>has</w:t>
      </w:r>
      <w:r>
        <w:rPr>
          <w:color w:val="231F20"/>
          <w:spacing w:val="-5"/>
          <w:sz w:val="18"/>
          <w:szCs w:val="18"/>
        </w:rPr>
        <w:t xml:space="preserve"> </w:t>
      </w:r>
      <w:r>
        <w:rPr>
          <w:color w:val="231F20"/>
          <w:sz w:val="18"/>
          <w:szCs w:val="18"/>
        </w:rPr>
        <w:t>a</w:t>
      </w:r>
      <w:r>
        <w:rPr>
          <w:color w:val="231F20"/>
          <w:spacing w:val="-5"/>
          <w:sz w:val="18"/>
          <w:szCs w:val="18"/>
        </w:rPr>
        <w:t xml:space="preserve"> </w:t>
      </w:r>
      <w:r>
        <w:rPr>
          <w:color w:val="231F20"/>
          <w:sz w:val="18"/>
          <w:szCs w:val="18"/>
        </w:rPr>
        <w:t>holding</w:t>
      </w:r>
      <w:r>
        <w:rPr>
          <w:color w:val="231F20"/>
          <w:spacing w:val="-5"/>
          <w:sz w:val="18"/>
          <w:szCs w:val="18"/>
        </w:rPr>
        <w:t xml:space="preserve"> </w:t>
      </w:r>
      <w:r>
        <w:rPr>
          <w:color w:val="231F20"/>
          <w:sz w:val="18"/>
          <w:szCs w:val="18"/>
        </w:rPr>
        <w:t>of</w:t>
      </w:r>
      <w:r>
        <w:rPr>
          <w:color w:val="231F20"/>
          <w:spacing w:val="-5"/>
          <w:sz w:val="18"/>
          <w:szCs w:val="18"/>
        </w:rPr>
        <w:t xml:space="preserve"> </w:t>
      </w:r>
      <w:r>
        <w:rPr>
          <w:color w:val="231F20"/>
          <w:sz w:val="18"/>
          <w:szCs w:val="18"/>
        </w:rPr>
        <w:t>at</w:t>
      </w:r>
      <w:r>
        <w:rPr>
          <w:color w:val="231F20"/>
          <w:spacing w:val="-5"/>
          <w:sz w:val="18"/>
          <w:szCs w:val="18"/>
        </w:rPr>
        <w:t xml:space="preserve"> </w:t>
      </w:r>
      <w:r>
        <w:rPr>
          <w:color w:val="231F20"/>
          <w:sz w:val="18"/>
          <w:szCs w:val="18"/>
        </w:rPr>
        <w:t>least</w:t>
      </w:r>
      <w:r>
        <w:rPr>
          <w:color w:val="231F20"/>
          <w:spacing w:val="-4"/>
          <w:sz w:val="18"/>
          <w:szCs w:val="18"/>
        </w:rPr>
        <w:t xml:space="preserve"> </w:t>
      </w:r>
      <w:r>
        <w:rPr>
          <w:color w:val="231F20"/>
          <w:sz w:val="18"/>
          <w:szCs w:val="18"/>
        </w:rPr>
        <w:t>0.25%</w:t>
      </w:r>
      <w:r>
        <w:rPr>
          <w:color w:val="231F20"/>
          <w:spacing w:val="-5"/>
          <w:sz w:val="18"/>
          <w:szCs w:val="18"/>
        </w:rPr>
        <w:t xml:space="preserve"> </w:t>
      </w:r>
      <w:r>
        <w:rPr>
          <w:color w:val="231F20"/>
          <w:sz w:val="18"/>
          <w:szCs w:val="18"/>
        </w:rPr>
        <w:t>of</w:t>
      </w:r>
      <w:r>
        <w:rPr>
          <w:color w:val="231F20"/>
          <w:spacing w:val="-5"/>
          <w:sz w:val="18"/>
          <w:szCs w:val="18"/>
        </w:rPr>
        <w:t xml:space="preserve"> </w:t>
      </w:r>
      <w:r>
        <w:rPr>
          <w:color w:val="231F20"/>
          <w:sz w:val="18"/>
          <w:szCs w:val="18"/>
        </w:rPr>
        <w:t>any</w:t>
      </w:r>
      <w:r>
        <w:rPr>
          <w:color w:val="231F20"/>
          <w:spacing w:val="-9"/>
          <w:sz w:val="18"/>
          <w:szCs w:val="18"/>
        </w:rPr>
        <w:t xml:space="preserve"> </w:t>
      </w:r>
      <w:r>
        <w:rPr>
          <w:color w:val="231F20"/>
          <w:sz w:val="18"/>
          <w:szCs w:val="18"/>
        </w:rPr>
        <w:t>class of shares of the Company and has failed to comply with a notice under section 793 of the Companies Act. In exceptional circumstances approved by the London Stock Exchange, the directors</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Pr>
          <w:color w:val="231F20"/>
          <w:spacing w:val="-8"/>
          <w:sz w:val="18"/>
          <w:szCs w:val="18"/>
        </w:rPr>
        <w:t xml:space="preserve"> </w:t>
      </w:r>
      <w:r>
        <w:rPr>
          <w:color w:val="231F20"/>
          <w:sz w:val="18"/>
          <w:szCs w:val="18"/>
        </w:rPr>
        <w:t>may</w:t>
      </w:r>
      <w:r>
        <w:rPr>
          <w:color w:val="231F20"/>
          <w:spacing w:val="-8"/>
          <w:sz w:val="18"/>
          <w:szCs w:val="18"/>
        </w:rPr>
        <w:t xml:space="preserve"> </w:t>
      </w:r>
      <w:r>
        <w:rPr>
          <w:color w:val="231F20"/>
          <w:sz w:val="18"/>
          <w:szCs w:val="18"/>
        </w:rPr>
        <w:t>refuse</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register</w:t>
      </w:r>
      <w:r>
        <w:rPr>
          <w:color w:val="231F20"/>
          <w:spacing w:val="-7"/>
          <w:sz w:val="18"/>
          <w:szCs w:val="18"/>
        </w:rPr>
        <w:t xml:space="preserve"> </w:t>
      </w:r>
      <w:r>
        <w:rPr>
          <w:color w:val="231F20"/>
          <w:sz w:val="18"/>
          <w:szCs w:val="18"/>
        </w:rPr>
        <w:t>a</w:t>
      </w:r>
      <w:r>
        <w:rPr>
          <w:color w:val="231F20"/>
          <w:spacing w:val="-6"/>
          <w:sz w:val="18"/>
          <w:szCs w:val="18"/>
        </w:rPr>
        <w:t xml:space="preserve"> </w:t>
      </w:r>
      <w:r>
        <w:rPr>
          <w:color w:val="231F20"/>
          <w:sz w:val="18"/>
          <w:szCs w:val="18"/>
        </w:rPr>
        <w:t>share</w:t>
      </w:r>
      <w:r>
        <w:rPr>
          <w:color w:val="231F20"/>
          <w:spacing w:val="-6"/>
          <w:sz w:val="18"/>
          <w:szCs w:val="18"/>
        </w:rPr>
        <w:t xml:space="preserve"> </w:t>
      </w:r>
      <w:r>
        <w:rPr>
          <w:color w:val="231F20"/>
          <w:sz w:val="18"/>
          <w:szCs w:val="18"/>
        </w:rPr>
        <w:t>transfer,</w:t>
      </w:r>
      <w:r>
        <w:rPr>
          <w:color w:val="231F20"/>
          <w:spacing w:val="-6"/>
          <w:sz w:val="18"/>
          <w:szCs w:val="18"/>
        </w:rPr>
        <w:t xml:space="preserve"> </w:t>
      </w:r>
      <w:r>
        <w:rPr>
          <w:color w:val="231F20"/>
          <w:sz w:val="18"/>
          <w:szCs w:val="18"/>
        </w:rPr>
        <w:t>provided</w:t>
      </w:r>
      <w:r>
        <w:rPr>
          <w:color w:val="231F20"/>
          <w:spacing w:val="-4"/>
          <w:sz w:val="18"/>
          <w:szCs w:val="18"/>
        </w:rPr>
        <w:t xml:space="preserve"> </w:t>
      </w:r>
      <w:r>
        <w:rPr>
          <w:color w:val="231F20"/>
          <w:sz w:val="18"/>
          <w:szCs w:val="18"/>
        </w:rPr>
        <w:t>that</w:t>
      </w:r>
      <w:r>
        <w:rPr>
          <w:color w:val="231F20"/>
          <w:spacing w:val="-6"/>
          <w:sz w:val="18"/>
          <w:szCs w:val="18"/>
        </w:rPr>
        <w:t xml:space="preserve"> </w:t>
      </w:r>
      <w:r>
        <w:rPr>
          <w:color w:val="231F20"/>
          <w:sz w:val="18"/>
          <w:szCs w:val="18"/>
        </w:rPr>
        <w:t>such</w:t>
      </w:r>
      <w:r>
        <w:rPr>
          <w:color w:val="231F20"/>
          <w:spacing w:val="-7"/>
          <w:sz w:val="18"/>
          <w:szCs w:val="18"/>
        </w:rPr>
        <w:t xml:space="preserve"> </w:t>
      </w:r>
      <w:r>
        <w:rPr>
          <w:color w:val="231F20"/>
          <w:sz w:val="18"/>
          <w:szCs w:val="18"/>
        </w:rPr>
        <w:t>refusal</w:t>
      </w:r>
      <w:r>
        <w:rPr>
          <w:color w:val="231F20"/>
          <w:spacing w:val="-8"/>
          <w:sz w:val="18"/>
          <w:szCs w:val="18"/>
        </w:rPr>
        <w:t xml:space="preserve"> </w:t>
      </w:r>
      <w:r>
        <w:rPr>
          <w:color w:val="231F20"/>
          <w:sz w:val="18"/>
          <w:szCs w:val="18"/>
        </w:rPr>
        <w:t>does not disturb the market in the Company’s</w:t>
      </w:r>
      <w:r>
        <w:rPr>
          <w:color w:val="231F20"/>
          <w:spacing w:val="-2"/>
          <w:sz w:val="18"/>
          <w:szCs w:val="18"/>
        </w:rPr>
        <w:t xml:space="preserve"> </w:t>
      </w:r>
      <w:r>
        <w:rPr>
          <w:color w:val="231F20"/>
          <w:sz w:val="18"/>
          <w:szCs w:val="18"/>
        </w:rPr>
        <w:t>shares.</w:t>
      </w:r>
    </w:p>
    <w:p w14:paraId="4D567CD0" w14:textId="77777777" w:rsidR="00783288" w:rsidRDefault="00783288">
      <w:pPr>
        <w:pStyle w:val="BodyText"/>
        <w:kinsoku w:val="0"/>
        <w:overflowPunct w:val="0"/>
        <w:spacing w:before="11"/>
        <w:rPr>
          <w:sz w:val="20"/>
          <w:szCs w:val="20"/>
        </w:rPr>
      </w:pPr>
    </w:p>
    <w:p w14:paraId="09FF1693" w14:textId="77777777" w:rsidR="00783288" w:rsidRDefault="00E31420" w:rsidP="00512495">
      <w:pPr>
        <w:pStyle w:val="ListParagraph"/>
        <w:numPr>
          <w:ilvl w:val="2"/>
          <w:numId w:val="13"/>
        </w:numPr>
        <w:tabs>
          <w:tab w:val="left" w:pos="1822"/>
        </w:tabs>
        <w:kinsoku w:val="0"/>
        <w:overflowPunct w:val="0"/>
        <w:ind w:right="1034"/>
        <w:jc w:val="both"/>
        <w:rPr>
          <w:color w:val="231F20"/>
          <w:sz w:val="18"/>
          <w:szCs w:val="18"/>
        </w:rPr>
      </w:pPr>
      <w:r>
        <w:rPr>
          <w:color w:val="231F20"/>
          <w:sz w:val="18"/>
          <w:szCs w:val="18"/>
        </w:rPr>
        <w:t>The Articles contain no restrictions on the free transferability of fully paid Ordinary Shares provided that the transfers are in favour of not more than four transferees, the transfers are in respect</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only</w:t>
      </w:r>
      <w:r>
        <w:rPr>
          <w:color w:val="231F20"/>
          <w:spacing w:val="-6"/>
          <w:sz w:val="18"/>
          <w:szCs w:val="18"/>
        </w:rPr>
        <w:t xml:space="preserve"> </w:t>
      </w:r>
      <w:r>
        <w:rPr>
          <w:color w:val="231F20"/>
          <w:sz w:val="18"/>
          <w:szCs w:val="18"/>
        </w:rPr>
        <w:t>one</w:t>
      </w:r>
      <w:r>
        <w:rPr>
          <w:color w:val="231F20"/>
          <w:spacing w:val="-4"/>
          <w:sz w:val="18"/>
          <w:szCs w:val="18"/>
        </w:rPr>
        <w:t xml:space="preserve"> </w:t>
      </w:r>
      <w:r>
        <w:rPr>
          <w:color w:val="231F20"/>
          <w:sz w:val="18"/>
          <w:szCs w:val="18"/>
        </w:rPr>
        <w:t>class</w:t>
      </w:r>
      <w:r>
        <w:rPr>
          <w:color w:val="231F20"/>
          <w:spacing w:val="-3"/>
          <w:sz w:val="18"/>
          <w:szCs w:val="18"/>
        </w:rPr>
        <w:t xml:space="preserve"> </w:t>
      </w:r>
      <w:r>
        <w:rPr>
          <w:color w:val="231F20"/>
          <w:sz w:val="18"/>
          <w:szCs w:val="18"/>
        </w:rPr>
        <w:t>of</w:t>
      </w:r>
      <w:r>
        <w:rPr>
          <w:color w:val="231F20"/>
          <w:spacing w:val="-4"/>
          <w:sz w:val="18"/>
          <w:szCs w:val="18"/>
        </w:rPr>
        <w:t xml:space="preserve"> </w:t>
      </w:r>
      <w:r>
        <w:rPr>
          <w:color w:val="231F20"/>
          <w:sz w:val="18"/>
          <w:szCs w:val="18"/>
        </w:rPr>
        <w:t>share</w:t>
      </w:r>
      <w:r>
        <w:rPr>
          <w:color w:val="231F20"/>
          <w:spacing w:val="-4"/>
          <w:sz w:val="18"/>
          <w:szCs w:val="18"/>
        </w:rPr>
        <w:t xml:space="preserve"> </w:t>
      </w:r>
      <w:r>
        <w:rPr>
          <w:color w:val="231F20"/>
          <w:sz w:val="18"/>
          <w:szCs w:val="18"/>
        </w:rPr>
        <w:t>and</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provisions</w:t>
      </w:r>
      <w:r>
        <w:rPr>
          <w:color w:val="231F20"/>
          <w:spacing w:val="-3"/>
          <w:sz w:val="18"/>
          <w:szCs w:val="18"/>
        </w:rPr>
        <w:t xml:space="preserve"> </w:t>
      </w:r>
      <w:r>
        <w:rPr>
          <w:color w:val="231F20"/>
          <w:sz w:val="18"/>
          <w:szCs w:val="18"/>
        </w:rPr>
        <w:t>in</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Articles,</w:t>
      </w:r>
      <w:r>
        <w:rPr>
          <w:color w:val="231F20"/>
          <w:spacing w:val="-4"/>
          <w:sz w:val="18"/>
          <w:szCs w:val="18"/>
        </w:rPr>
        <w:t xml:space="preserve"> </w:t>
      </w:r>
      <w:r>
        <w:rPr>
          <w:color w:val="231F20"/>
          <w:sz w:val="18"/>
          <w:szCs w:val="18"/>
        </w:rPr>
        <w:t>if</w:t>
      </w:r>
      <w:r>
        <w:rPr>
          <w:color w:val="231F20"/>
          <w:spacing w:val="-4"/>
          <w:sz w:val="18"/>
          <w:szCs w:val="18"/>
        </w:rPr>
        <w:t xml:space="preserve"> </w:t>
      </w:r>
      <w:r>
        <w:rPr>
          <w:color w:val="231F20"/>
          <w:sz w:val="18"/>
          <w:szCs w:val="18"/>
        </w:rPr>
        <w:t>any,</w:t>
      </w:r>
      <w:r>
        <w:rPr>
          <w:color w:val="231F20"/>
          <w:spacing w:val="-4"/>
          <w:sz w:val="18"/>
          <w:szCs w:val="18"/>
        </w:rPr>
        <w:t xml:space="preserve"> </w:t>
      </w:r>
      <w:r>
        <w:rPr>
          <w:color w:val="231F20"/>
          <w:sz w:val="18"/>
          <w:szCs w:val="18"/>
        </w:rPr>
        <w:t>relating</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registration of transfers have been complied</w:t>
      </w:r>
      <w:r>
        <w:rPr>
          <w:color w:val="231F20"/>
          <w:spacing w:val="3"/>
          <w:sz w:val="18"/>
          <w:szCs w:val="18"/>
        </w:rPr>
        <w:t xml:space="preserve"> </w:t>
      </w:r>
      <w:r>
        <w:rPr>
          <w:color w:val="231F20"/>
          <w:sz w:val="18"/>
          <w:szCs w:val="18"/>
        </w:rPr>
        <w:t>with.</w:t>
      </w:r>
    </w:p>
    <w:p w14:paraId="1A11C52B" w14:textId="77777777" w:rsidR="00783288" w:rsidRDefault="00783288">
      <w:pPr>
        <w:pStyle w:val="BodyText"/>
        <w:kinsoku w:val="0"/>
        <w:overflowPunct w:val="0"/>
        <w:spacing w:before="10"/>
        <w:rPr>
          <w:sz w:val="20"/>
          <w:szCs w:val="20"/>
        </w:rPr>
      </w:pPr>
    </w:p>
    <w:p w14:paraId="36C5CC34"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The Deferred Shares are not transferable except in the following circumstances where the Company</w:t>
      </w:r>
      <w:r>
        <w:rPr>
          <w:color w:val="231F20"/>
          <w:spacing w:val="-13"/>
          <w:sz w:val="18"/>
          <w:szCs w:val="18"/>
        </w:rPr>
        <w:t xml:space="preserve"> </w:t>
      </w:r>
      <w:r>
        <w:rPr>
          <w:color w:val="231F20"/>
          <w:sz w:val="18"/>
          <w:szCs w:val="18"/>
        </w:rPr>
        <w:t>has</w:t>
      </w:r>
      <w:r>
        <w:rPr>
          <w:color w:val="231F20"/>
          <w:spacing w:val="-8"/>
          <w:sz w:val="18"/>
          <w:szCs w:val="18"/>
        </w:rPr>
        <w:t xml:space="preserve"> </w:t>
      </w:r>
      <w:r>
        <w:rPr>
          <w:color w:val="231F20"/>
          <w:sz w:val="18"/>
          <w:szCs w:val="18"/>
        </w:rPr>
        <w:t>the</w:t>
      </w:r>
      <w:r>
        <w:rPr>
          <w:color w:val="231F20"/>
          <w:spacing w:val="-9"/>
          <w:sz w:val="18"/>
          <w:szCs w:val="18"/>
        </w:rPr>
        <w:t xml:space="preserve"> </w:t>
      </w:r>
      <w:r>
        <w:rPr>
          <w:color w:val="231F20"/>
          <w:sz w:val="18"/>
          <w:szCs w:val="18"/>
        </w:rPr>
        <w:t>irrevocable</w:t>
      </w:r>
      <w:r>
        <w:rPr>
          <w:color w:val="231F20"/>
          <w:spacing w:val="-12"/>
          <w:sz w:val="18"/>
          <w:szCs w:val="18"/>
        </w:rPr>
        <w:t xml:space="preserve"> </w:t>
      </w:r>
      <w:r>
        <w:rPr>
          <w:color w:val="231F20"/>
          <w:sz w:val="18"/>
          <w:szCs w:val="18"/>
        </w:rPr>
        <w:t>authority</w:t>
      </w:r>
      <w:r>
        <w:rPr>
          <w:color w:val="231F20"/>
          <w:spacing w:val="-10"/>
          <w:sz w:val="18"/>
          <w:szCs w:val="18"/>
        </w:rPr>
        <w:t xml:space="preserve"> </w:t>
      </w:r>
      <w:r>
        <w:rPr>
          <w:color w:val="231F20"/>
          <w:sz w:val="18"/>
          <w:szCs w:val="18"/>
        </w:rPr>
        <w:t>at</w:t>
      </w:r>
      <w:r>
        <w:rPr>
          <w:color w:val="231F20"/>
          <w:spacing w:val="-11"/>
          <w:sz w:val="18"/>
          <w:szCs w:val="18"/>
        </w:rPr>
        <w:t xml:space="preserve"> </w:t>
      </w:r>
      <w:r>
        <w:rPr>
          <w:color w:val="231F20"/>
          <w:sz w:val="18"/>
          <w:szCs w:val="18"/>
        </w:rPr>
        <w:t>any</w:t>
      </w:r>
      <w:r>
        <w:rPr>
          <w:color w:val="231F20"/>
          <w:spacing w:val="-10"/>
          <w:sz w:val="18"/>
          <w:szCs w:val="18"/>
        </w:rPr>
        <w:t xml:space="preserve"> </w:t>
      </w:r>
      <w:r>
        <w:rPr>
          <w:color w:val="231F20"/>
          <w:sz w:val="18"/>
          <w:szCs w:val="18"/>
        </w:rPr>
        <w:t>time</w:t>
      </w:r>
      <w:r>
        <w:rPr>
          <w:color w:val="231F20"/>
          <w:spacing w:val="-10"/>
          <w:sz w:val="18"/>
          <w:szCs w:val="18"/>
        </w:rPr>
        <w:t xml:space="preserve"> </w:t>
      </w:r>
      <w:r>
        <w:rPr>
          <w:color w:val="231F20"/>
          <w:sz w:val="18"/>
          <w:szCs w:val="18"/>
        </w:rPr>
        <w:t>to</w:t>
      </w:r>
      <w:r>
        <w:rPr>
          <w:color w:val="231F20"/>
          <w:spacing w:val="-11"/>
          <w:sz w:val="18"/>
          <w:szCs w:val="18"/>
        </w:rPr>
        <w:t xml:space="preserve"> </w:t>
      </w:r>
      <w:r>
        <w:rPr>
          <w:color w:val="231F20"/>
          <w:sz w:val="18"/>
          <w:szCs w:val="18"/>
        </w:rPr>
        <w:t>do</w:t>
      </w:r>
      <w:r>
        <w:rPr>
          <w:color w:val="231F20"/>
          <w:spacing w:val="-11"/>
          <w:sz w:val="18"/>
          <w:szCs w:val="18"/>
        </w:rPr>
        <w:t xml:space="preserve"> </w:t>
      </w:r>
      <w:r>
        <w:rPr>
          <w:color w:val="231F20"/>
          <w:sz w:val="18"/>
          <w:szCs w:val="18"/>
        </w:rPr>
        <w:t>all</w:t>
      </w:r>
      <w:r>
        <w:rPr>
          <w:color w:val="231F20"/>
          <w:spacing w:val="-10"/>
          <w:sz w:val="18"/>
          <w:szCs w:val="18"/>
        </w:rPr>
        <w:t xml:space="preserve"> </w:t>
      </w:r>
      <w:r>
        <w:rPr>
          <w:color w:val="231F20"/>
          <w:sz w:val="18"/>
          <w:szCs w:val="18"/>
        </w:rPr>
        <w:t>or</w:t>
      </w:r>
      <w:r>
        <w:rPr>
          <w:color w:val="231F20"/>
          <w:spacing w:val="-11"/>
          <w:sz w:val="18"/>
          <w:szCs w:val="18"/>
        </w:rPr>
        <w:t xml:space="preserve"> </w:t>
      </w:r>
      <w:r>
        <w:rPr>
          <w:color w:val="231F20"/>
          <w:sz w:val="18"/>
          <w:szCs w:val="18"/>
        </w:rPr>
        <w:t>any</w:t>
      </w:r>
      <w:r>
        <w:rPr>
          <w:color w:val="231F20"/>
          <w:spacing w:val="-10"/>
          <w:sz w:val="18"/>
          <w:szCs w:val="18"/>
        </w:rPr>
        <w:t xml:space="preserve"> </w:t>
      </w:r>
      <w:r>
        <w:rPr>
          <w:color w:val="231F20"/>
          <w:sz w:val="18"/>
          <w:szCs w:val="18"/>
        </w:rPr>
        <w:t>of</w:t>
      </w:r>
      <w:r>
        <w:rPr>
          <w:color w:val="231F20"/>
          <w:spacing w:val="-10"/>
          <w:sz w:val="18"/>
          <w:szCs w:val="18"/>
        </w:rPr>
        <w:t xml:space="preserve"> </w:t>
      </w:r>
      <w:r>
        <w:rPr>
          <w:color w:val="231F20"/>
          <w:sz w:val="18"/>
          <w:szCs w:val="18"/>
        </w:rPr>
        <w:t>the</w:t>
      </w:r>
      <w:r>
        <w:rPr>
          <w:color w:val="231F20"/>
          <w:spacing w:val="-9"/>
          <w:sz w:val="18"/>
          <w:szCs w:val="18"/>
        </w:rPr>
        <w:t xml:space="preserve"> </w:t>
      </w:r>
      <w:r>
        <w:rPr>
          <w:color w:val="231F20"/>
          <w:sz w:val="18"/>
          <w:szCs w:val="18"/>
        </w:rPr>
        <w:t>following</w:t>
      </w:r>
      <w:r>
        <w:rPr>
          <w:color w:val="231F20"/>
          <w:spacing w:val="-11"/>
          <w:sz w:val="18"/>
          <w:szCs w:val="18"/>
        </w:rPr>
        <w:t xml:space="preserve"> </w:t>
      </w:r>
      <w:r>
        <w:rPr>
          <w:color w:val="231F20"/>
          <w:sz w:val="18"/>
          <w:szCs w:val="18"/>
        </w:rPr>
        <w:t>without</w:t>
      </w:r>
      <w:r>
        <w:rPr>
          <w:color w:val="231F20"/>
          <w:spacing w:val="-11"/>
          <w:sz w:val="18"/>
          <w:szCs w:val="18"/>
        </w:rPr>
        <w:t xml:space="preserve"> </w:t>
      </w:r>
      <w:r>
        <w:rPr>
          <w:color w:val="231F20"/>
          <w:sz w:val="18"/>
          <w:szCs w:val="18"/>
        </w:rPr>
        <w:t>consent of the holders of the Deferred</w:t>
      </w:r>
      <w:r>
        <w:rPr>
          <w:color w:val="231F20"/>
          <w:spacing w:val="-5"/>
          <w:sz w:val="18"/>
          <w:szCs w:val="18"/>
        </w:rPr>
        <w:t xml:space="preserve"> </w:t>
      </w:r>
      <w:r>
        <w:rPr>
          <w:color w:val="231F20"/>
          <w:sz w:val="18"/>
          <w:szCs w:val="18"/>
        </w:rPr>
        <w:t>Shares:</w:t>
      </w:r>
    </w:p>
    <w:p w14:paraId="3B4C0140" w14:textId="77777777" w:rsidR="00783288" w:rsidRDefault="00E31420" w:rsidP="00512495">
      <w:pPr>
        <w:pStyle w:val="ListParagraph"/>
        <w:numPr>
          <w:ilvl w:val="0"/>
          <w:numId w:val="10"/>
        </w:numPr>
        <w:tabs>
          <w:tab w:val="left" w:pos="2182"/>
        </w:tabs>
        <w:kinsoku w:val="0"/>
        <w:overflowPunct w:val="0"/>
        <w:spacing w:before="78"/>
        <w:ind w:right="1037"/>
        <w:jc w:val="both"/>
        <w:rPr>
          <w:color w:val="231F20"/>
          <w:sz w:val="18"/>
          <w:szCs w:val="18"/>
        </w:rPr>
      </w:pPr>
      <w:r>
        <w:rPr>
          <w:color w:val="231F20"/>
          <w:sz w:val="18"/>
          <w:szCs w:val="18"/>
        </w:rPr>
        <w:t>appoint</w:t>
      </w:r>
      <w:r>
        <w:rPr>
          <w:color w:val="231F20"/>
          <w:spacing w:val="-4"/>
          <w:sz w:val="18"/>
          <w:szCs w:val="18"/>
        </w:rPr>
        <w:t xml:space="preserve"> </w:t>
      </w:r>
      <w:r>
        <w:rPr>
          <w:color w:val="231F20"/>
          <w:sz w:val="18"/>
          <w:szCs w:val="18"/>
        </w:rPr>
        <w:t>a</w:t>
      </w:r>
      <w:r>
        <w:rPr>
          <w:color w:val="231F20"/>
          <w:spacing w:val="-6"/>
          <w:sz w:val="18"/>
          <w:szCs w:val="18"/>
        </w:rPr>
        <w:t xml:space="preserve"> </w:t>
      </w:r>
      <w:r>
        <w:rPr>
          <w:color w:val="231F20"/>
          <w:sz w:val="18"/>
          <w:szCs w:val="18"/>
        </w:rPr>
        <w:t>person</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execute</w:t>
      </w:r>
      <w:r>
        <w:rPr>
          <w:color w:val="231F20"/>
          <w:spacing w:val="-4"/>
          <w:sz w:val="18"/>
          <w:szCs w:val="18"/>
        </w:rPr>
        <w:t xml:space="preserve"> </w:t>
      </w:r>
      <w:r>
        <w:rPr>
          <w:color w:val="231F20"/>
          <w:sz w:val="18"/>
          <w:szCs w:val="18"/>
        </w:rPr>
        <w:t>on</w:t>
      </w:r>
      <w:r>
        <w:rPr>
          <w:color w:val="231F20"/>
          <w:spacing w:val="-3"/>
          <w:sz w:val="18"/>
          <w:szCs w:val="18"/>
        </w:rPr>
        <w:t xml:space="preserve"> </w:t>
      </w:r>
      <w:r>
        <w:rPr>
          <w:color w:val="231F20"/>
          <w:sz w:val="18"/>
          <w:szCs w:val="18"/>
        </w:rPr>
        <w:t>behalf</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any</w:t>
      </w:r>
      <w:r>
        <w:rPr>
          <w:color w:val="231F20"/>
          <w:spacing w:val="-6"/>
          <w:sz w:val="18"/>
          <w:szCs w:val="18"/>
        </w:rPr>
        <w:t xml:space="preserve"> </w:t>
      </w:r>
      <w:r>
        <w:rPr>
          <w:color w:val="231F20"/>
          <w:sz w:val="18"/>
          <w:szCs w:val="18"/>
        </w:rPr>
        <w:t>holder</w:t>
      </w:r>
      <w:r>
        <w:rPr>
          <w:color w:val="231F20"/>
          <w:spacing w:val="-7"/>
          <w:sz w:val="18"/>
          <w:szCs w:val="18"/>
        </w:rPr>
        <w:t xml:space="preserve"> </w:t>
      </w:r>
      <w:r>
        <w:rPr>
          <w:color w:val="231F20"/>
          <w:sz w:val="18"/>
          <w:szCs w:val="18"/>
        </w:rPr>
        <w:t>of</w:t>
      </w:r>
      <w:r>
        <w:rPr>
          <w:color w:val="231F20"/>
          <w:spacing w:val="-3"/>
          <w:sz w:val="18"/>
          <w:szCs w:val="18"/>
        </w:rPr>
        <w:t xml:space="preserve"> </w:t>
      </w:r>
      <w:r>
        <w:rPr>
          <w:color w:val="231F20"/>
          <w:sz w:val="18"/>
          <w:szCs w:val="18"/>
        </w:rPr>
        <w:t>the</w:t>
      </w:r>
      <w:r>
        <w:rPr>
          <w:color w:val="231F20"/>
          <w:spacing w:val="-3"/>
          <w:sz w:val="18"/>
          <w:szCs w:val="18"/>
        </w:rPr>
        <w:t xml:space="preserve"> </w:t>
      </w:r>
      <w:r>
        <w:rPr>
          <w:color w:val="231F20"/>
          <w:sz w:val="18"/>
          <w:szCs w:val="18"/>
        </w:rPr>
        <w:t>Deferred</w:t>
      </w:r>
      <w:r>
        <w:rPr>
          <w:color w:val="231F20"/>
          <w:spacing w:val="-4"/>
          <w:sz w:val="18"/>
          <w:szCs w:val="18"/>
        </w:rPr>
        <w:t xml:space="preserve"> </w:t>
      </w:r>
      <w:r>
        <w:rPr>
          <w:color w:val="231F20"/>
          <w:sz w:val="18"/>
          <w:szCs w:val="18"/>
        </w:rPr>
        <w:t>Shares</w:t>
      </w:r>
      <w:r>
        <w:rPr>
          <w:color w:val="231F20"/>
          <w:spacing w:val="-3"/>
          <w:sz w:val="18"/>
          <w:szCs w:val="18"/>
        </w:rPr>
        <w:t xml:space="preserve"> </w:t>
      </w:r>
      <w:r>
        <w:rPr>
          <w:color w:val="231F20"/>
          <w:sz w:val="18"/>
          <w:szCs w:val="18"/>
        </w:rPr>
        <w:t>an</w:t>
      </w:r>
      <w:r>
        <w:rPr>
          <w:color w:val="231F20"/>
          <w:spacing w:val="-6"/>
          <w:sz w:val="18"/>
          <w:szCs w:val="18"/>
        </w:rPr>
        <w:t xml:space="preserve"> </w:t>
      </w:r>
      <w:r>
        <w:rPr>
          <w:color w:val="231F20"/>
          <w:sz w:val="18"/>
          <w:szCs w:val="18"/>
        </w:rPr>
        <w:t>agreement</w:t>
      </w:r>
      <w:r>
        <w:rPr>
          <w:color w:val="231F20"/>
          <w:spacing w:val="-4"/>
          <w:sz w:val="18"/>
          <w:szCs w:val="18"/>
        </w:rPr>
        <w:t xml:space="preserve"> </w:t>
      </w:r>
      <w:r>
        <w:rPr>
          <w:color w:val="231F20"/>
          <w:spacing w:val="-3"/>
          <w:sz w:val="18"/>
          <w:szCs w:val="18"/>
        </w:rPr>
        <w:t xml:space="preserve">to </w:t>
      </w:r>
      <w:r>
        <w:rPr>
          <w:color w:val="231F20"/>
          <w:sz w:val="18"/>
          <w:szCs w:val="18"/>
        </w:rPr>
        <w:t>transfer to such a person (who is willing to accept such shares) as the directors of the Company may</w:t>
      </w:r>
      <w:r>
        <w:rPr>
          <w:color w:val="231F20"/>
          <w:spacing w:val="-6"/>
          <w:sz w:val="18"/>
          <w:szCs w:val="18"/>
        </w:rPr>
        <w:t xml:space="preserve"> </w:t>
      </w:r>
      <w:proofErr w:type="gramStart"/>
      <w:r>
        <w:rPr>
          <w:color w:val="231F20"/>
          <w:sz w:val="18"/>
          <w:szCs w:val="18"/>
        </w:rPr>
        <w:t>determine;</w:t>
      </w:r>
      <w:proofErr w:type="gramEnd"/>
    </w:p>
    <w:p w14:paraId="6DD8BDE7" w14:textId="77777777" w:rsidR="00783288" w:rsidRDefault="00783288">
      <w:pPr>
        <w:pStyle w:val="BodyText"/>
        <w:kinsoku w:val="0"/>
        <w:overflowPunct w:val="0"/>
        <w:spacing w:before="10"/>
        <w:rPr>
          <w:sz w:val="20"/>
          <w:szCs w:val="20"/>
        </w:rPr>
      </w:pPr>
    </w:p>
    <w:p w14:paraId="2EFA35F7" w14:textId="77777777" w:rsidR="00783288" w:rsidRDefault="00E31420" w:rsidP="00512495">
      <w:pPr>
        <w:pStyle w:val="ListParagraph"/>
        <w:numPr>
          <w:ilvl w:val="0"/>
          <w:numId w:val="10"/>
        </w:numPr>
        <w:tabs>
          <w:tab w:val="left" w:pos="2182"/>
        </w:tabs>
        <w:kinsoku w:val="0"/>
        <w:overflowPunct w:val="0"/>
        <w:ind w:right="1037"/>
        <w:jc w:val="both"/>
        <w:rPr>
          <w:color w:val="231F20"/>
          <w:sz w:val="18"/>
          <w:szCs w:val="18"/>
        </w:rPr>
      </w:pPr>
      <w:r>
        <w:rPr>
          <w:color w:val="231F20"/>
          <w:sz w:val="18"/>
          <w:szCs w:val="18"/>
        </w:rPr>
        <w:t>purchase all or any of the Deferred Shares in accordance with the Companies Act in consideration of payment of £0.01 in respect of all the Deferred Shares being purchased by the Company, and appoint any person to execute such a contract of sale for such Deferred Shares being purchased by the Company;</w:t>
      </w:r>
      <w:r>
        <w:rPr>
          <w:color w:val="231F20"/>
          <w:spacing w:val="-1"/>
          <w:sz w:val="18"/>
          <w:szCs w:val="18"/>
        </w:rPr>
        <w:t xml:space="preserve"> </w:t>
      </w:r>
      <w:r>
        <w:rPr>
          <w:color w:val="231F20"/>
          <w:sz w:val="18"/>
          <w:szCs w:val="18"/>
        </w:rPr>
        <w:t>and</w:t>
      </w:r>
    </w:p>
    <w:p w14:paraId="4FF4FFB3" w14:textId="77777777" w:rsidR="00783288" w:rsidRDefault="00783288">
      <w:pPr>
        <w:pStyle w:val="BodyText"/>
        <w:kinsoku w:val="0"/>
        <w:overflowPunct w:val="0"/>
        <w:spacing w:before="10"/>
        <w:rPr>
          <w:sz w:val="20"/>
          <w:szCs w:val="20"/>
        </w:rPr>
      </w:pPr>
    </w:p>
    <w:p w14:paraId="05024DFF" w14:textId="77777777" w:rsidR="00783288" w:rsidRDefault="00E31420" w:rsidP="00512495">
      <w:pPr>
        <w:pStyle w:val="ListParagraph"/>
        <w:numPr>
          <w:ilvl w:val="0"/>
          <w:numId w:val="10"/>
        </w:numPr>
        <w:tabs>
          <w:tab w:val="left" w:pos="2182"/>
        </w:tabs>
        <w:kinsoku w:val="0"/>
        <w:overflowPunct w:val="0"/>
        <w:ind w:right="1038"/>
        <w:jc w:val="both"/>
        <w:rPr>
          <w:color w:val="231F20"/>
          <w:sz w:val="18"/>
          <w:szCs w:val="18"/>
        </w:rPr>
      </w:pPr>
      <w:r>
        <w:rPr>
          <w:color w:val="231F20"/>
          <w:sz w:val="18"/>
          <w:szCs w:val="18"/>
        </w:rPr>
        <w:t>to cancel all or any of the Deferred Shares purchased by the Company in accordance with sub-paragraph 4.6.4(b)</w:t>
      </w:r>
      <w:r>
        <w:rPr>
          <w:color w:val="231F20"/>
          <w:spacing w:val="-3"/>
          <w:sz w:val="18"/>
          <w:szCs w:val="18"/>
        </w:rPr>
        <w:t xml:space="preserve"> </w:t>
      </w:r>
      <w:r>
        <w:rPr>
          <w:color w:val="231F20"/>
          <w:sz w:val="18"/>
          <w:szCs w:val="18"/>
        </w:rPr>
        <w:t>above.</w:t>
      </w:r>
    </w:p>
    <w:p w14:paraId="4476EC8E" w14:textId="77777777" w:rsidR="00783288" w:rsidRDefault="00783288">
      <w:pPr>
        <w:pStyle w:val="BodyText"/>
        <w:kinsoku w:val="0"/>
        <w:overflowPunct w:val="0"/>
        <w:spacing w:before="7"/>
        <w:rPr>
          <w:sz w:val="12"/>
          <w:szCs w:val="12"/>
        </w:rPr>
      </w:pPr>
    </w:p>
    <w:p w14:paraId="215DD0EA" w14:textId="77777777" w:rsidR="00783288" w:rsidRDefault="00E31420" w:rsidP="00512495">
      <w:pPr>
        <w:pStyle w:val="ListParagraph"/>
        <w:numPr>
          <w:ilvl w:val="1"/>
          <w:numId w:val="13"/>
        </w:numPr>
        <w:tabs>
          <w:tab w:val="left" w:pos="840"/>
        </w:tabs>
        <w:kinsoku w:val="0"/>
        <w:overflowPunct w:val="0"/>
        <w:spacing w:before="94"/>
        <w:rPr>
          <w:color w:val="231F20"/>
          <w:sz w:val="18"/>
          <w:szCs w:val="18"/>
        </w:rPr>
      </w:pPr>
      <w:r>
        <w:rPr>
          <w:color w:val="231F20"/>
          <w:sz w:val="18"/>
          <w:szCs w:val="18"/>
        </w:rPr>
        <w:t>CREST</w:t>
      </w:r>
    </w:p>
    <w:p w14:paraId="272465DE" w14:textId="77777777" w:rsidR="00783288" w:rsidRDefault="00783288">
      <w:pPr>
        <w:pStyle w:val="BodyText"/>
        <w:kinsoku w:val="0"/>
        <w:overflowPunct w:val="0"/>
        <w:rPr>
          <w:sz w:val="21"/>
          <w:szCs w:val="21"/>
        </w:rPr>
      </w:pPr>
    </w:p>
    <w:p w14:paraId="3A64CCB7" w14:textId="77777777" w:rsidR="00783288" w:rsidRDefault="00E31420" w:rsidP="00512495">
      <w:pPr>
        <w:pStyle w:val="ListParagraph"/>
        <w:numPr>
          <w:ilvl w:val="2"/>
          <w:numId w:val="13"/>
        </w:numPr>
        <w:tabs>
          <w:tab w:val="left" w:pos="1822"/>
        </w:tabs>
        <w:kinsoku w:val="0"/>
        <w:overflowPunct w:val="0"/>
        <w:spacing w:before="1"/>
        <w:ind w:right="1035"/>
        <w:jc w:val="both"/>
        <w:rPr>
          <w:color w:val="231F20"/>
          <w:sz w:val="18"/>
          <w:szCs w:val="18"/>
        </w:rPr>
      </w:pPr>
      <w:r>
        <w:rPr>
          <w:color w:val="231F20"/>
          <w:sz w:val="18"/>
          <w:szCs w:val="18"/>
        </w:rPr>
        <w:t>The</w:t>
      </w:r>
      <w:r>
        <w:rPr>
          <w:color w:val="231F20"/>
          <w:spacing w:val="-7"/>
          <w:sz w:val="18"/>
          <w:szCs w:val="18"/>
        </w:rPr>
        <w:t xml:space="preserve"> </w:t>
      </w:r>
      <w:r>
        <w:rPr>
          <w:color w:val="231F20"/>
          <w:sz w:val="18"/>
          <w:szCs w:val="18"/>
        </w:rPr>
        <w:t>directors</w:t>
      </w:r>
      <w:r>
        <w:rPr>
          <w:color w:val="231F20"/>
          <w:spacing w:val="-8"/>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Company</w:t>
      </w:r>
      <w:r>
        <w:rPr>
          <w:color w:val="231F20"/>
          <w:spacing w:val="-10"/>
          <w:sz w:val="18"/>
          <w:szCs w:val="18"/>
        </w:rPr>
        <w:t xml:space="preserve"> </w:t>
      </w:r>
      <w:r>
        <w:rPr>
          <w:color w:val="231F20"/>
          <w:sz w:val="18"/>
          <w:szCs w:val="18"/>
        </w:rPr>
        <w:t>may</w:t>
      </w:r>
      <w:r>
        <w:rPr>
          <w:color w:val="231F20"/>
          <w:spacing w:val="-9"/>
          <w:sz w:val="18"/>
          <w:szCs w:val="18"/>
        </w:rPr>
        <w:t xml:space="preserve"> </w:t>
      </w:r>
      <w:r>
        <w:rPr>
          <w:color w:val="231F20"/>
          <w:sz w:val="18"/>
          <w:szCs w:val="18"/>
        </w:rPr>
        <w:t>implement</w:t>
      </w:r>
      <w:r>
        <w:rPr>
          <w:color w:val="231F20"/>
          <w:spacing w:val="-6"/>
          <w:sz w:val="18"/>
          <w:szCs w:val="18"/>
        </w:rPr>
        <w:t xml:space="preserve"> </w:t>
      </w:r>
      <w:r>
        <w:rPr>
          <w:color w:val="231F20"/>
          <w:sz w:val="18"/>
          <w:szCs w:val="18"/>
        </w:rPr>
        <w:t>such</w:t>
      </w:r>
      <w:r>
        <w:rPr>
          <w:color w:val="231F20"/>
          <w:spacing w:val="-6"/>
          <w:sz w:val="18"/>
          <w:szCs w:val="18"/>
        </w:rPr>
        <w:t xml:space="preserve"> </w:t>
      </w:r>
      <w:r>
        <w:rPr>
          <w:color w:val="231F20"/>
          <w:sz w:val="18"/>
          <w:szCs w:val="18"/>
        </w:rPr>
        <w:t>arrangements</w:t>
      </w:r>
      <w:r>
        <w:rPr>
          <w:color w:val="231F20"/>
          <w:spacing w:val="-8"/>
          <w:sz w:val="18"/>
          <w:szCs w:val="18"/>
        </w:rPr>
        <w:t xml:space="preserve"> </w:t>
      </w:r>
      <w:r>
        <w:rPr>
          <w:color w:val="231F20"/>
          <w:sz w:val="18"/>
          <w:szCs w:val="18"/>
        </w:rPr>
        <w:t>as</w:t>
      </w:r>
      <w:r>
        <w:rPr>
          <w:color w:val="231F20"/>
          <w:spacing w:val="-9"/>
          <w:sz w:val="18"/>
          <w:szCs w:val="18"/>
        </w:rPr>
        <w:t xml:space="preserve"> </w:t>
      </w:r>
      <w:r>
        <w:rPr>
          <w:color w:val="231F20"/>
          <w:sz w:val="18"/>
          <w:szCs w:val="18"/>
        </w:rPr>
        <w:t>they</w:t>
      </w:r>
      <w:r>
        <w:rPr>
          <w:color w:val="231F20"/>
          <w:spacing w:val="-8"/>
          <w:sz w:val="18"/>
          <w:szCs w:val="18"/>
        </w:rPr>
        <w:t xml:space="preserve"> </w:t>
      </w:r>
      <w:r>
        <w:rPr>
          <w:color w:val="231F20"/>
          <w:sz w:val="18"/>
          <w:szCs w:val="18"/>
        </w:rPr>
        <w:t>think</w:t>
      </w:r>
      <w:r>
        <w:rPr>
          <w:color w:val="231F20"/>
          <w:spacing w:val="-6"/>
          <w:sz w:val="18"/>
          <w:szCs w:val="18"/>
        </w:rPr>
        <w:t xml:space="preserve"> </w:t>
      </w:r>
      <w:r>
        <w:rPr>
          <w:color w:val="231F20"/>
          <w:sz w:val="18"/>
          <w:szCs w:val="18"/>
        </w:rPr>
        <w:t>fit</w:t>
      </w:r>
      <w:r>
        <w:rPr>
          <w:color w:val="231F20"/>
          <w:spacing w:val="-6"/>
          <w:sz w:val="18"/>
          <w:szCs w:val="18"/>
        </w:rPr>
        <w:t xml:space="preserve"> </w:t>
      </w:r>
      <w:r>
        <w:rPr>
          <w:color w:val="231F20"/>
          <w:sz w:val="18"/>
          <w:szCs w:val="18"/>
        </w:rPr>
        <w:t>in</w:t>
      </w:r>
      <w:r>
        <w:rPr>
          <w:color w:val="231F20"/>
          <w:spacing w:val="-7"/>
          <w:sz w:val="18"/>
          <w:szCs w:val="18"/>
        </w:rPr>
        <w:t xml:space="preserve"> </w:t>
      </w:r>
      <w:r>
        <w:rPr>
          <w:color w:val="231F20"/>
          <w:sz w:val="18"/>
          <w:szCs w:val="18"/>
        </w:rPr>
        <w:t>order</w:t>
      </w:r>
      <w:r>
        <w:rPr>
          <w:color w:val="231F20"/>
          <w:spacing w:val="-7"/>
          <w:sz w:val="18"/>
          <w:szCs w:val="18"/>
        </w:rPr>
        <w:t xml:space="preserve"> </w:t>
      </w:r>
      <w:r>
        <w:rPr>
          <w:color w:val="231F20"/>
          <w:sz w:val="18"/>
          <w:szCs w:val="18"/>
        </w:rPr>
        <w:t>for</w:t>
      </w:r>
      <w:r>
        <w:rPr>
          <w:color w:val="231F20"/>
          <w:spacing w:val="-7"/>
          <w:sz w:val="18"/>
          <w:szCs w:val="18"/>
        </w:rPr>
        <w:t xml:space="preserve"> </w:t>
      </w:r>
      <w:r>
        <w:rPr>
          <w:color w:val="231F20"/>
          <w:sz w:val="18"/>
          <w:szCs w:val="18"/>
        </w:rPr>
        <w:t>any class of shares to be held in uncertificated form and for title to those shares to be transferred by means</w:t>
      </w:r>
      <w:r>
        <w:rPr>
          <w:color w:val="231F20"/>
          <w:spacing w:val="-4"/>
          <w:sz w:val="18"/>
          <w:szCs w:val="18"/>
        </w:rPr>
        <w:t xml:space="preserve"> </w:t>
      </w:r>
      <w:r>
        <w:rPr>
          <w:color w:val="231F20"/>
          <w:sz w:val="18"/>
          <w:szCs w:val="18"/>
        </w:rPr>
        <w:t>of</w:t>
      </w:r>
      <w:r>
        <w:rPr>
          <w:color w:val="231F20"/>
          <w:spacing w:val="-5"/>
          <w:sz w:val="18"/>
          <w:szCs w:val="18"/>
        </w:rPr>
        <w:t xml:space="preserve"> </w:t>
      </w:r>
      <w:r>
        <w:rPr>
          <w:color w:val="231F20"/>
          <w:sz w:val="18"/>
          <w:szCs w:val="18"/>
        </w:rPr>
        <w:t>a</w:t>
      </w:r>
      <w:r>
        <w:rPr>
          <w:color w:val="231F20"/>
          <w:spacing w:val="-5"/>
          <w:sz w:val="18"/>
          <w:szCs w:val="18"/>
        </w:rPr>
        <w:t xml:space="preserve"> </w:t>
      </w:r>
      <w:r>
        <w:rPr>
          <w:color w:val="231F20"/>
          <w:sz w:val="18"/>
          <w:szCs w:val="18"/>
        </w:rPr>
        <w:t>system</w:t>
      </w:r>
      <w:r>
        <w:rPr>
          <w:color w:val="231F20"/>
          <w:spacing w:val="-3"/>
          <w:sz w:val="18"/>
          <w:szCs w:val="18"/>
        </w:rPr>
        <w:t xml:space="preserve"> </w:t>
      </w:r>
      <w:r>
        <w:rPr>
          <w:color w:val="231F20"/>
          <w:sz w:val="18"/>
          <w:szCs w:val="18"/>
        </w:rPr>
        <w:t>such</w:t>
      </w:r>
      <w:r>
        <w:rPr>
          <w:color w:val="231F20"/>
          <w:spacing w:val="-5"/>
          <w:sz w:val="18"/>
          <w:szCs w:val="18"/>
        </w:rPr>
        <w:t xml:space="preserve"> </w:t>
      </w:r>
      <w:r>
        <w:rPr>
          <w:color w:val="231F20"/>
          <w:sz w:val="18"/>
          <w:szCs w:val="18"/>
        </w:rPr>
        <w:t>as</w:t>
      </w:r>
      <w:r>
        <w:rPr>
          <w:color w:val="231F20"/>
          <w:spacing w:val="-4"/>
          <w:sz w:val="18"/>
          <w:szCs w:val="18"/>
        </w:rPr>
        <w:t xml:space="preserve"> </w:t>
      </w:r>
      <w:r>
        <w:rPr>
          <w:color w:val="231F20"/>
          <w:sz w:val="18"/>
          <w:szCs w:val="18"/>
        </w:rPr>
        <w:t>CREST</w:t>
      </w:r>
      <w:r>
        <w:rPr>
          <w:color w:val="231F20"/>
          <w:spacing w:val="-5"/>
          <w:sz w:val="18"/>
          <w:szCs w:val="18"/>
        </w:rPr>
        <w:t xml:space="preserve"> </w:t>
      </w:r>
      <w:r>
        <w:rPr>
          <w:color w:val="231F20"/>
          <w:sz w:val="18"/>
          <w:szCs w:val="18"/>
        </w:rPr>
        <w:t>in</w:t>
      </w:r>
      <w:r>
        <w:rPr>
          <w:color w:val="231F20"/>
          <w:spacing w:val="-1"/>
          <w:sz w:val="18"/>
          <w:szCs w:val="18"/>
        </w:rPr>
        <w:t xml:space="preserve"> </w:t>
      </w:r>
      <w:r>
        <w:rPr>
          <w:color w:val="231F20"/>
          <w:sz w:val="18"/>
          <w:szCs w:val="18"/>
        </w:rPr>
        <w:t>accordance</w:t>
      </w:r>
      <w:r>
        <w:rPr>
          <w:color w:val="231F20"/>
          <w:spacing w:val="-5"/>
          <w:sz w:val="18"/>
          <w:szCs w:val="18"/>
        </w:rPr>
        <w:t xml:space="preserve"> </w:t>
      </w:r>
      <w:r>
        <w:rPr>
          <w:color w:val="231F20"/>
          <w:sz w:val="18"/>
          <w:szCs w:val="18"/>
        </w:rPr>
        <w:t>with</w:t>
      </w:r>
      <w:r>
        <w:rPr>
          <w:color w:val="231F20"/>
          <w:spacing w:val="-2"/>
          <w:sz w:val="18"/>
          <w:szCs w:val="18"/>
        </w:rPr>
        <w:t xml:space="preserve"> </w:t>
      </w:r>
      <w:r>
        <w:rPr>
          <w:color w:val="231F20"/>
          <w:sz w:val="18"/>
          <w:szCs w:val="18"/>
        </w:rPr>
        <w:t>the</w:t>
      </w:r>
      <w:r>
        <w:rPr>
          <w:color w:val="231F20"/>
          <w:spacing w:val="-5"/>
          <w:sz w:val="18"/>
          <w:szCs w:val="18"/>
        </w:rPr>
        <w:t xml:space="preserve"> </w:t>
      </w:r>
      <w:r>
        <w:rPr>
          <w:color w:val="231F20"/>
          <w:sz w:val="18"/>
          <w:szCs w:val="18"/>
        </w:rPr>
        <w:t>Uncertificated</w:t>
      </w:r>
      <w:r>
        <w:rPr>
          <w:color w:val="231F20"/>
          <w:spacing w:val="-4"/>
          <w:sz w:val="18"/>
          <w:szCs w:val="18"/>
        </w:rPr>
        <w:t xml:space="preserve"> </w:t>
      </w:r>
      <w:r>
        <w:rPr>
          <w:color w:val="231F20"/>
          <w:sz w:val="18"/>
          <w:szCs w:val="18"/>
        </w:rPr>
        <w:t>Securities</w:t>
      </w:r>
      <w:r>
        <w:rPr>
          <w:color w:val="231F20"/>
          <w:spacing w:val="-2"/>
          <w:sz w:val="18"/>
          <w:szCs w:val="18"/>
        </w:rPr>
        <w:t xml:space="preserve"> </w:t>
      </w:r>
      <w:r>
        <w:rPr>
          <w:color w:val="231F20"/>
          <w:sz w:val="18"/>
          <w:szCs w:val="18"/>
        </w:rPr>
        <w:t>Regulations 2001</w:t>
      </w:r>
      <w:r>
        <w:rPr>
          <w:color w:val="231F20"/>
          <w:spacing w:val="-16"/>
          <w:sz w:val="18"/>
          <w:szCs w:val="18"/>
        </w:rPr>
        <w:t xml:space="preserve"> </w:t>
      </w:r>
      <w:r>
        <w:rPr>
          <w:color w:val="231F20"/>
          <w:sz w:val="18"/>
          <w:szCs w:val="18"/>
        </w:rPr>
        <w:t>and</w:t>
      </w:r>
      <w:r>
        <w:rPr>
          <w:color w:val="231F20"/>
          <w:spacing w:val="-16"/>
          <w:sz w:val="18"/>
          <w:szCs w:val="18"/>
        </w:rPr>
        <w:t xml:space="preserve"> </w:t>
      </w:r>
      <w:r>
        <w:rPr>
          <w:color w:val="231F20"/>
          <w:sz w:val="18"/>
          <w:szCs w:val="18"/>
        </w:rPr>
        <w:t>the</w:t>
      </w:r>
      <w:r>
        <w:rPr>
          <w:color w:val="231F20"/>
          <w:spacing w:val="-13"/>
          <w:sz w:val="18"/>
          <w:szCs w:val="18"/>
        </w:rPr>
        <w:t xml:space="preserve"> </w:t>
      </w:r>
      <w:r>
        <w:rPr>
          <w:color w:val="231F20"/>
          <w:sz w:val="18"/>
          <w:szCs w:val="18"/>
        </w:rPr>
        <w:t>Company</w:t>
      </w:r>
      <w:r>
        <w:rPr>
          <w:color w:val="231F20"/>
          <w:spacing w:val="-14"/>
          <w:sz w:val="18"/>
          <w:szCs w:val="18"/>
        </w:rPr>
        <w:t xml:space="preserve"> </w:t>
      </w:r>
      <w:r>
        <w:rPr>
          <w:color w:val="231F20"/>
          <w:sz w:val="18"/>
          <w:szCs w:val="18"/>
        </w:rPr>
        <w:t>will</w:t>
      </w:r>
      <w:r>
        <w:rPr>
          <w:color w:val="231F20"/>
          <w:spacing w:val="-13"/>
          <w:sz w:val="18"/>
          <w:szCs w:val="18"/>
        </w:rPr>
        <w:t xml:space="preserve"> </w:t>
      </w:r>
      <w:r>
        <w:rPr>
          <w:color w:val="231F20"/>
          <w:sz w:val="18"/>
          <w:szCs w:val="18"/>
        </w:rPr>
        <w:t>not</w:t>
      </w:r>
      <w:r>
        <w:rPr>
          <w:color w:val="231F20"/>
          <w:spacing w:val="-16"/>
          <w:sz w:val="18"/>
          <w:szCs w:val="18"/>
        </w:rPr>
        <w:t xml:space="preserve"> </w:t>
      </w:r>
      <w:r>
        <w:rPr>
          <w:color w:val="231F20"/>
          <w:sz w:val="18"/>
          <w:szCs w:val="18"/>
        </w:rPr>
        <w:t>be</w:t>
      </w:r>
      <w:r>
        <w:rPr>
          <w:color w:val="231F20"/>
          <w:spacing w:val="-13"/>
          <w:sz w:val="18"/>
          <w:szCs w:val="18"/>
        </w:rPr>
        <w:t xml:space="preserve"> </w:t>
      </w:r>
      <w:r>
        <w:rPr>
          <w:color w:val="231F20"/>
          <w:sz w:val="18"/>
          <w:szCs w:val="18"/>
        </w:rPr>
        <w:t>required</w:t>
      </w:r>
      <w:r>
        <w:rPr>
          <w:color w:val="231F20"/>
          <w:spacing w:val="-13"/>
          <w:sz w:val="18"/>
          <w:szCs w:val="18"/>
        </w:rPr>
        <w:t xml:space="preserve"> </w:t>
      </w:r>
      <w:r>
        <w:rPr>
          <w:color w:val="231F20"/>
          <w:sz w:val="18"/>
          <w:szCs w:val="18"/>
        </w:rPr>
        <w:t>to</w:t>
      </w:r>
      <w:r>
        <w:rPr>
          <w:color w:val="231F20"/>
          <w:spacing w:val="-15"/>
          <w:sz w:val="18"/>
          <w:szCs w:val="18"/>
        </w:rPr>
        <w:t xml:space="preserve"> </w:t>
      </w:r>
      <w:r>
        <w:rPr>
          <w:color w:val="231F20"/>
          <w:sz w:val="18"/>
          <w:szCs w:val="18"/>
        </w:rPr>
        <w:t>issue</w:t>
      </w:r>
      <w:r>
        <w:rPr>
          <w:color w:val="231F20"/>
          <w:spacing w:val="-16"/>
          <w:sz w:val="18"/>
          <w:szCs w:val="18"/>
        </w:rPr>
        <w:t xml:space="preserve"> </w:t>
      </w:r>
      <w:r>
        <w:rPr>
          <w:color w:val="231F20"/>
          <w:sz w:val="18"/>
          <w:szCs w:val="18"/>
        </w:rPr>
        <w:t>a</w:t>
      </w:r>
      <w:r>
        <w:rPr>
          <w:color w:val="231F20"/>
          <w:spacing w:val="-13"/>
          <w:sz w:val="18"/>
          <w:szCs w:val="18"/>
        </w:rPr>
        <w:t xml:space="preserve"> </w:t>
      </w:r>
      <w:r>
        <w:rPr>
          <w:color w:val="231F20"/>
          <w:sz w:val="18"/>
          <w:szCs w:val="18"/>
        </w:rPr>
        <w:t>certificate</w:t>
      </w:r>
      <w:r>
        <w:rPr>
          <w:color w:val="231F20"/>
          <w:spacing w:val="-13"/>
          <w:sz w:val="18"/>
          <w:szCs w:val="18"/>
        </w:rPr>
        <w:t xml:space="preserve"> </w:t>
      </w:r>
      <w:r>
        <w:rPr>
          <w:color w:val="231F20"/>
          <w:sz w:val="18"/>
          <w:szCs w:val="18"/>
        </w:rPr>
        <w:t>to</w:t>
      </w:r>
      <w:r>
        <w:rPr>
          <w:color w:val="231F20"/>
          <w:spacing w:val="-13"/>
          <w:sz w:val="18"/>
          <w:szCs w:val="18"/>
        </w:rPr>
        <w:t xml:space="preserve"> </w:t>
      </w:r>
      <w:r>
        <w:rPr>
          <w:color w:val="231F20"/>
          <w:sz w:val="18"/>
          <w:szCs w:val="18"/>
        </w:rPr>
        <w:t>any</w:t>
      </w:r>
      <w:r>
        <w:rPr>
          <w:color w:val="231F20"/>
          <w:spacing w:val="-14"/>
          <w:sz w:val="18"/>
          <w:szCs w:val="18"/>
        </w:rPr>
        <w:t xml:space="preserve"> </w:t>
      </w:r>
      <w:r>
        <w:rPr>
          <w:color w:val="231F20"/>
          <w:sz w:val="18"/>
          <w:szCs w:val="18"/>
        </w:rPr>
        <w:t>person</w:t>
      </w:r>
      <w:r>
        <w:rPr>
          <w:color w:val="231F20"/>
          <w:spacing w:val="-13"/>
          <w:sz w:val="18"/>
          <w:szCs w:val="18"/>
        </w:rPr>
        <w:t xml:space="preserve"> </w:t>
      </w:r>
      <w:r>
        <w:rPr>
          <w:color w:val="231F20"/>
          <w:sz w:val="18"/>
          <w:szCs w:val="18"/>
        </w:rPr>
        <w:t>holding</w:t>
      </w:r>
      <w:r>
        <w:rPr>
          <w:color w:val="231F20"/>
          <w:spacing w:val="-16"/>
          <w:sz w:val="18"/>
          <w:szCs w:val="18"/>
        </w:rPr>
        <w:t xml:space="preserve"> </w:t>
      </w:r>
      <w:r>
        <w:rPr>
          <w:color w:val="231F20"/>
          <w:sz w:val="18"/>
          <w:szCs w:val="18"/>
        </w:rPr>
        <w:t>such</w:t>
      </w:r>
      <w:r>
        <w:rPr>
          <w:color w:val="231F20"/>
          <w:spacing w:val="-16"/>
          <w:sz w:val="18"/>
          <w:szCs w:val="18"/>
        </w:rPr>
        <w:t xml:space="preserve"> </w:t>
      </w:r>
      <w:r>
        <w:rPr>
          <w:color w:val="231F20"/>
          <w:sz w:val="18"/>
          <w:szCs w:val="18"/>
        </w:rPr>
        <w:t>shares in uncertificated</w:t>
      </w:r>
      <w:r>
        <w:rPr>
          <w:color w:val="231F20"/>
          <w:spacing w:val="1"/>
          <w:sz w:val="18"/>
          <w:szCs w:val="18"/>
        </w:rPr>
        <w:t xml:space="preserve"> </w:t>
      </w:r>
      <w:r>
        <w:rPr>
          <w:color w:val="231F20"/>
          <w:sz w:val="18"/>
          <w:szCs w:val="18"/>
        </w:rPr>
        <w:t>form.</w:t>
      </w:r>
    </w:p>
    <w:p w14:paraId="480E64DE" w14:textId="77777777" w:rsidR="00783288" w:rsidRDefault="00783288">
      <w:pPr>
        <w:pStyle w:val="BodyText"/>
        <w:kinsoku w:val="0"/>
        <w:overflowPunct w:val="0"/>
        <w:spacing w:before="9"/>
        <w:rPr>
          <w:sz w:val="20"/>
          <w:szCs w:val="20"/>
        </w:rPr>
      </w:pPr>
    </w:p>
    <w:p w14:paraId="6B407110"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Variation of Rights</w:t>
      </w:r>
    </w:p>
    <w:p w14:paraId="223E598B" w14:textId="77777777" w:rsidR="00783288" w:rsidRDefault="00783288">
      <w:pPr>
        <w:pStyle w:val="BodyText"/>
        <w:kinsoku w:val="0"/>
        <w:overflowPunct w:val="0"/>
        <w:spacing w:before="9"/>
        <w:rPr>
          <w:sz w:val="20"/>
          <w:szCs w:val="20"/>
        </w:rPr>
      </w:pPr>
    </w:p>
    <w:p w14:paraId="4CFDDE2C"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Subject to applicable law (including the Companies Act), shares in the Company may be allotted with such preferred, deferred, or other rights, or restrictions, as the Company may from time to time by ordinary resolution, or the Board,</w:t>
      </w:r>
      <w:r>
        <w:rPr>
          <w:color w:val="231F20"/>
          <w:spacing w:val="-7"/>
          <w:sz w:val="18"/>
          <w:szCs w:val="18"/>
        </w:rPr>
        <w:t xml:space="preserve"> </w:t>
      </w:r>
      <w:r>
        <w:rPr>
          <w:color w:val="231F20"/>
          <w:sz w:val="18"/>
          <w:szCs w:val="18"/>
        </w:rPr>
        <w:t>determines.</w:t>
      </w:r>
    </w:p>
    <w:p w14:paraId="42410C0F" w14:textId="77777777" w:rsidR="00783288" w:rsidRDefault="00783288">
      <w:pPr>
        <w:pStyle w:val="BodyText"/>
        <w:kinsoku w:val="0"/>
        <w:overflowPunct w:val="0"/>
        <w:spacing w:before="11"/>
        <w:rPr>
          <w:sz w:val="20"/>
          <w:szCs w:val="20"/>
        </w:rPr>
      </w:pPr>
    </w:p>
    <w:p w14:paraId="54787FA1" w14:textId="7436861B" w:rsidR="00783288" w:rsidRDefault="00E31420" w:rsidP="00512495">
      <w:pPr>
        <w:pStyle w:val="ListParagraph"/>
        <w:numPr>
          <w:ilvl w:val="2"/>
          <w:numId w:val="13"/>
        </w:numPr>
        <w:tabs>
          <w:tab w:val="left" w:pos="1822"/>
        </w:tabs>
        <w:kinsoku w:val="0"/>
        <w:overflowPunct w:val="0"/>
        <w:ind w:right="1036"/>
        <w:jc w:val="both"/>
        <w:rPr>
          <w:color w:val="231F20"/>
          <w:sz w:val="18"/>
          <w:szCs w:val="18"/>
        </w:rPr>
      </w:pPr>
      <w:r>
        <w:rPr>
          <w:color w:val="231F20"/>
          <w:sz w:val="18"/>
          <w:szCs w:val="18"/>
        </w:rPr>
        <w:t>If at any time the capital of the Company is divided into different classes of shares, the rights attached to any class may be varied or abrogated with the consent in writing of the holders of at least</w:t>
      </w:r>
      <w:r>
        <w:rPr>
          <w:color w:val="231F20"/>
          <w:spacing w:val="-12"/>
          <w:sz w:val="18"/>
          <w:szCs w:val="18"/>
        </w:rPr>
        <w:t xml:space="preserve"> </w:t>
      </w:r>
      <w:r>
        <w:rPr>
          <w:color w:val="231F20"/>
          <w:sz w:val="18"/>
          <w:szCs w:val="18"/>
        </w:rPr>
        <w:t>three</w:t>
      </w:r>
      <w:r>
        <w:rPr>
          <w:color w:val="231F20"/>
          <w:spacing w:val="-11"/>
          <w:sz w:val="18"/>
          <w:szCs w:val="18"/>
        </w:rPr>
        <w:t xml:space="preserve"> </w:t>
      </w:r>
      <w:r>
        <w:rPr>
          <w:color w:val="231F20"/>
          <w:sz w:val="18"/>
          <w:szCs w:val="18"/>
        </w:rPr>
        <w:t>fourths</w:t>
      </w:r>
      <w:r>
        <w:rPr>
          <w:color w:val="231F20"/>
          <w:spacing w:val="-10"/>
          <w:sz w:val="18"/>
          <w:szCs w:val="18"/>
        </w:rPr>
        <w:t xml:space="preserve"> </w:t>
      </w:r>
      <w:r>
        <w:rPr>
          <w:color w:val="231F20"/>
          <w:sz w:val="18"/>
          <w:szCs w:val="18"/>
        </w:rPr>
        <w:t>in</w:t>
      </w:r>
      <w:r>
        <w:rPr>
          <w:color w:val="231F20"/>
          <w:spacing w:val="-13"/>
          <w:sz w:val="18"/>
          <w:szCs w:val="18"/>
        </w:rPr>
        <w:t xml:space="preserve"> </w:t>
      </w:r>
      <w:r>
        <w:rPr>
          <w:color w:val="231F20"/>
          <w:sz w:val="18"/>
          <w:szCs w:val="18"/>
        </w:rPr>
        <w:t>nominal</w:t>
      </w:r>
      <w:r>
        <w:rPr>
          <w:color w:val="231F20"/>
          <w:spacing w:val="-11"/>
          <w:sz w:val="18"/>
          <w:szCs w:val="18"/>
        </w:rPr>
        <w:t xml:space="preserve"> </w:t>
      </w:r>
      <w:r>
        <w:rPr>
          <w:color w:val="231F20"/>
          <w:sz w:val="18"/>
          <w:szCs w:val="18"/>
        </w:rPr>
        <w:t>value</w:t>
      </w:r>
      <w:r>
        <w:rPr>
          <w:color w:val="231F20"/>
          <w:spacing w:val="-14"/>
          <w:sz w:val="18"/>
          <w:szCs w:val="18"/>
        </w:rPr>
        <w:t xml:space="preserve"> </w:t>
      </w:r>
      <w:r>
        <w:rPr>
          <w:color w:val="231F20"/>
          <w:sz w:val="18"/>
          <w:szCs w:val="18"/>
        </w:rPr>
        <w:t>of</w:t>
      </w:r>
      <w:r>
        <w:rPr>
          <w:color w:val="231F20"/>
          <w:spacing w:val="-11"/>
          <w:sz w:val="18"/>
          <w:szCs w:val="18"/>
        </w:rPr>
        <w:t xml:space="preserve"> </w:t>
      </w:r>
      <w:r>
        <w:rPr>
          <w:color w:val="231F20"/>
          <w:sz w:val="18"/>
          <w:szCs w:val="18"/>
        </w:rPr>
        <w:t>that</w:t>
      </w:r>
      <w:r>
        <w:rPr>
          <w:color w:val="231F20"/>
          <w:spacing w:val="-14"/>
          <w:sz w:val="18"/>
          <w:szCs w:val="18"/>
        </w:rPr>
        <w:t xml:space="preserve"> </w:t>
      </w:r>
      <w:r>
        <w:rPr>
          <w:color w:val="231F20"/>
          <w:sz w:val="18"/>
          <w:szCs w:val="18"/>
        </w:rPr>
        <w:t>class</w:t>
      </w:r>
      <w:r>
        <w:rPr>
          <w:color w:val="231F20"/>
          <w:spacing w:val="-13"/>
          <w:sz w:val="18"/>
          <w:szCs w:val="18"/>
        </w:rPr>
        <w:t xml:space="preserve"> </w:t>
      </w:r>
      <w:r>
        <w:rPr>
          <w:color w:val="231F20"/>
          <w:sz w:val="18"/>
          <w:szCs w:val="18"/>
        </w:rPr>
        <w:t>or</w:t>
      </w:r>
      <w:r>
        <w:rPr>
          <w:color w:val="231F20"/>
          <w:spacing w:val="-12"/>
          <w:sz w:val="18"/>
          <w:szCs w:val="18"/>
        </w:rPr>
        <w:t xml:space="preserve"> </w:t>
      </w:r>
      <w:r>
        <w:rPr>
          <w:color w:val="231F20"/>
          <w:sz w:val="18"/>
          <w:szCs w:val="18"/>
        </w:rPr>
        <w:t>with</w:t>
      </w:r>
      <w:r>
        <w:rPr>
          <w:color w:val="231F20"/>
          <w:spacing w:val="-11"/>
          <w:sz w:val="18"/>
          <w:szCs w:val="18"/>
        </w:rPr>
        <w:t xml:space="preserve"> </w:t>
      </w:r>
      <w:r>
        <w:rPr>
          <w:color w:val="231F20"/>
          <w:sz w:val="18"/>
          <w:szCs w:val="18"/>
        </w:rPr>
        <w:t>the</w:t>
      </w:r>
      <w:r>
        <w:rPr>
          <w:color w:val="231F20"/>
          <w:spacing w:val="-12"/>
          <w:sz w:val="18"/>
          <w:szCs w:val="18"/>
        </w:rPr>
        <w:t xml:space="preserve"> </w:t>
      </w:r>
      <w:r>
        <w:rPr>
          <w:color w:val="231F20"/>
          <w:sz w:val="18"/>
          <w:szCs w:val="18"/>
        </w:rPr>
        <w:t>sanction</w:t>
      </w:r>
      <w:r>
        <w:rPr>
          <w:color w:val="231F20"/>
          <w:spacing w:val="-12"/>
          <w:sz w:val="18"/>
          <w:szCs w:val="18"/>
        </w:rPr>
        <w:t xml:space="preserve"> </w:t>
      </w:r>
      <w:r>
        <w:rPr>
          <w:color w:val="231F20"/>
          <w:sz w:val="18"/>
          <w:szCs w:val="18"/>
        </w:rPr>
        <w:t>of</w:t>
      </w:r>
      <w:r>
        <w:rPr>
          <w:color w:val="231F20"/>
          <w:spacing w:val="-14"/>
          <w:sz w:val="18"/>
          <w:szCs w:val="18"/>
        </w:rPr>
        <w:t xml:space="preserve"> </w:t>
      </w:r>
      <w:r>
        <w:rPr>
          <w:color w:val="231F20"/>
          <w:sz w:val="18"/>
          <w:szCs w:val="18"/>
        </w:rPr>
        <w:t>a</w:t>
      </w:r>
      <w:r>
        <w:rPr>
          <w:color w:val="231F20"/>
          <w:spacing w:val="-13"/>
          <w:sz w:val="18"/>
          <w:szCs w:val="18"/>
        </w:rPr>
        <w:t xml:space="preserve"> </w:t>
      </w:r>
      <w:r w:rsidR="00FC5BE4">
        <w:rPr>
          <w:color w:val="231F20"/>
          <w:sz w:val="18"/>
          <w:szCs w:val="18"/>
        </w:rPr>
        <w:t>S</w:t>
      </w:r>
      <w:r>
        <w:rPr>
          <w:color w:val="231F20"/>
          <w:sz w:val="18"/>
          <w:szCs w:val="18"/>
        </w:rPr>
        <w:t>pecial</w:t>
      </w:r>
      <w:r>
        <w:rPr>
          <w:color w:val="231F20"/>
          <w:spacing w:val="-11"/>
          <w:sz w:val="18"/>
          <w:szCs w:val="18"/>
        </w:rPr>
        <w:t xml:space="preserve"> </w:t>
      </w:r>
      <w:r w:rsidR="00FC5BE4">
        <w:rPr>
          <w:color w:val="231F20"/>
          <w:sz w:val="18"/>
          <w:szCs w:val="18"/>
        </w:rPr>
        <w:t>R</w:t>
      </w:r>
      <w:r>
        <w:rPr>
          <w:color w:val="231F20"/>
          <w:sz w:val="18"/>
          <w:szCs w:val="18"/>
        </w:rPr>
        <w:t>esolution</w:t>
      </w:r>
      <w:r>
        <w:rPr>
          <w:color w:val="231F20"/>
          <w:spacing w:val="-11"/>
          <w:sz w:val="18"/>
          <w:szCs w:val="18"/>
        </w:rPr>
        <w:t xml:space="preserve"> </w:t>
      </w:r>
      <w:r>
        <w:rPr>
          <w:color w:val="231F20"/>
          <w:sz w:val="18"/>
          <w:szCs w:val="18"/>
        </w:rPr>
        <w:t>passed at a separate meeting of the holders of that class but not</w:t>
      </w:r>
      <w:r>
        <w:rPr>
          <w:color w:val="231F20"/>
          <w:spacing w:val="-14"/>
          <w:sz w:val="18"/>
          <w:szCs w:val="18"/>
        </w:rPr>
        <w:t xml:space="preserve"> </w:t>
      </w:r>
      <w:r>
        <w:rPr>
          <w:color w:val="231F20"/>
          <w:sz w:val="18"/>
          <w:szCs w:val="18"/>
        </w:rPr>
        <w:t>otherwise.</w:t>
      </w:r>
    </w:p>
    <w:p w14:paraId="2DC517B6" w14:textId="77777777" w:rsidR="00783288" w:rsidRDefault="00783288">
      <w:pPr>
        <w:pStyle w:val="BodyText"/>
        <w:kinsoku w:val="0"/>
        <w:overflowPunct w:val="0"/>
        <w:spacing w:before="10"/>
        <w:rPr>
          <w:sz w:val="20"/>
          <w:szCs w:val="20"/>
        </w:rPr>
      </w:pPr>
    </w:p>
    <w:p w14:paraId="7D2B5AE2"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lastRenderedPageBreak/>
        <w:t>Share Capital and Changes in</w:t>
      </w:r>
      <w:r>
        <w:rPr>
          <w:color w:val="231F20"/>
          <w:spacing w:val="-1"/>
          <w:sz w:val="18"/>
          <w:szCs w:val="18"/>
        </w:rPr>
        <w:t xml:space="preserve"> </w:t>
      </w:r>
      <w:r>
        <w:rPr>
          <w:color w:val="231F20"/>
          <w:sz w:val="18"/>
          <w:szCs w:val="18"/>
        </w:rPr>
        <w:t>Capital</w:t>
      </w:r>
    </w:p>
    <w:p w14:paraId="034A9208" w14:textId="77777777" w:rsidR="00783288" w:rsidRDefault="00783288">
      <w:pPr>
        <w:pStyle w:val="BodyText"/>
        <w:kinsoku w:val="0"/>
        <w:overflowPunct w:val="0"/>
        <w:spacing w:before="9"/>
        <w:rPr>
          <w:sz w:val="20"/>
          <w:szCs w:val="20"/>
        </w:rPr>
      </w:pPr>
    </w:p>
    <w:p w14:paraId="5ED0EF2E"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Subject</w:t>
      </w:r>
      <w:r>
        <w:rPr>
          <w:color w:val="231F20"/>
          <w:spacing w:val="-13"/>
          <w:sz w:val="18"/>
          <w:szCs w:val="18"/>
        </w:rPr>
        <w:t xml:space="preserve"> </w:t>
      </w:r>
      <w:r>
        <w:rPr>
          <w:color w:val="231F20"/>
          <w:sz w:val="18"/>
          <w:szCs w:val="18"/>
        </w:rPr>
        <w:t>to</w:t>
      </w:r>
      <w:r>
        <w:rPr>
          <w:color w:val="231F20"/>
          <w:spacing w:val="-15"/>
          <w:sz w:val="18"/>
          <w:szCs w:val="18"/>
        </w:rPr>
        <w:t xml:space="preserve"> </w:t>
      </w:r>
      <w:r>
        <w:rPr>
          <w:color w:val="231F20"/>
          <w:sz w:val="18"/>
          <w:szCs w:val="18"/>
        </w:rPr>
        <w:t>applicable</w:t>
      </w:r>
      <w:r>
        <w:rPr>
          <w:color w:val="231F20"/>
          <w:spacing w:val="-12"/>
          <w:sz w:val="18"/>
          <w:szCs w:val="18"/>
        </w:rPr>
        <w:t xml:space="preserve"> </w:t>
      </w:r>
      <w:r>
        <w:rPr>
          <w:color w:val="231F20"/>
          <w:sz w:val="18"/>
          <w:szCs w:val="18"/>
        </w:rPr>
        <w:t>law</w:t>
      </w:r>
      <w:r>
        <w:rPr>
          <w:color w:val="231F20"/>
          <w:spacing w:val="-16"/>
          <w:sz w:val="18"/>
          <w:szCs w:val="18"/>
        </w:rPr>
        <w:t xml:space="preserve"> </w:t>
      </w:r>
      <w:r>
        <w:rPr>
          <w:color w:val="231F20"/>
          <w:sz w:val="18"/>
          <w:szCs w:val="18"/>
        </w:rPr>
        <w:t>(including</w:t>
      </w:r>
      <w:r>
        <w:rPr>
          <w:color w:val="231F20"/>
          <w:spacing w:val="-12"/>
          <w:sz w:val="18"/>
          <w:szCs w:val="18"/>
        </w:rPr>
        <w:t xml:space="preserve"> </w:t>
      </w:r>
      <w:r>
        <w:rPr>
          <w:color w:val="231F20"/>
          <w:sz w:val="18"/>
          <w:szCs w:val="18"/>
        </w:rPr>
        <w:t>the</w:t>
      </w:r>
      <w:r>
        <w:rPr>
          <w:color w:val="231F20"/>
          <w:spacing w:val="-12"/>
          <w:sz w:val="18"/>
          <w:szCs w:val="18"/>
        </w:rPr>
        <w:t xml:space="preserve"> </w:t>
      </w:r>
      <w:r>
        <w:rPr>
          <w:color w:val="231F20"/>
          <w:sz w:val="18"/>
          <w:szCs w:val="18"/>
        </w:rPr>
        <w:t>Companies</w:t>
      </w:r>
      <w:r>
        <w:rPr>
          <w:color w:val="231F20"/>
          <w:spacing w:val="-12"/>
          <w:sz w:val="18"/>
          <w:szCs w:val="18"/>
        </w:rPr>
        <w:t xml:space="preserve"> </w:t>
      </w:r>
      <w:r>
        <w:rPr>
          <w:color w:val="231F20"/>
          <w:sz w:val="18"/>
          <w:szCs w:val="18"/>
        </w:rPr>
        <w:t>Act),</w:t>
      </w:r>
      <w:r>
        <w:rPr>
          <w:color w:val="231F20"/>
          <w:spacing w:val="-11"/>
          <w:sz w:val="18"/>
          <w:szCs w:val="18"/>
        </w:rPr>
        <w:t xml:space="preserve"> </w:t>
      </w:r>
      <w:r>
        <w:rPr>
          <w:color w:val="231F20"/>
          <w:sz w:val="18"/>
          <w:szCs w:val="18"/>
        </w:rPr>
        <w:t>the</w:t>
      </w:r>
      <w:r>
        <w:rPr>
          <w:color w:val="231F20"/>
          <w:spacing w:val="-15"/>
          <w:sz w:val="18"/>
          <w:szCs w:val="18"/>
        </w:rPr>
        <w:t xml:space="preserve"> </w:t>
      </w:r>
      <w:r>
        <w:rPr>
          <w:color w:val="231F20"/>
          <w:sz w:val="18"/>
          <w:szCs w:val="18"/>
        </w:rPr>
        <w:t>Company</w:t>
      </w:r>
      <w:r>
        <w:rPr>
          <w:color w:val="231F20"/>
          <w:spacing w:val="-13"/>
          <w:sz w:val="18"/>
          <w:szCs w:val="18"/>
        </w:rPr>
        <w:t xml:space="preserve"> </w:t>
      </w:r>
      <w:r>
        <w:rPr>
          <w:color w:val="231F20"/>
          <w:sz w:val="18"/>
          <w:szCs w:val="18"/>
        </w:rPr>
        <w:t>may</w:t>
      </w:r>
      <w:r>
        <w:rPr>
          <w:color w:val="231F20"/>
          <w:spacing w:val="-14"/>
          <w:sz w:val="18"/>
          <w:szCs w:val="18"/>
        </w:rPr>
        <w:t xml:space="preserve"> </w:t>
      </w:r>
      <w:r>
        <w:rPr>
          <w:color w:val="231F20"/>
          <w:sz w:val="18"/>
          <w:szCs w:val="18"/>
        </w:rPr>
        <w:t>by</w:t>
      </w:r>
      <w:r>
        <w:rPr>
          <w:color w:val="231F20"/>
          <w:spacing w:val="-14"/>
          <w:sz w:val="18"/>
          <w:szCs w:val="18"/>
        </w:rPr>
        <w:t xml:space="preserve"> </w:t>
      </w:r>
      <w:r>
        <w:rPr>
          <w:color w:val="231F20"/>
          <w:sz w:val="18"/>
          <w:szCs w:val="18"/>
        </w:rPr>
        <w:t>ordinary</w:t>
      </w:r>
      <w:r>
        <w:rPr>
          <w:color w:val="231F20"/>
          <w:spacing w:val="-14"/>
          <w:sz w:val="18"/>
          <w:szCs w:val="18"/>
        </w:rPr>
        <w:t xml:space="preserve"> </w:t>
      </w:r>
      <w:r>
        <w:rPr>
          <w:color w:val="231F20"/>
          <w:sz w:val="18"/>
          <w:szCs w:val="18"/>
        </w:rPr>
        <w:t>resolution:</w:t>
      </w:r>
    </w:p>
    <w:p w14:paraId="1074B359" w14:textId="77777777" w:rsidR="00783288" w:rsidRDefault="00783288">
      <w:pPr>
        <w:pStyle w:val="BodyText"/>
        <w:kinsoku w:val="0"/>
        <w:overflowPunct w:val="0"/>
        <w:spacing w:before="10"/>
        <w:rPr>
          <w:sz w:val="20"/>
          <w:szCs w:val="20"/>
        </w:rPr>
      </w:pPr>
    </w:p>
    <w:p w14:paraId="68111C92" w14:textId="77777777" w:rsidR="00783288" w:rsidRDefault="00E31420" w:rsidP="00512495">
      <w:pPr>
        <w:pStyle w:val="ListParagraph"/>
        <w:numPr>
          <w:ilvl w:val="0"/>
          <w:numId w:val="9"/>
        </w:numPr>
        <w:tabs>
          <w:tab w:val="left" w:pos="2182"/>
        </w:tabs>
        <w:kinsoku w:val="0"/>
        <w:overflowPunct w:val="0"/>
        <w:ind w:right="1038"/>
        <w:jc w:val="both"/>
        <w:rPr>
          <w:color w:val="231F20"/>
          <w:sz w:val="18"/>
          <w:szCs w:val="18"/>
        </w:rPr>
      </w:pPr>
      <w:r>
        <w:rPr>
          <w:color w:val="231F20"/>
          <w:sz w:val="18"/>
          <w:szCs w:val="18"/>
        </w:rPr>
        <w:t>consolidate</w:t>
      </w:r>
      <w:r>
        <w:rPr>
          <w:color w:val="231F20"/>
          <w:spacing w:val="-9"/>
          <w:sz w:val="18"/>
          <w:szCs w:val="18"/>
        </w:rPr>
        <w:t xml:space="preserve"> </w:t>
      </w:r>
      <w:r>
        <w:rPr>
          <w:color w:val="231F20"/>
          <w:sz w:val="18"/>
          <w:szCs w:val="18"/>
        </w:rPr>
        <w:t>and</w:t>
      </w:r>
      <w:r>
        <w:rPr>
          <w:color w:val="231F20"/>
          <w:spacing w:val="-11"/>
          <w:sz w:val="18"/>
          <w:szCs w:val="18"/>
        </w:rPr>
        <w:t xml:space="preserve"> </w:t>
      </w:r>
      <w:r>
        <w:rPr>
          <w:color w:val="231F20"/>
          <w:sz w:val="18"/>
          <w:szCs w:val="18"/>
        </w:rPr>
        <w:t>divide</w:t>
      </w:r>
      <w:r>
        <w:rPr>
          <w:color w:val="231F20"/>
          <w:spacing w:val="-11"/>
          <w:sz w:val="18"/>
          <w:szCs w:val="18"/>
        </w:rPr>
        <w:t xml:space="preserve"> </w:t>
      </w:r>
      <w:r>
        <w:rPr>
          <w:color w:val="231F20"/>
          <w:sz w:val="18"/>
          <w:szCs w:val="18"/>
        </w:rPr>
        <w:t>all</w:t>
      </w:r>
      <w:r>
        <w:rPr>
          <w:color w:val="231F20"/>
          <w:spacing w:val="-10"/>
          <w:sz w:val="18"/>
          <w:szCs w:val="18"/>
        </w:rPr>
        <w:t xml:space="preserve"> </w:t>
      </w:r>
      <w:r>
        <w:rPr>
          <w:color w:val="231F20"/>
          <w:sz w:val="18"/>
          <w:szCs w:val="18"/>
        </w:rPr>
        <w:t>or</w:t>
      </w:r>
      <w:r>
        <w:rPr>
          <w:color w:val="231F20"/>
          <w:spacing w:val="-9"/>
          <w:sz w:val="18"/>
          <w:szCs w:val="18"/>
        </w:rPr>
        <w:t xml:space="preserve"> </w:t>
      </w:r>
      <w:r>
        <w:rPr>
          <w:color w:val="231F20"/>
          <w:sz w:val="18"/>
          <w:szCs w:val="18"/>
        </w:rPr>
        <w:t>any</w:t>
      </w:r>
      <w:r>
        <w:rPr>
          <w:color w:val="231F20"/>
          <w:spacing w:val="-10"/>
          <w:sz w:val="18"/>
          <w:szCs w:val="18"/>
        </w:rPr>
        <w:t xml:space="preserve"> </w:t>
      </w:r>
      <w:r>
        <w:rPr>
          <w:color w:val="231F20"/>
          <w:sz w:val="18"/>
          <w:szCs w:val="18"/>
        </w:rPr>
        <w:t>of</w:t>
      </w:r>
      <w:r>
        <w:rPr>
          <w:color w:val="231F20"/>
          <w:spacing w:val="-8"/>
          <w:sz w:val="18"/>
          <w:szCs w:val="18"/>
        </w:rPr>
        <w:t xml:space="preserve"> </w:t>
      </w:r>
      <w:r>
        <w:rPr>
          <w:color w:val="231F20"/>
          <w:sz w:val="18"/>
          <w:szCs w:val="18"/>
        </w:rPr>
        <w:t>its</w:t>
      </w:r>
      <w:r>
        <w:rPr>
          <w:color w:val="231F20"/>
          <w:spacing w:val="-8"/>
          <w:sz w:val="18"/>
          <w:szCs w:val="18"/>
        </w:rPr>
        <w:t xml:space="preserve"> </w:t>
      </w:r>
      <w:r>
        <w:rPr>
          <w:color w:val="231F20"/>
          <w:sz w:val="18"/>
          <w:szCs w:val="18"/>
        </w:rPr>
        <w:t>share</w:t>
      </w:r>
      <w:r>
        <w:rPr>
          <w:color w:val="231F20"/>
          <w:spacing w:val="-11"/>
          <w:sz w:val="18"/>
          <w:szCs w:val="18"/>
        </w:rPr>
        <w:t xml:space="preserve"> </w:t>
      </w:r>
      <w:r>
        <w:rPr>
          <w:color w:val="231F20"/>
          <w:sz w:val="18"/>
          <w:szCs w:val="18"/>
        </w:rPr>
        <w:t>capital</w:t>
      </w:r>
      <w:r>
        <w:rPr>
          <w:color w:val="231F20"/>
          <w:spacing w:val="-10"/>
          <w:sz w:val="18"/>
          <w:szCs w:val="18"/>
        </w:rPr>
        <w:t xml:space="preserve"> </w:t>
      </w:r>
      <w:r>
        <w:rPr>
          <w:color w:val="231F20"/>
          <w:sz w:val="18"/>
          <w:szCs w:val="18"/>
        </w:rPr>
        <w:t>into</w:t>
      </w:r>
      <w:r>
        <w:rPr>
          <w:color w:val="231F20"/>
          <w:spacing w:val="-9"/>
          <w:sz w:val="18"/>
          <w:szCs w:val="18"/>
        </w:rPr>
        <w:t xml:space="preserve"> </w:t>
      </w:r>
      <w:r>
        <w:rPr>
          <w:color w:val="231F20"/>
          <w:sz w:val="18"/>
          <w:szCs w:val="18"/>
        </w:rPr>
        <w:t>shares</w:t>
      </w:r>
      <w:r>
        <w:rPr>
          <w:color w:val="231F20"/>
          <w:spacing w:val="-8"/>
          <w:sz w:val="18"/>
          <w:szCs w:val="18"/>
        </w:rPr>
        <w:t xml:space="preserve"> </w:t>
      </w:r>
      <w:r>
        <w:rPr>
          <w:color w:val="231F20"/>
          <w:sz w:val="18"/>
          <w:szCs w:val="18"/>
        </w:rPr>
        <w:t>of</w:t>
      </w:r>
      <w:r>
        <w:rPr>
          <w:color w:val="231F20"/>
          <w:spacing w:val="-9"/>
          <w:sz w:val="18"/>
          <w:szCs w:val="18"/>
        </w:rPr>
        <w:t xml:space="preserve"> </w:t>
      </w:r>
      <w:r>
        <w:rPr>
          <w:color w:val="231F20"/>
          <w:sz w:val="18"/>
          <w:szCs w:val="18"/>
        </w:rPr>
        <w:t>a</w:t>
      </w:r>
      <w:r>
        <w:rPr>
          <w:color w:val="231F20"/>
          <w:spacing w:val="-8"/>
          <w:sz w:val="18"/>
          <w:szCs w:val="18"/>
        </w:rPr>
        <w:t xml:space="preserve"> </w:t>
      </w:r>
      <w:r>
        <w:rPr>
          <w:color w:val="231F20"/>
          <w:sz w:val="18"/>
          <w:szCs w:val="18"/>
        </w:rPr>
        <w:t>larger</w:t>
      </w:r>
      <w:r>
        <w:rPr>
          <w:color w:val="231F20"/>
          <w:spacing w:val="-12"/>
          <w:sz w:val="18"/>
          <w:szCs w:val="18"/>
        </w:rPr>
        <w:t xml:space="preserve"> </w:t>
      </w:r>
      <w:r>
        <w:rPr>
          <w:color w:val="231F20"/>
          <w:sz w:val="18"/>
          <w:szCs w:val="18"/>
        </w:rPr>
        <w:t>nominal</w:t>
      </w:r>
      <w:r>
        <w:rPr>
          <w:color w:val="231F20"/>
          <w:spacing w:val="-8"/>
          <w:sz w:val="18"/>
          <w:szCs w:val="18"/>
        </w:rPr>
        <w:t xml:space="preserve"> </w:t>
      </w:r>
      <w:r>
        <w:rPr>
          <w:color w:val="231F20"/>
          <w:sz w:val="18"/>
          <w:szCs w:val="18"/>
        </w:rPr>
        <w:t>value</w:t>
      </w:r>
      <w:r>
        <w:rPr>
          <w:color w:val="231F20"/>
          <w:spacing w:val="-8"/>
          <w:sz w:val="18"/>
          <w:szCs w:val="18"/>
        </w:rPr>
        <w:t xml:space="preserve"> </w:t>
      </w:r>
      <w:r>
        <w:rPr>
          <w:color w:val="231F20"/>
          <w:sz w:val="18"/>
          <w:szCs w:val="18"/>
        </w:rPr>
        <w:t>than its existing shares;</w:t>
      </w:r>
      <w:r>
        <w:rPr>
          <w:color w:val="231F20"/>
          <w:spacing w:val="1"/>
          <w:sz w:val="18"/>
          <w:szCs w:val="18"/>
        </w:rPr>
        <w:t xml:space="preserve"> </w:t>
      </w:r>
      <w:r>
        <w:rPr>
          <w:color w:val="231F20"/>
          <w:sz w:val="18"/>
          <w:szCs w:val="18"/>
        </w:rPr>
        <w:t>and</w:t>
      </w:r>
    </w:p>
    <w:p w14:paraId="7381F290" w14:textId="77777777" w:rsidR="00783288" w:rsidRDefault="00783288">
      <w:pPr>
        <w:pStyle w:val="BodyText"/>
        <w:kinsoku w:val="0"/>
        <w:overflowPunct w:val="0"/>
        <w:spacing w:before="11"/>
        <w:rPr>
          <w:sz w:val="20"/>
          <w:szCs w:val="20"/>
        </w:rPr>
      </w:pPr>
    </w:p>
    <w:p w14:paraId="5B43833C" w14:textId="77777777" w:rsidR="00783288" w:rsidRDefault="00E31420" w:rsidP="00512495">
      <w:pPr>
        <w:pStyle w:val="ListParagraph"/>
        <w:numPr>
          <w:ilvl w:val="0"/>
          <w:numId w:val="9"/>
        </w:numPr>
        <w:tabs>
          <w:tab w:val="left" w:pos="2182"/>
        </w:tabs>
        <w:kinsoku w:val="0"/>
        <w:overflowPunct w:val="0"/>
        <w:ind w:right="1035"/>
        <w:jc w:val="both"/>
        <w:rPr>
          <w:color w:val="231F20"/>
          <w:sz w:val="18"/>
          <w:szCs w:val="18"/>
        </w:rPr>
      </w:pPr>
      <w:r>
        <w:rPr>
          <w:color w:val="231F20"/>
          <w:sz w:val="18"/>
          <w:szCs w:val="18"/>
        </w:rPr>
        <w:t>subdivide its shares, or any of them, into shares of smaller nominal value and the resolution may determine that one or more of the shares arising from the subdivision may have such preferred or other special rights or may have such deferred or be subject to any such restriction as the Company has the power to attach to</w:t>
      </w:r>
      <w:r>
        <w:rPr>
          <w:color w:val="231F20"/>
          <w:spacing w:val="-4"/>
          <w:sz w:val="18"/>
          <w:szCs w:val="18"/>
        </w:rPr>
        <w:t xml:space="preserve"> </w:t>
      </w:r>
      <w:r>
        <w:rPr>
          <w:color w:val="231F20"/>
          <w:sz w:val="18"/>
          <w:szCs w:val="18"/>
        </w:rPr>
        <w:t>shares.</w:t>
      </w:r>
    </w:p>
    <w:p w14:paraId="480E77A1" w14:textId="77777777" w:rsidR="00783288" w:rsidRDefault="00783288">
      <w:pPr>
        <w:pStyle w:val="BodyText"/>
        <w:kinsoku w:val="0"/>
        <w:overflowPunct w:val="0"/>
        <w:spacing w:before="10"/>
        <w:rPr>
          <w:sz w:val="20"/>
          <w:szCs w:val="20"/>
        </w:rPr>
      </w:pPr>
    </w:p>
    <w:p w14:paraId="6E10255D"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Allotment of</w:t>
      </w:r>
      <w:r>
        <w:rPr>
          <w:color w:val="231F20"/>
          <w:spacing w:val="-3"/>
          <w:sz w:val="18"/>
          <w:szCs w:val="18"/>
        </w:rPr>
        <w:t xml:space="preserve"> </w:t>
      </w:r>
      <w:r>
        <w:rPr>
          <w:color w:val="231F20"/>
          <w:sz w:val="18"/>
          <w:szCs w:val="18"/>
        </w:rPr>
        <w:t>Shares</w:t>
      </w:r>
    </w:p>
    <w:p w14:paraId="7C7664BB" w14:textId="77777777" w:rsidR="00783288" w:rsidRDefault="00783288">
      <w:pPr>
        <w:pStyle w:val="BodyText"/>
        <w:kinsoku w:val="0"/>
        <w:overflowPunct w:val="0"/>
        <w:spacing w:before="9"/>
        <w:rPr>
          <w:sz w:val="20"/>
          <w:szCs w:val="20"/>
        </w:rPr>
      </w:pPr>
    </w:p>
    <w:p w14:paraId="65035530"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The Board has unconditional authority (subject to the Companies Act and authority of the Company in general meeting) to allot, grant options over, issue warrants or otherwise deal or dispose of any shares to such persons, at such times and such terms as they</w:t>
      </w:r>
      <w:r>
        <w:rPr>
          <w:color w:val="231F20"/>
          <w:spacing w:val="-25"/>
          <w:sz w:val="18"/>
          <w:szCs w:val="18"/>
        </w:rPr>
        <w:t xml:space="preserve"> </w:t>
      </w:r>
      <w:r>
        <w:rPr>
          <w:color w:val="231F20"/>
          <w:sz w:val="18"/>
          <w:szCs w:val="18"/>
        </w:rPr>
        <w:t>determine.</w:t>
      </w:r>
    </w:p>
    <w:p w14:paraId="4BE80AFF" w14:textId="77777777" w:rsidR="00783288" w:rsidRDefault="00783288">
      <w:pPr>
        <w:pStyle w:val="BodyText"/>
        <w:kinsoku w:val="0"/>
        <w:overflowPunct w:val="0"/>
        <w:spacing w:before="8"/>
        <w:rPr>
          <w:sz w:val="20"/>
          <w:szCs w:val="20"/>
        </w:rPr>
      </w:pPr>
    </w:p>
    <w:p w14:paraId="1FFABC72"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 xml:space="preserve">The Company can create, allot and issue further shares, ranking </w:t>
      </w:r>
      <w:proofErr w:type="spellStart"/>
      <w:r>
        <w:rPr>
          <w:i/>
          <w:iCs/>
          <w:color w:val="231F20"/>
          <w:sz w:val="18"/>
          <w:szCs w:val="18"/>
        </w:rPr>
        <w:t>pari</w:t>
      </w:r>
      <w:proofErr w:type="spellEnd"/>
      <w:r>
        <w:rPr>
          <w:i/>
          <w:iCs/>
          <w:color w:val="231F20"/>
          <w:sz w:val="18"/>
          <w:szCs w:val="18"/>
        </w:rPr>
        <w:t xml:space="preserve"> passu </w:t>
      </w:r>
      <w:r>
        <w:rPr>
          <w:color w:val="231F20"/>
          <w:sz w:val="18"/>
          <w:szCs w:val="18"/>
        </w:rPr>
        <w:t>with or in priority to the</w:t>
      </w:r>
      <w:r>
        <w:rPr>
          <w:color w:val="231F20"/>
          <w:spacing w:val="-6"/>
          <w:sz w:val="18"/>
          <w:szCs w:val="18"/>
        </w:rPr>
        <w:t xml:space="preserve"> </w:t>
      </w:r>
      <w:r>
        <w:rPr>
          <w:color w:val="231F20"/>
          <w:sz w:val="18"/>
          <w:szCs w:val="18"/>
        </w:rPr>
        <w:t>Deferred</w:t>
      </w:r>
      <w:r>
        <w:rPr>
          <w:color w:val="231F20"/>
          <w:spacing w:val="-6"/>
          <w:sz w:val="18"/>
          <w:szCs w:val="18"/>
        </w:rPr>
        <w:t xml:space="preserve"> </w:t>
      </w:r>
      <w:r>
        <w:rPr>
          <w:color w:val="231F20"/>
          <w:sz w:val="18"/>
          <w:szCs w:val="18"/>
        </w:rPr>
        <w:t>Shares</w:t>
      </w:r>
      <w:r>
        <w:rPr>
          <w:color w:val="231F20"/>
          <w:spacing w:val="-5"/>
          <w:sz w:val="18"/>
          <w:szCs w:val="18"/>
        </w:rPr>
        <w:t xml:space="preserve"> </w:t>
      </w:r>
      <w:r>
        <w:rPr>
          <w:color w:val="231F20"/>
          <w:sz w:val="18"/>
          <w:szCs w:val="18"/>
        </w:rPr>
        <w:t>or</w:t>
      </w:r>
      <w:r>
        <w:rPr>
          <w:color w:val="231F20"/>
          <w:spacing w:val="-7"/>
          <w:sz w:val="18"/>
          <w:szCs w:val="18"/>
        </w:rPr>
        <w:t xml:space="preserve"> </w:t>
      </w:r>
      <w:r>
        <w:rPr>
          <w:color w:val="231F20"/>
          <w:sz w:val="18"/>
          <w:szCs w:val="18"/>
        </w:rPr>
        <w:t>conduct</w:t>
      </w:r>
      <w:r>
        <w:rPr>
          <w:color w:val="231F20"/>
          <w:spacing w:val="-5"/>
          <w:sz w:val="18"/>
          <w:szCs w:val="18"/>
        </w:rPr>
        <w:t xml:space="preserve"> </w:t>
      </w:r>
      <w:r>
        <w:rPr>
          <w:color w:val="231F20"/>
          <w:sz w:val="18"/>
          <w:szCs w:val="18"/>
        </w:rPr>
        <w:t>a</w:t>
      </w:r>
      <w:r>
        <w:rPr>
          <w:color w:val="231F20"/>
          <w:spacing w:val="-6"/>
          <w:sz w:val="18"/>
          <w:szCs w:val="18"/>
        </w:rPr>
        <w:t xml:space="preserve"> </w:t>
      </w:r>
      <w:r>
        <w:rPr>
          <w:color w:val="231F20"/>
          <w:sz w:val="18"/>
          <w:szCs w:val="18"/>
        </w:rPr>
        <w:t>reduction</w:t>
      </w:r>
      <w:r>
        <w:rPr>
          <w:color w:val="231F20"/>
          <w:spacing w:val="-5"/>
          <w:sz w:val="18"/>
          <w:szCs w:val="18"/>
        </w:rPr>
        <w:t xml:space="preserve"> </w:t>
      </w:r>
      <w:r>
        <w:rPr>
          <w:color w:val="231F20"/>
          <w:sz w:val="18"/>
          <w:szCs w:val="18"/>
        </w:rPr>
        <w:t>of</w:t>
      </w:r>
      <w:r>
        <w:rPr>
          <w:color w:val="231F20"/>
          <w:spacing w:val="-9"/>
          <w:sz w:val="18"/>
          <w:szCs w:val="18"/>
        </w:rPr>
        <w:t xml:space="preserve"> </w:t>
      </w:r>
      <w:r>
        <w:rPr>
          <w:color w:val="231F20"/>
          <w:sz w:val="18"/>
          <w:szCs w:val="18"/>
        </w:rPr>
        <w:t>capital</w:t>
      </w:r>
      <w:r>
        <w:rPr>
          <w:color w:val="231F20"/>
          <w:spacing w:val="-5"/>
          <w:sz w:val="18"/>
          <w:szCs w:val="18"/>
        </w:rPr>
        <w:t xml:space="preserve"> </w:t>
      </w:r>
      <w:r>
        <w:rPr>
          <w:color w:val="231F20"/>
          <w:sz w:val="18"/>
          <w:szCs w:val="18"/>
        </w:rPr>
        <w:t>paid-up</w:t>
      </w:r>
      <w:r>
        <w:rPr>
          <w:color w:val="231F20"/>
          <w:spacing w:val="-6"/>
          <w:sz w:val="18"/>
          <w:szCs w:val="18"/>
        </w:rPr>
        <w:t xml:space="preserve"> </w:t>
      </w:r>
      <w:r>
        <w:rPr>
          <w:color w:val="231F20"/>
          <w:sz w:val="18"/>
          <w:szCs w:val="18"/>
        </w:rPr>
        <w:t>on</w:t>
      </w:r>
      <w:r>
        <w:rPr>
          <w:color w:val="231F20"/>
          <w:spacing w:val="-5"/>
          <w:sz w:val="18"/>
          <w:szCs w:val="18"/>
        </w:rPr>
        <w:t xml:space="preserve"> </w:t>
      </w:r>
      <w:r>
        <w:rPr>
          <w:color w:val="231F20"/>
          <w:sz w:val="18"/>
          <w:szCs w:val="18"/>
        </w:rPr>
        <w:t>the</w:t>
      </w:r>
      <w:r>
        <w:rPr>
          <w:color w:val="231F20"/>
          <w:spacing w:val="-6"/>
          <w:sz w:val="18"/>
          <w:szCs w:val="18"/>
        </w:rPr>
        <w:t xml:space="preserve"> </w:t>
      </w:r>
      <w:r>
        <w:rPr>
          <w:color w:val="231F20"/>
          <w:sz w:val="18"/>
          <w:szCs w:val="18"/>
        </w:rPr>
        <w:t>Deferred</w:t>
      </w:r>
      <w:r>
        <w:rPr>
          <w:color w:val="231F20"/>
          <w:spacing w:val="-5"/>
          <w:sz w:val="18"/>
          <w:szCs w:val="18"/>
        </w:rPr>
        <w:t xml:space="preserve"> </w:t>
      </w:r>
      <w:r>
        <w:rPr>
          <w:color w:val="231F20"/>
          <w:sz w:val="18"/>
          <w:szCs w:val="18"/>
        </w:rPr>
        <w:t>Shares</w:t>
      </w:r>
      <w:r>
        <w:rPr>
          <w:color w:val="231F20"/>
          <w:spacing w:val="-6"/>
          <w:sz w:val="18"/>
          <w:szCs w:val="18"/>
        </w:rPr>
        <w:t xml:space="preserve"> </w:t>
      </w:r>
      <w:r>
        <w:rPr>
          <w:color w:val="231F20"/>
          <w:sz w:val="18"/>
          <w:szCs w:val="18"/>
        </w:rPr>
        <w:t>and</w:t>
      </w:r>
      <w:r>
        <w:rPr>
          <w:color w:val="231F20"/>
          <w:spacing w:val="-8"/>
          <w:sz w:val="18"/>
          <w:szCs w:val="18"/>
        </w:rPr>
        <w:t xml:space="preserve"> </w:t>
      </w:r>
      <w:r>
        <w:rPr>
          <w:color w:val="231F20"/>
          <w:sz w:val="18"/>
          <w:szCs w:val="18"/>
        </w:rPr>
        <w:t>cancel such shares (in accordance with the Companies Act) and such actions will be treated as not involving</w:t>
      </w:r>
      <w:r>
        <w:rPr>
          <w:color w:val="231F20"/>
          <w:spacing w:val="-7"/>
          <w:sz w:val="18"/>
          <w:szCs w:val="18"/>
        </w:rPr>
        <w:t xml:space="preserve"> </w:t>
      </w:r>
      <w:r>
        <w:rPr>
          <w:color w:val="231F20"/>
          <w:sz w:val="18"/>
          <w:szCs w:val="18"/>
        </w:rPr>
        <w:t>a</w:t>
      </w:r>
      <w:r>
        <w:rPr>
          <w:color w:val="231F20"/>
          <w:spacing w:val="-6"/>
          <w:sz w:val="18"/>
          <w:szCs w:val="18"/>
        </w:rPr>
        <w:t xml:space="preserve"> </w:t>
      </w:r>
      <w:r>
        <w:rPr>
          <w:color w:val="231F20"/>
          <w:sz w:val="18"/>
          <w:szCs w:val="18"/>
        </w:rPr>
        <w:t>variation</w:t>
      </w:r>
      <w:r>
        <w:rPr>
          <w:color w:val="231F20"/>
          <w:spacing w:val="-6"/>
          <w:sz w:val="18"/>
          <w:szCs w:val="18"/>
        </w:rPr>
        <w:t xml:space="preserve"> </w:t>
      </w:r>
      <w:r>
        <w:rPr>
          <w:color w:val="231F20"/>
          <w:sz w:val="18"/>
          <w:szCs w:val="18"/>
        </w:rPr>
        <w:t>of</w:t>
      </w:r>
      <w:r>
        <w:rPr>
          <w:color w:val="231F20"/>
          <w:spacing w:val="-9"/>
          <w:sz w:val="18"/>
          <w:szCs w:val="18"/>
        </w:rPr>
        <w:t xml:space="preserve"> </w:t>
      </w:r>
      <w:r>
        <w:rPr>
          <w:color w:val="231F20"/>
          <w:sz w:val="18"/>
          <w:szCs w:val="18"/>
        </w:rPr>
        <w:t>such</w:t>
      </w:r>
      <w:r>
        <w:rPr>
          <w:color w:val="231F20"/>
          <w:spacing w:val="-7"/>
          <w:sz w:val="18"/>
          <w:szCs w:val="18"/>
        </w:rPr>
        <w:t xml:space="preserve"> </w:t>
      </w:r>
      <w:r>
        <w:rPr>
          <w:color w:val="231F20"/>
          <w:sz w:val="18"/>
          <w:szCs w:val="18"/>
        </w:rPr>
        <w:t>rights</w:t>
      </w:r>
      <w:r>
        <w:rPr>
          <w:color w:val="231F20"/>
          <w:spacing w:val="-6"/>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6"/>
          <w:sz w:val="18"/>
          <w:szCs w:val="18"/>
        </w:rPr>
        <w:t xml:space="preserve"> </w:t>
      </w:r>
      <w:r>
        <w:rPr>
          <w:color w:val="231F20"/>
          <w:sz w:val="18"/>
          <w:szCs w:val="18"/>
        </w:rPr>
        <w:t>Deferred</w:t>
      </w:r>
      <w:r>
        <w:rPr>
          <w:color w:val="231F20"/>
          <w:spacing w:val="-6"/>
          <w:sz w:val="18"/>
          <w:szCs w:val="18"/>
        </w:rPr>
        <w:t xml:space="preserve"> </w:t>
      </w:r>
      <w:r>
        <w:rPr>
          <w:color w:val="231F20"/>
          <w:sz w:val="18"/>
          <w:szCs w:val="18"/>
        </w:rPr>
        <w:t>Shares</w:t>
      </w:r>
      <w:r>
        <w:rPr>
          <w:color w:val="231F20"/>
          <w:spacing w:val="-7"/>
          <w:sz w:val="18"/>
          <w:szCs w:val="18"/>
        </w:rPr>
        <w:t xml:space="preserve"> </w:t>
      </w:r>
      <w:r>
        <w:rPr>
          <w:color w:val="231F20"/>
          <w:sz w:val="18"/>
          <w:szCs w:val="18"/>
        </w:rPr>
        <w:t>for</w:t>
      </w:r>
      <w:r>
        <w:rPr>
          <w:color w:val="231F20"/>
          <w:spacing w:val="-8"/>
          <w:sz w:val="18"/>
          <w:szCs w:val="18"/>
        </w:rPr>
        <w:t xml:space="preserve"> </w:t>
      </w:r>
      <w:r>
        <w:rPr>
          <w:color w:val="231F20"/>
          <w:sz w:val="18"/>
          <w:szCs w:val="18"/>
        </w:rPr>
        <w:t>any</w:t>
      </w:r>
      <w:r>
        <w:rPr>
          <w:color w:val="231F20"/>
          <w:spacing w:val="-8"/>
          <w:sz w:val="18"/>
          <w:szCs w:val="18"/>
        </w:rPr>
        <w:t xml:space="preserve"> </w:t>
      </w:r>
      <w:r>
        <w:rPr>
          <w:color w:val="231F20"/>
          <w:sz w:val="18"/>
          <w:szCs w:val="18"/>
        </w:rPr>
        <w:t>purpose</w:t>
      </w:r>
      <w:r>
        <w:rPr>
          <w:color w:val="231F20"/>
          <w:spacing w:val="-6"/>
          <w:sz w:val="18"/>
          <w:szCs w:val="18"/>
        </w:rPr>
        <w:t xml:space="preserve"> </w:t>
      </w:r>
      <w:r>
        <w:rPr>
          <w:color w:val="231F20"/>
          <w:sz w:val="18"/>
          <w:szCs w:val="18"/>
        </w:rPr>
        <w:t>and</w:t>
      </w:r>
      <w:r>
        <w:rPr>
          <w:color w:val="231F20"/>
          <w:spacing w:val="-6"/>
          <w:sz w:val="18"/>
          <w:szCs w:val="18"/>
        </w:rPr>
        <w:t xml:space="preserve"> </w:t>
      </w:r>
      <w:r>
        <w:rPr>
          <w:color w:val="231F20"/>
          <w:sz w:val="18"/>
          <w:szCs w:val="18"/>
        </w:rPr>
        <w:t>will</w:t>
      </w:r>
      <w:r>
        <w:rPr>
          <w:color w:val="231F20"/>
          <w:spacing w:val="-7"/>
          <w:sz w:val="18"/>
          <w:szCs w:val="18"/>
        </w:rPr>
        <w:t xml:space="preserve"> </w:t>
      </w:r>
      <w:r>
        <w:rPr>
          <w:color w:val="231F20"/>
          <w:sz w:val="18"/>
          <w:szCs w:val="18"/>
        </w:rPr>
        <w:t>not</w:t>
      </w:r>
      <w:r>
        <w:rPr>
          <w:color w:val="231F20"/>
          <w:spacing w:val="-6"/>
          <w:sz w:val="18"/>
          <w:szCs w:val="18"/>
        </w:rPr>
        <w:t xml:space="preserve"> </w:t>
      </w:r>
      <w:r>
        <w:rPr>
          <w:color w:val="231F20"/>
          <w:sz w:val="18"/>
          <w:szCs w:val="18"/>
        </w:rPr>
        <w:t>require</w:t>
      </w:r>
      <w:r>
        <w:rPr>
          <w:color w:val="231F20"/>
          <w:spacing w:val="-6"/>
          <w:sz w:val="18"/>
          <w:szCs w:val="18"/>
        </w:rPr>
        <w:t xml:space="preserve"> </w:t>
      </w:r>
      <w:r>
        <w:rPr>
          <w:color w:val="231F20"/>
          <w:sz w:val="18"/>
          <w:szCs w:val="18"/>
        </w:rPr>
        <w:t>the consent of the holders of the Deferred</w:t>
      </w:r>
      <w:r>
        <w:rPr>
          <w:color w:val="231F20"/>
          <w:spacing w:val="-6"/>
          <w:sz w:val="18"/>
          <w:szCs w:val="18"/>
        </w:rPr>
        <w:t xml:space="preserve"> </w:t>
      </w:r>
      <w:r>
        <w:rPr>
          <w:color w:val="231F20"/>
          <w:sz w:val="18"/>
          <w:szCs w:val="18"/>
        </w:rPr>
        <w:t>Shares.</w:t>
      </w:r>
    </w:p>
    <w:p w14:paraId="711C12CA" w14:textId="77777777" w:rsidR="00783288" w:rsidRDefault="00783288">
      <w:pPr>
        <w:pStyle w:val="BodyText"/>
        <w:kinsoku w:val="0"/>
        <w:overflowPunct w:val="0"/>
        <w:spacing w:before="1"/>
        <w:rPr>
          <w:sz w:val="21"/>
          <w:szCs w:val="21"/>
        </w:rPr>
      </w:pPr>
    </w:p>
    <w:p w14:paraId="5D09C41F"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Disclosure of Interests in Shares</w:t>
      </w:r>
    </w:p>
    <w:p w14:paraId="5AB5B319" w14:textId="77777777" w:rsidR="00783288" w:rsidRDefault="00783288">
      <w:pPr>
        <w:pStyle w:val="BodyText"/>
        <w:kinsoku w:val="0"/>
        <w:overflowPunct w:val="0"/>
        <w:spacing w:before="9"/>
        <w:rPr>
          <w:sz w:val="20"/>
          <w:szCs w:val="20"/>
        </w:rPr>
      </w:pPr>
    </w:p>
    <w:p w14:paraId="0FDA12C6" w14:textId="6AC3B0DE" w:rsidR="00460571" w:rsidRDefault="00E31420" w:rsidP="00512495">
      <w:pPr>
        <w:pStyle w:val="ListParagraph"/>
        <w:numPr>
          <w:ilvl w:val="2"/>
          <w:numId w:val="13"/>
        </w:numPr>
        <w:ind w:right="1022"/>
      </w:pPr>
      <w:r w:rsidRPr="00460571">
        <w:rPr>
          <w:color w:val="231F20"/>
          <w:sz w:val="18"/>
          <w:szCs w:val="18"/>
        </w:rPr>
        <w:t>The Company may by notice in writing in accordance with section 793 of the Companies Act, require a person whom the Company knows or has reasonable cause to believe to be or, at any time</w:t>
      </w:r>
      <w:r w:rsidRPr="00460571">
        <w:rPr>
          <w:color w:val="231F20"/>
          <w:spacing w:val="-7"/>
          <w:sz w:val="18"/>
          <w:szCs w:val="18"/>
        </w:rPr>
        <w:t xml:space="preserve"> </w:t>
      </w:r>
      <w:r w:rsidRPr="00460571">
        <w:rPr>
          <w:color w:val="231F20"/>
          <w:sz w:val="18"/>
          <w:szCs w:val="18"/>
        </w:rPr>
        <w:t>during</w:t>
      </w:r>
      <w:r w:rsidRPr="00460571">
        <w:rPr>
          <w:color w:val="231F20"/>
          <w:spacing w:val="-6"/>
          <w:sz w:val="18"/>
          <w:szCs w:val="18"/>
        </w:rPr>
        <w:t xml:space="preserve"> </w:t>
      </w:r>
      <w:r w:rsidRPr="00460571">
        <w:rPr>
          <w:color w:val="231F20"/>
          <w:sz w:val="18"/>
          <w:szCs w:val="18"/>
        </w:rPr>
        <w:t>the</w:t>
      </w:r>
      <w:r w:rsidRPr="00460571">
        <w:rPr>
          <w:color w:val="231F20"/>
          <w:spacing w:val="-6"/>
          <w:sz w:val="18"/>
          <w:szCs w:val="18"/>
        </w:rPr>
        <w:t xml:space="preserve"> </w:t>
      </w:r>
      <w:r w:rsidRPr="00460571">
        <w:rPr>
          <w:color w:val="231F20"/>
          <w:sz w:val="18"/>
          <w:szCs w:val="18"/>
        </w:rPr>
        <w:t>three</w:t>
      </w:r>
      <w:r w:rsidRPr="00460571">
        <w:rPr>
          <w:color w:val="231F20"/>
          <w:spacing w:val="-6"/>
          <w:sz w:val="18"/>
          <w:szCs w:val="18"/>
        </w:rPr>
        <w:t xml:space="preserve"> </w:t>
      </w:r>
      <w:r w:rsidRPr="00460571">
        <w:rPr>
          <w:color w:val="231F20"/>
          <w:sz w:val="18"/>
          <w:szCs w:val="18"/>
        </w:rPr>
        <w:t>years</w:t>
      </w:r>
      <w:r w:rsidRPr="00460571">
        <w:rPr>
          <w:color w:val="231F20"/>
          <w:spacing w:val="-7"/>
          <w:sz w:val="18"/>
          <w:szCs w:val="18"/>
        </w:rPr>
        <w:t xml:space="preserve"> </w:t>
      </w:r>
      <w:r w:rsidRPr="00460571">
        <w:rPr>
          <w:color w:val="231F20"/>
          <w:sz w:val="18"/>
          <w:szCs w:val="18"/>
        </w:rPr>
        <w:t>immediately</w:t>
      </w:r>
      <w:r w:rsidRPr="00460571">
        <w:rPr>
          <w:color w:val="231F20"/>
          <w:spacing w:val="-8"/>
          <w:sz w:val="18"/>
          <w:szCs w:val="18"/>
        </w:rPr>
        <w:t xml:space="preserve"> </w:t>
      </w:r>
      <w:r w:rsidRPr="00460571">
        <w:rPr>
          <w:color w:val="231F20"/>
          <w:sz w:val="18"/>
          <w:szCs w:val="18"/>
        </w:rPr>
        <w:t>preceding</w:t>
      </w:r>
      <w:r w:rsidRPr="00460571">
        <w:rPr>
          <w:color w:val="231F20"/>
          <w:spacing w:val="-6"/>
          <w:sz w:val="18"/>
          <w:szCs w:val="18"/>
        </w:rPr>
        <w:t xml:space="preserve"> </w:t>
      </w:r>
      <w:r w:rsidRPr="00460571">
        <w:rPr>
          <w:color w:val="231F20"/>
          <w:sz w:val="18"/>
          <w:szCs w:val="18"/>
        </w:rPr>
        <w:t>the</w:t>
      </w:r>
      <w:r w:rsidRPr="00460571">
        <w:rPr>
          <w:color w:val="231F20"/>
          <w:spacing w:val="-6"/>
          <w:sz w:val="18"/>
          <w:szCs w:val="18"/>
        </w:rPr>
        <w:t xml:space="preserve"> </w:t>
      </w:r>
      <w:r w:rsidRPr="00460571">
        <w:rPr>
          <w:color w:val="231F20"/>
          <w:sz w:val="18"/>
          <w:szCs w:val="18"/>
        </w:rPr>
        <w:t>date</w:t>
      </w:r>
      <w:r w:rsidRPr="00460571">
        <w:rPr>
          <w:color w:val="231F20"/>
          <w:spacing w:val="-7"/>
          <w:sz w:val="18"/>
          <w:szCs w:val="18"/>
        </w:rPr>
        <w:t xml:space="preserve"> </w:t>
      </w:r>
      <w:r w:rsidRPr="00460571">
        <w:rPr>
          <w:color w:val="231F20"/>
          <w:sz w:val="18"/>
          <w:szCs w:val="18"/>
        </w:rPr>
        <w:t>on</w:t>
      </w:r>
      <w:r w:rsidRPr="00460571">
        <w:rPr>
          <w:color w:val="231F20"/>
          <w:spacing w:val="-6"/>
          <w:sz w:val="18"/>
          <w:szCs w:val="18"/>
        </w:rPr>
        <w:t xml:space="preserve"> </w:t>
      </w:r>
      <w:r w:rsidRPr="00460571">
        <w:rPr>
          <w:color w:val="231F20"/>
          <w:sz w:val="18"/>
          <w:szCs w:val="18"/>
        </w:rPr>
        <w:t>which</w:t>
      </w:r>
      <w:r w:rsidRPr="00460571">
        <w:rPr>
          <w:color w:val="231F20"/>
          <w:spacing w:val="-6"/>
          <w:sz w:val="18"/>
          <w:szCs w:val="18"/>
        </w:rPr>
        <w:t xml:space="preserve"> </w:t>
      </w:r>
      <w:r w:rsidRPr="00460571">
        <w:rPr>
          <w:color w:val="231F20"/>
          <w:sz w:val="18"/>
          <w:szCs w:val="18"/>
        </w:rPr>
        <w:t>the</w:t>
      </w:r>
      <w:r w:rsidRPr="00460571">
        <w:rPr>
          <w:color w:val="231F20"/>
          <w:spacing w:val="-6"/>
          <w:sz w:val="18"/>
          <w:szCs w:val="18"/>
        </w:rPr>
        <w:t xml:space="preserve"> </w:t>
      </w:r>
      <w:r w:rsidRPr="00460571">
        <w:rPr>
          <w:color w:val="231F20"/>
          <w:sz w:val="18"/>
          <w:szCs w:val="18"/>
        </w:rPr>
        <w:t>notice</w:t>
      </w:r>
      <w:r w:rsidRPr="00460571">
        <w:rPr>
          <w:color w:val="231F20"/>
          <w:spacing w:val="-7"/>
          <w:sz w:val="18"/>
          <w:szCs w:val="18"/>
        </w:rPr>
        <w:t xml:space="preserve"> </w:t>
      </w:r>
      <w:r w:rsidRPr="00460571">
        <w:rPr>
          <w:color w:val="231F20"/>
          <w:sz w:val="18"/>
          <w:szCs w:val="18"/>
        </w:rPr>
        <w:t>is</w:t>
      </w:r>
      <w:r w:rsidRPr="00460571">
        <w:rPr>
          <w:color w:val="231F20"/>
          <w:spacing w:val="-6"/>
          <w:sz w:val="18"/>
          <w:szCs w:val="18"/>
        </w:rPr>
        <w:t xml:space="preserve"> </w:t>
      </w:r>
      <w:r w:rsidRPr="00460571">
        <w:rPr>
          <w:color w:val="231F20"/>
          <w:sz w:val="18"/>
          <w:szCs w:val="18"/>
        </w:rPr>
        <w:t>issued,</w:t>
      </w:r>
      <w:r w:rsidRPr="00460571">
        <w:rPr>
          <w:color w:val="231F20"/>
          <w:spacing w:val="-6"/>
          <w:sz w:val="18"/>
          <w:szCs w:val="18"/>
        </w:rPr>
        <w:t xml:space="preserve"> </w:t>
      </w:r>
      <w:r w:rsidRPr="00460571">
        <w:rPr>
          <w:color w:val="231F20"/>
          <w:sz w:val="18"/>
          <w:szCs w:val="18"/>
        </w:rPr>
        <w:t>to</w:t>
      </w:r>
      <w:r w:rsidRPr="00460571">
        <w:rPr>
          <w:color w:val="231F20"/>
          <w:spacing w:val="-9"/>
          <w:sz w:val="18"/>
          <w:szCs w:val="18"/>
        </w:rPr>
        <w:t xml:space="preserve"> </w:t>
      </w:r>
      <w:r w:rsidRPr="00460571">
        <w:rPr>
          <w:color w:val="231F20"/>
          <w:sz w:val="18"/>
          <w:szCs w:val="18"/>
        </w:rPr>
        <w:t>have been interested in the Company’s shares:</w:t>
      </w:r>
    </w:p>
    <w:p w14:paraId="21BA0C6D" w14:textId="77777777" w:rsidR="00460571" w:rsidRDefault="00460571" w:rsidP="00460571">
      <w:pPr>
        <w:pStyle w:val="ListParagraph"/>
        <w:tabs>
          <w:tab w:val="left" w:pos="2182"/>
        </w:tabs>
        <w:kinsoku w:val="0"/>
        <w:overflowPunct w:val="0"/>
        <w:spacing w:before="78"/>
        <w:ind w:left="840" w:firstLine="0"/>
        <w:rPr>
          <w:color w:val="231F20"/>
          <w:sz w:val="18"/>
          <w:szCs w:val="18"/>
        </w:rPr>
      </w:pPr>
    </w:p>
    <w:p w14:paraId="66140B1B" w14:textId="592A4460" w:rsidR="00783288" w:rsidRDefault="00E31420" w:rsidP="00512495">
      <w:pPr>
        <w:pStyle w:val="ListParagraph"/>
        <w:numPr>
          <w:ilvl w:val="0"/>
          <w:numId w:val="29"/>
        </w:numPr>
        <w:tabs>
          <w:tab w:val="left" w:pos="2182"/>
        </w:tabs>
        <w:kinsoku w:val="0"/>
        <w:overflowPunct w:val="0"/>
        <w:spacing w:before="78"/>
        <w:ind w:left="2127"/>
        <w:rPr>
          <w:color w:val="231F20"/>
          <w:sz w:val="18"/>
          <w:szCs w:val="18"/>
        </w:rPr>
      </w:pPr>
      <w:r>
        <w:rPr>
          <w:color w:val="231F20"/>
          <w:sz w:val="18"/>
          <w:szCs w:val="18"/>
        </w:rPr>
        <w:t xml:space="preserve">to confirm that fact or (as the case may be) to indicate </w:t>
      </w:r>
      <w:proofErr w:type="gramStart"/>
      <w:r>
        <w:rPr>
          <w:color w:val="231F20"/>
          <w:sz w:val="18"/>
          <w:szCs w:val="18"/>
        </w:rPr>
        <w:t>whether or not</w:t>
      </w:r>
      <w:proofErr w:type="gramEnd"/>
      <w:r>
        <w:rPr>
          <w:color w:val="231F20"/>
          <w:sz w:val="18"/>
          <w:szCs w:val="18"/>
        </w:rPr>
        <w:t xml:space="preserve"> it is the case;</w:t>
      </w:r>
      <w:r>
        <w:rPr>
          <w:color w:val="231F20"/>
          <w:spacing w:val="-21"/>
          <w:sz w:val="18"/>
          <w:szCs w:val="18"/>
        </w:rPr>
        <w:t xml:space="preserve"> </w:t>
      </w:r>
      <w:r>
        <w:rPr>
          <w:color w:val="231F20"/>
          <w:sz w:val="18"/>
          <w:szCs w:val="18"/>
        </w:rPr>
        <w:t>and</w:t>
      </w:r>
    </w:p>
    <w:p w14:paraId="1CC5DC14" w14:textId="0FD3CBDD" w:rsidR="00783288" w:rsidRPr="00460571" w:rsidRDefault="00E31420" w:rsidP="00512495">
      <w:pPr>
        <w:pStyle w:val="ListParagraph"/>
        <w:numPr>
          <w:ilvl w:val="0"/>
          <w:numId w:val="29"/>
        </w:numPr>
        <w:tabs>
          <w:tab w:val="left" w:pos="2182"/>
        </w:tabs>
        <w:kinsoku w:val="0"/>
        <w:overflowPunct w:val="0"/>
        <w:spacing w:before="78"/>
        <w:ind w:left="2127" w:right="881"/>
        <w:rPr>
          <w:color w:val="231F20"/>
          <w:sz w:val="18"/>
          <w:szCs w:val="18"/>
        </w:rPr>
      </w:pPr>
      <w:r w:rsidRPr="00460571">
        <w:rPr>
          <w:color w:val="231F20"/>
          <w:sz w:val="18"/>
          <w:szCs w:val="18"/>
        </w:rPr>
        <w:t>where he holds or has during that time held an interest in such shares, to give such further information as may be required in the</w:t>
      </w:r>
      <w:r w:rsidRPr="00460571">
        <w:rPr>
          <w:color w:val="231F20"/>
          <w:spacing w:val="1"/>
          <w:sz w:val="18"/>
          <w:szCs w:val="18"/>
        </w:rPr>
        <w:t xml:space="preserve"> </w:t>
      </w:r>
      <w:r w:rsidRPr="00460571">
        <w:rPr>
          <w:color w:val="231F20"/>
          <w:sz w:val="18"/>
          <w:szCs w:val="18"/>
        </w:rPr>
        <w:t>notice.</w:t>
      </w:r>
    </w:p>
    <w:p w14:paraId="6D98A5C8" w14:textId="77777777" w:rsidR="00783288" w:rsidRDefault="00783288">
      <w:pPr>
        <w:pStyle w:val="BodyText"/>
        <w:kinsoku w:val="0"/>
        <w:overflowPunct w:val="0"/>
        <w:rPr>
          <w:sz w:val="21"/>
          <w:szCs w:val="21"/>
        </w:rPr>
      </w:pPr>
    </w:p>
    <w:p w14:paraId="141CE48B"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Overseas Members</w:t>
      </w:r>
    </w:p>
    <w:p w14:paraId="337857C7" w14:textId="77777777" w:rsidR="00783288" w:rsidRDefault="00783288">
      <w:pPr>
        <w:pStyle w:val="BodyText"/>
        <w:kinsoku w:val="0"/>
        <w:overflowPunct w:val="0"/>
        <w:spacing w:before="9"/>
        <w:rPr>
          <w:sz w:val="20"/>
          <w:szCs w:val="20"/>
        </w:rPr>
      </w:pPr>
    </w:p>
    <w:p w14:paraId="2ACC385F"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Any</w:t>
      </w:r>
      <w:r>
        <w:rPr>
          <w:color w:val="231F20"/>
          <w:spacing w:val="-15"/>
          <w:sz w:val="18"/>
          <w:szCs w:val="18"/>
        </w:rPr>
        <w:t xml:space="preserve"> </w:t>
      </w:r>
      <w:r>
        <w:rPr>
          <w:color w:val="231F20"/>
          <w:sz w:val="18"/>
          <w:szCs w:val="18"/>
        </w:rPr>
        <w:t>member</w:t>
      </w:r>
      <w:r>
        <w:rPr>
          <w:color w:val="231F20"/>
          <w:spacing w:val="-14"/>
          <w:sz w:val="18"/>
          <w:szCs w:val="18"/>
        </w:rPr>
        <w:t xml:space="preserve"> </w:t>
      </w:r>
      <w:r>
        <w:rPr>
          <w:color w:val="231F20"/>
          <w:sz w:val="18"/>
          <w:szCs w:val="18"/>
        </w:rPr>
        <w:t>or</w:t>
      </w:r>
      <w:r>
        <w:rPr>
          <w:color w:val="231F20"/>
          <w:spacing w:val="-14"/>
          <w:sz w:val="18"/>
          <w:szCs w:val="18"/>
        </w:rPr>
        <w:t xml:space="preserve"> </w:t>
      </w:r>
      <w:r>
        <w:rPr>
          <w:color w:val="231F20"/>
          <w:sz w:val="18"/>
          <w:szCs w:val="18"/>
        </w:rPr>
        <w:t>other</w:t>
      </w:r>
      <w:r>
        <w:rPr>
          <w:color w:val="231F20"/>
          <w:spacing w:val="-13"/>
          <w:sz w:val="18"/>
          <w:szCs w:val="18"/>
        </w:rPr>
        <w:t xml:space="preserve"> </w:t>
      </w:r>
      <w:r>
        <w:rPr>
          <w:color w:val="231F20"/>
          <w:sz w:val="18"/>
          <w:szCs w:val="18"/>
        </w:rPr>
        <w:t>person</w:t>
      </w:r>
      <w:r>
        <w:rPr>
          <w:color w:val="231F20"/>
          <w:spacing w:val="-13"/>
          <w:sz w:val="18"/>
          <w:szCs w:val="18"/>
        </w:rPr>
        <w:t xml:space="preserve"> </w:t>
      </w:r>
      <w:r>
        <w:rPr>
          <w:color w:val="231F20"/>
          <w:sz w:val="18"/>
          <w:szCs w:val="18"/>
        </w:rPr>
        <w:t>who</w:t>
      </w:r>
      <w:r>
        <w:rPr>
          <w:color w:val="231F20"/>
          <w:spacing w:val="-13"/>
          <w:sz w:val="18"/>
          <w:szCs w:val="18"/>
        </w:rPr>
        <w:t xml:space="preserve"> </w:t>
      </w:r>
      <w:r>
        <w:rPr>
          <w:color w:val="231F20"/>
          <w:sz w:val="18"/>
          <w:szCs w:val="18"/>
        </w:rPr>
        <w:t>has</w:t>
      </w:r>
      <w:r>
        <w:rPr>
          <w:color w:val="231F20"/>
          <w:spacing w:val="-13"/>
          <w:sz w:val="18"/>
          <w:szCs w:val="18"/>
        </w:rPr>
        <w:t xml:space="preserve"> </w:t>
      </w:r>
      <w:r>
        <w:rPr>
          <w:color w:val="231F20"/>
          <w:sz w:val="18"/>
          <w:szCs w:val="18"/>
        </w:rPr>
        <w:t>a</w:t>
      </w:r>
      <w:r>
        <w:rPr>
          <w:color w:val="231F20"/>
          <w:spacing w:val="-12"/>
          <w:sz w:val="18"/>
          <w:szCs w:val="18"/>
        </w:rPr>
        <w:t xml:space="preserve"> </w:t>
      </w:r>
      <w:r>
        <w:rPr>
          <w:color w:val="231F20"/>
          <w:sz w:val="18"/>
          <w:szCs w:val="18"/>
        </w:rPr>
        <w:t>registered</w:t>
      </w:r>
      <w:r>
        <w:rPr>
          <w:color w:val="231F20"/>
          <w:spacing w:val="-13"/>
          <w:sz w:val="18"/>
          <w:szCs w:val="18"/>
        </w:rPr>
        <w:t xml:space="preserve"> </w:t>
      </w:r>
      <w:r>
        <w:rPr>
          <w:color w:val="231F20"/>
          <w:sz w:val="18"/>
          <w:szCs w:val="18"/>
        </w:rPr>
        <w:t>address</w:t>
      </w:r>
      <w:r>
        <w:rPr>
          <w:color w:val="231F20"/>
          <w:spacing w:val="-11"/>
          <w:sz w:val="18"/>
          <w:szCs w:val="18"/>
        </w:rPr>
        <w:t xml:space="preserve"> </w:t>
      </w:r>
      <w:r>
        <w:rPr>
          <w:color w:val="231F20"/>
          <w:sz w:val="18"/>
          <w:szCs w:val="18"/>
        </w:rPr>
        <w:t>which</w:t>
      </w:r>
      <w:r>
        <w:rPr>
          <w:color w:val="231F20"/>
          <w:spacing w:val="-13"/>
          <w:sz w:val="18"/>
          <w:szCs w:val="18"/>
        </w:rPr>
        <w:t xml:space="preserve"> </w:t>
      </w:r>
      <w:r>
        <w:rPr>
          <w:color w:val="231F20"/>
          <w:sz w:val="18"/>
          <w:szCs w:val="18"/>
        </w:rPr>
        <w:t>is</w:t>
      </w:r>
      <w:r>
        <w:rPr>
          <w:color w:val="231F20"/>
          <w:spacing w:val="-13"/>
          <w:sz w:val="18"/>
          <w:szCs w:val="18"/>
        </w:rPr>
        <w:t xml:space="preserve"> </w:t>
      </w:r>
      <w:r>
        <w:rPr>
          <w:color w:val="231F20"/>
          <w:sz w:val="18"/>
          <w:szCs w:val="18"/>
        </w:rPr>
        <w:t>not</w:t>
      </w:r>
      <w:r>
        <w:rPr>
          <w:color w:val="231F20"/>
          <w:spacing w:val="-13"/>
          <w:sz w:val="18"/>
          <w:szCs w:val="18"/>
        </w:rPr>
        <w:t xml:space="preserve"> </w:t>
      </w:r>
      <w:r>
        <w:rPr>
          <w:color w:val="231F20"/>
          <w:sz w:val="18"/>
          <w:szCs w:val="18"/>
        </w:rPr>
        <w:t>within</w:t>
      </w:r>
      <w:r>
        <w:rPr>
          <w:color w:val="231F20"/>
          <w:spacing w:val="-13"/>
          <w:sz w:val="18"/>
          <w:szCs w:val="18"/>
        </w:rPr>
        <w:t xml:space="preserve"> </w:t>
      </w:r>
      <w:r>
        <w:rPr>
          <w:color w:val="231F20"/>
          <w:sz w:val="18"/>
          <w:szCs w:val="18"/>
        </w:rPr>
        <w:t>the</w:t>
      </w:r>
      <w:r>
        <w:rPr>
          <w:color w:val="231F20"/>
          <w:spacing w:val="-13"/>
          <w:sz w:val="18"/>
          <w:szCs w:val="18"/>
        </w:rPr>
        <w:t xml:space="preserve"> </w:t>
      </w:r>
      <w:r>
        <w:rPr>
          <w:color w:val="231F20"/>
          <w:sz w:val="18"/>
          <w:szCs w:val="18"/>
        </w:rPr>
        <w:t>United</w:t>
      </w:r>
      <w:r>
        <w:rPr>
          <w:color w:val="231F20"/>
          <w:spacing w:val="-13"/>
          <w:sz w:val="18"/>
          <w:szCs w:val="18"/>
        </w:rPr>
        <w:t xml:space="preserve"> </w:t>
      </w:r>
      <w:r>
        <w:rPr>
          <w:color w:val="231F20"/>
          <w:sz w:val="18"/>
          <w:szCs w:val="18"/>
        </w:rPr>
        <w:t>Kingdom is not entitled to receive any notice or other document or information from the Company unless they</w:t>
      </w:r>
      <w:r>
        <w:rPr>
          <w:color w:val="231F20"/>
          <w:spacing w:val="-4"/>
          <w:sz w:val="18"/>
          <w:szCs w:val="18"/>
        </w:rPr>
        <w:t xml:space="preserve"> </w:t>
      </w:r>
      <w:r>
        <w:rPr>
          <w:color w:val="231F20"/>
          <w:sz w:val="18"/>
          <w:szCs w:val="18"/>
        </w:rPr>
        <w:t>have</w:t>
      </w:r>
      <w:r>
        <w:rPr>
          <w:color w:val="231F20"/>
          <w:spacing w:val="-2"/>
          <w:sz w:val="18"/>
          <w:szCs w:val="18"/>
        </w:rPr>
        <w:t xml:space="preserve"> </w:t>
      </w:r>
      <w:r>
        <w:rPr>
          <w:color w:val="231F20"/>
          <w:sz w:val="18"/>
          <w:szCs w:val="18"/>
        </w:rPr>
        <w:t>given</w:t>
      </w:r>
      <w:r>
        <w:rPr>
          <w:color w:val="231F20"/>
          <w:spacing w:val="-2"/>
          <w:sz w:val="18"/>
          <w:szCs w:val="18"/>
        </w:rPr>
        <w:t xml:space="preserve"> </w:t>
      </w:r>
      <w:r>
        <w:rPr>
          <w:color w:val="231F20"/>
          <w:sz w:val="18"/>
          <w:szCs w:val="18"/>
        </w:rPr>
        <w:t>to</w:t>
      </w:r>
      <w:r>
        <w:rPr>
          <w:color w:val="231F20"/>
          <w:spacing w:val="-1"/>
          <w:sz w:val="18"/>
          <w:szCs w:val="18"/>
        </w:rPr>
        <w:t xml:space="preserve"> </w:t>
      </w:r>
      <w:r>
        <w:rPr>
          <w:color w:val="231F20"/>
          <w:sz w:val="18"/>
          <w:szCs w:val="18"/>
        </w:rPr>
        <w:t>the</w:t>
      </w:r>
      <w:r>
        <w:rPr>
          <w:color w:val="231F20"/>
          <w:spacing w:val="-2"/>
          <w:sz w:val="18"/>
          <w:szCs w:val="18"/>
        </w:rPr>
        <w:t xml:space="preserve"> </w:t>
      </w:r>
      <w:r>
        <w:rPr>
          <w:color w:val="231F20"/>
          <w:sz w:val="18"/>
          <w:szCs w:val="18"/>
        </w:rPr>
        <w:t>Company</w:t>
      </w:r>
      <w:r>
        <w:rPr>
          <w:color w:val="231F20"/>
          <w:spacing w:val="-4"/>
          <w:sz w:val="18"/>
          <w:szCs w:val="18"/>
        </w:rPr>
        <w:t xml:space="preserve"> </w:t>
      </w:r>
      <w:r>
        <w:rPr>
          <w:color w:val="231F20"/>
          <w:sz w:val="18"/>
          <w:szCs w:val="18"/>
        </w:rPr>
        <w:t>an</w:t>
      </w:r>
      <w:r>
        <w:rPr>
          <w:color w:val="231F20"/>
          <w:spacing w:val="-1"/>
          <w:sz w:val="18"/>
          <w:szCs w:val="18"/>
        </w:rPr>
        <w:t xml:space="preserve"> </w:t>
      </w:r>
      <w:r>
        <w:rPr>
          <w:color w:val="231F20"/>
          <w:sz w:val="18"/>
          <w:szCs w:val="18"/>
        </w:rPr>
        <w:t>address</w:t>
      </w:r>
      <w:r>
        <w:rPr>
          <w:color w:val="231F20"/>
          <w:spacing w:val="-2"/>
          <w:sz w:val="18"/>
          <w:szCs w:val="18"/>
        </w:rPr>
        <w:t xml:space="preserve"> </w:t>
      </w:r>
      <w:r>
        <w:rPr>
          <w:color w:val="231F20"/>
          <w:sz w:val="18"/>
          <w:szCs w:val="18"/>
        </w:rPr>
        <w:t>within</w:t>
      </w:r>
      <w:r>
        <w:rPr>
          <w:color w:val="231F20"/>
          <w:spacing w:val="-2"/>
          <w:sz w:val="18"/>
          <w:szCs w:val="18"/>
        </w:rPr>
        <w:t xml:space="preserve"> </w:t>
      </w:r>
      <w:r>
        <w:rPr>
          <w:color w:val="231F20"/>
          <w:sz w:val="18"/>
          <w:szCs w:val="18"/>
        </w:rPr>
        <w:t>the</w:t>
      </w:r>
      <w:r>
        <w:rPr>
          <w:color w:val="231F20"/>
          <w:spacing w:val="-1"/>
          <w:sz w:val="18"/>
          <w:szCs w:val="18"/>
        </w:rPr>
        <w:t xml:space="preserve"> </w:t>
      </w:r>
      <w:r>
        <w:rPr>
          <w:color w:val="231F20"/>
          <w:sz w:val="18"/>
          <w:szCs w:val="18"/>
        </w:rPr>
        <w:t>United</w:t>
      </w:r>
      <w:r>
        <w:rPr>
          <w:color w:val="231F20"/>
          <w:spacing w:val="-2"/>
          <w:sz w:val="18"/>
          <w:szCs w:val="18"/>
        </w:rPr>
        <w:t xml:space="preserve"> </w:t>
      </w:r>
      <w:r>
        <w:rPr>
          <w:color w:val="231F20"/>
          <w:sz w:val="18"/>
          <w:szCs w:val="18"/>
        </w:rPr>
        <w:t>Kingdom</w:t>
      </w:r>
      <w:r>
        <w:rPr>
          <w:color w:val="231F20"/>
          <w:spacing w:val="-2"/>
          <w:sz w:val="18"/>
          <w:szCs w:val="18"/>
        </w:rPr>
        <w:t xml:space="preserve"> </w:t>
      </w:r>
      <w:r>
        <w:rPr>
          <w:color w:val="231F20"/>
          <w:sz w:val="18"/>
          <w:szCs w:val="18"/>
        </w:rPr>
        <w:t>to</w:t>
      </w:r>
      <w:r>
        <w:rPr>
          <w:color w:val="231F20"/>
          <w:spacing w:val="-4"/>
          <w:sz w:val="18"/>
          <w:szCs w:val="18"/>
        </w:rPr>
        <w:t xml:space="preserve"> </w:t>
      </w:r>
      <w:r>
        <w:rPr>
          <w:color w:val="231F20"/>
          <w:sz w:val="18"/>
          <w:szCs w:val="18"/>
        </w:rPr>
        <w:t>which</w:t>
      </w:r>
      <w:r>
        <w:rPr>
          <w:color w:val="231F20"/>
          <w:spacing w:val="-2"/>
          <w:sz w:val="18"/>
          <w:szCs w:val="18"/>
        </w:rPr>
        <w:t xml:space="preserve"> </w:t>
      </w:r>
      <w:r>
        <w:rPr>
          <w:color w:val="231F20"/>
          <w:sz w:val="18"/>
          <w:szCs w:val="18"/>
        </w:rPr>
        <w:t>notices</w:t>
      </w:r>
      <w:r>
        <w:rPr>
          <w:color w:val="231F20"/>
          <w:spacing w:val="-4"/>
          <w:sz w:val="18"/>
          <w:szCs w:val="18"/>
        </w:rPr>
        <w:t xml:space="preserve"> </w:t>
      </w:r>
      <w:r>
        <w:rPr>
          <w:color w:val="231F20"/>
          <w:sz w:val="18"/>
          <w:szCs w:val="18"/>
        </w:rPr>
        <w:t>or</w:t>
      </w:r>
      <w:r>
        <w:rPr>
          <w:color w:val="231F20"/>
          <w:spacing w:val="-4"/>
          <w:sz w:val="18"/>
          <w:szCs w:val="18"/>
        </w:rPr>
        <w:t xml:space="preserve"> </w:t>
      </w:r>
      <w:r>
        <w:rPr>
          <w:color w:val="231F20"/>
          <w:sz w:val="18"/>
          <w:szCs w:val="18"/>
        </w:rPr>
        <w:t>other documents</w:t>
      </w:r>
      <w:r>
        <w:rPr>
          <w:color w:val="231F20"/>
          <w:spacing w:val="-4"/>
          <w:sz w:val="18"/>
          <w:szCs w:val="18"/>
        </w:rPr>
        <w:t xml:space="preserve"> </w:t>
      </w:r>
      <w:r>
        <w:rPr>
          <w:color w:val="231F20"/>
          <w:sz w:val="18"/>
          <w:szCs w:val="18"/>
        </w:rPr>
        <w:t>or</w:t>
      </w:r>
      <w:r>
        <w:rPr>
          <w:color w:val="231F20"/>
          <w:spacing w:val="-4"/>
          <w:sz w:val="18"/>
          <w:szCs w:val="18"/>
        </w:rPr>
        <w:t xml:space="preserve"> </w:t>
      </w:r>
      <w:r>
        <w:rPr>
          <w:color w:val="231F20"/>
          <w:sz w:val="18"/>
          <w:szCs w:val="18"/>
        </w:rPr>
        <w:t>information</w:t>
      </w:r>
      <w:r>
        <w:rPr>
          <w:color w:val="231F20"/>
          <w:spacing w:val="-4"/>
          <w:sz w:val="18"/>
          <w:szCs w:val="18"/>
        </w:rPr>
        <w:t xml:space="preserve"> </w:t>
      </w:r>
      <w:r>
        <w:rPr>
          <w:color w:val="231F20"/>
          <w:sz w:val="18"/>
          <w:szCs w:val="18"/>
        </w:rPr>
        <w:t>may</w:t>
      </w:r>
      <w:r>
        <w:rPr>
          <w:color w:val="231F20"/>
          <w:spacing w:val="-6"/>
          <w:sz w:val="18"/>
          <w:szCs w:val="18"/>
        </w:rPr>
        <w:t xml:space="preserve"> </w:t>
      </w:r>
      <w:r>
        <w:rPr>
          <w:color w:val="231F20"/>
          <w:sz w:val="18"/>
          <w:szCs w:val="18"/>
        </w:rPr>
        <w:t>be</w:t>
      </w:r>
      <w:r>
        <w:rPr>
          <w:color w:val="231F20"/>
          <w:spacing w:val="-4"/>
          <w:sz w:val="18"/>
          <w:szCs w:val="18"/>
        </w:rPr>
        <w:t xml:space="preserve"> </w:t>
      </w:r>
      <w:r>
        <w:rPr>
          <w:color w:val="231F20"/>
          <w:sz w:val="18"/>
          <w:szCs w:val="18"/>
        </w:rPr>
        <w:t>sent</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them</w:t>
      </w:r>
      <w:r>
        <w:rPr>
          <w:color w:val="231F20"/>
          <w:spacing w:val="-3"/>
          <w:sz w:val="18"/>
          <w:szCs w:val="18"/>
        </w:rPr>
        <w:t xml:space="preserve"> </w:t>
      </w:r>
      <w:r>
        <w:rPr>
          <w:color w:val="231F20"/>
          <w:sz w:val="18"/>
          <w:szCs w:val="18"/>
        </w:rPr>
        <w:t>or</w:t>
      </w:r>
      <w:r>
        <w:rPr>
          <w:color w:val="231F20"/>
          <w:spacing w:val="-4"/>
          <w:sz w:val="18"/>
          <w:szCs w:val="18"/>
        </w:rPr>
        <w:t xml:space="preserve"> </w:t>
      </w:r>
      <w:r>
        <w:rPr>
          <w:color w:val="231F20"/>
          <w:sz w:val="18"/>
          <w:szCs w:val="18"/>
        </w:rPr>
        <w:t>an</w:t>
      </w:r>
      <w:r>
        <w:rPr>
          <w:color w:val="231F20"/>
          <w:spacing w:val="-4"/>
          <w:sz w:val="18"/>
          <w:szCs w:val="18"/>
        </w:rPr>
        <w:t xml:space="preserve"> </w:t>
      </w:r>
      <w:r>
        <w:rPr>
          <w:color w:val="231F20"/>
          <w:sz w:val="18"/>
          <w:szCs w:val="18"/>
        </w:rPr>
        <w:t>electronic</w:t>
      </w:r>
      <w:r>
        <w:rPr>
          <w:color w:val="231F20"/>
          <w:spacing w:val="-3"/>
          <w:sz w:val="18"/>
          <w:szCs w:val="18"/>
        </w:rPr>
        <w:t xml:space="preserve"> </w:t>
      </w:r>
      <w:r>
        <w:rPr>
          <w:color w:val="231F20"/>
          <w:sz w:val="18"/>
          <w:szCs w:val="18"/>
        </w:rPr>
        <w:t>address</w:t>
      </w:r>
      <w:r>
        <w:rPr>
          <w:color w:val="231F20"/>
          <w:spacing w:val="-3"/>
          <w:sz w:val="18"/>
          <w:szCs w:val="18"/>
        </w:rPr>
        <w:t xml:space="preserve"> </w:t>
      </w:r>
      <w:r>
        <w:rPr>
          <w:color w:val="231F20"/>
          <w:sz w:val="18"/>
          <w:szCs w:val="18"/>
        </w:rPr>
        <w:t>to</w:t>
      </w:r>
      <w:r>
        <w:rPr>
          <w:color w:val="231F20"/>
          <w:spacing w:val="-4"/>
          <w:sz w:val="18"/>
          <w:szCs w:val="18"/>
        </w:rPr>
        <w:t xml:space="preserve"> </w:t>
      </w:r>
      <w:r>
        <w:rPr>
          <w:color w:val="231F20"/>
          <w:sz w:val="18"/>
          <w:szCs w:val="18"/>
        </w:rPr>
        <w:t>which</w:t>
      </w:r>
      <w:r>
        <w:rPr>
          <w:color w:val="231F20"/>
          <w:spacing w:val="-4"/>
          <w:sz w:val="18"/>
          <w:szCs w:val="18"/>
        </w:rPr>
        <w:t xml:space="preserve"> </w:t>
      </w:r>
      <w:r>
        <w:rPr>
          <w:color w:val="231F20"/>
          <w:sz w:val="18"/>
          <w:szCs w:val="18"/>
        </w:rPr>
        <w:t>notices</w:t>
      </w:r>
      <w:r>
        <w:rPr>
          <w:color w:val="231F20"/>
          <w:spacing w:val="-4"/>
          <w:sz w:val="18"/>
          <w:szCs w:val="18"/>
        </w:rPr>
        <w:t xml:space="preserve"> </w:t>
      </w:r>
      <w:r>
        <w:rPr>
          <w:color w:val="231F20"/>
          <w:sz w:val="18"/>
          <w:szCs w:val="18"/>
        </w:rPr>
        <w:t>or</w:t>
      </w:r>
      <w:r>
        <w:rPr>
          <w:color w:val="231F20"/>
          <w:spacing w:val="-6"/>
          <w:sz w:val="18"/>
          <w:szCs w:val="18"/>
        </w:rPr>
        <w:t xml:space="preserve"> </w:t>
      </w:r>
      <w:r>
        <w:rPr>
          <w:color w:val="231F20"/>
          <w:sz w:val="18"/>
          <w:szCs w:val="18"/>
        </w:rPr>
        <w:t>other documents or information may be sent using electronic</w:t>
      </w:r>
      <w:r>
        <w:rPr>
          <w:color w:val="231F20"/>
          <w:spacing w:val="-7"/>
          <w:sz w:val="18"/>
          <w:szCs w:val="18"/>
        </w:rPr>
        <w:t xml:space="preserve"> </w:t>
      </w:r>
      <w:r>
        <w:rPr>
          <w:color w:val="231F20"/>
          <w:sz w:val="18"/>
          <w:szCs w:val="18"/>
        </w:rPr>
        <w:t>communication.</w:t>
      </w:r>
    </w:p>
    <w:p w14:paraId="779B6E7F" w14:textId="77777777" w:rsidR="00783288" w:rsidRDefault="00783288">
      <w:pPr>
        <w:pStyle w:val="BodyText"/>
        <w:kinsoku w:val="0"/>
        <w:overflowPunct w:val="0"/>
        <w:spacing w:before="10"/>
        <w:rPr>
          <w:sz w:val="20"/>
          <w:szCs w:val="20"/>
        </w:rPr>
      </w:pPr>
    </w:p>
    <w:p w14:paraId="20EB041C"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Borrowing Powers</w:t>
      </w:r>
    </w:p>
    <w:p w14:paraId="73097751" w14:textId="77777777" w:rsidR="00783288" w:rsidRDefault="00783288">
      <w:pPr>
        <w:pStyle w:val="BodyText"/>
        <w:kinsoku w:val="0"/>
        <w:overflowPunct w:val="0"/>
        <w:rPr>
          <w:sz w:val="21"/>
          <w:szCs w:val="21"/>
        </w:rPr>
      </w:pPr>
    </w:p>
    <w:p w14:paraId="4D3353C3" w14:textId="77777777" w:rsidR="00783288" w:rsidRDefault="00E31420" w:rsidP="00512495">
      <w:pPr>
        <w:pStyle w:val="ListParagraph"/>
        <w:numPr>
          <w:ilvl w:val="2"/>
          <w:numId w:val="13"/>
        </w:numPr>
        <w:tabs>
          <w:tab w:val="left" w:pos="1822"/>
        </w:tabs>
        <w:kinsoku w:val="0"/>
        <w:overflowPunct w:val="0"/>
        <w:ind w:right="1034"/>
        <w:jc w:val="both"/>
        <w:rPr>
          <w:color w:val="231F20"/>
          <w:sz w:val="18"/>
          <w:szCs w:val="18"/>
        </w:rPr>
      </w:pPr>
      <w:r>
        <w:rPr>
          <w:color w:val="231F20"/>
          <w:sz w:val="18"/>
          <w:szCs w:val="18"/>
        </w:rPr>
        <w:t>Subject to the provisions of the Companies Act, the Board may exercise all the powers of the Company to borrow money and to mortgage or charge its undertaking, property and uncalled capital, and to issue debentures and other securities whether outright or as collateral security for any debt, liability or obligation of the Company or of any third party, except that the Board must restrict</w:t>
      </w:r>
      <w:r>
        <w:rPr>
          <w:color w:val="231F20"/>
          <w:spacing w:val="-2"/>
          <w:sz w:val="18"/>
          <w:szCs w:val="18"/>
        </w:rPr>
        <w:t xml:space="preserve"> </w:t>
      </w:r>
      <w:r>
        <w:rPr>
          <w:color w:val="231F20"/>
          <w:sz w:val="18"/>
          <w:szCs w:val="18"/>
        </w:rPr>
        <w:t>the</w:t>
      </w:r>
      <w:r>
        <w:rPr>
          <w:color w:val="231F20"/>
          <w:spacing w:val="-4"/>
          <w:sz w:val="18"/>
          <w:szCs w:val="18"/>
        </w:rPr>
        <w:t xml:space="preserve"> </w:t>
      </w:r>
      <w:r>
        <w:rPr>
          <w:color w:val="231F20"/>
          <w:sz w:val="18"/>
          <w:szCs w:val="18"/>
        </w:rPr>
        <w:t>borrowings</w:t>
      </w:r>
      <w:r>
        <w:rPr>
          <w:color w:val="231F20"/>
          <w:spacing w:val="-3"/>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1"/>
          <w:sz w:val="18"/>
          <w:szCs w:val="18"/>
        </w:rPr>
        <w:t xml:space="preserve"> </w:t>
      </w:r>
      <w:r>
        <w:rPr>
          <w:color w:val="231F20"/>
          <w:sz w:val="18"/>
          <w:szCs w:val="18"/>
        </w:rPr>
        <w:t>Company</w:t>
      </w:r>
      <w:r>
        <w:rPr>
          <w:color w:val="231F20"/>
          <w:spacing w:val="-3"/>
          <w:sz w:val="18"/>
          <w:szCs w:val="18"/>
        </w:rPr>
        <w:t xml:space="preserve"> </w:t>
      </w:r>
      <w:r>
        <w:rPr>
          <w:color w:val="231F20"/>
          <w:sz w:val="18"/>
          <w:szCs w:val="18"/>
        </w:rPr>
        <w:t>so</w:t>
      </w:r>
      <w:r>
        <w:rPr>
          <w:color w:val="231F20"/>
          <w:spacing w:val="-4"/>
          <w:sz w:val="18"/>
          <w:szCs w:val="18"/>
        </w:rPr>
        <w:t xml:space="preserve"> </w:t>
      </w:r>
      <w:r>
        <w:rPr>
          <w:color w:val="231F20"/>
          <w:sz w:val="18"/>
          <w:szCs w:val="18"/>
        </w:rPr>
        <w:t>as</w:t>
      </w:r>
      <w:r>
        <w:rPr>
          <w:color w:val="231F20"/>
          <w:spacing w:val="-3"/>
          <w:sz w:val="18"/>
          <w:szCs w:val="18"/>
        </w:rPr>
        <w:t xml:space="preserve"> </w:t>
      </w:r>
      <w:r>
        <w:rPr>
          <w:color w:val="231F20"/>
          <w:sz w:val="18"/>
          <w:szCs w:val="18"/>
        </w:rPr>
        <w:t>to</w:t>
      </w:r>
      <w:r>
        <w:rPr>
          <w:color w:val="231F20"/>
          <w:spacing w:val="-4"/>
          <w:sz w:val="18"/>
          <w:szCs w:val="18"/>
        </w:rPr>
        <w:t xml:space="preserve"> </w:t>
      </w:r>
      <w:r>
        <w:rPr>
          <w:color w:val="231F20"/>
          <w:sz w:val="18"/>
          <w:szCs w:val="18"/>
        </w:rPr>
        <w:t>secure</w:t>
      </w:r>
      <w:r>
        <w:rPr>
          <w:color w:val="231F20"/>
          <w:spacing w:val="-4"/>
          <w:sz w:val="18"/>
          <w:szCs w:val="18"/>
        </w:rPr>
        <w:t xml:space="preserve"> </w:t>
      </w:r>
      <w:r>
        <w:rPr>
          <w:color w:val="231F20"/>
          <w:sz w:val="18"/>
          <w:szCs w:val="18"/>
        </w:rPr>
        <w:t>that,</w:t>
      </w:r>
      <w:r>
        <w:rPr>
          <w:color w:val="231F20"/>
          <w:spacing w:val="-6"/>
          <w:sz w:val="18"/>
          <w:szCs w:val="18"/>
        </w:rPr>
        <w:t xml:space="preserve"> </w:t>
      </w:r>
      <w:r>
        <w:rPr>
          <w:color w:val="231F20"/>
          <w:sz w:val="18"/>
          <w:szCs w:val="18"/>
        </w:rPr>
        <w:t>except</w:t>
      </w:r>
      <w:r>
        <w:rPr>
          <w:color w:val="231F20"/>
          <w:spacing w:val="-2"/>
          <w:sz w:val="18"/>
          <w:szCs w:val="18"/>
        </w:rPr>
        <w:t xml:space="preserve"> </w:t>
      </w:r>
      <w:r>
        <w:rPr>
          <w:color w:val="231F20"/>
          <w:sz w:val="18"/>
          <w:szCs w:val="18"/>
        </w:rPr>
        <w:t>with</w:t>
      </w:r>
      <w:r>
        <w:rPr>
          <w:color w:val="231F20"/>
          <w:spacing w:val="-1"/>
          <w:sz w:val="18"/>
          <w:szCs w:val="18"/>
        </w:rPr>
        <w:t xml:space="preserve"> </w:t>
      </w:r>
      <w:r>
        <w:rPr>
          <w:color w:val="231F20"/>
          <w:sz w:val="18"/>
          <w:szCs w:val="18"/>
        </w:rPr>
        <w:t>the</w:t>
      </w:r>
      <w:r>
        <w:rPr>
          <w:color w:val="231F20"/>
          <w:spacing w:val="-1"/>
          <w:sz w:val="18"/>
          <w:szCs w:val="18"/>
        </w:rPr>
        <w:t xml:space="preserve"> </w:t>
      </w:r>
      <w:r>
        <w:rPr>
          <w:color w:val="231F20"/>
          <w:sz w:val="18"/>
          <w:szCs w:val="18"/>
        </w:rPr>
        <w:t>previous</w:t>
      </w:r>
      <w:r>
        <w:rPr>
          <w:color w:val="231F20"/>
          <w:spacing w:val="-1"/>
          <w:sz w:val="18"/>
          <w:szCs w:val="18"/>
        </w:rPr>
        <w:t xml:space="preserve"> </w:t>
      </w:r>
      <w:r>
        <w:rPr>
          <w:color w:val="231F20"/>
          <w:sz w:val="18"/>
          <w:szCs w:val="18"/>
        </w:rPr>
        <w:t>sanction</w:t>
      </w:r>
      <w:r>
        <w:rPr>
          <w:color w:val="231F20"/>
          <w:spacing w:val="-1"/>
          <w:sz w:val="18"/>
          <w:szCs w:val="18"/>
        </w:rPr>
        <w:t xml:space="preserve"> </w:t>
      </w:r>
      <w:r>
        <w:rPr>
          <w:color w:val="231F20"/>
          <w:sz w:val="18"/>
          <w:szCs w:val="18"/>
        </w:rPr>
        <w:t>of an ordinary resolution of the Company, no money may be borrowed if the aggregate principal amount</w:t>
      </w:r>
      <w:r>
        <w:rPr>
          <w:color w:val="231F20"/>
          <w:spacing w:val="-12"/>
          <w:sz w:val="18"/>
          <w:szCs w:val="18"/>
        </w:rPr>
        <w:t xml:space="preserve"> </w:t>
      </w:r>
      <w:r>
        <w:rPr>
          <w:color w:val="231F20"/>
          <w:sz w:val="18"/>
          <w:szCs w:val="18"/>
        </w:rPr>
        <w:t>outstanding</w:t>
      </w:r>
      <w:r>
        <w:rPr>
          <w:color w:val="231F20"/>
          <w:spacing w:val="-14"/>
          <w:sz w:val="18"/>
          <w:szCs w:val="18"/>
        </w:rPr>
        <w:t xml:space="preserve"> </w:t>
      </w:r>
      <w:r>
        <w:rPr>
          <w:color w:val="231F20"/>
          <w:sz w:val="18"/>
          <w:szCs w:val="18"/>
        </w:rPr>
        <w:t>of</w:t>
      </w:r>
      <w:r>
        <w:rPr>
          <w:color w:val="231F20"/>
          <w:spacing w:val="-11"/>
          <w:sz w:val="18"/>
          <w:szCs w:val="18"/>
        </w:rPr>
        <w:t xml:space="preserve"> </w:t>
      </w:r>
      <w:r>
        <w:rPr>
          <w:color w:val="231F20"/>
          <w:sz w:val="18"/>
          <w:szCs w:val="18"/>
        </w:rPr>
        <w:t>all</w:t>
      </w:r>
      <w:r>
        <w:rPr>
          <w:color w:val="231F20"/>
          <w:spacing w:val="-14"/>
          <w:sz w:val="18"/>
          <w:szCs w:val="18"/>
        </w:rPr>
        <w:t xml:space="preserve"> </w:t>
      </w:r>
      <w:r>
        <w:rPr>
          <w:color w:val="231F20"/>
          <w:sz w:val="18"/>
          <w:szCs w:val="18"/>
        </w:rPr>
        <w:t>money</w:t>
      </w:r>
      <w:r>
        <w:rPr>
          <w:color w:val="231F20"/>
          <w:spacing w:val="-14"/>
          <w:sz w:val="18"/>
          <w:szCs w:val="18"/>
        </w:rPr>
        <w:t xml:space="preserve"> </w:t>
      </w:r>
      <w:r>
        <w:rPr>
          <w:color w:val="231F20"/>
          <w:sz w:val="18"/>
          <w:szCs w:val="18"/>
        </w:rPr>
        <w:t>borrowed</w:t>
      </w:r>
      <w:r>
        <w:rPr>
          <w:color w:val="231F20"/>
          <w:spacing w:val="-11"/>
          <w:sz w:val="18"/>
          <w:szCs w:val="18"/>
        </w:rPr>
        <w:t xml:space="preserve"> </w:t>
      </w:r>
      <w:r>
        <w:rPr>
          <w:color w:val="231F20"/>
          <w:sz w:val="18"/>
          <w:szCs w:val="18"/>
        </w:rPr>
        <w:t>by</w:t>
      </w:r>
      <w:r>
        <w:rPr>
          <w:color w:val="231F20"/>
          <w:spacing w:val="-14"/>
          <w:sz w:val="18"/>
          <w:szCs w:val="18"/>
        </w:rPr>
        <w:t xml:space="preserve"> </w:t>
      </w:r>
      <w:r>
        <w:rPr>
          <w:color w:val="231F20"/>
          <w:sz w:val="18"/>
          <w:szCs w:val="18"/>
        </w:rPr>
        <w:t>the</w:t>
      </w:r>
      <w:r>
        <w:rPr>
          <w:color w:val="231F20"/>
          <w:spacing w:val="-12"/>
          <w:sz w:val="18"/>
          <w:szCs w:val="18"/>
        </w:rPr>
        <w:t xml:space="preserve"> </w:t>
      </w:r>
      <w:r>
        <w:rPr>
          <w:color w:val="231F20"/>
          <w:sz w:val="18"/>
          <w:szCs w:val="18"/>
        </w:rPr>
        <w:t>Company</w:t>
      </w:r>
      <w:r>
        <w:rPr>
          <w:color w:val="231F20"/>
          <w:spacing w:val="-13"/>
          <w:sz w:val="18"/>
          <w:szCs w:val="18"/>
        </w:rPr>
        <w:t xml:space="preserve"> </w:t>
      </w:r>
      <w:r>
        <w:rPr>
          <w:color w:val="231F20"/>
          <w:sz w:val="18"/>
          <w:szCs w:val="18"/>
        </w:rPr>
        <w:t>and</w:t>
      </w:r>
      <w:r>
        <w:rPr>
          <w:color w:val="231F20"/>
          <w:spacing w:val="-12"/>
          <w:sz w:val="18"/>
          <w:szCs w:val="18"/>
        </w:rPr>
        <w:t xml:space="preserve"> </w:t>
      </w:r>
      <w:r>
        <w:rPr>
          <w:color w:val="231F20"/>
          <w:sz w:val="18"/>
          <w:szCs w:val="18"/>
        </w:rPr>
        <w:t>its</w:t>
      </w:r>
      <w:r>
        <w:rPr>
          <w:color w:val="231F20"/>
          <w:spacing w:val="-10"/>
          <w:sz w:val="18"/>
          <w:szCs w:val="18"/>
        </w:rPr>
        <w:t xml:space="preserve"> </w:t>
      </w:r>
      <w:r>
        <w:rPr>
          <w:color w:val="231F20"/>
          <w:sz w:val="18"/>
          <w:szCs w:val="18"/>
        </w:rPr>
        <w:t>subsidiaries</w:t>
      </w:r>
      <w:r>
        <w:rPr>
          <w:color w:val="231F20"/>
          <w:spacing w:val="-10"/>
          <w:sz w:val="18"/>
          <w:szCs w:val="18"/>
        </w:rPr>
        <w:t xml:space="preserve"> </w:t>
      </w:r>
      <w:r>
        <w:rPr>
          <w:color w:val="231F20"/>
          <w:sz w:val="18"/>
          <w:szCs w:val="18"/>
        </w:rPr>
        <w:t>exceeds</w:t>
      </w:r>
      <w:r>
        <w:rPr>
          <w:color w:val="231F20"/>
          <w:spacing w:val="-11"/>
          <w:sz w:val="18"/>
          <w:szCs w:val="18"/>
        </w:rPr>
        <w:t xml:space="preserve"> </w:t>
      </w:r>
      <w:r>
        <w:rPr>
          <w:color w:val="231F20"/>
          <w:sz w:val="18"/>
          <w:szCs w:val="18"/>
        </w:rPr>
        <w:t>or</w:t>
      </w:r>
      <w:r>
        <w:rPr>
          <w:color w:val="231F20"/>
          <w:spacing w:val="-15"/>
          <w:sz w:val="18"/>
          <w:szCs w:val="18"/>
        </w:rPr>
        <w:t xml:space="preserve"> </w:t>
      </w:r>
      <w:r>
        <w:rPr>
          <w:color w:val="231F20"/>
          <w:sz w:val="18"/>
          <w:szCs w:val="18"/>
        </w:rPr>
        <w:t>would exceed</w:t>
      </w:r>
      <w:r>
        <w:rPr>
          <w:color w:val="231F20"/>
          <w:spacing w:val="-6"/>
          <w:sz w:val="18"/>
          <w:szCs w:val="18"/>
        </w:rPr>
        <w:t xml:space="preserve"> </w:t>
      </w:r>
      <w:r>
        <w:rPr>
          <w:color w:val="231F20"/>
          <w:sz w:val="18"/>
          <w:szCs w:val="18"/>
        </w:rPr>
        <w:t>an</w:t>
      </w:r>
      <w:r>
        <w:rPr>
          <w:color w:val="231F20"/>
          <w:spacing w:val="-9"/>
          <w:sz w:val="18"/>
          <w:szCs w:val="18"/>
        </w:rPr>
        <w:t xml:space="preserve"> </w:t>
      </w:r>
      <w:r>
        <w:rPr>
          <w:color w:val="231F20"/>
          <w:sz w:val="18"/>
          <w:szCs w:val="18"/>
        </w:rPr>
        <w:t>amount</w:t>
      </w:r>
      <w:r>
        <w:rPr>
          <w:color w:val="231F20"/>
          <w:spacing w:val="-9"/>
          <w:sz w:val="18"/>
          <w:szCs w:val="18"/>
        </w:rPr>
        <w:t xml:space="preserve"> </w:t>
      </w:r>
      <w:r>
        <w:rPr>
          <w:color w:val="231F20"/>
          <w:sz w:val="18"/>
          <w:szCs w:val="18"/>
        </w:rPr>
        <w:t>equal</w:t>
      </w:r>
      <w:r>
        <w:rPr>
          <w:color w:val="231F20"/>
          <w:spacing w:val="-8"/>
          <w:sz w:val="18"/>
          <w:szCs w:val="18"/>
        </w:rPr>
        <w:t xml:space="preserve"> </w:t>
      </w:r>
      <w:r>
        <w:rPr>
          <w:color w:val="231F20"/>
          <w:sz w:val="18"/>
          <w:szCs w:val="18"/>
        </w:rPr>
        <w:t>to</w:t>
      </w:r>
      <w:r>
        <w:rPr>
          <w:color w:val="231F20"/>
          <w:spacing w:val="-6"/>
          <w:sz w:val="18"/>
          <w:szCs w:val="18"/>
        </w:rPr>
        <w:t xml:space="preserve"> </w:t>
      </w:r>
      <w:r>
        <w:rPr>
          <w:color w:val="231F20"/>
          <w:sz w:val="18"/>
          <w:szCs w:val="18"/>
        </w:rPr>
        <w:t>two</w:t>
      </w:r>
      <w:r>
        <w:rPr>
          <w:color w:val="231F20"/>
          <w:spacing w:val="-6"/>
          <w:sz w:val="18"/>
          <w:szCs w:val="18"/>
        </w:rPr>
        <w:t xml:space="preserve"> </w:t>
      </w:r>
      <w:r>
        <w:rPr>
          <w:color w:val="231F20"/>
          <w:sz w:val="18"/>
          <w:szCs w:val="18"/>
        </w:rPr>
        <w:t>times</w:t>
      </w:r>
      <w:r>
        <w:rPr>
          <w:color w:val="231F20"/>
          <w:spacing w:val="-8"/>
          <w:sz w:val="18"/>
          <w:szCs w:val="18"/>
        </w:rPr>
        <w:t xml:space="preserve"> </w:t>
      </w:r>
      <w:r>
        <w:rPr>
          <w:color w:val="231F20"/>
          <w:sz w:val="18"/>
          <w:szCs w:val="18"/>
        </w:rPr>
        <w:t>the</w:t>
      </w:r>
      <w:r>
        <w:rPr>
          <w:color w:val="231F20"/>
          <w:spacing w:val="-6"/>
          <w:sz w:val="18"/>
          <w:szCs w:val="18"/>
        </w:rPr>
        <w:t xml:space="preserve"> </w:t>
      </w:r>
      <w:r>
        <w:rPr>
          <w:color w:val="231F20"/>
          <w:sz w:val="18"/>
          <w:szCs w:val="18"/>
        </w:rPr>
        <w:t>aggregate</w:t>
      </w:r>
      <w:r>
        <w:rPr>
          <w:color w:val="231F20"/>
          <w:spacing w:val="-9"/>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8"/>
          <w:sz w:val="18"/>
          <w:szCs w:val="18"/>
        </w:rPr>
        <w:t xml:space="preserve"> </w:t>
      </w:r>
      <w:r>
        <w:rPr>
          <w:color w:val="231F20"/>
          <w:sz w:val="18"/>
          <w:szCs w:val="18"/>
        </w:rPr>
        <w:t>nominal</w:t>
      </w:r>
      <w:r>
        <w:rPr>
          <w:color w:val="231F20"/>
          <w:spacing w:val="-9"/>
          <w:sz w:val="18"/>
          <w:szCs w:val="18"/>
        </w:rPr>
        <w:t xml:space="preserve"> </w:t>
      </w:r>
      <w:r>
        <w:rPr>
          <w:color w:val="231F20"/>
          <w:sz w:val="18"/>
          <w:szCs w:val="18"/>
        </w:rPr>
        <w:t>amount</w:t>
      </w:r>
      <w:r>
        <w:rPr>
          <w:color w:val="231F20"/>
          <w:spacing w:val="-9"/>
          <w:sz w:val="18"/>
          <w:szCs w:val="18"/>
        </w:rPr>
        <w:t xml:space="preserve"> </w:t>
      </w:r>
      <w:r>
        <w:rPr>
          <w:color w:val="231F20"/>
          <w:sz w:val="18"/>
          <w:szCs w:val="18"/>
        </w:rPr>
        <w:t>paid-up</w:t>
      </w:r>
      <w:r>
        <w:rPr>
          <w:color w:val="231F20"/>
          <w:spacing w:val="-9"/>
          <w:sz w:val="18"/>
          <w:szCs w:val="18"/>
        </w:rPr>
        <w:t xml:space="preserve"> </w:t>
      </w:r>
      <w:r>
        <w:rPr>
          <w:color w:val="231F20"/>
          <w:sz w:val="18"/>
          <w:szCs w:val="18"/>
        </w:rPr>
        <w:t>on</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issued share</w:t>
      </w:r>
      <w:r>
        <w:rPr>
          <w:color w:val="231F20"/>
          <w:spacing w:val="-11"/>
          <w:sz w:val="18"/>
          <w:szCs w:val="18"/>
        </w:rPr>
        <w:t xml:space="preserve"> </w:t>
      </w:r>
      <w:r>
        <w:rPr>
          <w:color w:val="231F20"/>
          <w:sz w:val="18"/>
          <w:szCs w:val="18"/>
        </w:rPr>
        <w:t>capital</w:t>
      </w:r>
      <w:r>
        <w:rPr>
          <w:color w:val="231F20"/>
          <w:spacing w:val="-9"/>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Company</w:t>
      </w:r>
      <w:r>
        <w:rPr>
          <w:color w:val="231F20"/>
          <w:spacing w:val="-10"/>
          <w:sz w:val="18"/>
          <w:szCs w:val="18"/>
        </w:rPr>
        <w:t xml:space="preserve"> </w:t>
      </w:r>
      <w:r>
        <w:rPr>
          <w:color w:val="231F20"/>
          <w:sz w:val="18"/>
          <w:szCs w:val="18"/>
        </w:rPr>
        <w:t>and</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consolidated</w:t>
      </w:r>
      <w:r>
        <w:rPr>
          <w:color w:val="231F20"/>
          <w:spacing w:val="-9"/>
          <w:sz w:val="18"/>
          <w:szCs w:val="18"/>
        </w:rPr>
        <w:t xml:space="preserve"> </w:t>
      </w:r>
      <w:r>
        <w:rPr>
          <w:color w:val="231F20"/>
          <w:sz w:val="18"/>
          <w:szCs w:val="18"/>
        </w:rPr>
        <w:t>reserves</w:t>
      </w:r>
      <w:r>
        <w:rPr>
          <w:color w:val="231F20"/>
          <w:spacing w:val="-8"/>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Company</w:t>
      </w:r>
      <w:r>
        <w:rPr>
          <w:color w:val="231F20"/>
          <w:spacing w:val="-9"/>
          <w:sz w:val="18"/>
          <w:szCs w:val="18"/>
        </w:rPr>
        <w:t xml:space="preserve"> </w:t>
      </w:r>
      <w:r>
        <w:rPr>
          <w:color w:val="231F20"/>
          <w:sz w:val="18"/>
          <w:szCs w:val="18"/>
        </w:rPr>
        <w:t>and</w:t>
      </w:r>
      <w:r>
        <w:rPr>
          <w:color w:val="231F20"/>
          <w:spacing w:val="-9"/>
          <w:sz w:val="18"/>
          <w:szCs w:val="18"/>
        </w:rPr>
        <w:t xml:space="preserve"> </w:t>
      </w:r>
      <w:r>
        <w:rPr>
          <w:color w:val="231F20"/>
          <w:sz w:val="18"/>
          <w:szCs w:val="18"/>
        </w:rPr>
        <w:t>its</w:t>
      </w:r>
      <w:r>
        <w:rPr>
          <w:color w:val="231F20"/>
          <w:spacing w:val="-8"/>
          <w:sz w:val="18"/>
          <w:szCs w:val="18"/>
        </w:rPr>
        <w:t xml:space="preserve"> </w:t>
      </w:r>
      <w:r>
        <w:rPr>
          <w:color w:val="231F20"/>
          <w:sz w:val="18"/>
          <w:szCs w:val="18"/>
        </w:rPr>
        <w:t>subsidiaries.</w:t>
      </w:r>
    </w:p>
    <w:p w14:paraId="45214B10" w14:textId="77777777" w:rsidR="00783288" w:rsidRDefault="00783288">
      <w:pPr>
        <w:pStyle w:val="BodyText"/>
        <w:kinsoku w:val="0"/>
        <w:overflowPunct w:val="0"/>
        <w:spacing w:before="9"/>
        <w:rPr>
          <w:sz w:val="20"/>
          <w:szCs w:val="20"/>
        </w:rPr>
      </w:pPr>
    </w:p>
    <w:p w14:paraId="29497BE2"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Directors</w:t>
      </w:r>
    </w:p>
    <w:p w14:paraId="03224321" w14:textId="77777777" w:rsidR="00783288" w:rsidRDefault="00783288">
      <w:pPr>
        <w:pStyle w:val="BodyText"/>
        <w:kinsoku w:val="0"/>
        <w:overflowPunct w:val="0"/>
        <w:spacing w:before="10"/>
        <w:rPr>
          <w:sz w:val="20"/>
          <w:szCs w:val="20"/>
        </w:rPr>
      </w:pPr>
    </w:p>
    <w:p w14:paraId="5475FB0A"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No shareholding qualification is required by a director of the</w:t>
      </w:r>
      <w:r>
        <w:rPr>
          <w:color w:val="231F20"/>
          <w:spacing w:val="-5"/>
          <w:sz w:val="18"/>
          <w:szCs w:val="18"/>
        </w:rPr>
        <w:t xml:space="preserve"> </w:t>
      </w:r>
      <w:r>
        <w:rPr>
          <w:color w:val="231F20"/>
          <w:sz w:val="18"/>
          <w:szCs w:val="18"/>
        </w:rPr>
        <w:t>Company.</w:t>
      </w:r>
    </w:p>
    <w:p w14:paraId="4D2C955D" w14:textId="77777777" w:rsidR="00783288" w:rsidRDefault="00783288">
      <w:pPr>
        <w:pStyle w:val="BodyText"/>
        <w:kinsoku w:val="0"/>
        <w:overflowPunct w:val="0"/>
        <w:spacing w:before="9"/>
        <w:rPr>
          <w:sz w:val="20"/>
          <w:szCs w:val="20"/>
        </w:rPr>
      </w:pPr>
    </w:p>
    <w:p w14:paraId="426ADC63" w14:textId="77777777" w:rsidR="00783288" w:rsidRDefault="00E31420" w:rsidP="00512495">
      <w:pPr>
        <w:pStyle w:val="ListParagraph"/>
        <w:numPr>
          <w:ilvl w:val="2"/>
          <w:numId w:val="13"/>
        </w:numPr>
        <w:tabs>
          <w:tab w:val="left" w:pos="1822"/>
        </w:tabs>
        <w:kinsoku w:val="0"/>
        <w:overflowPunct w:val="0"/>
        <w:ind w:right="1036"/>
        <w:jc w:val="both"/>
        <w:rPr>
          <w:color w:val="231F20"/>
          <w:sz w:val="18"/>
          <w:szCs w:val="18"/>
        </w:rPr>
      </w:pPr>
      <w:r>
        <w:rPr>
          <w:color w:val="231F20"/>
          <w:sz w:val="18"/>
          <w:szCs w:val="18"/>
        </w:rPr>
        <w:t>The directors of the Company are entitled to fees, in addition to salaries, at the rate decided by them, subject to an aggregate limit of £200,000 per annum or such additional sums as the Company may by ordinary resolution determine. The Company may by ordinary resolution also vote</w:t>
      </w:r>
      <w:r>
        <w:rPr>
          <w:color w:val="231F20"/>
          <w:spacing w:val="-9"/>
          <w:sz w:val="18"/>
          <w:szCs w:val="18"/>
        </w:rPr>
        <w:t xml:space="preserve"> </w:t>
      </w:r>
      <w:r>
        <w:rPr>
          <w:color w:val="231F20"/>
          <w:sz w:val="18"/>
          <w:szCs w:val="18"/>
        </w:rPr>
        <w:t>extra</w:t>
      </w:r>
      <w:r>
        <w:rPr>
          <w:color w:val="231F20"/>
          <w:spacing w:val="-9"/>
          <w:sz w:val="18"/>
          <w:szCs w:val="18"/>
        </w:rPr>
        <w:t xml:space="preserve"> </w:t>
      </w:r>
      <w:r>
        <w:rPr>
          <w:color w:val="231F20"/>
          <w:sz w:val="18"/>
          <w:szCs w:val="18"/>
        </w:rPr>
        <w:t>fees</w:t>
      </w:r>
      <w:r>
        <w:rPr>
          <w:color w:val="231F20"/>
          <w:spacing w:val="-8"/>
          <w:sz w:val="18"/>
          <w:szCs w:val="18"/>
        </w:rPr>
        <w:t xml:space="preserve"> </w:t>
      </w:r>
      <w:r>
        <w:rPr>
          <w:color w:val="231F20"/>
          <w:sz w:val="18"/>
          <w:szCs w:val="18"/>
        </w:rPr>
        <w:t>to</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directors</w:t>
      </w:r>
      <w:r>
        <w:rPr>
          <w:color w:val="231F20"/>
          <w:spacing w:val="-10"/>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Company</w:t>
      </w:r>
      <w:r>
        <w:rPr>
          <w:color w:val="231F20"/>
          <w:spacing w:val="-10"/>
          <w:sz w:val="18"/>
          <w:szCs w:val="18"/>
        </w:rPr>
        <w:t xml:space="preserve"> </w:t>
      </w:r>
      <w:r>
        <w:rPr>
          <w:color w:val="231F20"/>
          <w:sz w:val="18"/>
          <w:szCs w:val="18"/>
        </w:rPr>
        <w:t>which,</w:t>
      </w:r>
      <w:r>
        <w:rPr>
          <w:color w:val="231F20"/>
          <w:spacing w:val="-9"/>
          <w:sz w:val="18"/>
          <w:szCs w:val="18"/>
        </w:rPr>
        <w:t xml:space="preserve"> </w:t>
      </w:r>
      <w:r>
        <w:rPr>
          <w:color w:val="231F20"/>
          <w:sz w:val="18"/>
          <w:szCs w:val="18"/>
        </w:rPr>
        <w:t>unless</w:t>
      </w:r>
      <w:r>
        <w:rPr>
          <w:color w:val="231F20"/>
          <w:spacing w:val="-10"/>
          <w:sz w:val="18"/>
          <w:szCs w:val="18"/>
        </w:rPr>
        <w:t xml:space="preserve"> </w:t>
      </w:r>
      <w:r>
        <w:rPr>
          <w:color w:val="231F20"/>
          <w:sz w:val="18"/>
          <w:szCs w:val="18"/>
        </w:rPr>
        <w:t>otherwise</w:t>
      </w:r>
      <w:r>
        <w:rPr>
          <w:color w:val="231F20"/>
          <w:spacing w:val="-9"/>
          <w:sz w:val="18"/>
          <w:szCs w:val="18"/>
        </w:rPr>
        <w:t xml:space="preserve"> </w:t>
      </w:r>
      <w:r>
        <w:rPr>
          <w:color w:val="231F20"/>
          <w:sz w:val="18"/>
          <w:szCs w:val="18"/>
        </w:rPr>
        <w:t>directed</w:t>
      </w:r>
      <w:r>
        <w:rPr>
          <w:color w:val="231F20"/>
          <w:spacing w:val="-9"/>
          <w:sz w:val="18"/>
          <w:szCs w:val="18"/>
        </w:rPr>
        <w:t xml:space="preserve"> </w:t>
      </w:r>
      <w:r>
        <w:rPr>
          <w:color w:val="231F20"/>
          <w:sz w:val="18"/>
          <w:szCs w:val="18"/>
        </w:rPr>
        <w:t>by</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resolution by</w:t>
      </w:r>
      <w:r>
        <w:rPr>
          <w:color w:val="231F20"/>
          <w:spacing w:val="-9"/>
          <w:sz w:val="18"/>
          <w:szCs w:val="18"/>
        </w:rPr>
        <w:t xml:space="preserve"> </w:t>
      </w:r>
      <w:r>
        <w:rPr>
          <w:color w:val="231F20"/>
          <w:sz w:val="18"/>
          <w:szCs w:val="18"/>
        </w:rPr>
        <w:t>which</w:t>
      </w:r>
      <w:r>
        <w:rPr>
          <w:color w:val="231F20"/>
          <w:spacing w:val="-6"/>
          <w:sz w:val="18"/>
          <w:szCs w:val="18"/>
        </w:rPr>
        <w:t xml:space="preserve"> </w:t>
      </w:r>
      <w:r>
        <w:rPr>
          <w:color w:val="231F20"/>
          <w:sz w:val="18"/>
          <w:szCs w:val="18"/>
        </w:rPr>
        <w:t>it</w:t>
      </w:r>
      <w:r>
        <w:rPr>
          <w:color w:val="231F20"/>
          <w:spacing w:val="-9"/>
          <w:sz w:val="18"/>
          <w:szCs w:val="18"/>
        </w:rPr>
        <w:t xml:space="preserve"> </w:t>
      </w:r>
      <w:r>
        <w:rPr>
          <w:color w:val="231F20"/>
          <w:sz w:val="18"/>
          <w:szCs w:val="18"/>
        </w:rPr>
        <w:t>is</w:t>
      </w:r>
      <w:r>
        <w:rPr>
          <w:color w:val="231F20"/>
          <w:spacing w:val="-9"/>
          <w:sz w:val="18"/>
          <w:szCs w:val="18"/>
        </w:rPr>
        <w:t xml:space="preserve"> </w:t>
      </w:r>
      <w:r>
        <w:rPr>
          <w:color w:val="231F20"/>
          <w:sz w:val="18"/>
          <w:szCs w:val="18"/>
        </w:rPr>
        <w:t>voted,</w:t>
      </w:r>
      <w:r>
        <w:rPr>
          <w:color w:val="231F20"/>
          <w:spacing w:val="-9"/>
          <w:sz w:val="18"/>
          <w:szCs w:val="18"/>
        </w:rPr>
        <w:t xml:space="preserve"> </w:t>
      </w:r>
      <w:r>
        <w:rPr>
          <w:color w:val="231F20"/>
          <w:sz w:val="18"/>
          <w:szCs w:val="18"/>
        </w:rPr>
        <w:t>will</w:t>
      </w:r>
      <w:r>
        <w:rPr>
          <w:color w:val="231F20"/>
          <w:spacing w:val="-6"/>
          <w:sz w:val="18"/>
          <w:szCs w:val="18"/>
        </w:rPr>
        <w:t xml:space="preserve"> </w:t>
      </w:r>
      <w:r>
        <w:rPr>
          <w:color w:val="231F20"/>
          <w:sz w:val="18"/>
          <w:szCs w:val="18"/>
        </w:rPr>
        <w:t>be</w:t>
      </w:r>
      <w:r>
        <w:rPr>
          <w:color w:val="231F20"/>
          <w:spacing w:val="-9"/>
          <w:sz w:val="18"/>
          <w:szCs w:val="18"/>
        </w:rPr>
        <w:t xml:space="preserve"> </w:t>
      </w:r>
      <w:r>
        <w:rPr>
          <w:color w:val="231F20"/>
          <w:sz w:val="18"/>
          <w:szCs w:val="18"/>
        </w:rPr>
        <w:t>divided</w:t>
      </w:r>
      <w:r>
        <w:rPr>
          <w:color w:val="231F20"/>
          <w:spacing w:val="-7"/>
          <w:sz w:val="18"/>
          <w:szCs w:val="18"/>
        </w:rPr>
        <w:t xml:space="preserve"> </w:t>
      </w:r>
      <w:r>
        <w:rPr>
          <w:color w:val="231F20"/>
          <w:sz w:val="18"/>
          <w:szCs w:val="18"/>
        </w:rPr>
        <w:t>amongst</w:t>
      </w:r>
      <w:r>
        <w:rPr>
          <w:color w:val="231F20"/>
          <w:spacing w:val="-6"/>
          <w:sz w:val="18"/>
          <w:szCs w:val="18"/>
        </w:rPr>
        <w:t xml:space="preserve"> </w:t>
      </w:r>
      <w:r>
        <w:rPr>
          <w:color w:val="231F20"/>
          <w:sz w:val="18"/>
          <w:szCs w:val="18"/>
        </w:rPr>
        <w:t>the</w:t>
      </w:r>
      <w:r>
        <w:rPr>
          <w:color w:val="231F20"/>
          <w:spacing w:val="-7"/>
          <w:sz w:val="18"/>
          <w:szCs w:val="18"/>
        </w:rPr>
        <w:t xml:space="preserve"> </w:t>
      </w:r>
      <w:r>
        <w:rPr>
          <w:color w:val="231F20"/>
          <w:sz w:val="18"/>
          <w:szCs w:val="18"/>
        </w:rPr>
        <w:t>directors</w:t>
      </w:r>
      <w:r>
        <w:rPr>
          <w:color w:val="231F20"/>
          <w:spacing w:val="-8"/>
          <w:sz w:val="18"/>
          <w:szCs w:val="18"/>
        </w:rPr>
        <w:t xml:space="preserve"> </w:t>
      </w:r>
      <w:r>
        <w:rPr>
          <w:color w:val="231F20"/>
          <w:sz w:val="18"/>
          <w:szCs w:val="18"/>
        </w:rPr>
        <w:t>of</w:t>
      </w:r>
      <w:r>
        <w:rPr>
          <w:color w:val="231F20"/>
          <w:spacing w:val="-8"/>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Pr>
          <w:color w:val="231F20"/>
          <w:spacing w:val="-9"/>
          <w:sz w:val="18"/>
          <w:szCs w:val="18"/>
        </w:rPr>
        <w:t xml:space="preserve"> </w:t>
      </w:r>
      <w:r>
        <w:rPr>
          <w:color w:val="231F20"/>
          <w:sz w:val="18"/>
          <w:szCs w:val="18"/>
        </w:rPr>
        <w:t>as</w:t>
      </w:r>
      <w:r>
        <w:rPr>
          <w:color w:val="231F20"/>
          <w:spacing w:val="-6"/>
          <w:sz w:val="18"/>
          <w:szCs w:val="18"/>
        </w:rPr>
        <w:t xml:space="preserve"> </w:t>
      </w:r>
      <w:r>
        <w:rPr>
          <w:color w:val="231F20"/>
          <w:sz w:val="18"/>
          <w:szCs w:val="18"/>
        </w:rPr>
        <w:t>they</w:t>
      </w:r>
      <w:r>
        <w:rPr>
          <w:color w:val="231F20"/>
          <w:spacing w:val="-8"/>
          <w:sz w:val="18"/>
          <w:szCs w:val="18"/>
        </w:rPr>
        <w:t xml:space="preserve"> </w:t>
      </w:r>
      <w:r>
        <w:rPr>
          <w:color w:val="231F20"/>
          <w:sz w:val="18"/>
          <w:szCs w:val="18"/>
        </w:rPr>
        <w:t>agree,</w:t>
      </w:r>
      <w:r>
        <w:rPr>
          <w:color w:val="231F20"/>
          <w:spacing w:val="-10"/>
          <w:sz w:val="18"/>
          <w:szCs w:val="18"/>
        </w:rPr>
        <w:t xml:space="preserve"> </w:t>
      </w:r>
      <w:r>
        <w:rPr>
          <w:color w:val="231F20"/>
          <w:sz w:val="18"/>
          <w:szCs w:val="18"/>
        </w:rPr>
        <w:t>or</w:t>
      </w:r>
      <w:r>
        <w:rPr>
          <w:color w:val="231F20"/>
          <w:spacing w:val="-7"/>
          <w:sz w:val="18"/>
          <w:szCs w:val="18"/>
        </w:rPr>
        <w:t xml:space="preserve"> </w:t>
      </w:r>
      <w:r>
        <w:rPr>
          <w:color w:val="231F20"/>
          <w:sz w:val="18"/>
          <w:szCs w:val="18"/>
        </w:rPr>
        <w:t xml:space="preserve">failing agreement, equally. The directors of the Company are also entitled to be repaid all travelling, hotel </w:t>
      </w:r>
      <w:r>
        <w:rPr>
          <w:color w:val="231F20"/>
          <w:sz w:val="18"/>
          <w:szCs w:val="18"/>
        </w:rPr>
        <w:lastRenderedPageBreak/>
        <w:t>and other expenses incurred by them in connection with the business of the</w:t>
      </w:r>
      <w:r>
        <w:rPr>
          <w:color w:val="231F20"/>
          <w:spacing w:val="-26"/>
          <w:sz w:val="18"/>
          <w:szCs w:val="18"/>
        </w:rPr>
        <w:t xml:space="preserve"> </w:t>
      </w:r>
      <w:r>
        <w:rPr>
          <w:color w:val="231F20"/>
          <w:sz w:val="18"/>
          <w:szCs w:val="18"/>
        </w:rPr>
        <w:t>Company.</w:t>
      </w:r>
    </w:p>
    <w:p w14:paraId="1895A65F" w14:textId="77777777" w:rsidR="00783288" w:rsidRDefault="00783288">
      <w:pPr>
        <w:pStyle w:val="BodyText"/>
        <w:kinsoku w:val="0"/>
        <w:overflowPunct w:val="0"/>
        <w:spacing w:before="11"/>
        <w:rPr>
          <w:sz w:val="20"/>
          <w:szCs w:val="20"/>
        </w:rPr>
      </w:pPr>
    </w:p>
    <w:p w14:paraId="401C4D46"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At the third (or next subsequent) annual general meeting after an annual general meeting or general meeting at which a director of the Company was appointed or last re-appointed, such director of the Company will retire from office. A retiring director of the Company is eligible for reappointment.</w:t>
      </w:r>
    </w:p>
    <w:p w14:paraId="18CD4A34" w14:textId="77777777" w:rsidR="00783288" w:rsidRDefault="00783288">
      <w:pPr>
        <w:pStyle w:val="BodyText"/>
        <w:kinsoku w:val="0"/>
        <w:overflowPunct w:val="0"/>
        <w:spacing w:before="10"/>
        <w:rPr>
          <w:sz w:val="20"/>
          <w:szCs w:val="20"/>
        </w:rPr>
      </w:pPr>
    </w:p>
    <w:p w14:paraId="16A46337"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The directors of the Company may from time to time appoint one or more of their body to be the holder of an executive office on such terms as they think</w:t>
      </w:r>
      <w:r>
        <w:rPr>
          <w:color w:val="231F20"/>
          <w:spacing w:val="-4"/>
          <w:sz w:val="18"/>
          <w:szCs w:val="18"/>
        </w:rPr>
        <w:t xml:space="preserve"> </w:t>
      </w:r>
      <w:r>
        <w:rPr>
          <w:color w:val="231F20"/>
          <w:sz w:val="18"/>
          <w:szCs w:val="18"/>
        </w:rPr>
        <w:t>fit.</w:t>
      </w:r>
    </w:p>
    <w:p w14:paraId="3B7F02E8" w14:textId="77777777" w:rsidR="00783288" w:rsidRDefault="00783288">
      <w:pPr>
        <w:pStyle w:val="BodyText"/>
        <w:kinsoku w:val="0"/>
        <w:overflowPunct w:val="0"/>
        <w:spacing w:before="8"/>
        <w:rPr>
          <w:sz w:val="20"/>
          <w:szCs w:val="20"/>
        </w:rPr>
      </w:pPr>
    </w:p>
    <w:p w14:paraId="129F5487" w14:textId="77777777" w:rsidR="00783288" w:rsidRDefault="00E31420" w:rsidP="00512495">
      <w:pPr>
        <w:pStyle w:val="ListParagraph"/>
        <w:numPr>
          <w:ilvl w:val="2"/>
          <w:numId w:val="13"/>
        </w:numPr>
        <w:tabs>
          <w:tab w:val="left" w:pos="1822"/>
        </w:tabs>
        <w:kinsoku w:val="0"/>
        <w:overflowPunct w:val="0"/>
        <w:spacing w:before="1"/>
        <w:ind w:right="1036"/>
        <w:jc w:val="both"/>
        <w:rPr>
          <w:color w:val="231F20"/>
          <w:sz w:val="18"/>
          <w:szCs w:val="18"/>
        </w:rPr>
      </w:pPr>
      <w:r>
        <w:rPr>
          <w:color w:val="231F20"/>
          <w:sz w:val="18"/>
          <w:szCs w:val="18"/>
        </w:rPr>
        <w:t>Except as provided in sub-paragraphs 4.14.6 and 4.14.7 below, a director of the Company may not</w:t>
      </w:r>
      <w:r>
        <w:rPr>
          <w:color w:val="231F20"/>
          <w:spacing w:val="-10"/>
          <w:sz w:val="18"/>
          <w:szCs w:val="18"/>
        </w:rPr>
        <w:t xml:space="preserve"> </w:t>
      </w:r>
      <w:r>
        <w:rPr>
          <w:color w:val="231F20"/>
          <w:sz w:val="18"/>
          <w:szCs w:val="18"/>
        </w:rPr>
        <w:t>vote</w:t>
      </w:r>
      <w:r>
        <w:rPr>
          <w:color w:val="231F20"/>
          <w:spacing w:val="-11"/>
          <w:sz w:val="18"/>
          <w:szCs w:val="18"/>
        </w:rPr>
        <w:t xml:space="preserve"> </w:t>
      </w:r>
      <w:r>
        <w:rPr>
          <w:color w:val="231F20"/>
          <w:sz w:val="18"/>
          <w:szCs w:val="18"/>
        </w:rPr>
        <w:t>or</w:t>
      </w:r>
      <w:r>
        <w:rPr>
          <w:color w:val="231F20"/>
          <w:spacing w:val="-12"/>
          <w:sz w:val="18"/>
          <w:szCs w:val="18"/>
        </w:rPr>
        <w:t xml:space="preserve"> </w:t>
      </w:r>
      <w:r>
        <w:rPr>
          <w:color w:val="231F20"/>
          <w:sz w:val="18"/>
          <w:szCs w:val="18"/>
        </w:rPr>
        <w:t>be</w:t>
      </w:r>
      <w:r>
        <w:rPr>
          <w:color w:val="231F20"/>
          <w:spacing w:val="-11"/>
          <w:sz w:val="18"/>
          <w:szCs w:val="18"/>
        </w:rPr>
        <w:t xml:space="preserve"> </w:t>
      </w:r>
      <w:r>
        <w:rPr>
          <w:color w:val="231F20"/>
          <w:sz w:val="18"/>
          <w:szCs w:val="18"/>
        </w:rPr>
        <w:t>counted</w:t>
      </w:r>
      <w:r>
        <w:rPr>
          <w:color w:val="231F20"/>
          <w:spacing w:val="-11"/>
          <w:sz w:val="18"/>
          <w:szCs w:val="18"/>
        </w:rPr>
        <w:t xml:space="preserve"> </w:t>
      </w:r>
      <w:r>
        <w:rPr>
          <w:color w:val="231F20"/>
          <w:sz w:val="18"/>
          <w:szCs w:val="18"/>
        </w:rPr>
        <w:t>in</w:t>
      </w:r>
      <w:r>
        <w:rPr>
          <w:color w:val="231F20"/>
          <w:spacing w:val="-9"/>
          <w:sz w:val="18"/>
          <w:szCs w:val="18"/>
        </w:rPr>
        <w:t xml:space="preserve"> </w:t>
      </w:r>
      <w:r>
        <w:rPr>
          <w:color w:val="231F20"/>
          <w:sz w:val="18"/>
          <w:szCs w:val="18"/>
        </w:rPr>
        <w:t>the</w:t>
      </w:r>
      <w:r>
        <w:rPr>
          <w:color w:val="231F20"/>
          <w:spacing w:val="-11"/>
          <w:sz w:val="18"/>
          <w:szCs w:val="18"/>
        </w:rPr>
        <w:t xml:space="preserve"> </w:t>
      </w:r>
      <w:r>
        <w:rPr>
          <w:color w:val="231F20"/>
          <w:sz w:val="18"/>
          <w:szCs w:val="18"/>
        </w:rPr>
        <w:t>quorum</w:t>
      </w:r>
      <w:r>
        <w:rPr>
          <w:color w:val="231F20"/>
          <w:spacing w:val="-10"/>
          <w:sz w:val="18"/>
          <w:szCs w:val="18"/>
        </w:rPr>
        <w:t xml:space="preserve"> </w:t>
      </w:r>
      <w:r>
        <w:rPr>
          <w:color w:val="231F20"/>
          <w:sz w:val="18"/>
          <w:szCs w:val="18"/>
        </w:rPr>
        <w:t>present</w:t>
      </w:r>
      <w:r>
        <w:rPr>
          <w:color w:val="231F20"/>
          <w:spacing w:val="-9"/>
          <w:sz w:val="18"/>
          <w:szCs w:val="18"/>
        </w:rPr>
        <w:t xml:space="preserve"> </w:t>
      </w:r>
      <w:r>
        <w:rPr>
          <w:color w:val="231F20"/>
          <w:sz w:val="18"/>
          <w:szCs w:val="18"/>
        </w:rPr>
        <w:t>on</w:t>
      </w:r>
      <w:r>
        <w:rPr>
          <w:color w:val="231F20"/>
          <w:spacing w:val="-9"/>
          <w:sz w:val="18"/>
          <w:szCs w:val="18"/>
        </w:rPr>
        <w:t xml:space="preserve"> </w:t>
      </w:r>
      <w:r>
        <w:rPr>
          <w:color w:val="231F20"/>
          <w:sz w:val="18"/>
          <w:szCs w:val="18"/>
        </w:rPr>
        <w:t>any</w:t>
      </w:r>
      <w:r>
        <w:rPr>
          <w:color w:val="231F20"/>
          <w:spacing w:val="-10"/>
          <w:sz w:val="18"/>
          <w:szCs w:val="18"/>
        </w:rPr>
        <w:t xml:space="preserve"> </w:t>
      </w:r>
      <w:r>
        <w:rPr>
          <w:color w:val="231F20"/>
          <w:sz w:val="18"/>
          <w:szCs w:val="18"/>
        </w:rPr>
        <w:t>motion</w:t>
      </w:r>
      <w:r>
        <w:rPr>
          <w:color w:val="231F20"/>
          <w:spacing w:val="-9"/>
          <w:sz w:val="18"/>
          <w:szCs w:val="18"/>
        </w:rPr>
        <w:t xml:space="preserve"> </w:t>
      </w:r>
      <w:r>
        <w:rPr>
          <w:color w:val="231F20"/>
          <w:sz w:val="18"/>
          <w:szCs w:val="18"/>
        </w:rPr>
        <w:t>in</w:t>
      </w:r>
      <w:r>
        <w:rPr>
          <w:color w:val="231F20"/>
          <w:spacing w:val="-9"/>
          <w:sz w:val="18"/>
          <w:szCs w:val="18"/>
        </w:rPr>
        <w:t xml:space="preserve"> </w:t>
      </w:r>
      <w:r>
        <w:rPr>
          <w:color w:val="231F20"/>
          <w:sz w:val="18"/>
          <w:szCs w:val="18"/>
        </w:rPr>
        <w:t>regard</w:t>
      </w:r>
      <w:r>
        <w:rPr>
          <w:color w:val="231F20"/>
          <w:spacing w:val="-11"/>
          <w:sz w:val="18"/>
          <w:szCs w:val="18"/>
        </w:rPr>
        <w:t xml:space="preserve"> </w:t>
      </w:r>
      <w:r>
        <w:rPr>
          <w:color w:val="231F20"/>
          <w:sz w:val="18"/>
          <w:szCs w:val="18"/>
        </w:rPr>
        <w:t>to</w:t>
      </w:r>
      <w:r>
        <w:rPr>
          <w:color w:val="231F20"/>
          <w:spacing w:val="-11"/>
          <w:sz w:val="18"/>
          <w:szCs w:val="18"/>
        </w:rPr>
        <w:t xml:space="preserve"> </w:t>
      </w:r>
      <w:r>
        <w:rPr>
          <w:color w:val="231F20"/>
          <w:sz w:val="18"/>
          <w:szCs w:val="18"/>
        </w:rPr>
        <w:t>any</w:t>
      </w:r>
      <w:r>
        <w:rPr>
          <w:color w:val="231F20"/>
          <w:spacing w:val="-10"/>
          <w:sz w:val="18"/>
          <w:szCs w:val="18"/>
        </w:rPr>
        <w:t xml:space="preserve"> </w:t>
      </w:r>
      <w:r>
        <w:rPr>
          <w:color w:val="231F20"/>
          <w:sz w:val="18"/>
          <w:szCs w:val="18"/>
        </w:rPr>
        <w:t>contract,</w:t>
      </w:r>
      <w:r>
        <w:rPr>
          <w:color w:val="231F20"/>
          <w:spacing w:val="-11"/>
          <w:sz w:val="18"/>
          <w:szCs w:val="18"/>
        </w:rPr>
        <w:t xml:space="preserve"> </w:t>
      </w:r>
      <w:r>
        <w:rPr>
          <w:color w:val="231F20"/>
          <w:sz w:val="18"/>
          <w:szCs w:val="18"/>
        </w:rPr>
        <w:t>transaction, arrangement or any other proposal in which he has any material interest, which includes the interest of any person connected with him, otherwise than by virtue of his interests in shares or debentures or other securities of or otherwise in or through the</w:t>
      </w:r>
      <w:r>
        <w:rPr>
          <w:color w:val="231F20"/>
          <w:spacing w:val="-11"/>
          <w:sz w:val="18"/>
          <w:szCs w:val="18"/>
        </w:rPr>
        <w:t xml:space="preserve"> </w:t>
      </w:r>
      <w:r>
        <w:rPr>
          <w:color w:val="231F20"/>
          <w:sz w:val="18"/>
          <w:szCs w:val="18"/>
        </w:rPr>
        <w:t>Company.</w:t>
      </w:r>
    </w:p>
    <w:p w14:paraId="057A7525" w14:textId="77777777" w:rsidR="00783288" w:rsidRDefault="00783288">
      <w:pPr>
        <w:pStyle w:val="BodyText"/>
        <w:kinsoku w:val="0"/>
        <w:overflowPunct w:val="0"/>
        <w:rPr>
          <w:sz w:val="21"/>
          <w:szCs w:val="21"/>
        </w:rPr>
      </w:pPr>
    </w:p>
    <w:p w14:paraId="45ECC576"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Subject to the Companies Act, the Company may by ordinary resolution suspend or relax the provision</w:t>
      </w:r>
      <w:r>
        <w:rPr>
          <w:color w:val="231F20"/>
          <w:spacing w:val="-7"/>
          <w:sz w:val="18"/>
          <w:szCs w:val="18"/>
        </w:rPr>
        <w:t xml:space="preserve"> </w:t>
      </w:r>
      <w:r>
        <w:rPr>
          <w:color w:val="231F20"/>
          <w:sz w:val="18"/>
          <w:szCs w:val="18"/>
        </w:rPr>
        <w:t>described</w:t>
      </w:r>
      <w:r>
        <w:rPr>
          <w:color w:val="231F20"/>
          <w:spacing w:val="-9"/>
          <w:sz w:val="18"/>
          <w:szCs w:val="18"/>
        </w:rPr>
        <w:t xml:space="preserve"> </w:t>
      </w:r>
      <w:r>
        <w:rPr>
          <w:color w:val="231F20"/>
          <w:sz w:val="18"/>
          <w:szCs w:val="18"/>
        </w:rPr>
        <w:t>in</w:t>
      </w:r>
      <w:r>
        <w:rPr>
          <w:color w:val="231F20"/>
          <w:spacing w:val="-10"/>
          <w:sz w:val="18"/>
          <w:szCs w:val="18"/>
        </w:rPr>
        <w:t xml:space="preserve"> </w:t>
      </w:r>
      <w:r>
        <w:rPr>
          <w:color w:val="231F20"/>
          <w:sz w:val="18"/>
          <w:szCs w:val="18"/>
        </w:rPr>
        <w:t>sub-paragraph</w:t>
      </w:r>
      <w:r>
        <w:rPr>
          <w:color w:val="231F20"/>
          <w:spacing w:val="-9"/>
          <w:sz w:val="18"/>
          <w:szCs w:val="18"/>
        </w:rPr>
        <w:t xml:space="preserve"> </w:t>
      </w:r>
      <w:r>
        <w:rPr>
          <w:color w:val="231F20"/>
          <w:sz w:val="18"/>
          <w:szCs w:val="18"/>
        </w:rPr>
        <w:t>4.14.5</w:t>
      </w:r>
      <w:r>
        <w:rPr>
          <w:color w:val="231F20"/>
          <w:spacing w:val="-10"/>
          <w:sz w:val="18"/>
          <w:szCs w:val="18"/>
        </w:rPr>
        <w:t xml:space="preserve"> </w:t>
      </w:r>
      <w:r>
        <w:rPr>
          <w:color w:val="231F20"/>
          <w:sz w:val="18"/>
          <w:szCs w:val="18"/>
        </w:rPr>
        <w:t>above</w:t>
      </w:r>
      <w:r>
        <w:rPr>
          <w:color w:val="231F20"/>
          <w:spacing w:val="-6"/>
          <w:sz w:val="18"/>
          <w:szCs w:val="18"/>
        </w:rPr>
        <w:t xml:space="preserve"> </w:t>
      </w:r>
      <w:r>
        <w:rPr>
          <w:color w:val="231F20"/>
          <w:sz w:val="18"/>
          <w:szCs w:val="18"/>
        </w:rPr>
        <w:t>to</w:t>
      </w:r>
      <w:r>
        <w:rPr>
          <w:color w:val="231F20"/>
          <w:spacing w:val="-10"/>
          <w:sz w:val="18"/>
          <w:szCs w:val="18"/>
        </w:rPr>
        <w:t xml:space="preserve"> </w:t>
      </w:r>
      <w:r>
        <w:rPr>
          <w:color w:val="231F20"/>
          <w:sz w:val="18"/>
          <w:szCs w:val="18"/>
        </w:rPr>
        <w:t>any</w:t>
      </w:r>
      <w:r>
        <w:rPr>
          <w:color w:val="231F20"/>
          <w:spacing w:val="-8"/>
          <w:sz w:val="18"/>
          <w:szCs w:val="18"/>
        </w:rPr>
        <w:t xml:space="preserve"> </w:t>
      </w:r>
      <w:r>
        <w:rPr>
          <w:color w:val="231F20"/>
          <w:sz w:val="18"/>
          <w:szCs w:val="18"/>
        </w:rPr>
        <w:t>extent</w:t>
      </w:r>
      <w:r>
        <w:rPr>
          <w:color w:val="231F20"/>
          <w:spacing w:val="-6"/>
          <w:sz w:val="18"/>
          <w:szCs w:val="18"/>
        </w:rPr>
        <w:t xml:space="preserve"> </w:t>
      </w:r>
      <w:r>
        <w:rPr>
          <w:color w:val="231F20"/>
          <w:sz w:val="18"/>
          <w:szCs w:val="18"/>
        </w:rPr>
        <w:t>or</w:t>
      </w:r>
      <w:r>
        <w:rPr>
          <w:color w:val="231F20"/>
          <w:spacing w:val="-9"/>
          <w:sz w:val="18"/>
          <w:szCs w:val="18"/>
        </w:rPr>
        <w:t xml:space="preserve"> </w:t>
      </w:r>
      <w:r>
        <w:rPr>
          <w:color w:val="231F20"/>
          <w:sz w:val="18"/>
          <w:szCs w:val="18"/>
        </w:rPr>
        <w:t>ratify</w:t>
      </w:r>
      <w:r>
        <w:rPr>
          <w:color w:val="231F20"/>
          <w:spacing w:val="-8"/>
          <w:sz w:val="18"/>
          <w:szCs w:val="18"/>
        </w:rPr>
        <w:t xml:space="preserve"> </w:t>
      </w:r>
      <w:r>
        <w:rPr>
          <w:color w:val="231F20"/>
          <w:sz w:val="18"/>
          <w:szCs w:val="18"/>
        </w:rPr>
        <w:t>any</w:t>
      </w:r>
      <w:r>
        <w:rPr>
          <w:color w:val="231F20"/>
          <w:spacing w:val="-9"/>
          <w:sz w:val="18"/>
          <w:szCs w:val="18"/>
        </w:rPr>
        <w:t xml:space="preserve"> </w:t>
      </w:r>
      <w:r>
        <w:rPr>
          <w:color w:val="231F20"/>
          <w:sz w:val="18"/>
          <w:szCs w:val="18"/>
        </w:rPr>
        <w:t>transaction</w:t>
      </w:r>
      <w:r>
        <w:rPr>
          <w:color w:val="231F20"/>
          <w:spacing w:val="-9"/>
          <w:sz w:val="18"/>
          <w:szCs w:val="18"/>
        </w:rPr>
        <w:t xml:space="preserve"> </w:t>
      </w:r>
      <w:r>
        <w:rPr>
          <w:color w:val="231F20"/>
          <w:sz w:val="18"/>
          <w:szCs w:val="18"/>
        </w:rPr>
        <w:t>not</w:t>
      </w:r>
      <w:r>
        <w:rPr>
          <w:color w:val="231F20"/>
          <w:spacing w:val="-10"/>
          <w:sz w:val="18"/>
          <w:szCs w:val="18"/>
        </w:rPr>
        <w:t xml:space="preserve"> </w:t>
      </w:r>
      <w:r>
        <w:rPr>
          <w:color w:val="231F20"/>
          <w:sz w:val="18"/>
          <w:szCs w:val="18"/>
        </w:rPr>
        <w:t>duly authorised by reason of a contravention of</w:t>
      </w:r>
      <w:r>
        <w:rPr>
          <w:color w:val="231F20"/>
          <w:spacing w:val="-8"/>
          <w:sz w:val="18"/>
          <w:szCs w:val="18"/>
        </w:rPr>
        <w:t xml:space="preserve"> </w:t>
      </w:r>
      <w:r>
        <w:rPr>
          <w:color w:val="231F20"/>
          <w:sz w:val="18"/>
          <w:szCs w:val="18"/>
        </w:rPr>
        <w:t>it.</w:t>
      </w:r>
    </w:p>
    <w:p w14:paraId="2760227A" w14:textId="77777777" w:rsidR="00783288" w:rsidRDefault="00783288">
      <w:pPr>
        <w:pStyle w:val="BodyText"/>
        <w:kinsoku w:val="0"/>
        <w:overflowPunct w:val="0"/>
        <w:spacing w:before="8"/>
        <w:rPr>
          <w:sz w:val="20"/>
          <w:szCs w:val="20"/>
        </w:rPr>
      </w:pPr>
    </w:p>
    <w:p w14:paraId="2E17574C" w14:textId="77777777" w:rsidR="00783288" w:rsidRDefault="00E31420" w:rsidP="00512495">
      <w:pPr>
        <w:pStyle w:val="ListParagraph"/>
        <w:numPr>
          <w:ilvl w:val="2"/>
          <w:numId w:val="13"/>
        </w:numPr>
        <w:tabs>
          <w:tab w:val="left" w:pos="1822"/>
        </w:tabs>
        <w:kinsoku w:val="0"/>
        <w:overflowPunct w:val="0"/>
        <w:ind w:right="1036"/>
        <w:jc w:val="both"/>
        <w:rPr>
          <w:color w:val="231F20"/>
          <w:sz w:val="18"/>
          <w:szCs w:val="18"/>
        </w:rPr>
      </w:pPr>
      <w:r>
        <w:rPr>
          <w:color w:val="231F20"/>
          <w:sz w:val="18"/>
          <w:szCs w:val="18"/>
        </w:rPr>
        <w:t>A director of the Company is entitled to vote and be counted in the quorum in respect of any resolution concerning any of the following</w:t>
      </w:r>
      <w:r>
        <w:rPr>
          <w:color w:val="231F20"/>
          <w:spacing w:val="1"/>
          <w:sz w:val="18"/>
          <w:szCs w:val="18"/>
        </w:rPr>
        <w:t xml:space="preserve"> </w:t>
      </w:r>
      <w:r>
        <w:rPr>
          <w:color w:val="231F20"/>
          <w:sz w:val="18"/>
          <w:szCs w:val="18"/>
        </w:rPr>
        <w:t>matters:</w:t>
      </w:r>
    </w:p>
    <w:p w14:paraId="507CC232" w14:textId="77777777" w:rsidR="00783288" w:rsidRDefault="00783288">
      <w:pPr>
        <w:pStyle w:val="BodyText"/>
        <w:kinsoku w:val="0"/>
        <w:overflowPunct w:val="0"/>
        <w:rPr>
          <w:sz w:val="21"/>
          <w:szCs w:val="21"/>
        </w:rPr>
      </w:pPr>
    </w:p>
    <w:p w14:paraId="5D32CBDC" w14:textId="77777777" w:rsidR="00783288" w:rsidRDefault="00E31420" w:rsidP="00512495">
      <w:pPr>
        <w:pStyle w:val="ListParagraph"/>
        <w:numPr>
          <w:ilvl w:val="0"/>
          <w:numId w:val="8"/>
        </w:numPr>
        <w:tabs>
          <w:tab w:val="left" w:pos="2182"/>
        </w:tabs>
        <w:kinsoku w:val="0"/>
        <w:overflowPunct w:val="0"/>
        <w:ind w:right="1034"/>
        <w:jc w:val="both"/>
        <w:rPr>
          <w:color w:val="231F20"/>
          <w:sz w:val="18"/>
          <w:szCs w:val="18"/>
        </w:rPr>
      </w:pPr>
      <w:r>
        <w:rPr>
          <w:color w:val="231F20"/>
          <w:sz w:val="18"/>
          <w:szCs w:val="18"/>
        </w:rPr>
        <w:t>the giving of any security, guarantee or indemnity to him in respect of money lent or obligations incurred by him or by any other person at the request of or for the benefit of the Company or any of its</w:t>
      </w:r>
      <w:r>
        <w:rPr>
          <w:color w:val="231F20"/>
          <w:spacing w:val="-8"/>
          <w:sz w:val="18"/>
          <w:szCs w:val="18"/>
        </w:rPr>
        <w:t xml:space="preserve"> </w:t>
      </w:r>
      <w:proofErr w:type="gramStart"/>
      <w:r>
        <w:rPr>
          <w:color w:val="231F20"/>
          <w:sz w:val="18"/>
          <w:szCs w:val="18"/>
        </w:rPr>
        <w:t>subsidiaries;</w:t>
      </w:r>
      <w:proofErr w:type="gramEnd"/>
    </w:p>
    <w:p w14:paraId="00C38CA5" w14:textId="77777777" w:rsidR="00783288" w:rsidRDefault="00783288">
      <w:pPr>
        <w:pStyle w:val="BodyText"/>
        <w:kinsoku w:val="0"/>
        <w:overflowPunct w:val="0"/>
        <w:spacing w:before="10"/>
        <w:rPr>
          <w:sz w:val="20"/>
          <w:szCs w:val="20"/>
        </w:rPr>
      </w:pPr>
    </w:p>
    <w:p w14:paraId="589BF8DF" w14:textId="73873970" w:rsidR="002213D7" w:rsidRDefault="00E31420" w:rsidP="00512495">
      <w:pPr>
        <w:pStyle w:val="ListParagraph"/>
        <w:numPr>
          <w:ilvl w:val="0"/>
          <w:numId w:val="8"/>
        </w:numPr>
        <w:tabs>
          <w:tab w:val="left" w:pos="2182"/>
        </w:tabs>
        <w:kinsoku w:val="0"/>
        <w:overflowPunct w:val="0"/>
        <w:ind w:right="1035"/>
        <w:jc w:val="both"/>
        <w:rPr>
          <w:color w:val="231F20"/>
          <w:sz w:val="18"/>
          <w:szCs w:val="18"/>
        </w:rPr>
      </w:pPr>
      <w:r>
        <w:rPr>
          <w:color w:val="231F20"/>
          <w:sz w:val="18"/>
          <w:szCs w:val="18"/>
        </w:rPr>
        <w:t>the giving of any security, guarantee or indemnity to a third party in respect of a debt or obligation of the Company or any of its subsidiaries for which he himself has assumed responsibility in whole or in part under a guarantee or indemnity or by the giving of</w:t>
      </w:r>
      <w:r w:rsidR="002213D7">
        <w:rPr>
          <w:color w:val="231F20"/>
          <w:sz w:val="18"/>
          <w:szCs w:val="18"/>
        </w:rPr>
        <w:t xml:space="preserve"> </w:t>
      </w:r>
      <w:r>
        <w:rPr>
          <w:color w:val="231F20"/>
          <w:sz w:val="18"/>
          <w:szCs w:val="18"/>
        </w:rPr>
        <w:t>security;</w:t>
      </w:r>
      <w:r w:rsidR="002213D7">
        <w:rPr>
          <w:color w:val="231F20"/>
          <w:sz w:val="18"/>
          <w:szCs w:val="18"/>
        </w:rPr>
        <w:t xml:space="preserve"> </w:t>
      </w:r>
    </w:p>
    <w:p w14:paraId="626B37B8" w14:textId="77777777" w:rsidR="00783288" w:rsidRDefault="00E31420" w:rsidP="00512495">
      <w:pPr>
        <w:pStyle w:val="ListParagraph"/>
        <w:numPr>
          <w:ilvl w:val="0"/>
          <w:numId w:val="8"/>
        </w:numPr>
        <w:tabs>
          <w:tab w:val="left" w:pos="2182"/>
        </w:tabs>
        <w:kinsoku w:val="0"/>
        <w:overflowPunct w:val="0"/>
        <w:spacing w:before="78"/>
        <w:ind w:right="1037"/>
        <w:jc w:val="both"/>
        <w:rPr>
          <w:color w:val="231F20"/>
          <w:sz w:val="18"/>
          <w:szCs w:val="18"/>
        </w:rPr>
      </w:pPr>
      <w:r>
        <w:rPr>
          <w:color w:val="231F20"/>
          <w:sz w:val="18"/>
          <w:szCs w:val="18"/>
        </w:rPr>
        <w:t>any proposal concerning an offer of shares or debentures or other securities of or by the Company or any of its subsidiaries for subscription or purchase in which offer he is or is to be interested as a participant in its underwriting or</w:t>
      </w:r>
      <w:r>
        <w:rPr>
          <w:color w:val="231F20"/>
          <w:spacing w:val="-8"/>
          <w:sz w:val="18"/>
          <w:szCs w:val="18"/>
        </w:rPr>
        <w:t xml:space="preserve"> </w:t>
      </w:r>
      <w:r>
        <w:rPr>
          <w:color w:val="231F20"/>
          <w:sz w:val="18"/>
          <w:szCs w:val="18"/>
        </w:rPr>
        <w:t>sub-underwriting;</w:t>
      </w:r>
    </w:p>
    <w:p w14:paraId="464579F7" w14:textId="77777777" w:rsidR="00783288" w:rsidRDefault="00783288">
      <w:pPr>
        <w:pStyle w:val="BodyText"/>
        <w:kinsoku w:val="0"/>
        <w:overflowPunct w:val="0"/>
        <w:spacing w:before="10"/>
        <w:rPr>
          <w:sz w:val="20"/>
          <w:szCs w:val="20"/>
        </w:rPr>
      </w:pPr>
    </w:p>
    <w:p w14:paraId="7264D6B0" w14:textId="77777777" w:rsidR="00783288" w:rsidRDefault="00E31420" w:rsidP="00512495">
      <w:pPr>
        <w:pStyle w:val="ListParagraph"/>
        <w:numPr>
          <w:ilvl w:val="0"/>
          <w:numId w:val="8"/>
        </w:numPr>
        <w:tabs>
          <w:tab w:val="left" w:pos="2182"/>
        </w:tabs>
        <w:kinsoku w:val="0"/>
        <w:overflowPunct w:val="0"/>
        <w:ind w:right="1036"/>
        <w:jc w:val="both"/>
        <w:rPr>
          <w:color w:val="231F20"/>
          <w:sz w:val="18"/>
          <w:szCs w:val="18"/>
        </w:rPr>
      </w:pPr>
      <w:r>
        <w:rPr>
          <w:color w:val="231F20"/>
          <w:sz w:val="18"/>
          <w:szCs w:val="18"/>
        </w:rPr>
        <w:t xml:space="preserve">any contract, arrangement, transaction or other proposal concerning any other company in which he is interested provided that he is not the holder of or beneficially interested in 1% </w:t>
      </w:r>
      <w:r>
        <w:rPr>
          <w:color w:val="231F20"/>
          <w:spacing w:val="-3"/>
          <w:sz w:val="18"/>
          <w:szCs w:val="18"/>
        </w:rPr>
        <w:t xml:space="preserve">or </w:t>
      </w:r>
      <w:r>
        <w:rPr>
          <w:color w:val="231F20"/>
          <w:sz w:val="18"/>
          <w:szCs w:val="18"/>
        </w:rPr>
        <w:t>more</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any</w:t>
      </w:r>
      <w:r>
        <w:rPr>
          <w:color w:val="231F20"/>
          <w:spacing w:val="-7"/>
          <w:sz w:val="18"/>
          <w:szCs w:val="18"/>
        </w:rPr>
        <w:t xml:space="preserve"> </w:t>
      </w:r>
      <w:r>
        <w:rPr>
          <w:color w:val="231F20"/>
          <w:sz w:val="18"/>
          <w:szCs w:val="18"/>
        </w:rPr>
        <w:t>class</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equity</w:t>
      </w:r>
      <w:r>
        <w:rPr>
          <w:color w:val="231F20"/>
          <w:spacing w:val="-9"/>
          <w:sz w:val="18"/>
          <w:szCs w:val="18"/>
        </w:rPr>
        <w:t xml:space="preserve"> </w:t>
      </w:r>
      <w:r>
        <w:rPr>
          <w:color w:val="231F20"/>
          <w:sz w:val="18"/>
          <w:szCs w:val="18"/>
        </w:rPr>
        <w:t>share</w:t>
      </w:r>
      <w:r>
        <w:rPr>
          <w:color w:val="231F20"/>
          <w:spacing w:val="-9"/>
          <w:sz w:val="18"/>
          <w:szCs w:val="18"/>
        </w:rPr>
        <w:t xml:space="preserve"> </w:t>
      </w:r>
      <w:r>
        <w:rPr>
          <w:color w:val="231F20"/>
          <w:sz w:val="18"/>
          <w:szCs w:val="18"/>
        </w:rPr>
        <w:t>capital</w:t>
      </w:r>
      <w:r>
        <w:rPr>
          <w:color w:val="231F20"/>
          <w:spacing w:val="-5"/>
          <w:sz w:val="18"/>
          <w:szCs w:val="18"/>
        </w:rPr>
        <w:t xml:space="preserve"> </w:t>
      </w:r>
      <w:r>
        <w:rPr>
          <w:color w:val="231F20"/>
          <w:sz w:val="18"/>
          <w:szCs w:val="18"/>
        </w:rPr>
        <w:t>of</w:t>
      </w:r>
      <w:r>
        <w:rPr>
          <w:color w:val="231F20"/>
          <w:spacing w:val="-6"/>
          <w:sz w:val="18"/>
          <w:szCs w:val="18"/>
        </w:rPr>
        <w:t xml:space="preserve"> </w:t>
      </w:r>
      <w:r>
        <w:rPr>
          <w:color w:val="231F20"/>
          <w:sz w:val="18"/>
          <w:szCs w:val="18"/>
        </w:rPr>
        <w:t>such</w:t>
      </w:r>
      <w:r>
        <w:rPr>
          <w:color w:val="231F20"/>
          <w:spacing w:val="-9"/>
          <w:sz w:val="18"/>
          <w:szCs w:val="18"/>
        </w:rPr>
        <w:t xml:space="preserve"> </w:t>
      </w:r>
      <w:r>
        <w:rPr>
          <w:color w:val="231F20"/>
          <w:sz w:val="18"/>
          <w:szCs w:val="18"/>
        </w:rPr>
        <w:t>company,</w:t>
      </w:r>
      <w:r>
        <w:rPr>
          <w:color w:val="231F20"/>
          <w:spacing w:val="-4"/>
          <w:sz w:val="18"/>
          <w:szCs w:val="18"/>
        </w:rPr>
        <w:t xml:space="preserve"> </w:t>
      </w:r>
      <w:r>
        <w:rPr>
          <w:color w:val="231F20"/>
          <w:sz w:val="18"/>
          <w:szCs w:val="18"/>
        </w:rPr>
        <w:t>or</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a</w:t>
      </w:r>
      <w:r>
        <w:rPr>
          <w:color w:val="231F20"/>
          <w:spacing w:val="-5"/>
          <w:sz w:val="18"/>
          <w:szCs w:val="18"/>
        </w:rPr>
        <w:t xml:space="preserve"> </w:t>
      </w:r>
      <w:r>
        <w:rPr>
          <w:color w:val="231F20"/>
          <w:sz w:val="18"/>
          <w:szCs w:val="18"/>
        </w:rPr>
        <w:t>third</w:t>
      </w:r>
      <w:r>
        <w:rPr>
          <w:color w:val="231F20"/>
          <w:spacing w:val="-6"/>
          <w:sz w:val="18"/>
          <w:szCs w:val="18"/>
        </w:rPr>
        <w:t xml:space="preserve"> </w:t>
      </w:r>
      <w:r>
        <w:rPr>
          <w:color w:val="231F20"/>
          <w:sz w:val="18"/>
          <w:szCs w:val="18"/>
        </w:rPr>
        <w:t>company</w:t>
      </w:r>
      <w:r>
        <w:rPr>
          <w:color w:val="231F20"/>
          <w:spacing w:val="-8"/>
          <w:sz w:val="18"/>
          <w:szCs w:val="18"/>
        </w:rPr>
        <w:t xml:space="preserve"> </w:t>
      </w:r>
      <w:r>
        <w:rPr>
          <w:color w:val="231F20"/>
          <w:sz w:val="18"/>
          <w:szCs w:val="18"/>
        </w:rPr>
        <w:t>through which his interest is derived, or of the voting rights available to members of the relevant company, any such interest being deemed to be a material interest, in all</w:t>
      </w:r>
      <w:r>
        <w:rPr>
          <w:color w:val="231F20"/>
          <w:spacing w:val="-25"/>
          <w:sz w:val="18"/>
          <w:szCs w:val="18"/>
        </w:rPr>
        <w:t xml:space="preserve"> </w:t>
      </w:r>
      <w:r>
        <w:rPr>
          <w:color w:val="231F20"/>
          <w:sz w:val="18"/>
          <w:szCs w:val="18"/>
        </w:rPr>
        <w:t>circumstances;</w:t>
      </w:r>
    </w:p>
    <w:p w14:paraId="218D159A" w14:textId="77777777" w:rsidR="00783288" w:rsidRDefault="00783288">
      <w:pPr>
        <w:pStyle w:val="BodyText"/>
        <w:kinsoku w:val="0"/>
        <w:overflowPunct w:val="0"/>
        <w:spacing w:before="10"/>
        <w:rPr>
          <w:sz w:val="20"/>
          <w:szCs w:val="20"/>
        </w:rPr>
      </w:pPr>
    </w:p>
    <w:p w14:paraId="3C826B92" w14:textId="77777777" w:rsidR="00783288" w:rsidRDefault="00E31420" w:rsidP="00512495">
      <w:pPr>
        <w:pStyle w:val="ListParagraph"/>
        <w:numPr>
          <w:ilvl w:val="0"/>
          <w:numId w:val="8"/>
        </w:numPr>
        <w:tabs>
          <w:tab w:val="left" w:pos="2182"/>
        </w:tabs>
        <w:kinsoku w:val="0"/>
        <w:overflowPunct w:val="0"/>
        <w:ind w:right="1037"/>
        <w:jc w:val="both"/>
        <w:rPr>
          <w:color w:val="231F20"/>
          <w:sz w:val="18"/>
          <w:szCs w:val="18"/>
        </w:rPr>
      </w:pPr>
      <w:r>
        <w:rPr>
          <w:color w:val="231F20"/>
          <w:sz w:val="18"/>
          <w:szCs w:val="18"/>
        </w:rPr>
        <w:t>any contract, arrangement, transaction or other proposal concerning the adoption, modification or operation of a superannuation fund or retirement, death or disability benefits scheme under which he may benefit and which has been approved by or is subject to and conditional upon approval by HM Revenue &amp;</w:t>
      </w:r>
      <w:r>
        <w:rPr>
          <w:color w:val="231F20"/>
          <w:spacing w:val="-9"/>
          <w:sz w:val="18"/>
          <w:szCs w:val="18"/>
        </w:rPr>
        <w:t xml:space="preserve"> </w:t>
      </w:r>
      <w:r>
        <w:rPr>
          <w:color w:val="231F20"/>
          <w:sz w:val="18"/>
          <w:szCs w:val="18"/>
        </w:rPr>
        <w:t>Customs;</w:t>
      </w:r>
    </w:p>
    <w:p w14:paraId="72658379" w14:textId="77777777" w:rsidR="00783288" w:rsidRDefault="00783288">
      <w:pPr>
        <w:pStyle w:val="BodyText"/>
        <w:kinsoku w:val="0"/>
        <w:overflowPunct w:val="0"/>
        <w:spacing w:before="10"/>
        <w:rPr>
          <w:sz w:val="20"/>
          <w:szCs w:val="20"/>
        </w:rPr>
      </w:pPr>
    </w:p>
    <w:p w14:paraId="3B71A514" w14:textId="77777777" w:rsidR="00783288" w:rsidRDefault="00E31420" w:rsidP="00512495">
      <w:pPr>
        <w:pStyle w:val="ListParagraph"/>
        <w:numPr>
          <w:ilvl w:val="0"/>
          <w:numId w:val="8"/>
        </w:numPr>
        <w:tabs>
          <w:tab w:val="left" w:pos="2182"/>
        </w:tabs>
        <w:kinsoku w:val="0"/>
        <w:overflowPunct w:val="0"/>
        <w:ind w:right="1034"/>
        <w:jc w:val="both"/>
        <w:rPr>
          <w:color w:val="231F20"/>
          <w:sz w:val="18"/>
          <w:szCs w:val="18"/>
        </w:rPr>
      </w:pPr>
      <w:r>
        <w:rPr>
          <w:color w:val="231F20"/>
          <w:sz w:val="18"/>
          <w:szCs w:val="18"/>
        </w:rPr>
        <w:t>any contract, arrangement, transaction or other proposal concerning the adoption, modification or operation of an employee share scheme which includes full time executive directors of the Company and/or any subsidiary or any arrangement for the benefit of employees of the Company or any of its subsidiaries and which does not award to any director</w:t>
      </w:r>
      <w:r>
        <w:rPr>
          <w:color w:val="231F20"/>
          <w:spacing w:val="-10"/>
          <w:sz w:val="18"/>
          <w:szCs w:val="18"/>
        </w:rPr>
        <w:t xml:space="preserve"> </w:t>
      </w:r>
      <w:r>
        <w:rPr>
          <w:color w:val="231F20"/>
          <w:sz w:val="18"/>
          <w:szCs w:val="18"/>
        </w:rPr>
        <w:t>of</w:t>
      </w:r>
      <w:r>
        <w:rPr>
          <w:color w:val="231F20"/>
          <w:spacing w:val="-9"/>
          <w:sz w:val="18"/>
          <w:szCs w:val="18"/>
        </w:rPr>
        <w:t xml:space="preserve"> </w:t>
      </w:r>
      <w:r>
        <w:rPr>
          <w:color w:val="231F20"/>
          <w:sz w:val="18"/>
          <w:szCs w:val="18"/>
        </w:rPr>
        <w:t>the</w:t>
      </w:r>
      <w:r>
        <w:rPr>
          <w:color w:val="231F20"/>
          <w:spacing w:val="-10"/>
          <w:sz w:val="18"/>
          <w:szCs w:val="18"/>
        </w:rPr>
        <w:t xml:space="preserve"> </w:t>
      </w:r>
      <w:r>
        <w:rPr>
          <w:color w:val="231F20"/>
          <w:sz w:val="18"/>
          <w:szCs w:val="18"/>
        </w:rPr>
        <w:t>Company</w:t>
      </w:r>
      <w:r>
        <w:rPr>
          <w:color w:val="231F20"/>
          <w:spacing w:val="-10"/>
          <w:sz w:val="18"/>
          <w:szCs w:val="18"/>
        </w:rPr>
        <w:t xml:space="preserve"> </w:t>
      </w:r>
      <w:r>
        <w:rPr>
          <w:color w:val="231F20"/>
          <w:sz w:val="18"/>
          <w:szCs w:val="18"/>
        </w:rPr>
        <w:t>any</w:t>
      </w:r>
      <w:r>
        <w:rPr>
          <w:color w:val="231F20"/>
          <w:spacing w:val="-8"/>
          <w:sz w:val="18"/>
          <w:szCs w:val="18"/>
        </w:rPr>
        <w:t xml:space="preserve"> </w:t>
      </w:r>
      <w:r>
        <w:rPr>
          <w:color w:val="231F20"/>
          <w:sz w:val="18"/>
          <w:szCs w:val="18"/>
        </w:rPr>
        <w:t>privilege</w:t>
      </w:r>
      <w:r>
        <w:rPr>
          <w:color w:val="231F20"/>
          <w:spacing w:val="-10"/>
          <w:sz w:val="18"/>
          <w:szCs w:val="18"/>
        </w:rPr>
        <w:t xml:space="preserve"> </w:t>
      </w:r>
      <w:r>
        <w:rPr>
          <w:color w:val="231F20"/>
          <w:sz w:val="18"/>
          <w:szCs w:val="18"/>
        </w:rPr>
        <w:t>or</w:t>
      </w:r>
      <w:r>
        <w:rPr>
          <w:color w:val="231F20"/>
          <w:spacing w:val="-9"/>
          <w:sz w:val="18"/>
          <w:szCs w:val="18"/>
        </w:rPr>
        <w:t xml:space="preserve"> </w:t>
      </w:r>
      <w:r>
        <w:rPr>
          <w:color w:val="231F20"/>
          <w:sz w:val="18"/>
          <w:szCs w:val="18"/>
        </w:rPr>
        <w:t>advantage</w:t>
      </w:r>
      <w:r>
        <w:rPr>
          <w:color w:val="231F20"/>
          <w:spacing w:val="-9"/>
          <w:sz w:val="18"/>
          <w:szCs w:val="18"/>
        </w:rPr>
        <w:t xml:space="preserve"> </w:t>
      </w:r>
      <w:r>
        <w:rPr>
          <w:color w:val="231F20"/>
          <w:sz w:val="18"/>
          <w:szCs w:val="18"/>
        </w:rPr>
        <w:t>not</w:t>
      </w:r>
      <w:r>
        <w:rPr>
          <w:color w:val="231F20"/>
          <w:spacing w:val="-10"/>
          <w:sz w:val="18"/>
          <w:szCs w:val="18"/>
        </w:rPr>
        <w:t xml:space="preserve"> </w:t>
      </w:r>
      <w:r>
        <w:rPr>
          <w:color w:val="231F20"/>
          <w:sz w:val="18"/>
          <w:szCs w:val="18"/>
        </w:rPr>
        <w:t>generally</w:t>
      </w:r>
      <w:r>
        <w:rPr>
          <w:color w:val="231F20"/>
          <w:spacing w:val="-8"/>
          <w:sz w:val="18"/>
          <w:szCs w:val="18"/>
        </w:rPr>
        <w:t xml:space="preserve"> </w:t>
      </w:r>
      <w:r>
        <w:rPr>
          <w:color w:val="231F20"/>
          <w:sz w:val="18"/>
          <w:szCs w:val="18"/>
        </w:rPr>
        <w:t>accorded</w:t>
      </w:r>
      <w:r>
        <w:rPr>
          <w:color w:val="231F20"/>
          <w:spacing w:val="-10"/>
          <w:sz w:val="18"/>
          <w:szCs w:val="18"/>
        </w:rPr>
        <w:t xml:space="preserve"> </w:t>
      </w:r>
      <w:r>
        <w:rPr>
          <w:color w:val="231F20"/>
          <w:sz w:val="18"/>
          <w:szCs w:val="18"/>
        </w:rPr>
        <w:t>to</w:t>
      </w:r>
      <w:r>
        <w:rPr>
          <w:color w:val="231F20"/>
          <w:spacing w:val="-9"/>
          <w:sz w:val="18"/>
          <w:szCs w:val="18"/>
        </w:rPr>
        <w:t xml:space="preserve"> </w:t>
      </w:r>
      <w:r>
        <w:rPr>
          <w:color w:val="231F20"/>
          <w:sz w:val="18"/>
          <w:szCs w:val="18"/>
        </w:rPr>
        <w:t>the</w:t>
      </w:r>
      <w:r>
        <w:rPr>
          <w:color w:val="231F20"/>
          <w:spacing w:val="-9"/>
          <w:sz w:val="18"/>
          <w:szCs w:val="18"/>
        </w:rPr>
        <w:t xml:space="preserve"> </w:t>
      </w:r>
      <w:r>
        <w:rPr>
          <w:color w:val="231F20"/>
          <w:sz w:val="18"/>
          <w:szCs w:val="18"/>
        </w:rPr>
        <w:t>employees to whom such a scheme relates;</w:t>
      </w:r>
      <w:r>
        <w:rPr>
          <w:color w:val="231F20"/>
          <w:spacing w:val="1"/>
          <w:sz w:val="18"/>
          <w:szCs w:val="18"/>
        </w:rPr>
        <w:t xml:space="preserve"> </w:t>
      </w:r>
      <w:r>
        <w:rPr>
          <w:color w:val="231F20"/>
          <w:sz w:val="18"/>
          <w:szCs w:val="18"/>
        </w:rPr>
        <w:t>and</w:t>
      </w:r>
    </w:p>
    <w:p w14:paraId="11D6CE4E" w14:textId="77777777" w:rsidR="00783288" w:rsidRDefault="00783288">
      <w:pPr>
        <w:pStyle w:val="BodyText"/>
        <w:kinsoku w:val="0"/>
        <w:overflowPunct w:val="0"/>
        <w:spacing w:before="11"/>
        <w:rPr>
          <w:sz w:val="20"/>
          <w:szCs w:val="20"/>
        </w:rPr>
      </w:pPr>
    </w:p>
    <w:p w14:paraId="78B5383C" w14:textId="77777777" w:rsidR="00783288" w:rsidRDefault="00E31420" w:rsidP="00512495">
      <w:pPr>
        <w:pStyle w:val="ListParagraph"/>
        <w:numPr>
          <w:ilvl w:val="0"/>
          <w:numId w:val="8"/>
        </w:numPr>
        <w:tabs>
          <w:tab w:val="left" w:pos="2182"/>
        </w:tabs>
        <w:kinsoku w:val="0"/>
        <w:overflowPunct w:val="0"/>
        <w:ind w:right="1034"/>
        <w:jc w:val="both"/>
        <w:rPr>
          <w:color w:val="231F20"/>
          <w:sz w:val="18"/>
          <w:szCs w:val="18"/>
        </w:rPr>
      </w:pPr>
      <w:r>
        <w:rPr>
          <w:color w:val="231F20"/>
          <w:sz w:val="18"/>
          <w:szCs w:val="18"/>
        </w:rPr>
        <w:t>any</w:t>
      </w:r>
      <w:r>
        <w:rPr>
          <w:color w:val="231F20"/>
          <w:spacing w:val="-17"/>
          <w:sz w:val="18"/>
          <w:szCs w:val="18"/>
        </w:rPr>
        <w:t xml:space="preserve"> </w:t>
      </w:r>
      <w:r>
        <w:rPr>
          <w:color w:val="231F20"/>
          <w:sz w:val="18"/>
          <w:szCs w:val="18"/>
        </w:rPr>
        <w:t>contract,</w:t>
      </w:r>
      <w:r>
        <w:rPr>
          <w:color w:val="231F20"/>
          <w:spacing w:val="-16"/>
          <w:sz w:val="18"/>
          <w:szCs w:val="18"/>
        </w:rPr>
        <w:t xml:space="preserve"> </w:t>
      </w:r>
      <w:r>
        <w:rPr>
          <w:color w:val="231F20"/>
          <w:sz w:val="18"/>
          <w:szCs w:val="18"/>
        </w:rPr>
        <w:t>arrangement,</w:t>
      </w:r>
      <w:r>
        <w:rPr>
          <w:color w:val="231F20"/>
          <w:spacing w:val="-15"/>
          <w:sz w:val="18"/>
          <w:szCs w:val="18"/>
        </w:rPr>
        <w:t xml:space="preserve"> </w:t>
      </w:r>
      <w:proofErr w:type="gramStart"/>
      <w:r>
        <w:rPr>
          <w:color w:val="231F20"/>
          <w:sz w:val="18"/>
          <w:szCs w:val="18"/>
        </w:rPr>
        <w:t>transaction</w:t>
      </w:r>
      <w:proofErr w:type="gramEnd"/>
      <w:r>
        <w:rPr>
          <w:color w:val="231F20"/>
          <w:spacing w:val="-15"/>
          <w:sz w:val="18"/>
          <w:szCs w:val="18"/>
        </w:rPr>
        <w:t xml:space="preserve"> </w:t>
      </w:r>
      <w:r>
        <w:rPr>
          <w:color w:val="231F20"/>
          <w:sz w:val="18"/>
          <w:szCs w:val="18"/>
        </w:rPr>
        <w:t>or</w:t>
      </w:r>
      <w:r>
        <w:rPr>
          <w:color w:val="231F20"/>
          <w:spacing w:val="-18"/>
          <w:sz w:val="18"/>
          <w:szCs w:val="18"/>
        </w:rPr>
        <w:t xml:space="preserve"> </w:t>
      </w:r>
      <w:r>
        <w:rPr>
          <w:color w:val="231F20"/>
          <w:sz w:val="18"/>
          <w:szCs w:val="18"/>
        </w:rPr>
        <w:t>proposal</w:t>
      </w:r>
      <w:r>
        <w:rPr>
          <w:color w:val="231F20"/>
          <w:spacing w:val="-17"/>
          <w:sz w:val="18"/>
          <w:szCs w:val="18"/>
        </w:rPr>
        <w:t xml:space="preserve"> </w:t>
      </w:r>
      <w:r>
        <w:rPr>
          <w:color w:val="231F20"/>
          <w:sz w:val="18"/>
          <w:szCs w:val="18"/>
        </w:rPr>
        <w:t>concerning</w:t>
      </w:r>
      <w:r>
        <w:rPr>
          <w:color w:val="231F20"/>
          <w:spacing w:val="-15"/>
          <w:sz w:val="18"/>
          <w:szCs w:val="18"/>
        </w:rPr>
        <w:t xml:space="preserve"> </w:t>
      </w:r>
      <w:r>
        <w:rPr>
          <w:color w:val="231F20"/>
          <w:sz w:val="18"/>
          <w:szCs w:val="18"/>
        </w:rPr>
        <w:t>insurance</w:t>
      </w:r>
      <w:r>
        <w:rPr>
          <w:color w:val="231F20"/>
          <w:spacing w:val="-18"/>
          <w:sz w:val="18"/>
          <w:szCs w:val="18"/>
        </w:rPr>
        <w:t xml:space="preserve"> </w:t>
      </w:r>
      <w:r>
        <w:rPr>
          <w:color w:val="231F20"/>
          <w:sz w:val="18"/>
          <w:szCs w:val="18"/>
        </w:rPr>
        <w:t>which</w:t>
      </w:r>
      <w:r>
        <w:rPr>
          <w:color w:val="231F20"/>
          <w:spacing w:val="-14"/>
          <w:sz w:val="18"/>
          <w:szCs w:val="18"/>
        </w:rPr>
        <w:t xml:space="preserve"> </w:t>
      </w:r>
      <w:r>
        <w:rPr>
          <w:color w:val="231F20"/>
          <w:sz w:val="18"/>
          <w:szCs w:val="18"/>
        </w:rPr>
        <w:t>the</w:t>
      </w:r>
      <w:r>
        <w:rPr>
          <w:color w:val="231F20"/>
          <w:spacing w:val="-15"/>
          <w:sz w:val="18"/>
          <w:szCs w:val="18"/>
        </w:rPr>
        <w:t xml:space="preserve"> </w:t>
      </w:r>
      <w:r>
        <w:rPr>
          <w:color w:val="231F20"/>
          <w:sz w:val="18"/>
          <w:szCs w:val="18"/>
        </w:rPr>
        <w:t>Company proposed</w:t>
      </w:r>
      <w:r>
        <w:rPr>
          <w:color w:val="231F20"/>
          <w:spacing w:val="-13"/>
          <w:sz w:val="18"/>
          <w:szCs w:val="18"/>
        </w:rPr>
        <w:t xml:space="preserve"> </w:t>
      </w:r>
      <w:r>
        <w:rPr>
          <w:color w:val="231F20"/>
          <w:sz w:val="18"/>
          <w:szCs w:val="18"/>
        </w:rPr>
        <w:t>to</w:t>
      </w:r>
      <w:r>
        <w:rPr>
          <w:color w:val="231F20"/>
          <w:spacing w:val="-12"/>
          <w:sz w:val="18"/>
          <w:szCs w:val="18"/>
        </w:rPr>
        <w:t xml:space="preserve"> </w:t>
      </w:r>
      <w:r>
        <w:rPr>
          <w:color w:val="231F20"/>
          <w:sz w:val="18"/>
          <w:szCs w:val="18"/>
        </w:rPr>
        <w:t>maintain</w:t>
      </w:r>
      <w:r>
        <w:rPr>
          <w:color w:val="231F20"/>
          <w:spacing w:val="-11"/>
          <w:sz w:val="18"/>
          <w:szCs w:val="18"/>
        </w:rPr>
        <w:t xml:space="preserve"> </w:t>
      </w:r>
      <w:r>
        <w:rPr>
          <w:color w:val="231F20"/>
          <w:sz w:val="18"/>
          <w:szCs w:val="18"/>
        </w:rPr>
        <w:t>or</w:t>
      </w:r>
      <w:r>
        <w:rPr>
          <w:color w:val="231F20"/>
          <w:spacing w:val="-12"/>
          <w:sz w:val="18"/>
          <w:szCs w:val="18"/>
        </w:rPr>
        <w:t xml:space="preserve"> </w:t>
      </w:r>
      <w:r>
        <w:rPr>
          <w:color w:val="231F20"/>
          <w:sz w:val="18"/>
          <w:szCs w:val="18"/>
        </w:rPr>
        <w:t>purchase</w:t>
      </w:r>
      <w:r>
        <w:rPr>
          <w:color w:val="231F20"/>
          <w:spacing w:val="-10"/>
          <w:sz w:val="18"/>
          <w:szCs w:val="18"/>
        </w:rPr>
        <w:t xml:space="preserve"> </w:t>
      </w:r>
      <w:r>
        <w:rPr>
          <w:color w:val="231F20"/>
          <w:sz w:val="18"/>
          <w:szCs w:val="18"/>
        </w:rPr>
        <w:t>for</w:t>
      </w:r>
      <w:r>
        <w:rPr>
          <w:color w:val="231F20"/>
          <w:spacing w:val="-14"/>
          <w:sz w:val="18"/>
          <w:szCs w:val="18"/>
        </w:rPr>
        <w:t xml:space="preserve"> </w:t>
      </w:r>
      <w:r>
        <w:rPr>
          <w:color w:val="231F20"/>
          <w:sz w:val="18"/>
          <w:szCs w:val="18"/>
        </w:rPr>
        <w:t>the</w:t>
      </w:r>
      <w:r>
        <w:rPr>
          <w:color w:val="231F20"/>
          <w:spacing w:val="-12"/>
          <w:sz w:val="18"/>
          <w:szCs w:val="18"/>
        </w:rPr>
        <w:t xml:space="preserve"> </w:t>
      </w:r>
      <w:r>
        <w:rPr>
          <w:color w:val="231F20"/>
          <w:sz w:val="18"/>
          <w:szCs w:val="18"/>
        </w:rPr>
        <w:t>benefit</w:t>
      </w:r>
      <w:r>
        <w:rPr>
          <w:color w:val="231F20"/>
          <w:spacing w:val="-14"/>
          <w:sz w:val="18"/>
          <w:szCs w:val="18"/>
        </w:rPr>
        <w:t xml:space="preserve"> </w:t>
      </w:r>
      <w:r>
        <w:rPr>
          <w:color w:val="231F20"/>
          <w:sz w:val="18"/>
          <w:szCs w:val="18"/>
        </w:rPr>
        <w:t>of</w:t>
      </w:r>
      <w:r>
        <w:rPr>
          <w:color w:val="231F20"/>
          <w:spacing w:val="-10"/>
          <w:sz w:val="18"/>
          <w:szCs w:val="18"/>
        </w:rPr>
        <w:t xml:space="preserve"> </w:t>
      </w:r>
      <w:r>
        <w:rPr>
          <w:color w:val="231F20"/>
          <w:sz w:val="18"/>
          <w:szCs w:val="18"/>
        </w:rPr>
        <w:t>directors</w:t>
      </w:r>
      <w:r>
        <w:rPr>
          <w:color w:val="231F20"/>
          <w:spacing w:val="-10"/>
          <w:sz w:val="18"/>
          <w:szCs w:val="18"/>
        </w:rPr>
        <w:t xml:space="preserve"> </w:t>
      </w:r>
      <w:r>
        <w:rPr>
          <w:color w:val="231F20"/>
          <w:sz w:val="18"/>
          <w:szCs w:val="18"/>
        </w:rPr>
        <w:t>of</w:t>
      </w:r>
      <w:r>
        <w:rPr>
          <w:color w:val="231F20"/>
          <w:spacing w:val="-13"/>
          <w:sz w:val="18"/>
          <w:szCs w:val="18"/>
        </w:rPr>
        <w:t xml:space="preserve"> </w:t>
      </w:r>
      <w:r>
        <w:rPr>
          <w:color w:val="231F20"/>
          <w:sz w:val="18"/>
          <w:szCs w:val="18"/>
        </w:rPr>
        <w:t>the</w:t>
      </w:r>
      <w:r>
        <w:rPr>
          <w:color w:val="231F20"/>
          <w:spacing w:val="-11"/>
          <w:sz w:val="18"/>
          <w:szCs w:val="18"/>
        </w:rPr>
        <w:t xml:space="preserve"> </w:t>
      </w:r>
      <w:r>
        <w:rPr>
          <w:color w:val="231F20"/>
          <w:sz w:val="18"/>
          <w:szCs w:val="18"/>
        </w:rPr>
        <w:t>Company</w:t>
      </w:r>
      <w:r>
        <w:rPr>
          <w:color w:val="231F20"/>
          <w:spacing w:val="-12"/>
          <w:sz w:val="18"/>
          <w:szCs w:val="18"/>
        </w:rPr>
        <w:t xml:space="preserve"> </w:t>
      </w:r>
      <w:r>
        <w:rPr>
          <w:color w:val="231F20"/>
          <w:sz w:val="18"/>
          <w:szCs w:val="18"/>
        </w:rPr>
        <w:t>or</w:t>
      </w:r>
      <w:r>
        <w:rPr>
          <w:color w:val="231F20"/>
          <w:spacing w:val="-12"/>
          <w:sz w:val="18"/>
          <w:szCs w:val="18"/>
        </w:rPr>
        <w:t xml:space="preserve"> </w:t>
      </w:r>
      <w:r>
        <w:rPr>
          <w:color w:val="231F20"/>
          <w:sz w:val="18"/>
          <w:szCs w:val="18"/>
        </w:rPr>
        <w:t>for</w:t>
      </w:r>
      <w:r>
        <w:rPr>
          <w:color w:val="231F20"/>
          <w:spacing w:val="-13"/>
          <w:sz w:val="18"/>
          <w:szCs w:val="18"/>
        </w:rPr>
        <w:t xml:space="preserve"> </w:t>
      </w:r>
      <w:r>
        <w:rPr>
          <w:color w:val="231F20"/>
          <w:sz w:val="18"/>
          <w:szCs w:val="18"/>
        </w:rPr>
        <w:t>the</w:t>
      </w:r>
      <w:r>
        <w:rPr>
          <w:color w:val="231F20"/>
          <w:spacing w:val="-13"/>
          <w:sz w:val="18"/>
          <w:szCs w:val="18"/>
        </w:rPr>
        <w:t xml:space="preserve"> </w:t>
      </w:r>
      <w:r>
        <w:rPr>
          <w:color w:val="231F20"/>
          <w:sz w:val="18"/>
          <w:szCs w:val="18"/>
        </w:rPr>
        <w:t>benefit or persons including the directors of the Company.</w:t>
      </w:r>
    </w:p>
    <w:p w14:paraId="5B3B54F3" w14:textId="77777777" w:rsidR="00783288" w:rsidRDefault="00783288">
      <w:pPr>
        <w:pStyle w:val="BodyText"/>
        <w:kinsoku w:val="0"/>
        <w:overflowPunct w:val="0"/>
        <w:spacing w:before="8"/>
        <w:rPr>
          <w:sz w:val="20"/>
          <w:szCs w:val="20"/>
        </w:rPr>
      </w:pPr>
    </w:p>
    <w:p w14:paraId="0E36D190"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If any question arises at any meeting as to the materiality of a director of the Company’s interest or as to the entitlement of any director of the Company to vote and such question is not resolved by</w:t>
      </w:r>
      <w:r>
        <w:rPr>
          <w:color w:val="231F20"/>
          <w:spacing w:val="-9"/>
          <w:sz w:val="18"/>
          <w:szCs w:val="18"/>
        </w:rPr>
        <w:t xml:space="preserve"> </w:t>
      </w:r>
      <w:r>
        <w:rPr>
          <w:color w:val="231F20"/>
          <w:sz w:val="18"/>
          <w:szCs w:val="18"/>
        </w:rPr>
        <w:t>his</w:t>
      </w:r>
      <w:r>
        <w:rPr>
          <w:color w:val="231F20"/>
          <w:spacing w:val="-6"/>
          <w:sz w:val="18"/>
          <w:szCs w:val="18"/>
        </w:rPr>
        <w:t xml:space="preserve"> </w:t>
      </w:r>
      <w:r>
        <w:rPr>
          <w:color w:val="231F20"/>
          <w:sz w:val="18"/>
          <w:szCs w:val="18"/>
        </w:rPr>
        <w:t>voluntarily</w:t>
      </w:r>
      <w:r>
        <w:rPr>
          <w:color w:val="231F20"/>
          <w:spacing w:val="-9"/>
          <w:sz w:val="18"/>
          <w:szCs w:val="18"/>
        </w:rPr>
        <w:t xml:space="preserve"> </w:t>
      </w:r>
      <w:r>
        <w:rPr>
          <w:color w:val="231F20"/>
          <w:sz w:val="18"/>
          <w:szCs w:val="18"/>
        </w:rPr>
        <w:t>agreeing</w:t>
      </w:r>
      <w:r>
        <w:rPr>
          <w:color w:val="231F20"/>
          <w:spacing w:val="-6"/>
          <w:sz w:val="18"/>
          <w:szCs w:val="18"/>
        </w:rPr>
        <w:t xml:space="preserve"> </w:t>
      </w:r>
      <w:r>
        <w:rPr>
          <w:color w:val="231F20"/>
          <w:sz w:val="18"/>
          <w:szCs w:val="18"/>
        </w:rPr>
        <w:t>to</w:t>
      </w:r>
      <w:r>
        <w:rPr>
          <w:color w:val="231F20"/>
          <w:spacing w:val="-7"/>
          <w:sz w:val="18"/>
          <w:szCs w:val="18"/>
        </w:rPr>
        <w:t xml:space="preserve"> </w:t>
      </w:r>
      <w:r>
        <w:rPr>
          <w:color w:val="231F20"/>
          <w:sz w:val="18"/>
          <w:szCs w:val="18"/>
        </w:rPr>
        <w:t>abstain</w:t>
      </w:r>
      <w:r>
        <w:rPr>
          <w:color w:val="231F20"/>
          <w:spacing w:val="-6"/>
          <w:sz w:val="18"/>
          <w:szCs w:val="18"/>
        </w:rPr>
        <w:t xml:space="preserve"> </w:t>
      </w:r>
      <w:r>
        <w:rPr>
          <w:color w:val="231F20"/>
          <w:sz w:val="18"/>
          <w:szCs w:val="18"/>
        </w:rPr>
        <w:t>from</w:t>
      </w:r>
      <w:r>
        <w:rPr>
          <w:color w:val="231F20"/>
          <w:spacing w:val="-6"/>
          <w:sz w:val="18"/>
          <w:szCs w:val="18"/>
        </w:rPr>
        <w:t xml:space="preserve"> </w:t>
      </w:r>
      <w:r>
        <w:rPr>
          <w:color w:val="231F20"/>
          <w:sz w:val="18"/>
          <w:szCs w:val="18"/>
        </w:rPr>
        <w:t>voting,</w:t>
      </w:r>
      <w:r>
        <w:rPr>
          <w:color w:val="231F20"/>
          <w:spacing w:val="-7"/>
          <w:sz w:val="18"/>
          <w:szCs w:val="18"/>
        </w:rPr>
        <w:t xml:space="preserve"> </w:t>
      </w:r>
      <w:r>
        <w:rPr>
          <w:color w:val="231F20"/>
          <w:sz w:val="18"/>
          <w:szCs w:val="18"/>
        </w:rPr>
        <w:t>such</w:t>
      </w:r>
      <w:r>
        <w:rPr>
          <w:color w:val="231F20"/>
          <w:spacing w:val="-6"/>
          <w:sz w:val="18"/>
          <w:szCs w:val="18"/>
        </w:rPr>
        <w:t xml:space="preserve"> </w:t>
      </w:r>
      <w:r>
        <w:rPr>
          <w:color w:val="231F20"/>
          <w:sz w:val="18"/>
          <w:szCs w:val="18"/>
        </w:rPr>
        <w:t>question</w:t>
      </w:r>
      <w:r>
        <w:rPr>
          <w:color w:val="231F20"/>
          <w:spacing w:val="-7"/>
          <w:sz w:val="18"/>
          <w:szCs w:val="18"/>
        </w:rPr>
        <w:t xml:space="preserve"> </w:t>
      </w:r>
      <w:r>
        <w:rPr>
          <w:color w:val="231F20"/>
          <w:sz w:val="18"/>
          <w:szCs w:val="18"/>
        </w:rPr>
        <w:t>must</w:t>
      </w:r>
      <w:r>
        <w:rPr>
          <w:color w:val="231F20"/>
          <w:spacing w:val="-6"/>
          <w:sz w:val="18"/>
          <w:szCs w:val="18"/>
        </w:rPr>
        <w:t xml:space="preserve"> </w:t>
      </w:r>
      <w:r>
        <w:rPr>
          <w:color w:val="231F20"/>
          <w:sz w:val="18"/>
          <w:szCs w:val="18"/>
        </w:rPr>
        <w:t>be</w:t>
      </w:r>
      <w:r>
        <w:rPr>
          <w:color w:val="231F20"/>
          <w:spacing w:val="-7"/>
          <w:sz w:val="18"/>
          <w:szCs w:val="18"/>
        </w:rPr>
        <w:t xml:space="preserve"> </w:t>
      </w:r>
      <w:r>
        <w:rPr>
          <w:color w:val="231F20"/>
          <w:sz w:val="18"/>
          <w:szCs w:val="18"/>
        </w:rPr>
        <w:t>referred</w:t>
      </w:r>
      <w:r>
        <w:rPr>
          <w:color w:val="231F20"/>
          <w:spacing w:val="-6"/>
          <w:sz w:val="18"/>
          <w:szCs w:val="18"/>
        </w:rPr>
        <w:t xml:space="preserve"> </w:t>
      </w:r>
      <w:r>
        <w:rPr>
          <w:color w:val="231F20"/>
          <w:sz w:val="18"/>
          <w:szCs w:val="18"/>
        </w:rPr>
        <w:t>to</w:t>
      </w:r>
      <w:r>
        <w:rPr>
          <w:color w:val="231F20"/>
          <w:spacing w:val="-7"/>
          <w:sz w:val="18"/>
          <w:szCs w:val="18"/>
        </w:rPr>
        <w:t xml:space="preserve"> </w:t>
      </w:r>
      <w:r>
        <w:rPr>
          <w:color w:val="231F20"/>
          <w:sz w:val="18"/>
          <w:szCs w:val="18"/>
        </w:rPr>
        <w:t>the</w:t>
      </w:r>
      <w:r>
        <w:rPr>
          <w:color w:val="231F20"/>
          <w:spacing w:val="-6"/>
          <w:sz w:val="18"/>
          <w:szCs w:val="18"/>
        </w:rPr>
        <w:t xml:space="preserve"> </w:t>
      </w:r>
      <w:r>
        <w:rPr>
          <w:color w:val="231F20"/>
          <w:sz w:val="18"/>
          <w:szCs w:val="18"/>
        </w:rPr>
        <w:t>chairman of the meeting and his ruling in relation to any other director of the Company will be final and conclusive, except in a case where the nature or extent of the interest of such director of the Company has not been fully</w:t>
      </w:r>
      <w:r>
        <w:rPr>
          <w:color w:val="231F20"/>
          <w:spacing w:val="-8"/>
          <w:sz w:val="18"/>
          <w:szCs w:val="18"/>
        </w:rPr>
        <w:t xml:space="preserve"> </w:t>
      </w:r>
      <w:r>
        <w:rPr>
          <w:color w:val="231F20"/>
          <w:sz w:val="18"/>
          <w:szCs w:val="18"/>
        </w:rPr>
        <w:t>disclosed.</w:t>
      </w:r>
    </w:p>
    <w:p w14:paraId="68122846" w14:textId="77777777" w:rsidR="00783288" w:rsidRDefault="00783288">
      <w:pPr>
        <w:pStyle w:val="BodyText"/>
        <w:kinsoku w:val="0"/>
        <w:overflowPunct w:val="0"/>
        <w:rPr>
          <w:sz w:val="21"/>
          <w:szCs w:val="21"/>
        </w:rPr>
      </w:pPr>
    </w:p>
    <w:p w14:paraId="1B9FF0A8"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 xml:space="preserve">The directors of the Company may provide or pay pensions, annuities, gratuities and superannuation or other allowances or benefits to any director, ex-director, employee or ex- employee of the Company or any of its subsidiaries or to the spouse, civil partner, children and </w:t>
      </w:r>
      <w:r>
        <w:rPr>
          <w:color w:val="231F20"/>
          <w:sz w:val="18"/>
          <w:szCs w:val="18"/>
        </w:rPr>
        <w:lastRenderedPageBreak/>
        <w:t>dependants of any such director, ex-director, employee or ex-employee of the</w:t>
      </w:r>
      <w:r>
        <w:rPr>
          <w:color w:val="231F20"/>
          <w:spacing w:val="-20"/>
          <w:sz w:val="18"/>
          <w:szCs w:val="18"/>
        </w:rPr>
        <w:t xml:space="preserve"> </w:t>
      </w:r>
      <w:r>
        <w:rPr>
          <w:color w:val="231F20"/>
          <w:sz w:val="18"/>
          <w:szCs w:val="18"/>
        </w:rPr>
        <w:t>Company.</w:t>
      </w:r>
    </w:p>
    <w:p w14:paraId="61E00DBC" w14:textId="77777777" w:rsidR="00783288" w:rsidRDefault="00783288">
      <w:pPr>
        <w:pStyle w:val="BodyText"/>
        <w:kinsoku w:val="0"/>
        <w:overflowPunct w:val="0"/>
        <w:spacing w:before="5"/>
        <w:rPr>
          <w:sz w:val="20"/>
          <w:szCs w:val="20"/>
        </w:rPr>
      </w:pPr>
    </w:p>
    <w:p w14:paraId="6B7BC1AE"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Mandatory Bids and Compulsory Acquisition Rules Relating to the Ordinary</w:t>
      </w:r>
      <w:r>
        <w:rPr>
          <w:color w:val="231F20"/>
          <w:spacing w:val="-16"/>
        </w:rPr>
        <w:t xml:space="preserve"> </w:t>
      </w:r>
      <w:r>
        <w:rPr>
          <w:color w:val="231F20"/>
        </w:rPr>
        <w:t>Shares</w:t>
      </w:r>
    </w:p>
    <w:p w14:paraId="05C22EFE" w14:textId="77777777" w:rsidR="00783288" w:rsidRDefault="00783288">
      <w:pPr>
        <w:pStyle w:val="BodyText"/>
        <w:kinsoku w:val="0"/>
        <w:overflowPunct w:val="0"/>
        <w:spacing w:before="3"/>
        <w:rPr>
          <w:b/>
          <w:bCs/>
          <w:sz w:val="21"/>
          <w:szCs w:val="21"/>
        </w:rPr>
      </w:pPr>
    </w:p>
    <w:p w14:paraId="059186A4"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Mandatory Bid</w:t>
      </w:r>
      <w:r>
        <w:rPr>
          <w:color w:val="231F20"/>
          <w:spacing w:val="-1"/>
          <w:sz w:val="18"/>
          <w:szCs w:val="18"/>
        </w:rPr>
        <w:t xml:space="preserve"> </w:t>
      </w:r>
      <w:r>
        <w:rPr>
          <w:color w:val="231F20"/>
          <w:sz w:val="18"/>
          <w:szCs w:val="18"/>
        </w:rPr>
        <w:t>Rules</w:t>
      </w:r>
    </w:p>
    <w:p w14:paraId="3AE6F62E" w14:textId="77777777" w:rsidR="00783288" w:rsidRDefault="00783288">
      <w:pPr>
        <w:pStyle w:val="BodyText"/>
        <w:kinsoku w:val="0"/>
        <w:overflowPunct w:val="0"/>
        <w:spacing w:before="9"/>
        <w:rPr>
          <w:sz w:val="20"/>
          <w:szCs w:val="20"/>
        </w:rPr>
      </w:pPr>
    </w:p>
    <w:p w14:paraId="497F09D1" w14:textId="77777777" w:rsidR="00783288" w:rsidRDefault="00E31420">
      <w:pPr>
        <w:pStyle w:val="BodyText"/>
        <w:kinsoku w:val="0"/>
        <w:overflowPunct w:val="0"/>
        <w:ind w:left="839"/>
        <w:jc w:val="both"/>
        <w:rPr>
          <w:color w:val="231F20"/>
        </w:rPr>
      </w:pPr>
      <w:r>
        <w:rPr>
          <w:color w:val="231F20"/>
        </w:rPr>
        <w:t>The Takeover Code applies to the Company. Under Rule 9 of the Takeover Code, if:</w:t>
      </w:r>
    </w:p>
    <w:p w14:paraId="29A87F3A" w14:textId="77777777" w:rsidR="00783288" w:rsidRDefault="00783288">
      <w:pPr>
        <w:pStyle w:val="BodyText"/>
        <w:kinsoku w:val="0"/>
        <w:overflowPunct w:val="0"/>
        <w:spacing w:before="9"/>
        <w:rPr>
          <w:sz w:val="20"/>
          <w:szCs w:val="20"/>
        </w:rPr>
      </w:pPr>
    </w:p>
    <w:p w14:paraId="4025A7EA" w14:textId="77777777" w:rsidR="00783288" w:rsidRDefault="00E31420" w:rsidP="00512495">
      <w:pPr>
        <w:pStyle w:val="ListParagraph"/>
        <w:numPr>
          <w:ilvl w:val="2"/>
          <w:numId w:val="13"/>
        </w:numPr>
        <w:tabs>
          <w:tab w:val="left" w:pos="1822"/>
        </w:tabs>
        <w:kinsoku w:val="0"/>
        <w:overflowPunct w:val="0"/>
        <w:spacing w:before="1"/>
        <w:ind w:right="1035"/>
        <w:jc w:val="both"/>
        <w:rPr>
          <w:color w:val="231F20"/>
          <w:sz w:val="18"/>
          <w:szCs w:val="18"/>
        </w:rPr>
      </w:pPr>
      <w:r>
        <w:rPr>
          <w:color w:val="231F20"/>
          <w:sz w:val="18"/>
          <w:szCs w:val="18"/>
        </w:rPr>
        <w:t>a person acquires an interest in shares in the Company which, when taken together with shares already</w:t>
      </w:r>
      <w:r>
        <w:rPr>
          <w:color w:val="231F20"/>
          <w:spacing w:val="-7"/>
          <w:sz w:val="18"/>
          <w:szCs w:val="18"/>
        </w:rPr>
        <w:t xml:space="preserve"> </w:t>
      </w:r>
      <w:r>
        <w:rPr>
          <w:color w:val="231F20"/>
          <w:sz w:val="18"/>
          <w:szCs w:val="18"/>
        </w:rPr>
        <w:t>held</w:t>
      </w:r>
      <w:r>
        <w:rPr>
          <w:color w:val="231F20"/>
          <w:spacing w:val="-5"/>
          <w:sz w:val="18"/>
          <w:szCs w:val="18"/>
        </w:rPr>
        <w:t xml:space="preserve"> </w:t>
      </w:r>
      <w:r>
        <w:rPr>
          <w:color w:val="231F20"/>
          <w:sz w:val="18"/>
          <w:szCs w:val="18"/>
        </w:rPr>
        <w:t>by</w:t>
      </w:r>
      <w:r>
        <w:rPr>
          <w:color w:val="231F20"/>
          <w:spacing w:val="-7"/>
          <w:sz w:val="18"/>
          <w:szCs w:val="18"/>
        </w:rPr>
        <w:t xml:space="preserve"> </w:t>
      </w:r>
      <w:r>
        <w:rPr>
          <w:color w:val="231F20"/>
          <w:sz w:val="18"/>
          <w:szCs w:val="18"/>
        </w:rPr>
        <w:t>him</w:t>
      </w:r>
      <w:r>
        <w:rPr>
          <w:color w:val="231F20"/>
          <w:spacing w:val="-7"/>
          <w:sz w:val="18"/>
          <w:szCs w:val="18"/>
        </w:rPr>
        <w:t xml:space="preserve"> </w:t>
      </w:r>
      <w:r>
        <w:rPr>
          <w:color w:val="231F20"/>
          <w:sz w:val="18"/>
          <w:szCs w:val="18"/>
        </w:rPr>
        <w:t>or</w:t>
      </w:r>
      <w:r>
        <w:rPr>
          <w:color w:val="231F20"/>
          <w:spacing w:val="-6"/>
          <w:sz w:val="18"/>
          <w:szCs w:val="18"/>
        </w:rPr>
        <w:t xml:space="preserve"> </w:t>
      </w:r>
      <w:r>
        <w:rPr>
          <w:color w:val="231F20"/>
          <w:sz w:val="18"/>
          <w:szCs w:val="18"/>
        </w:rPr>
        <w:t>persons</w:t>
      </w:r>
      <w:r>
        <w:rPr>
          <w:color w:val="231F20"/>
          <w:spacing w:val="-7"/>
          <w:sz w:val="18"/>
          <w:szCs w:val="18"/>
        </w:rPr>
        <w:t xml:space="preserve"> </w:t>
      </w:r>
      <w:r>
        <w:rPr>
          <w:color w:val="231F20"/>
          <w:sz w:val="18"/>
          <w:szCs w:val="18"/>
        </w:rPr>
        <w:t>acting</w:t>
      </w:r>
      <w:r>
        <w:rPr>
          <w:color w:val="231F20"/>
          <w:spacing w:val="-5"/>
          <w:sz w:val="18"/>
          <w:szCs w:val="18"/>
        </w:rPr>
        <w:t xml:space="preserve"> </w:t>
      </w:r>
      <w:r>
        <w:rPr>
          <w:color w:val="231F20"/>
          <w:sz w:val="18"/>
          <w:szCs w:val="18"/>
        </w:rPr>
        <w:t>in</w:t>
      </w:r>
      <w:r>
        <w:rPr>
          <w:color w:val="231F20"/>
          <w:spacing w:val="-5"/>
          <w:sz w:val="18"/>
          <w:szCs w:val="18"/>
        </w:rPr>
        <w:t xml:space="preserve"> </w:t>
      </w:r>
      <w:r>
        <w:rPr>
          <w:color w:val="231F20"/>
          <w:sz w:val="18"/>
          <w:szCs w:val="18"/>
        </w:rPr>
        <w:t>concert</w:t>
      </w:r>
      <w:r>
        <w:rPr>
          <w:color w:val="231F20"/>
          <w:spacing w:val="-5"/>
          <w:sz w:val="18"/>
          <w:szCs w:val="18"/>
        </w:rPr>
        <w:t xml:space="preserve"> </w:t>
      </w:r>
      <w:r>
        <w:rPr>
          <w:color w:val="231F20"/>
          <w:sz w:val="18"/>
          <w:szCs w:val="18"/>
        </w:rPr>
        <w:t>with</w:t>
      </w:r>
      <w:r>
        <w:rPr>
          <w:color w:val="231F20"/>
          <w:spacing w:val="-5"/>
          <w:sz w:val="18"/>
          <w:szCs w:val="18"/>
        </w:rPr>
        <w:t xml:space="preserve"> </w:t>
      </w:r>
      <w:r>
        <w:rPr>
          <w:color w:val="231F20"/>
          <w:sz w:val="18"/>
          <w:szCs w:val="18"/>
        </w:rPr>
        <w:t>him,</w:t>
      </w:r>
      <w:r>
        <w:rPr>
          <w:color w:val="231F20"/>
          <w:spacing w:val="-8"/>
          <w:sz w:val="18"/>
          <w:szCs w:val="18"/>
        </w:rPr>
        <w:t xml:space="preserve"> </w:t>
      </w:r>
      <w:r>
        <w:rPr>
          <w:color w:val="231F20"/>
          <w:sz w:val="18"/>
          <w:szCs w:val="18"/>
        </w:rPr>
        <w:t>carry</w:t>
      </w:r>
      <w:r>
        <w:rPr>
          <w:color w:val="231F20"/>
          <w:spacing w:val="-7"/>
          <w:sz w:val="18"/>
          <w:szCs w:val="18"/>
        </w:rPr>
        <w:t xml:space="preserve"> </w:t>
      </w:r>
      <w:r>
        <w:rPr>
          <w:color w:val="231F20"/>
          <w:sz w:val="18"/>
          <w:szCs w:val="18"/>
        </w:rPr>
        <w:t>30</w:t>
      </w:r>
      <w:r>
        <w:rPr>
          <w:color w:val="231F20"/>
          <w:spacing w:val="-5"/>
          <w:sz w:val="18"/>
          <w:szCs w:val="18"/>
        </w:rPr>
        <w:t xml:space="preserve"> </w:t>
      </w:r>
      <w:r>
        <w:rPr>
          <w:color w:val="231F20"/>
          <w:sz w:val="18"/>
          <w:szCs w:val="18"/>
        </w:rPr>
        <w:t>per</w:t>
      </w:r>
      <w:r>
        <w:rPr>
          <w:color w:val="231F20"/>
          <w:spacing w:val="-6"/>
          <w:sz w:val="18"/>
          <w:szCs w:val="18"/>
        </w:rPr>
        <w:t xml:space="preserve"> </w:t>
      </w:r>
      <w:r>
        <w:rPr>
          <w:color w:val="231F20"/>
          <w:sz w:val="18"/>
          <w:szCs w:val="18"/>
        </w:rPr>
        <w:t>cent.</w:t>
      </w:r>
      <w:r>
        <w:rPr>
          <w:color w:val="231F20"/>
          <w:spacing w:val="-5"/>
          <w:sz w:val="18"/>
          <w:szCs w:val="18"/>
        </w:rPr>
        <w:t xml:space="preserve"> </w:t>
      </w:r>
      <w:r>
        <w:rPr>
          <w:color w:val="231F20"/>
          <w:sz w:val="18"/>
          <w:szCs w:val="18"/>
        </w:rPr>
        <w:t>or</w:t>
      </w:r>
      <w:r>
        <w:rPr>
          <w:color w:val="231F20"/>
          <w:spacing w:val="-8"/>
          <w:sz w:val="18"/>
          <w:szCs w:val="18"/>
        </w:rPr>
        <w:t xml:space="preserve"> </w:t>
      </w:r>
      <w:r>
        <w:rPr>
          <w:color w:val="231F20"/>
          <w:sz w:val="18"/>
          <w:szCs w:val="18"/>
        </w:rPr>
        <w:t>more</w:t>
      </w:r>
      <w:r>
        <w:rPr>
          <w:color w:val="231F20"/>
          <w:spacing w:val="-5"/>
          <w:sz w:val="18"/>
          <w:szCs w:val="18"/>
        </w:rPr>
        <w:t xml:space="preserve"> </w:t>
      </w:r>
      <w:r>
        <w:rPr>
          <w:color w:val="231F20"/>
          <w:sz w:val="18"/>
          <w:szCs w:val="18"/>
        </w:rPr>
        <w:t>of</w:t>
      </w:r>
      <w:r>
        <w:rPr>
          <w:color w:val="231F20"/>
          <w:spacing w:val="-5"/>
          <w:sz w:val="18"/>
          <w:szCs w:val="18"/>
        </w:rPr>
        <w:t xml:space="preserve"> </w:t>
      </w:r>
      <w:r>
        <w:rPr>
          <w:color w:val="231F20"/>
          <w:sz w:val="18"/>
          <w:szCs w:val="18"/>
        </w:rPr>
        <w:t>the</w:t>
      </w:r>
      <w:r>
        <w:rPr>
          <w:color w:val="231F20"/>
          <w:spacing w:val="-5"/>
          <w:sz w:val="18"/>
          <w:szCs w:val="18"/>
        </w:rPr>
        <w:t xml:space="preserve"> </w:t>
      </w:r>
      <w:r>
        <w:rPr>
          <w:color w:val="231F20"/>
          <w:sz w:val="18"/>
          <w:szCs w:val="18"/>
        </w:rPr>
        <w:t>voting rights in the Company;</w:t>
      </w:r>
      <w:r>
        <w:rPr>
          <w:color w:val="231F20"/>
          <w:spacing w:val="-1"/>
          <w:sz w:val="18"/>
          <w:szCs w:val="18"/>
        </w:rPr>
        <w:t xml:space="preserve"> </w:t>
      </w:r>
      <w:r>
        <w:rPr>
          <w:color w:val="231F20"/>
          <w:sz w:val="18"/>
          <w:szCs w:val="18"/>
        </w:rPr>
        <w:t>or</w:t>
      </w:r>
    </w:p>
    <w:p w14:paraId="7FA79FA9" w14:textId="77777777" w:rsidR="00783288" w:rsidRDefault="00783288">
      <w:pPr>
        <w:pStyle w:val="BodyText"/>
        <w:kinsoku w:val="0"/>
        <w:overflowPunct w:val="0"/>
        <w:spacing w:before="10"/>
        <w:rPr>
          <w:sz w:val="20"/>
          <w:szCs w:val="20"/>
        </w:rPr>
      </w:pPr>
    </w:p>
    <w:p w14:paraId="5CA50690" w14:textId="77777777" w:rsidR="00783288" w:rsidRDefault="00E31420" w:rsidP="00512495">
      <w:pPr>
        <w:pStyle w:val="ListParagraph"/>
        <w:numPr>
          <w:ilvl w:val="2"/>
          <w:numId w:val="13"/>
        </w:numPr>
        <w:tabs>
          <w:tab w:val="left" w:pos="1822"/>
        </w:tabs>
        <w:kinsoku w:val="0"/>
        <w:overflowPunct w:val="0"/>
        <w:ind w:right="1034"/>
        <w:jc w:val="both"/>
        <w:rPr>
          <w:color w:val="231F20"/>
          <w:sz w:val="18"/>
          <w:szCs w:val="18"/>
        </w:rPr>
      </w:pPr>
      <w:r>
        <w:rPr>
          <w:color w:val="231F20"/>
          <w:sz w:val="18"/>
          <w:szCs w:val="18"/>
        </w:rPr>
        <w:t xml:space="preserve">a person who, together with persons acting in concert with him, is interested in not less than </w:t>
      </w:r>
      <w:r>
        <w:rPr>
          <w:color w:val="231F20"/>
          <w:spacing w:val="-3"/>
          <w:sz w:val="18"/>
          <w:szCs w:val="18"/>
        </w:rPr>
        <w:t xml:space="preserve">30 </w:t>
      </w:r>
      <w:r>
        <w:rPr>
          <w:color w:val="231F20"/>
          <w:sz w:val="18"/>
          <w:szCs w:val="18"/>
        </w:rPr>
        <w:t>per cent. and not more than 50 per cent. of the voting rights in the Company, acquires additional interests in shares which increase the percentage of shares carrying voting rights in which that person</w:t>
      </w:r>
      <w:r>
        <w:rPr>
          <w:color w:val="231F20"/>
          <w:spacing w:val="-10"/>
          <w:sz w:val="18"/>
          <w:szCs w:val="18"/>
        </w:rPr>
        <w:t xml:space="preserve"> </w:t>
      </w:r>
      <w:r>
        <w:rPr>
          <w:color w:val="231F20"/>
          <w:sz w:val="18"/>
          <w:szCs w:val="18"/>
        </w:rPr>
        <w:t>is</w:t>
      </w:r>
      <w:r>
        <w:rPr>
          <w:color w:val="231F20"/>
          <w:spacing w:val="-11"/>
          <w:sz w:val="18"/>
          <w:szCs w:val="18"/>
        </w:rPr>
        <w:t xml:space="preserve"> </w:t>
      </w:r>
      <w:r>
        <w:rPr>
          <w:color w:val="231F20"/>
          <w:sz w:val="18"/>
          <w:szCs w:val="18"/>
        </w:rPr>
        <w:t>interested,</w:t>
      </w:r>
      <w:r>
        <w:rPr>
          <w:color w:val="231F20"/>
          <w:spacing w:val="-10"/>
          <w:sz w:val="18"/>
          <w:szCs w:val="18"/>
        </w:rPr>
        <w:t xml:space="preserve"> </w:t>
      </w:r>
      <w:r>
        <w:rPr>
          <w:color w:val="231F20"/>
          <w:sz w:val="18"/>
          <w:szCs w:val="18"/>
        </w:rPr>
        <w:t>the</w:t>
      </w:r>
      <w:r>
        <w:rPr>
          <w:color w:val="231F20"/>
          <w:spacing w:val="-10"/>
          <w:sz w:val="18"/>
          <w:szCs w:val="18"/>
        </w:rPr>
        <w:t xml:space="preserve"> </w:t>
      </w:r>
      <w:r>
        <w:rPr>
          <w:color w:val="231F20"/>
          <w:sz w:val="18"/>
          <w:szCs w:val="18"/>
        </w:rPr>
        <w:t>acquiror</w:t>
      </w:r>
      <w:r>
        <w:rPr>
          <w:color w:val="231F20"/>
          <w:spacing w:val="-10"/>
          <w:sz w:val="18"/>
          <w:szCs w:val="18"/>
        </w:rPr>
        <w:t xml:space="preserve"> </w:t>
      </w:r>
      <w:r>
        <w:rPr>
          <w:color w:val="231F20"/>
          <w:sz w:val="18"/>
          <w:szCs w:val="18"/>
        </w:rPr>
        <w:t>and,</w:t>
      </w:r>
      <w:r>
        <w:rPr>
          <w:color w:val="231F20"/>
          <w:spacing w:val="-9"/>
          <w:sz w:val="18"/>
          <w:szCs w:val="18"/>
        </w:rPr>
        <w:t xml:space="preserve"> </w:t>
      </w:r>
      <w:r>
        <w:rPr>
          <w:color w:val="231F20"/>
          <w:sz w:val="18"/>
          <w:szCs w:val="18"/>
        </w:rPr>
        <w:t>depending</w:t>
      </w:r>
      <w:r>
        <w:rPr>
          <w:color w:val="231F20"/>
          <w:spacing w:val="-10"/>
          <w:sz w:val="18"/>
          <w:szCs w:val="18"/>
        </w:rPr>
        <w:t xml:space="preserve"> </w:t>
      </w:r>
      <w:r>
        <w:rPr>
          <w:color w:val="231F20"/>
          <w:sz w:val="18"/>
          <w:szCs w:val="18"/>
        </w:rPr>
        <w:t>on</w:t>
      </w:r>
      <w:r>
        <w:rPr>
          <w:color w:val="231F20"/>
          <w:spacing w:val="-10"/>
          <w:sz w:val="18"/>
          <w:szCs w:val="18"/>
        </w:rPr>
        <w:t xml:space="preserve"> </w:t>
      </w:r>
      <w:r>
        <w:rPr>
          <w:color w:val="231F20"/>
          <w:sz w:val="18"/>
          <w:szCs w:val="18"/>
        </w:rPr>
        <w:t>the</w:t>
      </w:r>
      <w:r>
        <w:rPr>
          <w:color w:val="231F20"/>
          <w:spacing w:val="-10"/>
          <w:sz w:val="18"/>
          <w:szCs w:val="18"/>
        </w:rPr>
        <w:t xml:space="preserve"> </w:t>
      </w:r>
      <w:r>
        <w:rPr>
          <w:color w:val="231F20"/>
          <w:sz w:val="18"/>
          <w:szCs w:val="18"/>
        </w:rPr>
        <w:t>circumstances,</w:t>
      </w:r>
      <w:r>
        <w:rPr>
          <w:color w:val="231F20"/>
          <w:spacing w:val="-10"/>
          <w:sz w:val="18"/>
          <w:szCs w:val="18"/>
        </w:rPr>
        <w:t xml:space="preserve"> </w:t>
      </w:r>
      <w:r>
        <w:rPr>
          <w:color w:val="231F20"/>
          <w:sz w:val="18"/>
          <w:szCs w:val="18"/>
        </w:rPr>
        <w:t>its</w:t>
      </w:r>
      <w:r>
        <w:rPr>
          <w:color w:val="231F20"/>
          <w:spacing w:val="-9"/>
          <w:sz w:val="18"/>
          <w:szCs w:val="18"/>
        </w:rPr>
        <w:t xml:space="preserve"> </w:t>
      </w:r>
      <w:r>
        <w:rPr>
          <w:color w:val="231F20"/>
          <w:sz w:val="18"/>
          <w:szCs w:val="18"/>
        </w:rPr>
        <w:t>concert</w:t>
      </w:r>
      <w:r>
        <w:rPr>
          <w:color w:val="231F20"/>
          <w:spacing w:val="-9"/>
          <w:sz w:val="18"/>
          <w:szCs w:val="18"/>
        </w:rPr>
        <w:t xml:space="preserve"> </w:t>
      </w:r>
      <w:r>
        <w:rPr>
          <w:color w:val="231F20"/>
          <w:sz w:val="18"/>
          <w:szCs w:val="18"/>
        </w:rPr>
        <w:t>parties,</w:t>
      </w:r>
      <w:r>
        <w:rPr>
          <w:color w:val="231F20"/>
          <w:spacing w:val="-12"/>
          <w:sz w:val="18"/>
          <w:szCs w:val="18"/>
        </w:rPr>
        <w:t xml:space="preserve"> </w:t>
      </w:r>
      <w:r>
        <w:rPr>
          <w:color w:val="231F20"/>
          <w:sz w:val="18"/>
          <w:szCs w:val="18"/>
        </w:rPr>
        <w:t>would be required (except with the consent of the Panel on Takeovers and Mergers) to make a cash offer</w:t>
      </w:r>
      <w:r>
        <w:rPr>
          <w:color w:val="231F20"/>
          <w:spacing w:val="-4"/>
          <w:sz w:val="18"/>
          <w:szCs w:val="18"/>
        </w:rPr>
        <w:t xml:space="preserve"> </w:t>
      </w:r>
      <w:r>
        <w:rPr>
          <w:color w:val="231F20"/>
          <w:sz w:val="18"/>
          <w:szCs w:val="18"/>
        </w:rPr>
        <w:t>for</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outstanding</w:t>
      </w:r>
      <w:r>
        <w:rPr>
          <w:color w:val="231F20"/>
          <w:spacing w:val="-5"/>
          <w:sz w:val="18"/>
          <w:szCs w:val="18"/>
        </w:rPr>
        <w:t xml:space="preserve"> </w:t>
      </w:r>
      <w:r>
        <w:rPr>
          <w:color w:val="231F20"/>
          <w:sz w:val="18"/>
          <w:szCs w:val="18"/>
        </w:rPr>
        <w:t>shares</w:t>
      </w:r>
      <w:r>
        <w:rPr>
          <w:color w:val="231F20"/>
          <w:spacing w:val="-3"/>
          <w:sz w:val="18"/>
          <w:szCs w:val="18"/>
        </w:rPr>
        <w:t xml:space="preserve"> </w:t>
      </w:r>
      <w:r>
        <w:rPr>
          <w:color w:val="231F20"/>
          <w:sz w:val="18"/>
          <w:szCs w:val="18"/>
        </w:rPr>
        <w:t>in</w:t>
      </w:r>
      <w:r>
        <w:rPr>
          <w:color w:val="231F20"/>
          <w:spacing w:val="-4"/>
          <w:sz w:val="18"/>
          <w:szCs w:val="18"/>
        </w:rPr>
        <w:t xml:space="preserve"> </w:t>
      </w:r>
      <w:r>
        <w:rPr>
          <w:color w:val="231F20"/>
          <w:sz w:val="18"/>
          <w:szCs w:val="18"/>
        </w:rPr>
        <w:t>the</w:t>
      </w:r>
      <w:r>
        <w:rPr>
          <w:color w:val="231F20"/>
          <w:spacing w:val="-3"/>
          <w:sz w:val="18"/>
          <w:szCs w:val="18"/>
        </w:rPr>
        <w:t xml:space="preserve"> </w:t>
      </w:r>
      <w:r>
        <w:rPr>
          <w:color w:val="231F20"/>
          <w:sz w:val="18"/>
          <w:szCs w:val="18"/>
        </w:rPr>
        <w:t>Company</w:t>
      </w:r>
      <w:r>
        <w:rPr>
          <w:color w:val="231F20"/>
          <w:spacing w:val="-6"/>
          <w:sz w:val="18"/>
          <w:szCs w:val="18"/>
        </w:rPr>
        <w:t xml:space="preserve"> </w:t>
      </w:r>
      <w:r>
        <w:rPr>
          <w:color w:val="231F20"/>
          <w:sz w:val="18"/>
          <w:szCs w:val="18"/>
        </w:rPr>
        <w:t>at</w:t>
      </w:r>
      <w:r>
        <w:rPr>
          <w:color w:val="231F20"/>
          <w:spacing w:val="-4"/>
          <w:sz w:val="18"/>
          <w:szCs w:val="18"/>
        </w:rPr>
        <w:t xml:space="preserve"> </w:t>
      </w:r>
      <w:r>
        <w:rPr>
          <w:color w:val="231F20"/>
          <w:sz w:val="18"/>
          <w:szCs w:val="18"/>
        </w:rPr>
        <w:t>a</w:t>
      </w:r>
      <w:r>
        <w:rPr>
          <w:color w:val="231F20"/>
          <w:spacing w:val="-3"/>
          <w:sz w:val="18"/>
          <w:szCs w:val="18"/>
        </w:rPr>
        <w:t xml:space="preserve"> </w:t>
      </w:r>
      <w:r>
        <w:rPr>
          <w:color w:val="231F20"/>
          <w:sz w:val="18"/>
          <w:szCs w:val="18"/>
        </w:rPr>
        <w:t>price</w:t>
      </w:r>
      <w:r>
        <w:rPr>
          <w:color w:val="231F20"/>
          <w:spacing w:val="-4"/>
          <w:sz w:val="18"/>
          <w:szCs w:val="18"/>
        </w:rPr>
        <w:t xml:space="preserve"> </w:t>
      </w:r>
      <w:r>
        <w:rPr>
          <w:color w:val="231F20"/>
          <w:sz w:val="18"/>
          <w:szCs w:val="18"/>
        </w:rPr>
        <w:t>not</w:t>
      </w:r>
      <w:r>
        <w:rPr>
          <w:color w:val="231F20"/>
          <w:spacing w:val="-3"/>
          <w:sz w:val="18"/>
          <w:szCs w:val="18"/>
        </w:rPr>
        <w:t xml:space="preserve"> </w:t>
      </w:r>
      <w:r>
        <w:rPr>
          <w:color w:val="231F20"/>
          <w:sz w:val="18"/>
          <w:szCs w:val="18"/>
        </w:rPr>
        <w:t>less</w:t>
      </w:r>
      <w:r>
        <w:rPr>
          <w:color w:val="231F20"/>
          <w:spacing w:val="-2"/>
          <w:sz w:val="18"/>
          <w:szCs w:val="18"/>
        </w:rPr>
        <w:t xml:space="preserve"> </w:t>
      </w:r>
      <w:r>
        <w:rPr>
          <w:color w:val="231F20"/>
          <w:sz w:val="18"/>
          <w:szCs w:val="18"/>
        </w:rPr>
        <w:t>than</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highest</w:t>
      </w:r>
      <w:r>
        <w:rPr>
          <w:color w:val="231F20"/>
          <w:spacing w:val="-3"/>
          <w:sz w:val="18"/>
          <w:szCs w:val="18"/>
        </w:rPr>
        <w:t xml:space="preserve"> </w:t>
      </w:r>
      <w:r>
        <w:rPr>
          <w:color w:val="231F20"/>
          <w:sz w:val="18"/>
          <w:szCs w:val="18"/>
        </w:rPr>
        <w:t>price</w:t>
      </w:r>
      <w:r>
        <w:rPr>
          <w:color w:val="231F20"/>
          <w:spacing w:val="-4"/>
          <w:sz w:val="18"/>
          <w:szCs w:val="18"/>
        </w:rPr>
        <w:t xml:space="preserve"> </w:t>
      </w:r>
      <w:r>
        <w:rPr>
          <w:color w:val="231F20"/>
          <w:sz w:val="18"/>
          <w:szCs w:val="18"/>
        </w:rPr>
        <w:t>paid</w:t>
      </w:r>
      <w:r>
        <w:rPr>
          <w:color w:val="231F20"/>
          <w:spacing w:val="-4"/>
          <w:sz w:val="18"/>
          <w:szCs w:val="18"/>
        </w:rPr>
        <w:t xml:space="preserve"> </w:t>
      </w:r>
      <w:r>
        <w:rPr>
          <w:color w:val="231F20"/>
          <w:sz w:val="18"/>
          <w:szCs w:val="18"/>
        </w:rPr>
        <w:t>for any interests in the Ordinary Shares by the acquiror or its concert parties during the previous 12 months.</w:t>
      </w:r>
    </w:p>
    <w:p w14:paraId="41F99901" w14:textId="77777777" w:rsidR="00783288" w:rsidRDefault="00783288">
      <w:pPr>
        <w:pStyle w:val="BodyText"/>
        <w:kinsoku w:val="0"/>
        <w:overflowPunct w:val="0"/>
        <w:spacing w:before="10"/>
        <w:rPr>
          <w:sz w:val="20"/>
          <w:szCs w:val="20"/>
        </w:rPr>
      </w:pPr>
    </w:p>
    <w:p w14:paraId="1F6F9B46"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Compulsory Acquisition</w:t>
      </w:r>
      <w:r>
        <w:rPr>
          <w:color w:val="231F20"/>
          <w:spacing w:val="-1"/>
          <w:sz w:val="18"/>
          <w:szCs w:val="18"/>
        </w:rPr>
        <w:t xml:space="preserve"> </w:t>
      </w:r>
      <w:r>
        <w:rPr>
          <w:color w:val="231F20"/>
          <w:sz w:val="18"/>
          <w:szCs w:val="18"/>
        </w:rPr>
        <w:t>Rules</w:t>
      </w:r>
    </w:p>
    <w:p w14:paraId="17A49317" w14:textId="77777777" w:rsidR="00783288" w:rsidRDefault="00783288">
      <w:pPr>
        <w:pStyle w:val="BodyText"/>
        <w:kinsoku w:val="0"/>
        <w:overflowPunct w:val="0"/>
        <w:spacing w:before="9"/>
        <w:rPr>
          <w:sz w:val="20"/>
          <w:szCs w:val="20"/>
        </w:rPr>
      </w:pPr>
    </w:p>
    <w:p w14:paraId="68D92F0A" w14:textId="6E7C0D68" w:rsidR="00783288" w:rsidRDefault="00E31420">
      <w:pPr>
        <w:pStyle w:val="BodyText"/>
        <w:kinsoku w:val="0"/>
        <w:overflowPunct w:val="0"/>
        <w:spacing w:before="78"/>
        <w:ind w:left="839" w:right="1035"/>
        <w:jc w:val="both"/>
        <w:rPr>
          <w:color w:val="231F20"/>
        </w:rPr>
      </w:pPr>
      <w:r>
        <w:rPr>
          <w:color w:val="231F20"/>
        </w:rPr>
        <w:t xml:space="preserve">Under sections 974 to 991 of the Companies </w:t>
      </w:r>
      <w:proofErr w:type="gramStart"/>
      <w:r>
        <w:rPr>
          <w:color w:val="231F20"/>
        </w:rPr>
        <w:t>Act, if</w:t>
      </w:r>
      <w:proofErr w:type="gramEnd"/>
      <w:r>
        <w:rPr>
          <w:color w:val="231F20"/>
        </w:rPr>
        <w:t xml:space="preserve"> an offeror acquires or contracts to acquire (pursuant to a takeover offer) not less than 90 per cent. of the shares (in value and by voting rights) to which such offer relates it may then compulsorily acquire the outstanding shares from the relevant holders who have not assented to the offer. It would do so by sending a notice to outstanding holders of shares telling them that it will</w:t>
      </w:r>
      <w:r>
        <w:rPr>
          <w:color w:val="231F20"/>
          <w:spacing w:val="-2"/>
        </w:rPr>
        <w:t xml:space="preserve"> </w:t>
      </w:r>
      <w:r>
        <w:rPr>
          <w:color w:val="231F20"/>
        </w:rPr>
        <w:t>compulsorily</w:t>
      </w:r>
      <w:r>
        <w:rPr>
          <w:color w:val="231F20"/>
          <w:spacing w:val="-3"/>
        </w:rPr>
        <w:t xml:space="preserve"> </w:t>
      </w:r>
      <w:r>
        <w:rPr>
          <w:color w:val="231F20"/>
        </w:rPr>
        <w:t>acquire</w:t>
      </w:r>
      <w:r>
        <w:rPr>
          <w:color w:val="231F20"/>
          <w:spacing w:val="-1"/>
        </w:rPr>
        <w:t xml:space="preserve"> </w:t>
      </w:r>
      <w:r>
        <w:rPr>
          <w:color w:val="231F20"/>
        </w:rPr>
        <w:t>their</w:t>
      </w:r>
      <w:r>
        <w:rPr>
          <w:color w:val="231F20"/>
          <w:spacing w:val="-5"/>
        </w:rPr>
        <w:t xml:space="preserve"> </w:t>
      </w:r>
      <w:r>
        <w:rPr>
          <w:color w:val="231F20"/>
        </w:rPr>
        <w:t>shares</w:t>
      </w:r>
      <w:r>
        <w:rPr>
          <w:color w:val="231F20"/>
          <w:spacing w:val="-1"/>
        </w:rPr>
        <w:t xml:space="preserve"> </w:t>
      </w:r>
      <w:r>
        <w:rPr>
          <w:color w:val="231F20"/>
        </w:rPr>
        <w:t>and</w:t>
      </w:r>
      <w:r>
        <w:rPr>
          <w:color w:val="231F20"/>
          <w:spacing w:val="-1"/>
        </w:rPr>
        <w:t xml:space="preserve"> </w:t>
      </w:r>
      <w:r>
        <w:rPr>
          <w:color w:val="231F20"/>
        </w:rPr>
        <w:t>then,</w:t>
      </w:r>
      <w:r>
        <w:rPr>
          <w:color w:val="231F20"/>
          <w:spacing w:val="-4"/>
        </w:rPr>
        <w:t xml:space="preserve"> </w:t>
      </w:r>
      <w:r>
        <w:rPr>
          <w:color w:val="231F20"/>
        </w:rPr>
        <w:t>six</w:t>
      </w:r>
      <w:r>
        <w:rPr>
          <w:color w:val="231F20"/>
          <w:spacing w:val="-6"/>
        </w:rPr>
        <w:t xml:space="preserve"> </w:t>
      </w:r>
      <w:r>
        <w:rPr>
          <w:color w:val="231F20"/>
        </w:rPr>
        <w:t>weeks</w:t>
      </w:r>
      <w:r>
        <w:rPr>
          <w:color w:val="231F20"/>
          <w:spacing w:val="-2"/>
        </w:rPr>
        <w:t xml:space="preserve"> </w:t>
      </w:r>
      <w:r>
        <w:rPr>
          <w:color w:val="231F20"/>
        </w:rPr>
        <w:t>later,</w:t>
      </w:r>
      <w:r>
        <w:rPr>
          <w:color w:val="231F20"/>
          <w:spacing w:val="-2"/>
        </w:rPr>
        <w:t xml:space="preserve"> </w:t>
      </w:r>
      <w:r>
        <w:rPr>
          <w:color w:val="231F20"/>
        </w:rPr>
        <w:t>it</w:t>
      </w:r>
      <w:r>
        <w:rPr>
          <w:color w:val="231F20"/>
          <w:spacing w:val="-2"/>
        </w:rPr>
        <w:t xml:space="preserve"> </w:t>
      </w:r>
      <w:r>
        <w:rPr>
          <w:color w:val="231F20"/>
        </w:rPr>
        <w:t>would</w:t>
      </w:r>
      <w:r>
        <w:rPr>
          <w:color w:val="231F20"/>
          <w:spacing w:val="-5"/>
        </w:rPr>
        <w:t xml:space="preserve"> </w:t>
      </w:r>
      <w:r>
        <w:rPr>
          <w:color w:val="231F20"/>
        </w:rPr>
        <w:t>execute</w:t>
      </w:r>
      <w:r>
        <w:rPr>
          <w:color w:val="231F20"/>
          <w:spacing w:val="-4"/>
        </w:rPr>
        <w:t xml:space="preserve"> </w:t>
      </w:r>
      <w:r>
        <w:rPr>
          <w:color w:val="231F20"/>
        </w:rPr>
        <w:t>a</w:t>
      </w:r>
      <w:r>
        <w:rPr>
          <w:color w:val="231F20"/>
          <w:spacing w:val="-1"/>
        </w:rPr>
        <w:t xml:space="preserve"> </w:t>
      </w:r>
      <w:r>
        <w:rPr>
          <w:color w:val="231F20"/>
        </w:rPr>
        <w:t>transfer</w:t>
      </w:r>
      <w:r>
        <w:rPr>
          <w:color w:val="231F20"/>
          <w:spacing w:val="-4"/>
        </w:rPr>
        <w:t xml:space="preserve"> </w:t>
      </w:r>
      <w:r>
        <w:rPr>
          <w:color w:val="231F20"/>
        </w:rPr>
        <w:t>of</w:t>
      </w:r>
      <w:r>
        <w:rPr>
          <w:color w:val="231F20"/>
          <w:spacing w:val="-2"/>
        </w:rPr>
        <w:t xml:space="preserve"> </w:t>
      </w:r>
      <w:r>
        <w:rPr>
          <w:color w:val="231F20"/>
        </w:rPr>
        <w:t>the</w:t>
      </w:r>
      <w:r>
        <w:rPr>
          <w:color w:val="231F20"/>
          <w:spacing w:val="-5"/>
        </w:rPr>
        <w:t xml:space="preserve"> </w:t>
      </w:r>
      <w:r>
        <w:rPr>
          <w:color w:val="231F20"/>
        </w:rPr>
        <w:t>outstanding shares in its favour and pay the consideration to the Company, which would hold the consideration on trust for</w:t>
      </w:r>
      <w:r>
        <w:rPr>
          <w:color w:val="231F20"/>
          <w:spacing w:val="-9"/>
        </w:rPr>
        <w:t xml:space="preserve"> </w:t>
      </w:r>
      <w:r>
        <w:rPr>
          <w:color w:val="231F20"/>
        </w:rPr>
        <w:t>the</w:t>
      </w:r>
      <w:r>
        <w:rPr>
          <w:color w:val="231F20"/>
          <w:spacing w:val="-7"/>
        </w:rPr>
        <w:t xml:space="preserve"> </w:t>
      </w:r>
      <w:r>
        <w:rPr>
          <w:color w:val="231F20"/>
        </w:rPr>
        <w:t>outstanding</w:t>
      </w:r>
      <w:r>
        <w:rPr>
          <w:color w:val="231F20"/>
          <w:spacing w:val="-10"/>
        </w:rPr>
        <w:t xml:space="preserve"> </w:t>
      </w:r>
      <w:r>
        <w:rPr>
          <w:color w:val="231F20"/>
        </w:rPr>
        <w:t>holders</w:t>
      </w:r>
      <w:r>
        <w:rPr>
          <w:color w:val="231F20"/>
          <w:spacing w:val="-9"/>
        </w:rPr>
        <w:t xml:space="preserve"> </w:t>
      </w:r>
      <w:r>
        <w:rPr>
          <w:color w:val="231F20"/>
        </w:rPr>
        <w:t>of</w:t>
      </w:r>
      <w:r>
        <w:rPr>
          <w:color w:val="231F20"/>
          <w:spacing w:val="-10"/>
        </w:rPr>
        <w:t xml:space="preserve"> </w:t>
      </w:r>
      <w:r>
        <w:rPr>
          <w:color w:val="231F20"/>
        </w:rPr>
        <w:t>shares.</w:t>
      </w:r>
      <w:r>
        <w:rPr>
          <w:color w:val="231F20"/>
          <w:spacing w:val="-7"/>
        </w:rPr>
        <w:t xml:space="preserve"> </w:t>
      </w:r>
      <w:r>
        <w:rPr>
          <w:color w:val="231F20"/>
        </w:rPr>
        <w:t>The</w:t>
      </w:r>
      <w:r>
        <w:rPr>
          <w:color w:val="231F20"/>
          <w:spacing w:val="-10"/>
        </w:rPr>
        <w:t xml:space="preserve"> </w:t>
      </w:r>
      <w:r>
        <w:rPr>
          <w:color w:val="231F20"/>
        </w:rPr>
        <w:t>consideration</w:t>
      </w:r>
      <w:r>
        <w:rPr>
          <w:color w:val="231F20"/>
          <w:spacing w:val="-10"/>
        </w:rPr>
        <w:t xml:space="preserve"> </w:t>
      </w:r>
      <w:r>
        <w:rPr>
          <w:color w:val="231F20"/>
        </w:rPr>
        <w:t>offered</w:t>
      </w:r>
      <w:r>
        <w:rPr>
          <w:color w:val="231F20"/>
          <w:spacing w:val="-7"/>
        </w:rPr>
        <w:t xml:space="preserve"> </w:t>
      </w:r>
      <w:r>
        <w:rPr>
          <w:color w:val="231F20"/>
        </w:rPr>
        <w:t>to</w:t>
      </w:r>
      <w:r>
        <w:rPr>
          <w:color w:val="231F20"/>
          <w:spacing w:val="-7"/>
        </w:rPr>
        <w:t xml:space="preserve"> </w:t>
      </w:r>
      <w:r>
        <w:rPr>
          <w:color w:val="231F20"/>
        </w:rPr>
        <w:t>the</w:t>
      </w:r>
      <w:r>
        <w:rPr>
          <w:color w:val="231F20"/>
          <w:spacing w:val="-10"/>
        </w:rPr>
        <w:t xml:space="preserve"> </w:t>
      </w:r>
      <w:r>
        <w:rPr>
          <w:color w:val="231F20"/>
        </w:rPr>
        <w:t>holders</w:t>
      </w:r>
      <w:r>
        <w:rPr>
          <w:color w:val="231F20"/>
          <w:spacing w:val="-9"/>
        </w:rPr>
        <w:t xml:space="preserve"> </w:t>
      </w:r>
      <w:r>
        <w:rPr>
          <w:color w:val="231F20"/>
        </w:rPr>
        <w:t>whose</w:t>
      </w:r>
      <w:r>
        <w:rPr>
          <w:color w:val="231F20"/>
          <w:spacing w:val="-10"/>
        </w:rPr>
        <w:t xml:space="preserve"> </w:t>
      </w:r>
      <w:r>
        <w:rPr>
          <w:color w:val="231F20"/>
        </w:rPr>
        <w:t>shares</w:t>
      </w:r>
      <w:r>
        <w:rPr>
          <w:color w:val="231F20"/>
          <w:spacing w:val="-7"/>
        </w:rPr>
        <w:t xml:space="preserve"> </w:t>
      </w:r>
      <w:r>
        <w:rPr>
          <w:color w:val="231F20"/>
        </w:rPr>
        <w:t>are</w:t>
      </w:r>
      <w:r>
        <w:rPr>
          <w:color w:val="231F20"/>
          <w:spacing w:val="-10"/>
        </w:rPr>
        <w:t xml:space="preserve"> </w:t>
      </w:r>
      <w:r>
        <w:rPr>
          <w:color w:val="231F20"/>
        </w:rPr>
        <w:t>compulsorily</w:t>
      </w:r>
      <w:r w:rsidR="00460571">
        <w:rPr>
          <w:color w:val="231F20"/>
        </w:rPr>
        <w:t xml:space="preserve"> </w:t>
      </w:r>
      <w:r>
        <w:rPr>
          <w:color w:val="231F20"/>
        </w:rPr>
        <w:t>acquired under the Companies Act must, in general, be the same as the consideration that was available under the takeover offer.</w:t>
      </w:r>
    </w:p>
    <w:p w14:paraId="6EEE7190" w14:textId="77777777" w:rsidR="00783288" w:rsidRDefault="00783288">
      <w:pPr>
        <w:pStyle w:val="BodyText"/>
        <w:kinsoku w:val="0"/>
        <w:overflowPunct w:val="0"/>
        <w:spacing w:before="11"/>
        <w:rPr>
          <w:sz w:val="20"/>
          <w:szCs w:val="20"/>
        </w:rPr>
      </w:pPr>
    </w:p>
    <w:p w14:paraId="4C87A6D6" w14:textId="77777777" w:rsidR="00783288" w:rsidRDefault="00E31420">
      <w:pPr>
        <w:pStyle w:val="BodyText"/>
        <w:kinsoku w:val="0"/>
        <w:overflowPunct w:val="0"/>
        <w:ind w:left="839" w:right="1037"/>
        <w:jc w:val="both"/>
        <w:rPr>
          <w:color w:val="231F20"/>
        </w:rPr>
      </w:pPr>
      <w:r>
        <w:rPr>
          <w:color w:val="231F20"/>
        </w:rPr>
        <w:t xml:space="preserve">In addition, pursuant to section 983 of the Companies </w:t>
      </w:r>
      <w:proofErr w:type="gramStart"/>
      <w:r>
        <w:rPr>
          <w:color w:val="231F20"/>
        </w:rPr>
        <w:t>Act, if</w:t>
      </w:r>
      <w:proofErr w:type="gramEnd"/>
      <w:r>
        <w:rPr>
          <w:color w:val="231F20"/>
        </w:rPr>
        <w:t xml:space="preserve"> an offeror acquires or agrees to acquire not less than 90 per cent. of the shares (in value and by voting rights) to which the offer relates, any holder of shares to which the offer relates who has not accepted the offer may require the offeror to acquire his shares on the same terms as the takeover offer.</w:t>
      </w:r>
    </w:p>
    <w:p w14:paraId="0B182D99" w14:textId="77777777" w:rsidR="00783288" w:rsidRDefault="00783288">
      <w:pPr>
        <w:pStyle w:val="BodyText"/>
        <w:kinsoku w:val="0"/>
        <w:overflowPunct w:val="0"/>
        <w:spacing w:before="10"/>
        <w:rPr>
          <w:sz w:val="20"/>
          <w:szCs w:val="20"/>
        </w:rPr>
      </w:pPr>
    </w:p>
    <w:p w14:paraId="3999EF7E" w14:textId="77777777" w:rsidR="00783288" w:rsidRDefault="00E31420">
      <w:pPr>
        <w:pStyle w:val="BodyText"/>
        <w:kinsoku w:val="0"/>
        <w:overflowPunct w:val="0"/>
        <w:ind w:left="839" w:right="1036"/>
        <w:jc w:val="both"/>
        <w:rPr>
          <w:color w:val="231F20"/>
        </w:rPr>
      </w:pPr>
      <w:r>
        <w:rPr>
          <w:color w:val="231F20"/>
        </w:rPr>
        <w:t>The</w:t>
      </w:r>
      <w:r>
        <w:rPr>
          <w:color w:val="231F20"/>
          <w:spacing w:val="-10"/>
        </w:rPr>
        <w:t xml:space="preserve"> </w:t>
      </w:r>
      <w:r>
        <w:rPr>
          <w:color w:val="231F20"/>
        </w:rPr>
        <w:t>offeror</w:t>
      </w:r>
      <w:r>
        <w:rPr>
          <w:color w:val="231F20"/>
          <w:spacing w:val="-9"/>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9"/>
        </w:rPr>
        <w:t xml:space="preserve"> </w:t>
      </w:r>
      <w:r>
        <w:rPr>
          <w:color w:val="231F20"/>
        </w:rPr>
        <w:t>give</w:t>
      </w:r>
      <w:r>
        <w:rPr>
          <w:color w:val="231F20"/>
          <w:spacing w:val="-9"/>
        </w:rPr>
        <w:t xml:space="preserve"> </w:t>
      </w:r>
      <w:r>
        <w:rPr>
          <w:color w:val="231F20"/>
        </w:rPr>
        <w:t>any</w:t>
      </w:r>
      <w:r>
        <w:rPr>
          <w:color w:val="231F20"/>
          <w:spacing w:val="-10"/>
        </w:rPr>
        <w:t xml:space="preserve"> </w:t>
      </w:r>
      <w:r>
        <w:rPr>
          <w:color w:val="231F20"/>
        </w:rPr>
        <w:t>holder</w:t>
      </w:r>
      <w:r>
        <w:rPr>
          <w:color w:val="231F20"/>
          <w:spacing w:val="-9"/>
        </w:rPr>
        <w:t xml:space="preserve"> </w:t>
      </w:r>
      <w:r>
        <w:rPr>
          <w:color w:val="231F20"/>
        </w:rPr>
        <w:t>of</w:t>
      </w:r>
      <w:r>
        <w:rPr>
          <w:color w:val="231F20"/>
          <w:spacing w:val="-10"/>
        </w:rPr>
        <w:t xml:space="preserve"> </w:t>
      </w:r>
      <w:r>
        <w:rPr>
          <w:color w:val="231F20"/>
        </w:rPr>
        <w:t>shares</w:t>
      </w:r>
      <w:r>
        <w:rPr>
          <w:color w:val="231F20"/>
          <w:spacing w:val="-8"/>
        </w:rPr>
        <w:t xml:space="preserve"> </w:t>
      </w:r>
      <w:r>
        <w:rPr>
          <w:color w:val="231F20"/>
        </w:rPr>
        <w:t>notice</w:t>
      </w:r>
      <w:r>
        <w:rPr>
          <w:color w:val="231F20"/>
          <w:spacing w:val="-11"/>
        </w:rPr>
        <w:t xml:space="preserve"> </w:t>
      </w:r>
      <w:r>
        <w:rPr>
          <w:color w:val="231F20"/>
        </w:rPr>
        <w:t>of</w:t>
      </w:r>
      <w:r>
        <w:rPr>
          <w:color w:val="231F20"/>
          <w:spacing w:val="-9"/>
        </w:rPr>
        <w:t xml:space="preserve"> </w:t>
      </w:r>
      <w:r>
        <w:rPr>
          <w:color w:val="231F20"/>
        </w:rPr>
        <w:t>his</w:t>
      </w:r>
      <w:r>
        <w:rPr>
          <w:color w:val="231F20"/>
          <w:spacing w:val="-8"/>
        </w:rPr>
        <w:t xml:space="preserve"> </w:t>
      </w:r>
      <w:r>
        <w:rPr>
          <w:color w:val="231F20"/>
        </w:rPr>
        <w:t>right</w:t>
      </w:r>
      <w:r>
        <w:rPr>
          <w:color w:val="231F20"/>
          <w:spacing w:val="-11"/>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bought</w:t>
      </w:r>
      <w:r>
        <w:rPr>
          <w:color w:val="231F20"/>
          <w:spacing w:val="-9"/>
        </w:rPr>
        <w:t xml:space="preserve"> </w:t>
      </w:r>
      <w:r>
        <w:rPr>
          <w:color w:val="231F20"/>
        </w:rPr>
        <w:t>out</w:t>
      </w:r>
      <w:r>
        <w:rPr>
          <w:color w:val="231F20"/>
          <w:spacing w:val="-10"/>
        </w:rPr>
        <w:t xml:space="preserve"> </w:t>
      </w:r>
      <w:r>
        <w:rPr>
          <w:color w:val="231F20"/>
        </w:rPr>
        <w:t>within</w:t>
      </w:r>
      <w:r>
        <w:rPr>
          <w:color w:val="231F20"/>
          <w:spacing w:val="-10"/>
        </w:rPr>
        <w:t xml:space="preserve"> </w:t>
      </w:r>
      <w:r>
        <w:rPr>
          <w:color w:val="231F20"/>
        </w:rPr>
        <w:t>one</w:t>
      </w:r>
      <w:r>
        <w:rPr>
          <w:color w:val="231F20"/>
          <w:spacing w:val="-10"/>
        </w:rPr>
        <w:t xml:space="preserve"> </w:t>
      </w:r>
      <w:r>
        <w:rPr>
          <w:color w:val="231F20"/>
        </w:rPr>
        <w:t>month of that right arising. Sell-out rights cannot be exercised after the end of the period of three months from the last date on which the offer can be accepted or, if later, three months from the date on which the notice is served</w:t>
      </w:r>
      <w:r>
        <w:rPr>
          <w:color w:val="231F20"/>
          <w:spacing w:val="-2"/>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holder</w:t>
      </w:r>
      <w:r>
        <w:rPr>
          <w:color w:val="231F20"/>
          <w:spacing w:val="-4"/>
        </w:rPr>
        <w:t xml:space="preserve"> </w:t>
      </w:r>
      <w:r>
        <w:rPr>
          <w:color w:val="231F20"/>
        </w:rPr>
        <w:t>of</w:t>
      </w:r>
      <w:r>
        <w:rPr>
          <w:color w:val="231F20"/>
          <w:spacing w:val="-4"/>
        </w:rPr>
        <w:t xml:space="preserve"> </w:t>
      </w:r>
      <w:r>
        <w:rPr>
          <w:color w:val="231F20"/>
        </w:rPr>
        <w:t>shares</w:t>
      </w:r>
      <w:r>
        <w:rPr>
          <w:color w:val="231F20"/>
          <w:spacing w:val="-3"/>
        </w:rPr>
        <w:t xml:space="preserve"> </w:t>
      </w:r>
      <w:r>
        <w:rPr>
          <w:color w:val="231F20"/>
        </w:rPr>
        <w:t>notifying</w:t>
      </w:r>
      <w:r>
        <w:rPr>
          <w:color w:val="231F20"/>
          <w:spacing w:val="-1"/>
        </w:rPr>
        <w:t xml:space="preserve"> </w:t>
      </w:r>
      <w:r>
        <w:rPr>
          <w:color w:val="231F20"/>
        </w:rPr>
        <w:t>them</w:t>
      </w:r>
      <w:r>
        <w:rPr>
          <w:color w:val="231F20"/>
          <w:spacing w:val="-3"/>
        </w:rPr>
        <w:t xml:space="preserve"> </w:t>
      </w:r>
      <w:r>
        <w:rPr>
          <w:color w:val="231F20"/>
        </w:rPr>
        <w:t>of</w:t>
      </w:r>
      <w:r>
        <w:rPr>
          <w:color w:val="231F20"/>
          <w:spacing w:val="-2"/>
        </w:rPr>
        <w:t xml:space="preserve"> </w:t>
      </w:r>
      <w:r>
        <w:rPr>
          <w:color w:val="231F20"/>
        </w:rPr>
        <w:t>their</w:t>
      </w:r>
      <w:r>
        <w:rPr>
          <w:color w:val="231F20"/>
          <w:spacing w:val="-4"/>
        </w:rPr>
        <w:t xml:space="preserve"> </w:t>
      </w:r>
      <w:r>
        <w:rPr>
          <w:color w:val="231F20"/>
        </w:rPr>
        <w:t>sell-out</w:t>
      </w:r>
      <w:r>
        <w:rPr>
          <w:color w:val="231F20"/>
          <w:spacing w:val="-3"/>
        </w:rPr>
        <w:t xml:space="preserve"> </w:t>
      </w:r>
      <w:r>
        <w:rPr>
          <w:color w:val="231F20"/>
        </w:rPr>
        <w:t>rights.</w:t>
      </w:r>
      <w:r>
        <w:rPr>
          <w:color w:val="231F20"/>
          <w:spacing w:val="-2"/>
        </w:rPr>
        <w:t xml:space="preserve"> </w:t>
      </w:r>
      <w:r>
        <w:rPr>
          <w:color w:val="231F20"/>
        </w:rPr>
        <w:t>If</w:t>
      </w:r>
      <w:r>
        <w:rPr>
          <w:color w:val="231F20"/>
          <w:spacing w:val="-4"/>
        </w:rPr>
        <w:t xml:space="preserve"> </w:t>
      </w:r>
      <w:r>
        <w:rPr>
          <w:color w:val="231F20"/>
        </w:rPr>
        <w:t>a</w:t>
      </w:r>
      <w:r>
        <w:rPr>
          <w:color w:val="231F20"/>
          <w:spacing w:val="-1"/>
        </w:rPr>
        <w:t xml:space="preserve"> </w:t>
      </w:r>
      <w:r>
        <w:rPr>
          <w:color w:val="231F20"/>
        </w:rPr>
        <w:t>holder</w:t>
      </w:r>
      <w:r>
        <w:rPr>
          <w:color w:val="231F20"/>
          <w:spacing w:val="-2"/>
        </w:rPr>
        <w:t xml:space="preserve"> </w:t>
      </w:r>
      <w:r>
        <w:rPr>
          <w:color w:val="231F20"/>
        </w:rPr>
        <w:t>of</w:t>
      </w:r>
      <w:r>
        <w:rPr>
          <w:color w:val="231F20"/>
          <w:spacing w:val="-4"/>
        </w:rPr>
        <w:t xml:space="preserve"> </w:t>
      </w:r>
      <w:r>
        <w:rPr>
          <w:color w:val="231F20"/>
        </w:rPr>
        <w:t>shares</w:t>
      </w:r>
      <w:r>
        <w:rPr>
          <w:color w:val="231F20"/>
          <w:spacing w:val="-3"/>
        </w:rPr>
        <w:t xml:space="preserve"> </w:t>
      </w:r>
      <w:r>
        <w:rPr>
          <w:color w:val="231F20"/>
        </w:rPr>
        <w:t>exercises</w:t>
      </w:r>
      <w:r>
        <w:rPr>
          <w:color w:val="231F20"/>
          <w:spacing w:val="-3"/>
        </w:rPr>
        <w:t xml:space="preserve"> </w:t>
      </w:r>
      <w:r>
        <w:rPr>
          <w:color w:val="231F20"/>
        </w:rPr>
        <w:t>his</w:t>
      </w:r>
      <w:r>
        <w:rPr>
          <w:color w:val="231F20"/>
          <w:spacing w:val="-1"/>
        </w:rPr>
        <w:t xml:space="preserve"> </w:t>
      </w:r>
      <w:r>
        <w:rPr>
          <w:color w:val="231F20"/>
        </w:rPr>
        <w:t>rights, the</w:t>
      </w:r>
      <w:r>
        <w:rPr>
          <w:color w:val="231F20"/>
          <w:spacing w:val="-11"/>
        </w:rPr>
        <w:t xml:space="preserve"> </w:t>
      </w:r>
      <w:r>
        <w:rPr>
          <w:color w:val="231F20"/>
        </w:rPr>
        <w:t>offeror</w:t>
      </w:r>
      <w:r>
        <w:rPr>
          <w:color w:val="231F20"/>
          <w:spacing w:val="-12"/>
        </w:rPr>
        <w:t xml:space="preserve"> </w:t>
      </w:r>
      <w:r>
        <w:rPr>
          <w:color w:val="231F20"/>
        </w:rPr>
        <w:t>is</w:t>
      </w:r>
      <w:r>
        <w:rPr>
          <w:color w:val="231F20"/>
          <w:spacing w:val="-9"/>
        </w:rPr>
        <w:t xml:space="preserve"> </w:t>
      </w:r>
      <w:r>
        <w:rPr>
          <w:color w:val="231F20"/>
        </w:rPr>
        <w:t>bound</w:t>
      </w:r>
      <w:r>
        <w:rPr>
          <w:color w:val="231F20"/>
          <w:spacing w:val="-11"/>
        </w:rPr>
        <w:t xml:space="preserve"> </w:t>
      </w:r>
      <w:r>
        <w:rPr>
          <w:color w:val="231F20"/>
        </w:rPr>
        <w:t>to</w:t>
      </w:r>
      <w:r>
        <w:rPr>
          <w:color w:val="231F20"/>
          <w:spacing w:val="-10"/>
        </w:rPr>
        <w:t xml:space="preserve"> </w:t>
      </w:r>
      <w:r>
        <w:rPr>
          <w:color w:val="231F20"/>
        </w:rPr>
        <w:t>acquire</w:t>
      </w:r>
      <w:r>
        <w:rPr>
          <w:color w:val="231F20"/>
          <w:spacing w:val="-11"/>
        </w:rPr>
        <w:t xml:space="preserve"> </w:t>
      </w:r>
      <w:r>
        <w:rPr>
          <w:color w:val="231F20"/>
        </w:rPr>
        <w:t>those</w:t>
      </w:r>
      <w:r>
        <w:rPr>
          <w:color w:val="231F20"/>
          <w:spacing w:val="-10"/>
        </w:rPr>
        <w:t xml:space="preserve"> </w:t>
      </w:r>
      <w:r>
        <w:rPr>
          <w:color w:val="231F20"/>
        </w:rPr>
        <w:t>shares</w:t>
      </w:r>
      <w:r>
        <w:rPr>
          <w:color w:val="231F20"/>
          <w:spacing w:val="-10"/>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terms</w:t>
      </w:r>
      <w:r>
        <w:rPr>
          <w:color w:val="231F20"/>
          <w:spacing w:val="-10"/>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offer</w:t>
      </w:r>
      <w:r>
        <w:rPr>
          <w:color w:val="231F20"/>
          <w:spacing w:val="-12"/>
        </w:rPr>
        <w:t xml:space="preserve"> </w:t>
      </w:r>
      <w:r>
        <w:rPr>
          <w:color w:val="231F20"/>
        </w:rPr>
        <w:t>or</w:t>
      </w:r>
      <w:r>
        <w:rPr>
          <w:color w:val="231F20"/>
          <w:spacing w:val="-11"/>
        </w:rPr>
        <w:t xml:space="preserve"> </w:t>
      </w:r>
      <w:r>
        <w:rPr>
          <w:color w:val="231F20"/>
        </w:rPr>
        <w:t>on</w:t>
      </w:r>
      <w:r>
        <w:rPr>
          <w:color w:val="231F20"/>
          <w:spacing w:val="-11"/>
        </w:rPr>
        <w:t xml:space="preserve"> </w:t>
      </w:r>
      <w:r>
        <w:rPr>
          <w:color w:val="231F20"/>
        </w:rPr>
        <w:t>such</w:t>
      </w:r>
      <w:r>
        <w:rPr>
          <w:color w:val="231F20"/>
          <w:spacing w:val="-10"/>
        </w:rPr>
        <w:t xml:space="preserve"> </w:t>
      </w:r>
      <w:r>
        <w:rPr>
          <w:color w:val="231F20"/>
        </w:rPr>
        <w:t>other</w:t>
      </w:r>
      <w:r>
        <w:rPr>
          <w:color w:val="231F20"/>
          <w:spacing w:val="-12"/>
        </w:rPr>
        <w:t xml:space="preserve"> </w:t>
      </w:r>
      <w:r>
        <w:rPr>
          <w:color w:val="231F20"/>
        </w:rPr>
        <w:t>terms</w:t>
      </w:r>
      <w:r>
        <w:rPr>
          <w:color w:val="231F20"/>
          <w:spacing w:val="-9"/>
        </w:rPr>
        <w:t xml:space="preserve"> </w:t>
      </w:r>
      <w:r>
        <w:rPr>
          <w:color w:val="231F20"/>
        </w:rPr>
        <w:t>as</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agreed.</w:t>
      </w:r>
    </w:p>
    <w:p w14:paraId="6185955B" w14:textId="77777777" w:rsidR="00783288" w:rsidRDefault="00783288">
      <w:pPr>
        <w:pStyle w:val="BodyText"/>
        <w:kinsoku w:val="0"/>
        <w:overflowPunct w:val="0"/>
        <w:spacing w:before="4"/>
        <w:rPr>
          <w:sz w:val="20"/>
          <w:szCs w:val="20"/>
        </w:rPr>
      </w:pPr>
    </w:p>
    <w:p w14:paraId="5CBFA311" w14:textId="77777777" w:rsidR="00783288" w:rsidRDefault="00E31420" w:rsidP="00512495">
      <w:pPr>
        <w:pStyle w:val="Heading1"/>
        <w:numPr>
          <w:ilvl w:val="0"/>
          <w:numId w:val="13"/>
        </w:numPr>
        <w:tabs>
          <w:tab w:val="left" w:pos="840"/>
        </w:tabs>
        <w:kinsoku w:val="0"/>
        <w:overflowPunct w:val="0"/>
        <w:spacing w:before="1"/>
        <w:ind w:left="839"/>
        <w:rPr>
          <w:color w:val="231F20"/>
        </w:rPr>
      </w:pPr>
      <w:r>
        <w:rPr>
          <w:color w:val="231F20"/>
        </w:rPr>
        <w:t>Directors’ Interests</w:t>
      </w:r>
    </w:p>
    <w:p w14:paraId="3EDFA94E" w14:textId="77777777" w:rsidR="00783288" w:rsidRDefault="00783288">
      <w:pPr>
        <w:pStyle w:val="BodyText"/>
        <w:kinsoku w:val="0"/>
        <w:overflowPunct w:val="0"/>
        <w:spacing w:before="2"/>
        <w:rPr>
          <w:b/>
          <w:bCs/>
          <w:sz w:val="21"/>
          <w:szCs w:val="21"/>
        </w:rPr>
      </w:pPr>
    </w:p>
    <w:p w14:paraId="256EDEEB" w14:textId="281B3270"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 xml:space="preserve">Save in respect of the </w:t>
      </w:r>
      <w:r w:rsidR="00E03C6C">
        <w:rPr>
          <w:color w:val="231F20"/>
          <w:sz w:val="18"/>
          <w:szCs w:val="18"/>
        </w:rPr>
        <w:t>O</w:t>
      </w:r>
      <w:r>
        <w:rPr>
          <w:color w:val="231F20"/>
          <w:sz w:val="18"/>
          <w:szCs w:val="18"/>
        </w:rPr>
        <w:t>ptions described in paragraph 10 of this Part VII, as at the date of this Document and as at Admission, the Directors’ (and their respective Connected Persons) are directly and/or indirectly interested in the Ordinary Shares of the Company as set out</w:t>
      </w:r>
      <w:r>
        <w:rPr>
          <w:color w:val="231F20"/>
          <w:spacing w:val="-12"/>
          <w:sz w:val="18"/>
          <w:szCs w:val="18"/>
        </w:rPr>
        <w:t xml:space="preserve"> </w:t>
      </w:r>
      <w:r>
        <w:rPr>
          <w:color w:val="231F20"/>
          <w:sz w:val="18"/>
          <w:szCs w:val="18"/>
        </w:rPr>
        <w:t>below</w:t>
      </w:r>
    </w:p>
    <w:p w14:paraId="296A9F16" w14:textId="77777777" w:rsidR="00783288" w:rsidRDefault="00783288">
      <w:pPr>
        <w:pStyle w:val="BodyText"/>
        <w:kinsoku w:val="0"/>
        <w:overflowPunct w:val="0"/>
        <w:rPr>
          <w:sz w:val="21"/>
          <w:szCs w:val="21"/>
        </w:rPr>
      </w:pPr>
    </w:p>
    <w:tbl>
      <w:tblPr>
        <w:tblW w:w="0" w:type="auto"/>
        <w:tblInd w:w="823" w:type="dxa"/>
        <w:tblLayout w:type="fixed"/>
        <w:tblCellMar>
          <w:left w:w="0" w:type="dxa"/>
          <w:right w:w="0" w:type="dxa"/>
        </w:tblCellMar>
        <w:tblLook w:val="0000" w:firstRow="0" w:lastRow="0" w:firstColumn="0" w:lastColumn="0" w:noHBand="0" w:noVBand="0"/>
      </w:tblPr>
      <w:tblGrid>
        <w:gridCol w:w="1716"/>
        <w:gridCol w:w="1718"/>
        <w:gridCol w:w="1716"/>
        <w:gridCol w:w="1716"/>
        <w:gridCol w:w="1718"/>
      </w:tblGrid>
      <w:tr w:rsidR="00783288" w14:paraId="1B9E96D7" w14:textId="77777777" w:rsidTr="009A2801">
        <w:trPr>
          <w:trHeight w:val="233"/>
        </w:trPr>
        <w:tc>
          <w:tcPr>
            <w:tcW w:w="1716" w:type="dxa"/>
            <w:tcBorders>
              <w:top w:val="single" w:sz="4" w:space="0" w:color="231F20"/>
              <w:left w:val="single" w:sz="4" w:space="0" w:color="231F20"/>
              <w:bottom w:val="single" w:sz="4" w:space="0" w:color="231F20"/>
              <w:right w:val="single" w:sz="4" w:space="0" w:color="231F20"/>
            </w:tcBorders>
          </w:tcPr>
          <w:p w14:paraId="7A65CDEE" w14:textId="77777777" w:rsidR="00783288" w:rsidRDefault="00783288" w:rsidP="009A2801">
            <w:pPr>
              <w:pStyle w:val="TableParagraph"/>
              <w:kinsoku w:val="0"/>
              <w:overflowPunct w:val="0"/>
              <w:rPr>
                <w:rFonts w:ascii="Times New Roman" w:hAnsi="Times New Roman" w:cs="Times New Roman"/>
                <w:sz w:val="16"/>
                <w:szCs w:val="16"/>
              </w:rPr>
            </w:pPr>
          </w:p>
        </w:tc>
        <w:tc>
          <w:tcPr>
            <w:tcW w:w="3434" w:type="dxa"/>
            <w:gridSpan w:val="2"/>
            <w:tcBorders>
              <w:top w:val="single" w:sz="4" w:space="0" w:color="231F20"/>
              <w:left w:val="single" w:sz="4" w:space="0" w:color="231F20"/>
              <w:bottom w:val="single" w:sz="4" w:space="0" w:color="231F20"/>
              <w:right w:val="single" w:sz="4" w:space="0" w:color="231F20"/>
            </w:tcBorders>
          </w:tcPr>
          <w:p w14:paraId="2E9A137B" w14:textId="77777777" w:rsidR="00783288" w:rsidRDefault="00E31420" w:rsidP="009A2801">
            <w:pPr>
              <w:pStyle w:val="TableParagraph"/>
              <w:kinsoku w:val="0"/>
              <w:overflowPunct w:val="0"/>
              <w:ind w:left="364"/>
              <w:rPr>
                <w:b/>
                <w:bCs/>
                <w:i/>
                <w:iCs/>
                <w:color w:val="231F20"/>
                <w:sz w:val="18"/>
                <w:szCs w:val="18"/>
              </w:rPr>
            </w:pPr>
            <w:r>
              <w:rPr>
                <w:b/>
                <w:bCs/>
                <w:i/>
                <w:iCs/>
                <w:color w:val="231F20"/>
                <w:sz w:val="18"/>
                <w:szCs w:val="18"/>
              </w:rPr>
              <w:t>As at the date of this Document</w:t>
            </w:r>
          </w:p>
        </w:tc>
        <w:tc>
          <w:tcPr>
            <w:tcW w:w="3434" w:type="dxa"/>
            <w:gridSpan w:val="2"/>
            <w:tcBorders>
              <w:top w:val="single" w:sz="4" w:space="0" w:color="231F20"/>
              <w:left w:val="single" w:sz="4" w:space="0" w:color="231F20"/>
              <w:bottom w:val="single" w:sz="4" w:space="0" w:color="231F20"/>
              <w:right w:val="single" w:sz="4" w:space="0" w:color="231F20"/>
            </w:tcBorders>
          </w:tcPr>
          <w:p w14:paraId="67EA1E70" w14:textId="77777777" w:rsidR="00783288" w:rsidRDefault="00E31420" w:rsidP="009A2801">
            <w:pPr>
              <w:pStyle w:val="TableParagraph"/>
              <w:kinsoku w:val="0"/>
              <w:overflowPunct w:val="0"/>
              <w:ind w:left="287"/>
              <w:rPr>
                <w:b/>
                <w:bCs/>
                <w:i/>
                <w:iCs/>
                <w:color w:val="231F20"/>
                <w:sz w:val="18"/>
                <w:szCs w:val="18"/>
              </w:rPr>
            </w:pPr>
            <w:r>
              <w:rPr>
                <w:b/>
                <w:bCs/>
                <w:i/>
                <w:iCs/>
                <w:color w:val="231F20"/>
                <w:sz w:val="18"/>
                <w:szCs w:val="18"/>
              </w:rPr>
              <w:t>Immediately following Admission</w:t>
            </w:r>
          </w:p>
        </w:tc>
      </w:tr>
      <w:tr w:rsidR="00783288" w14:paraId="03DA6AEF" w14:textId="77777777">
        <w:trPr>
          <w:trHeight w:val="861"/>
        </w:trPr>
        <w:tc>
          <w:tcPr>
            <w:tcW w:w="1716" w:type="dxa"/>
            <w:tcBorders>
              <w:top w:val="single" w:sz="4" w:space="0" w:color="231F20"/>
              <w:left w:val="single" w:sz="4" w:space="0" w:color="231F20"/>
              <w:bottom w:val="single" w:sz="4" w:space="0" w:color="231F20"/>
              <w:right w:val="single" w:sz="4" w:space="0" w:color="231F20"/>
            </w:tcBorders>
          </w:tcPr>
          <w:p w14:paraId="2E0D7C04" w14:textId="77777777" w:rsidR="00783288" w:rsidRDefault="00E31420" w:rsidP="009A2801">
            <w:pPr>
              <w:pStyle w:val="TableParagraph"/>
              <w:kinsoku w:val="0"/>
              <w:overflowPunct w:val="0"/>
              <w:ind w:left="107"/>
              <w:rPr>
                <w:b/>
                <w:bCs/>
                <w:color w:val="231F20"/>
                <w:sz w:val="18"/>
                <w:szCs w:val="18"/>
              </w:rPr>
            </w:pPr>
            <w:r>
              <w:rPr>
                <w:b/>
                <w:bCs/>
                <w:color w:val="231F20"/>
                <w:sz w:val="18"/>
                <w:szCs w:val="18"/>
              </w:rPr>
              <w:t>Name of Director</w:t>
            </w:r>
          </w:p>
        </w:tc>
        <w:tc>
          <w:tcPr>
            <w:tcW w:w="1718" w:type="dxa"/>
            <w:tcBorders>
              <w:top w:val="single" w:sz="4" w:space="0" w:color="231F20"/>
              <w:left w:val="single" w:sz="4" w:space="0" w:color="231F20"/>
              <w:bottom w:val="single" w:sz="4" w:space="0" w:color="231F20"/>
              <w:right w:val="single" w:sz="4" w:space="0" w:color="231F20"/>
            </w:tcBorders>
          </w:tcPr>
          <w:p w14:paraId="565B6AFC" w14:textId="30C8CCB4" w:rsidR="00783288" w:rsidRDefault="00E31420" w:rsidP="009A2801">
            <w:pPr>
              <w:pStyle w:val="TableParagraph"/>
              <w:tabs>
                <w:tab w:val="left" w:pos="1439"/>
              </w:tabs>
              <w:kinsoku w:val="0"/>
              <w:overflowPunct w:val="0"/>
              <w:ind w:left="107" w:right="96"/>
              <w:jc w:val="right"/>
              <w:rPr>
                <w:b/>
                <w:bCs/>
                <w:color w:val="231F20"/>
                <w:sz w:val="18"/>
                <w:szCs w:val="18"/>
              </w:rPr>
            </w:pPr>
            <w:r>
              <w:rPr>
                <w:b/>
                <w:bCs/>
                <w:color w:val="231F20"/>
                <w:sz w:val="18"/>
                <w:szCs w:val="18"/>
              </w:rPr>
              <w:t>Number</w:t>
            </w:r>
            <w:r w:rsidR="009A2801">
              <w:rPr>
                <w:b/>
                <w:bCs/>
                <w:color w:val="231F20"/>
                <w:sz w:val="18"/>
                <w:szCs w:val="18"/>
              </w:rPr>
              <w:t xml:space="preserve"> </w:t>
            </w:r>
            <w:r>
              <w:rPr>
                <w:b/>
                <w:bCs/>
                <w:color w:val="231F20"/>
                <w:spacing w:val="-9"/>
                <w:sz w:val="18"/>
                <w:szCs w:val="18"/>
              </w:rPr>
              <w:t xml:space="preserve">of </w:t>
            </w:r>
            <w:r>
              <w:rPr>
                <w:b/>
                <w:bCs/>
                <w:color w:val="231F20"/>
                <w:sz w:val="18"/>
                <w:szCs w:val="18"/>
              </w:rPr>
              <w:t>Ordinary</w:t>
            </w:r>
            <w:r>
              <w:rPr>
                <w:b/>
                <w:bCs/>
                <w:color w:val="231F20"/>
                <w:spacing w:val="-9"/>
                <w:sz w:val="18"/>
                <w:szCs w:val="18"/>
              </w:rPr>
              <w:t xml:space="preserve"> </w:t>
            </w:r>
            <w:r>
              <w:rPr>
                <w:b/>
                <w:bCs/>
                <w:color w:val="231F20"/>
                <w:sz w:val="18"/>
                <w:szCs w:val="18"/>
              </w:rPr>
              <w:t>Shares</w:t>
            </w:r>
          </w:p>
        </w:tc>
        <w:tc>
          <w:tcPr>
            <w:tcW w:w="1716" w:type="dxa"/>
            <w:tcBorders>
              <w:top w:val="single" w:sz="4" w:space="0" w:color="231F20"/>
              <w:left w:val="single" w:sz="4" w:space="0" w:color="231F20"/>
              <w:bottom w:val="single" w:sz="4" w:space="0" w:color="231F20"/>
              <w:right w:val="single" w:sz="4" w:space="0" w:color="231F20"/>
            </w:tcBorders>
          </w:tcPr>
          <w:p w14:paraId="0C2434F8" w14:textId="77777777" w:rsidR="00783288" w:rsidRDefault="00E31420" w:rsidP="009A2801">
            <w:pPr>
              <w:pStyle w:val="TableParagraph"/>
              <w:kinsoku w:val="0"/>
              <w:overflowPunct w:val="0"/>
              <w:ind w:left="105" w:right="94"/>
              <w:jc w:val="right"/>
              <w:rPr>
                <w:b/>
                <w:bCs/>
                <w:color w:val="231F20"/>
                <w:sz w:val="18"/>
                <w:szCs w:val="18"/>
              </w:rPr>
            </w:pPr>
            <w:r>
              <w:rPr>
                <w:b/>
                <w:bCs/>
                <w:color w:val="231F20"/>
                <w:sz w:val="18"/>
                <w:szCs w:val="18"/>
              </w:rPr>
              <w:t>Percentage of issued Ordinary share capital</w:t>
            </w:r>
          </w:p>
        </w:tc>
        <w:tc>
          <w:tcPr>
            <w:tcW w:w="1716" w:type="dxa"/>
            <w:tcBorders>
              <w:top w:val="single" w:sz="4" w:space="0" w:color="231F20"/>
              <w:left w:val="single" w:sz="4" w:space="0" w:color="231F20"/>
              <w:bottom w:val="single" w:sz="4" w:space="0" w:color="231F20"/>
              <w:right w:val="single" w:sz="4" w:space="0" w:color="231F20"/>
            </w:tcBorders>
          </w:tcPr>
          <w:p w14:paraId="6410C564" w14:textId="220F5D03" w:rsidR="00783288" w:rsidRDefault="00E31420" w:rsidP="009A2801">
            <w:pPr>
              <w:pStyle w:val="TableParagraph"/>
              <w:tabs>
                <w:tab w:val="left" w:pos="1436"/>
              </w:tabs>
              <w:kinsoku w:val="0"/>
              <w:overflowPunct w:val="0"/>
              <w:ind w:left="105" w:right="96"/>
              <w:jc w:val="right"/>
              <w:rPr>
                <w:b/>
                <w:bCs/>
                <w:color w:val="231F20"/>
                <w:sz w:val="18"/>
                <w:szCs w:val="18"/>
              </w:rPr>
            </w:pPr>
            <w:r>
              <w:rPr>
                <w:b/>
                <w:bCs/>
                <w:color w:val="231F20"/>
                <w:sz w:val="18"/>
                <w:szCs w:val="18"/>
              </w:rPr>
              <w:t>Number</w:t>
            </w:r>
            <w:r w:rsidR="009A2801">
              <w:rPr>
                <w:b/>
                <w:bCs/>
                <w:color w:val="231F20"/>
                <w:sz w:val="18"/>
                <w:szCs w:val="18"/>
              </w:rPr>
              <w:t xml:space="preserve"> </w:t>
            </w:r>
            <w:r>
              <w:rPr>
                <w:b/>
                <w:bCs/>
                <w:color w:val="231F20"/>
                <w:spacing w:val="-8"/>
                <w:sz w:val="18"/>
                <w:szCs w:val="18"/>
              </w:rPr>
              <w:t xml:space="preserve">of </w:t>
            </w:r>
            <w:r>
              <w:rPr>
                <w:b/>
                <w:bCs/>
                <w:color w:val="231F20"/>
                <w:sz w:val="18"/>
                <w:szCs w:val="18"/>
              </w:rPr>
              <w:t>Ordinary</w:t>
            </w:r>
            <w:r>
              <w:rPr>
                <w:b/>
                <w:bCs/>
                <w:color w:val="231F20"/>
                <w:spacing w:val="-9"/>
                <w:sz w:val="18"/>
                <w:szCs w:val="18"/>
              </w:rPr>
              <w:t xml:space="preserve"> </w:t>
            </w:r>
            <w:r>
              <w:rPr>
                <w:b/>
                <w:bCs/>
                <w:color w:val="231F20"/>
                <w:sz w:val="18"/>
                <w:szCs w:val="18"/>
              </w:rPr>
              <w:t>Shares</w:t>
            </w:r>
          </w:p>
        </w:tc>
        <w:tc>
          <w:tcPr>
            <w:tcW w:w="1718" w:type="dxa"/>
            <w:tcBorders>
              <w:top w:val="single" w:sz="4" w:space="0" w:color="231F20"/>
              <w:left w:val="single" w:sz="4" w:space="0" w:color="231F20"/>
              <w:bottom w:val="single" w:sz="4" w:space="0" w:color="231F20"/>
              <w:right w:val="single" w:sz="4" w:space="0" w:color="231F20"/>
            </w:tcBorders>
          </w:tcPr>
          <w:p w14:paraId="7271691D" w14:textId="77777777" w:rsidR="00783288" w:rsidRDefault="00E31420" w:rsidP="009A2801">
            <w:pPr>
              <w:pStyle w:val="TableParagraph"/>
              <w:kinsoku w:val="0"/>
              <w:overflowPunct w:val="0"/>
              <w:ind w:left="107" w:right="91"/>
              <w:jc w:val="right"/>
              <w:rPr>
                <w:b/>
                <w:bCs/>
                <w:color w:val="231F20"/>
                <w:sz w:val="18"/>
                <w:szCs w:val="18"/>
              </w:rPr>
            </w:pPr>
            <w:r>
              <w:rPr>
                <w:b/>
                <w:bCs/>
                <w:color w:val="231F20"/>
                <w:sz w:val="18"/>
                <w:szCs w:val="18"/>
              </w:rPr>
              <w:t>Percentage of issued Ordinary share capital</w:t>
            </w:r>
          </w:p>
        </w:tc>
      </w:tr>
      <w:tr w:rsidR="00783288" w14:paraId="5AC4196A" w14:textId="77777777">
        <w:trPr>
          <w:trHeight w:val="448"/>
        </w:trPr>
        <w:tc>
          <w:tcPr>
            <w:tcW w:w="1716" w:type="dxa"/>
            <w:tcBorders>
              <w:top w:val="single" w:sz="4" w:space="0" w:color="231F20"/>
              <w:left w:val="single" w:sz="4" w:space="0" w:color="231F20"/>
              <w:bottom w:val="single" w:sz="4" w:space="0" w:color="231F20"/>
              <w:right w:val="single" w:sz="4" w:space="0" w:color="231F20"/>
            </w:tcBorders>
          </w:tcPr>
          <w:p w14:paraId="6D450DCA" w14:textId="77777777" w:rsidR="00783288" w:rsidRDefault="00E31420">
            <w:pPr>
              <w:pStyle w:val="TableParagraph"/>
              <w:kinsoku w:val="0"/>
              <w:overflowPunct w:val="0"/>
              <w:spacing w:line="206" w:lineRule="exact"/>
              <w:ind w:left="107"/>
              <w:rPr>
                <w:color w:val="050707"/>
                <w:sz w:val="18"/>
                <w:szCs w:val="18"/>
              </w:rPr>
            </w:pPr>
            <w:r>
              <w:rPr>
                <w:color w:val="050707"/>
                <w:sz w:val="18"/>
                <w:szCs w:val="18"/>
              </w:rPr>
              <w:t>Martin French</w:t>
            </w:r>
          </w:p>
        </w:tc>
        <w:tc>
          <w:tcPr>
            <w:tcW w:w="1718" w:type="dxa"/>
            <w:tcBorders>
              <w:top w:val="single" w:sz="4" w:space="0" w:color="231F20"/>
              <w:left w:val="single" w:sz="4" w:space="0" w:color="231F20"/>
              <w:bottom w:val="single" w:sz="4" w:space="0" w:color="231F20"/>
              <w:right w:val="single" w:sz="4" w:space="0" w:color="231F20"/>
            </w:tcBorders>
          </w:tcPr>
          <w:p w14:paraId="0D2EFCB7" w14:textId="366ABCA5" w:rsidR="00783288" w:rsidRDefault="00E31420">
            <w:pPr>
              <w:pStyle w:val="TableParagraph"/>
              <w:kinsoku w:val="0"/>
              <w:overflowPunct w:val="0"/>
              <w:spacing w:line="206" w:lineRule="exact"/>
              <w:ind w:right="96"/>
              <w:jc w:val="right"/>
              <w:rPr>
                <w:color w:val="231F20"/>
                <w:sz w:val="18"/>
                <w:szCs w:val="18"/>
              </w:rPr>
            </w:pPr>
            <w:r>
              <w:rPr>
                <w:color w:val="231F20"/>
                <w:sz w:val="18"/>
                <w:szCs w:val="18"/>
              </w:rPr>
              <w:t>3,</w:t>
            </w:r>
            <w:r w:rsidR="005F60A3">
              <w:rPr>
                <w:color w:val="231F20"/>
                <w:sz w:val="18"/>
                <w:szCs w:val="18"/>
              </w:rPr>
              <w:t>175</w:t>
            </w:r>
            <w:r>
              <w:rPr>
                <w:color w:val="231F20"/>
                <w:sz w:val="18"/>
                <w:szCs w:val="18"/>
              </w:rPr>
              <w:t>,000</w:t>
            </w:r>
          </w:p>
        </w:tc>
        <w:tc>
          <w:tcPr>
            <w:tcW w:w="1716" w:type="dxa"/>
            <w:tcBorders>
              <w:top w:val="single" w:sz="4" w:space="0" w:color="231F20"/>
              <w:left w:val="single" w:sz="4" w:space="0" w:color="231F20"/>
              <w:bottom w:val="single" w:sz="4" w:space="0" w:color="231F20"/>
              <w:right w:val="single" w:sz="4" w:space="0" w:color="231F20"/>
            </w:tcBorders>
          </w:tcPr>
          <w:p w14:paraId="5EA1B58C" w14:textId="4E113893" w:rsidR="00783288" w:rsidRDefault="005C4B57">
            <w:pPr>
              <w:pStyle w:val="TableParagraph"/>
              <w:kinsoku w:val="0"/>
              <w:overflowPunct w:val="0"/>
              <w:spacing w:line="206" w:lineRule="exact"/>
              <w:ind w:right="97"/>
              <w:jc w:val="right"/>
              <w:rPr>
                <w:color w:val="231F20"/>
                <w:w w:val="95"/>
                <w:sz w:val="18"/>
                <w:szCs w:val="18"/>
              </w:rPr>
            </w:pPr>
            <w:r>
              <w:rPr>
                <w:w w:val="95"/>
                <w:sz w:val="18"/>
                <w:szCs w:val="18"/>
              </w:rPr>
              <w:t>3.1</w:t>
            </w:r>
            <w:r w:rsidR="00B46ABA">
              <w:rPr>
                <w:w w:val="95"/>
                <w:sz w:val="18"/>
                <w:szCs w:val="18"/>
              </w:rPr>
              <w:t>2</w:t>
            </w:r>
          </w:p>
        </w:tc>
        <w:tc>
          <w:tcPr>
            <w:tcW w:w="1716" w:type="dxa"/>
            <w:tcBorders>
              <w:top w:val="single" w:sz="4" w:space="0" w:color="231F20"/>
              <w:left w:val="single" w:sz="4" w:space="0" w:color="231F20"/>
              <w:bottom w:val="single" w:sz="4" w:space="0" w:color="231F20"/>
              <w:right w:val="single" w:sz="4" w:space="0" w:color="231F20"/>
            </w:tcBorders>
          </w:tcPr>
          <w:p w14:paraId="7CBE971E" w14:textId="52181D0C" w:rsidR="00783288" w:rsidRDefault="00E31420">
            <w:pPr>
              <w:pStyle w:val="TableParagraph"/>
              <w:kinsoku w:val="0"/>
              <w:overflowPunct w:val="0"/>
              <w:spacing w:line="206" w:lineRule="exact"/>
              <w:ind w:right="97"/>
              <w:jc w:val="right"/>
              <w:rPr>
                <w:color w:val="231F20"/>
                <w:sz w:val="18"/>
                <w:szCs w:val="18"/>
              </w:rPr>
            </w:pPr>
            <w:r>
              <w:rPr>
                <w:color w:val="231F20"/>
                <w:sz w:val="18"/>
                <w:szCs w:val="18"/>
              </w:rPr>
              <w:t>3,</w:t>
            </w:r>
            <w:r w:rsidR="005F60A3">
              <w:rPr>
                <w:color w:val="231F20"/>
                <w:sz w:val="18"/>
                <w:szCs w:val="18"/>
              </w:rPr>
              <w:t xml:space="preserve">175, </w:t>
            </w:r>
            <w:r>
              <w:rPr>
                <w:color w:val="231F20"/>
                <w:sz w:val="18"/>
                <w:szCs w:val="18"/>
              </w:rPr>
              <w:t>000</w:t>
            </w:r>
          </w:p>
        </w:tc>
        <w:tc>
          <w:tcPr>
            <w:tcW w:w="1718" w:type="dxa"/>
            <w:tcBorders>
              <w:top w:val="single" w:sz="4" w:space="0" w:color="231F20"/>
              <w:left w:val="single" w:sz="4" w:space="0" w:color="231F20"/>
              <w:bottom w:val="single" w:sz="4" w:space="0" w:color="231F20"/>
              <w:right w:val="single" w:sz="4" w:space="0" w:color="231F20"/>
            </w:tcBorders>
          </w:tcPr>
          <w:p w14:paraId="36B8633E" w14:textId="05B44C21" w:rsidR="00783288" w:rsidRDefault="00B46ABA">
            <w:pPr>
              <w:pStyle w:val="TableParagraph"/>
              <w:kinsoku w:val="0"/>
              <w:overflowPunct w:val="0"/>
              <w:spacing w:line="206" w:lineRule="exact"/>
              <w:ind w:right="97"/>
              <w:jc w:val="right"/>
              <w:rPr>
                <w:color w:val="231F20"/>
                <w:w w:val="95"/>
                <w:sz w:val="18"/>
                <w:szCs w:val="18"/>
              </w:rPr>
            </w:pPr>
            <w:r>
              <w:rPr>
                <w:w w:val="95"/>
                <w:sz w:val="18"/>
                <w:szCs w:val="18"/>
              </w:rPr>
              <w:t>2.65</w:t>
            </w:r>
          </w:p>
        </w:tc>
      </w:tr>
      <w:tr w:rsidR="00783288" w14:paraId="326AC050" w14:textId="77777777">
        <w:trPr>
          <w:trHeight w:val="445"/>
        </w:trPr>
        <w:tc>
          <w:tcPr>
            <w:tcW w:w="1716" w:type="dxa"/>
            <w:tcBorders>
              <w:top w:val="single" w:sz="4" w:space="0" w:color="231F20"/>
              <w:left w:val="single" w:sz="4" w:space="0" w:color="231F20"/>
              <w:bottom w:val="single" w:sz="4" w:space="0" w:color="231F20"/>
              <w:right w:val="single" w:sz="4" w:space="0" w:color="231F20"/>
            </w:tcBorders>
          </w:tcPr>
          <w:p w14:paraId="300FD3D2" w14:textId="77777777" w:rsidR="00783288" w:rsidRDefault="00E31420">
            <w:pPr>
              <w:pStyle w:val="TableParagraph"/>
              <w:kinsoku w:val="0"/>
              <w:overflowPunct w:val="0"/>
              <w:spacing w:line="206" w:lineRule="exact"/>
              <w:ind w:left="107"/>
              <w:rPr>
                <w:color w:val="050707"/>
                <w:sz w:val="18"/>
                <w:szCs w:val="18"/>
              </w:rPr>
            </w:pPr>
            <w:r>
              <w:rPr>
                <w:color w:val="050707"/>
                <w:sz w:val="18"/>
                <w:szCs w:val="18"/>
              </w:rPr>
              <w:t>Peter Damouni</w:t>
            </w:r>
          </w:p>
        </w:tc>
        <w:tc>
          <w:tcPr>
            <w:tcW w:w="1718" w:type="dxa"/>
            <w:tcBorders>
              <w:top w:val="single" w:sz="4" w:space="0" w:color="231F20"/>
              <w:left w:val="single" w:sz="4" w:space="0" w:color="231F20"/>
              <w:bottom w:val="single" w:sz="4" w:space="0" w:color="231F20"/>
              <w:right w:val="single" w:sz="4" w:space="0" w:color="231F20"/>
            </w:tcBorders>
          </w:tcPr>
          <w:p w14:paraId="6A3DF0BC" w14:textId="04FD3FB1" w:rsidR="00783288" w:rsidRDefault="00E31420">
            <w:pPr>
              <w:pStyle w:val="TableParagraph"/>
              <w:kinsoku w:val="0"/>
              <w:overflowPunct w:val="0"/>
              <w:spacing w:line="206" w:lineRule="exact"/>
              <w:ind w:right="96"/>
              <w:jc w:val="right"/>
              <w:rPr>
                <w:color w:val="231F20"/>
                <w:sz w:val="18"/>
                <w:szCs w:val="18"/>
              </w:rPr>
            </w:pPr>
            <w:r>
              <w:rPr>
                <w:color w:val="231F20"/>
                <w:sz w:val="18"/>
                <w:szCs w:val="18"/>
              </w:rPr>
              <w:t>1,5</w:t>
            </w:r>
            <w:r w:rsidR="005F60A3">
              <w:rPr>
                <w:color w:val="231F20"/>
                <w:sz w:val="18"/>
                <w:szCs w:val="18"/>
              </w:rPr>
              <w:t>83</w:t>
            </w:r>
            <w:r>
              <w:rPr>
                <w:color w:val="231F20"/>
                <w:sz w:val="18"/>
                <w:szCs w:val="18"/>
              </w:rPr>
              <w:t>,000</w:t>
            </w:r>
          </w:p>
        </w:tc>
        <w:tc>
          <w:tcPr>
            <w:tcW w:w="1716" w:type="dxa"/>
            <w:tcBorders>
              <w:top w:val="single" w:sz="4" w:space="0" w:color="231F20"/>
              <w:left w:val="single" w:sz="4" w:space="0" w:color="231F20"/>
              <w:bottom w:val="single" w:sz="4" w:space="0" w:color="231F20"/>
              <w:right w:val="single" w:sz="4" w:space="0" w:color="231F20"/>
            </w:tcBorders>
          </w:tcPr>
          <w:p w14:paraId="65494725" w14:textId="572A8100" w:rsidR="00783288" w:rsidRDefault="005C4B57">
            <w:pPr>
              <w:pStyle w:val="TableParagraph"/>
              <w:kinsoku w:val="0"/>
              <w:overflowPunct w:val="0"/>
              <w:spacing w:line="206" w:lineRule="exact"/>
              <w:ind w:right="97"/>
              <w:jc w:val="right"/>
              <w:rPr>
                <w:color w:val="231F20"/>
                <w:w w:val="95"/>
                <w:sz w:val="18"/>
                <w:szCs w:val="18"/>
              </w:rPr>
            </w:pPr>
            <w:r>
              <w:rPr>
                <w:w w:val="95"/>
                <w:sz w:val="18"/>
                <w:szCs w:val="18"/>
              </w:rPr>
              <w:t>1.5</w:t>
            </w:r>
            <w:r w:rsidR="00B46ABA">
              <w:rPr>
                <w:w w:val="95"/>
                <w:sz w:val="18"/>
                <w:szCs w:val="18"/>
              </w:rPr>
              <w:t>5</w:t>
            </w:r>
          </w:p>
        </w:tc>
        <w:tc>
          <w:tcPr>
            <w:tcW w:w="1716" w:type="dxa"/>
            <w:tcBorders>
              <w:top w:val="single" w:sz="4" w:space="0" w:color="231F20"/>
              <w:left w:val="single" w:sz="4" w:space="0" w:color="231F20"/>
              <w:bottom w:val="single" w:sz="4" w:space="0" w:color="231F20"/>
              <w:right w:val="single" w:sz="4" w:space="0" w:color="231F20"/>
            </w:tcBorders>
          </w:tcPr>
          <w:p w14:paraId="473B3108" w14:textId="2B62A7AE" w:rsidR="00783288" w:rsidRDefault="00E31420">
            <w:pPr>
              <w:pStyle w:val="TableParagraph"/>
              <w:kinsoku w:val="0"/>
              <w:overflowPunct w:val="0"/>
              <w:spacing w:line="206" w:lineRule="exact"/>
              <w:ind w:right="97"/>
              <w:jc w:val="right"/>
              <w:rPr>
                <w:color w:val="231F20"/>
                <w:sz w:val="18"/>
                <w:szCs w:val="18"/>
              </w:rPr>
            </w:pPr>
            <w:r>
              <w:rPr>
                <w:color w:val="231F20"/>
                <w:sz w:val="18"/>
                <w:szCs w:val="18"/>
              </w:rPr>
              <w:t>1,5</w:t>
            </w:r>
            <w:r w:rsidR="005F60A3">
              <w:rPr>
                <w:color w:val="231F20"/>
                <w:sz w:val="18"/>
                <w:szCs w:val="18"/>
              </w:rPr>
              <w:t>8</w:t>
            </w:r>
            <w:r>
              <w:rPr>
                <w:color w:val="231F20"/>
                <w:sz w:val="18"/>
                <w:szCs w:val="18"/>
              </w:rPr>
              <w:t>3,000</w:t>
            </w:r>
          </w:p>
        </w:tc>
        <w:tc>
          <w:tcPr>
            <w:tcW w:w="1718" w:type="dxa"/>
            <w:tcBorders>
              <w:top w:val="single" w:sz="4" w:space="0" w:color="231F20"/>
              <w:left w:val="single" w:sz="4" w:space="0" w:color="231F20"/>
              <w:bottom w:val="single" w:sz="4" w:space="0" w:color="231F20"/>
              <w:right w:val="single" w:sz="4" w:space="0" w:color="231F20"/>
            </w:tcBorders>
          </w:tcPr>
          <w:p w14:paraId="44D4CA89" w14:textId="14A3BCFC" w:rsidR="00783288" w:rsidRDefault="00B46ABA">
            <w:pPr>
              <w:pStyle w:val="TableParagraph"/>
              <w:kinsoku w:val="0"/>
              <w:overflowPunct w:val="0"/>
              <w:spacing w:line="206" w:lineRule="exact"/>
              <w:ind w:right="97"/>
              <w:jc w:val="right"/>
              <w:rPr>
                <w:color w:val="231F20"/>
                <w:w w:val="95"/>
                <w:sz w:val="18"/>
                <w:szCs w:val="18"/>
              </w:rPr>
            </w:pPr>
            <w:r>
              <w:rPr>
                <w:w w:val="95"/>
                <w:sz w:val="18"/>
                <w:szCs w:val="18"/>
              </w:rPr>
              <w:t>1.32</w:t>
            </w:r>
          </w:p>
        </w:tc>
      </w:tr>
      <w:tr w:rsidR="00783288" w14:paraId="1FA9DBD6" w14:textId="77777777">
        <w:trPr>
          <w:trHeight w:val="448"/>
        </w:trPr>
        <w:tc>
          <w:tcPr>
            <w:tcW w:w="1716" w:type="dxa"/>
            <w:tcBorders>
              <w:top w:val="single" w:sz="4" w:space="0" w:color="231F20"/>
              <w:left w:val="single" w:sz="4" w:space="0" w:color="231F20"/>
              <w:bottom w:val="single" w:sz="4" w:space="0" w:color="231F20"/>
              <w:right w:val="single" w:sz="4" w:space="0" w:color="231F20"/>
            </w:tcBorders>
          </w:tcPr>
          <w:p w14:paraId="44608F09" w14:textId="77777777" w:rsidR="00783288" w:rsidRDefault="00E31420">
            <w:pPr>
              <w:pStyle w:val="TableParagraph"/>
              <w:kinsoku w:val="0"/>
              <w:overflowPunct w:val="0"/>
              <w:spacing w:line="206" w:lineRule="exact"/>
              <w:ind w:left="107"/>
              <w:rPr>
                <w:color w:val="050707"/>
                <w:sz w:val="18"/>
                <w:szCs w:val="18"/>
              </w:rPr>
            </w:pPr>
            <w:r>
              <w:rPr>
                <w:color w:val="050707"/>
                <w:sz w:val="18"/>
                <w:szCs w:val="18"/>
              </w:rPr>
              <w:t>David Cliff</w:t>
            </w:r>
          </w:p>
        </w:tc>
        <w:tc>
          <w:tcPr>
            <w:tcW w:w="1718" w:type="dxa"/>
            <w:tcBorders>
              <w:top w:val="single" w:sz="4" w:space="0" w:color="231F20"/>
              <w:left w:val="single" w:sz="4" w:space="0" w:color="231F20"/>
              <w:bottom w:val="single" w:sz="4" w:space="0" w:color="231F20"/>
              <w:right w:val="single" w:sz="4" w:space="0" w:color="231F20"/>
            </w:tcBorders>
          </w:tcPr>
          <w:p w14:paraId="475C1B2B" w14:textId="77777777" w:rsidR="00783288" w:rsidRDefault="00E31420">
            <w:pPr>
              <w:pStyle w:val="TableParagraph"/>
              <w:kinsoku w:val="0"/>
              <w:overflowPunct w:val="0"/>
              <w:spacing w:line="206" w:lineRule="exact"/>
              <w:ind w:right="98"/>
              <w:jc w:val="right"/>
              <w:rPr>
                <w:color w:val="231F20"/>
                <w:sz w:val="18"/>
                <w:szCs w:val="18"/>
              </w:rPr>
            </w:pPr>
            <w:r>
              <w:rPr>
                <w:color w:val="231F20"/>
                <w:sz w:val="18"/>
                <w:szCs w:val="18"/>
              </w:rPr>
              <w:t>450,000</w:t>
            </w:r>
          </w:p>
        </w:tc>
        <w:tc>
          <w:tcPr>
            <w:tcW w:w="1716" w:type="dxa"/>
            <w:tcBorders>
              <w:top w:val="single" w:sz="4" w:space="0" w:color="231F20"/>
              <w:left w:val="single" w:sz="4" w:space="0" w:color="231F20"/>
              <w:bottom w:val="single" w:sz="4" w:space="0" w:color="231F20"/>
              <w:right w:val="single" w:sz="4" w:space="0" w:color="231F20"/>
            </w:tcBorders>
          </w:tcPr>
          <w:p w14:paraId="338B24BA" w14:textId="6895DD2C" w:rsidR="00783288" w:rsidRDefault="00B46ABA">
            <w:pPr>
              <w:pStyle w:val="TableParagraph"/>
              <w:kinsoku w:val="0"/>
              <w:overflowPunct w:val="0"/>
              <w:spacing w:line="206" w:lineRule="exact"/>
              <w:ind w:right="96"/>
              <w:jc w:val="right"/>
              <w:rPr>
                <w:color w:val="231F20"/>
                <w:w w:val="95"/>
                <w:sz w:val="18"/>
                <w:szCs w:val="18"/>
              </w:rPr>
            </w:pPr>
            <w:r>
              <w:rPr>
                <w:w w:val="95"/>
                <w:sz w:val="18"/>
                <w:szCs w:val="18"/>
              </w:rPr>
              <w:t>0.44</w:t>
            </w:r>
          </w:p>
        </w:tc>
        <w:tc>
          <w:tcPr>
            <w:tcW w:w="1716" w:type="dxa"/>
            <w:tcBorders>
              <w:top w:val="single" w:sz="4" w:space="0" w:color="231F20"/>
              <w:left w:val="single" w:sz="4" w:space="0" w:color="231F20"/>
              <w:bottom w:val="single" w:sz="4" w:space="0" w:color="231F20"/>
              <w:right w:val="single" w:sz="4" w:space="0" w:color="231F20"/>
            </w:tcBorders>
          </w:tcPr>
          <w:p w14:paraId="7C0CC0D1" w14:textId="77777777" w:rsidR="00783288" w:rsidRDefault="00E31420">
            <w:pPr>
              <w:pStyle w:val="TableParagraph"/>
              <w:kinsoku w:val="0"/>
              <w:overflowPunct w:val="0"/>
              <w:spacing w:line="206" w:lineRule="exact"/>
              <w:ind w:right="99"/>
              <w:jc w:val="right"/>
              <w:rPr>
                <w:color w:val="231F20"/>
                <w:sz w:val="18"/>
                <w:szCs w:val="18"/>
              </w:rPr>
            </w:pPr>
            <w:r>
              <w:rPr>
                <w:color w:val="231F20"/>
                <w:sz w:val="18"/>
                <w:szCs w:val="18"/>
              </w:rPr>
              <w:t>450,000</w:t>
            </w:r>
          </w:p>
        </w:tc>
        <w:tc>
          <w:tcPr>
            <w:tcW w:w="1718" w:type="dxa"/>
            <w:tcBorders>
              <w:top w:val="single" w:sz="4" w:space="0" w:color="231F20"/>
              <w:left w:val="single" w:sz="4" w:space="0" w:color="231F20"/>
              <w:bottom w:val="single" w:sz="4" w:space="0" w:color="231F20"/>
              <w:right w:val="single" w:sz="4" w:space="0" w:color="231F20"/>
            </w:tcBorders>
          </w:tcPr>
          <w:p w14:paraId="104E1C8C" w14:textId="5852C1B7" w:rsidR="00783288" w:rsidRDefault="00B46ABA">
            <w:pPr>
              <w:pStyle w:val="TableParagraph"/>
              <w:kinsoku w:val="0"/>
              <w:overflowPunct w:val="0"/>
              <w:spacing w:line="206" w:lineRule="exact"/>
              <w:ind w:right="97"/>
              <w:jc w:val="right"/>
              <w:rPr>
                <w:color w:val="231F20"/>
                <w:w w:val="95"/>
                <w:sz w:val="18"/>
                <w:szCs w:val="18"/>
              </w:rPr>
            </w:pPr>
            <w:r>
              <w:rPr>
                <w:w w:val="95"/>
                <w:sz w:val="18"/>
                <w:szCs w:val="18"/>
              </w:rPr>
              <w:t>0.37</w:t>
            </w:r>
          </w:p>
        </w:tc>
      </w:tr>
      <w:tr w:rsidR="006F73E3" w14:paraId="4F71ED3E" w14:textId="77777777">
        <w:trPr>
          <w:trHeight w:val="448"/>
        </w:trPr>
        <w:tc>
          <w:tcPr>
            <w:tcW w:w="1716" w:type="dxa"/>
            <w:tcBorders>
              <w:top w:val="single" w:sz="4" w:space="0" w:color="231F20"/>
              <w:left w:val="single" w:sz="4" w:space="0" w:color="231F20"/>
              <w:bottom w:val="single" w:sz="4" w:space="0" w:color="231F20"/>
              <w:right w:val="single" w:sz="4" w:space="0" w:color="231F20"/>
            </w:tcBorders>
          </w:tcPr>
          <w:p w14:paraId="1BF74FD4" w14:textId="57627682" w:rsidR="006F73E3" w:rsidRDefault="006F73E3">
            <w:pPr>
              <w:pStyle w:val="TableParagraph"/>
              <w:kinsoku w:val="0"/>
              <w:overflowPunct w:val="0"/>
              <w:spacing w:line="206" w:lineRule="exact"/>
              <w:ind w:left="107"/>
              <w:rPr>
                <w:color w:val="050707"/>
                <w:sz w:val="18"/>
                <w:szCs w:val="18"/>
              </w:rPr>
            </w:pPr>
            <w:r>
              <w:rPr>
                <w:color w:val="050707"/>
                <w:sz w:val="18"/>
                <w:szCs w:val="18"/>
              </w:rPr>
              <w:t>Ajay Kejriwal</w:t>
            </w:r>
          </w:p>
        </w:tc>
        <w:tc>
          <w:tcPr>
            <w:tcW w:w="1718" w:type="dxa"/>
            <w:tcBorders>
              <w:top w:val="single" w:sz="4" w:space="0" w:color="231F20"/>
              <w:left w:val="single" w:sz="4" w:space="0" w:color="231F20"/>
              <w:bottom w:val="single" w:sz="4" w:space="0" w:color="231F20"/>
              <w:right w:val="single" w:sz="4" w:space="0" w:color="231F20"/>
            </w:tcBorders>
          </w:tcPr>
          <w:p w14:paraId="79BE3F1F" w14:textId="34DD8D88" w:rsidR="006F73E3" w:rsidRDefault="006F73E3">
            <w:pPr>
              <w:pStyle w:val="TableParagraph"/>
              <w:kinsoku w:val="0"/>
              <w:overflowPunct w:val="0"/>
              <w:spacing w:line="206" w:lineRule="exact"/>
              <w:ind w:right="98"/>
              <w:jc w:val="right"/>
              <w:rPr>
                <w:color w:val="231F20"/>
                <w:sz w:val="18"/>
                <w:szCs w:val="18"/>
              </w:rPr>
            </w:pPr>
            <w:r>
              <w:rPr>
                <w:color w:val="231F20"/>
                <w:sz w:val="18"/>
                <w:szCs w:val="18"/>
              </w:rPr>
              <w:t>150,000</w:t>
            </w:r>
          </w:p>
        </w:tc>
        <w:tc>
          <w:tcPr>
            <w:tcW w:w="1716" w:type="dxa"/>
            <w:tcBorders>
              <w:top w:val="single" w:sz="4" w:space="0" w:color="231F20"/>
              <w:left w:val="single" w:sz="4" w:space="0" w:color="231F20"/>
              <w:bottom w:val="single" w:sz="4" w:space="0" w:color="231F20"/>
              <w:right w:val="single" w:sz="4" w:space="0" w:color="231F20"/>
            </w:tcBorders>
          </w:tcPr>
          <w:p w14:paraId="12887091" w14:textId="6672117B" w:rsidR="006F73E3" w:rsidRPr="005F60A3" w:rsidRDefault="005C4B57">
            <w:pPr>
              <w:pStyle w:val="TableParagraph"/>
              <w:kinsoku w:val="0"/>
              <w:overflowPunct w:val="0"/>
              <w:spacing w:line="206" w:lineRule="exact"/>
              <w:ind w:right="96"/>
              <w:jc w:val="right"/>
              <w:rPr>
                <w:w w:val="95"/>
                <w:sz w:val="18"/>
                <w:szCs w:val="18"/>
              </w:rPr>
            </w:pPr>
            <w:r>
              <w:rPr>
                <w:w w:val="95"/>
                <w:sz w:val="18"/>
                <w:szCs w:val="18"/>
              </w:rPr>
              <w:t>0.1</w:t>
            </w:r>
            <w:r w:rsidR="00B46ABA">
              <w:rPr>
                <w:w w:val="95"/>
                <w:sz w:val="18"/>
                <w:szCs w:val="18"/>
              </w:rPr>
              <w:t>5</w:t>
            </w:r>
          </w:p>
        </w:tc>
        <w:tc>
          <w:tcPr>
            <w:tcW w:w="1716" w:type="dxa"/>
            <w:tcBorders>
              <w:top w:val="single" w:sz="4" w:space="0" w:color="231F20"/>
              <w:left w:val="single" w:sz="4" w:space="0" w:color="231F20"/>
              <w:bottom w:val="single" w:sz="4" w:space="0" w:color="231F20"/>
              <w:right w:val="single" w:sz="4" w:space="0" w:color="231F20"/>
            </w:tcBorders>
          </w:tcPr>
          <w:p w14:paraId="17531829" w14:textId="7D51D5B7" w:rsidR="006F73E3" w:rsidRDefault="006F73E3">
            <w:pPr>
              <w:pStyle w:val="TableParagraph"/>
              <w:kinsoku w:val="0"/>
              <w:overflowPunct w:val="0"/>
              <w:spacing w:line="206" w:lineRule="exact"/>
              <w:ind w:right="99"/>
              <w:jc w:val="right"/>
              <w:rPr>
                <w:color w:val="231F20"/>
                <w:sz w:val="18"/>
                <w:szCs w:val="18"/>
              </w:rPr>
            </w:pPr>
            <w:r>
              <w:rPr>
                <w:color w:val="231F20"/>
                <w:sz w:val="18"/>
                <w:szCs w:val="18"/>
              </w:rPr>
              <w:t>150,000</w:t>
            </w:r>
          </w:p>
        </w:tc>
        <w:tc>
          <w:tcPr>
            <w:tcW w:w="1718" w:type="dxa"/>
            <w:tcBorders>
              <w:top w:val="single" w:sz="4" w:space="0" w:color="231F20"/>
              <w:left w:val="single" w:sz="4" w:space="0" w:color="231F20"/>
              <w:bottom w:val="single" w:sz="4" w:space="0" w:color="231F20"/>
              <w:right w:val="single" w:sz="4" w:space="0" w:color="231F20"/>
            </w:tcBorders>
          </w:tcPr>
          <w:p w14:paraId="69D29A2F" w14:textId="41158C73" w:rsidR="006F73E3" w:rsidRPr="005F60A3" w:rsidRDefault="00B46ABA">
            <w:pPr>
              <w:pStyle w:val="TableParagraph"/>
              <w:kinsoku w:val="0"/>
              <w:overflowPunct w:val="0"/>
              <w:spacing w:line="206" w:lineRule="exact"/>
              <w:ind w:right="97"/>
              <w:jc w:val="right"/>
              <w:rPr>
                <w:w w:val="95"/>
                <w:sz w:val="18"/>
                <w:szCs w:val="18"/>
              </w:rPr>
            </w:pPr>
            <w:r>
              <w:rPr>
                <w:w w:val="95"/>
                <w:sz w:val="18"/>
                <w:szCs w:val="18"/>
              </w:rPr>
              <w:t>0.12</w:t>
            </w:r>
          </w:p>
        </w:tc>
      </w:tr>
      <w:tr w:rsidR="005F60A3" w14:paraId="1A8C0986" w14:textId="77777777">
        <w:trPr>
          <w:trHeight w:val="448"/>
        </w:trPr>
        <w:tc>
          <w:tcPr>
            <w:tcW w:w="1716" w:type="dxa"/>
            <w:tcBorders>
              <w:top w:val="single" w:sz="4" w:space="0" w:color="231F20"/>
              <w:left w:val="single" w:sz="4" w:space="0" w:color="231F20"/>
              <w:bottom w:val="single" w:sz="4" w:space="0" w:color="231F20"/>
              <w:right w:val="single" w:sz="4" w:space="0" w:color="231F20"/>
            </w:tcBorders>
          </w:tcPr>
          <w:p w14:paraId="28A04B49" w14:textId="794CB3D3" w:rsidR="005F60A3" w:rsidRDefault="005F60A3">
            <w:pPr>
              <w:pStyle w:val="TableParagraph"/>
              <w:kinsoku w:val="0"/>
              <w:overflowPunct w:val="0"/>
              <w:spacing w:line="206" w:lineRule="exact"/>
              <w:ind w:left="107"/>
              <w:rPr>
                <w:color w:val="050707"/>
                <w:sz w:val="18"/>
                <w:szCs w:val="18"/>
              </w:rPr>
            </w:pPr>
            <w:r>
              <w:rPr>
                <w:color w:val="050707"/>
                <w:sz w:val="18"/>
                <w:szCs w:val="18"/>
              </w:rPr>
              <w:t>Paul Ensor</w:t>
            </w:r>
          </w:p>
        </w:tc>
        <w:tc>
          <w:tcPr>
            <w:tcW w:w="1718" w:type="dxa"/>
            <w:tcBorders>
              <w:top w:val="single" w:sz="4" w:space="0" w:color="231F20"/>
              <w:left w:val="single" w:sz="4" w:space="0" w:color="231F20"/>
              <w:bottom w:val="single" w:sz="4" w:space="0" w:color="231F20"/>
              <w:right w:val="single" w:sz="4" w:space="0" w:color="231F20"/>
            </w:tcBorders>
          </w:tcPr>
          <w:p w14:paraId="2874EAA4" w14:textId="5A2DC06C" w:rsidR="005F60A3" w:rsidRDefault="005F60A3">
            <w:pPr>
              <w:pStyle w:val="TableParagraph"/>
              <w:kinsoku w:val="0"/>
              <w:overflowPunct w:val="0"/>
              <w:spacing w:line="206" w:lineRule="exact"/>
              <w:ind w:right="98"/>
              <w:jc w:val="right"/>
              <w:rPr>
                <w:color w:val="231F20"/>
                <w:sz w:val="18"/>
                <w:szCs w:val="18"/>
              </w:rPr>
            </w:pPr>
            <w:r>
              <w:rPr>
                <w:color w:val="231F20"/>
                <w:sz w:val="18"/>
                <w:szCs w:val="18"/>
              </w:rPr>
              <w:t>1</w:t>
            </w:r>
            <w:r w:rsidR="00340BD0">
              <w:rPr>
                <w:color w:val="231F20"/>
                <w:sz w:val="18"/>
                <w:szCs w:val="18"/>
              </w:rPr>
              <w:t>72</w:t>
            </w:r>
            <w:r>
              <w:rPr>
                <w:color w:val="231F20"/>
                <w:sz w:val="18"/>
                <w:szCs w:val="18"/>
              </w:rPr>
              <w:t>,8</w:t>
            </w:r>
            <w:r w:rsidR="00340BD0">
              <w:rPr>
                <w:color w:val="231F20"/>
                <w:sz w:val="18"/>
                <w:szCs w:val="18"/>
              </w:rPr>
              <w:t>41</w:t>
            </w:r>
          </w:p>
        </w:tc>
        <w:tc>
          <w:tcPr>
            <w:tcW w:w="1716" w:type="dxa"/>
            <w:tcBorders>
              <w:top w:val="single" w:sz="4" w:space="0" w:color="231F20"/>
              <w:left w:val="single" w:sz="4" w:space="0" w:color="231F20"/>
              <w:bottom w:val="single" w:sz="4" w:space="0" w:color="231F20"/>
              <w:right w:val="single" w:sz="4" w:space="0" w:color="231F20"/>
            </w:tcBorders>
          </w:tcPr>
          <w:p w14:paraId="285A551E" w14:textId="76131556" w:rsidR="005F60A3" w:rsidRDefault="005C4B57">
            <w:pPr>
              <w:pStyle w:val="TableParagraph"/>
              <w:kinsoku w:val="0"/>
              <w:overflowPunct w:val="0"/>
              <w:spacing w:line="206" w:lineRule="exact"/>
              <w:ind w:right="96"/>
              <w:jc w:val="right"/>
              <w:rPr>
                <w:color w:val="231F20"/>
                <w:w w:val="95"/>
                <w:sz w:val="18"/>
                <w:szCs w:val="18"/>
              </w:rPr>
            </w:pPr>
            <w:r>
              <w:rPr>
                <w:w w:val="95"/>
                <w:sz w:val="18"/>
                <w:szCs w:val="18"/>
              </w:rPr>
              <w:t>0.</w:t>
            </w:r>
            <w:r w:rsidR="00B46ABA">
              <w:rPr>
                <w:w w:val="95"/>
                <w:sz w:val="18"/>
                <w:szCs w:val="18"/>
              </w:rPr>
              <w:t>17</w:t>
            </w:r>
          </w:p>
        </w:tc>
        <w:tc>
          <w:tcPr>
            <w:tcW w:w="1716" w:type="dxa"/>
            <w:tcBorders>
              <w:top w:val="single" w:sz="4" w:space="0" w:color="231F20"/>
              <w:left w:val="single" w:sz="4" w:space="0" w:color="231F20"/>
              <w:bottom w:val="single" w:sz="4" w:space="0" w:color="231F20"/>
              <w:right w:val="single" w:sz="4" w:space="0" w:color="231F20"/>
            </w:tcBorders>
          </w:tcPr>
          <w:p w14:paraId="2C803AF0" w14:textId="6ADBEF2F" w:rsidR="005F60A3" w:rsidRDefault="00340BD0">
            <w:pPr>
              <w:pStyle w:val="TableParagraph"/>
              <w:kinsoku w:val="0"/>
              <w:overflowPunct w:val="0"/>
              <w:spacing w:line="206" w:lineRule="exact"/>
              <w:ind w:right="99"/>
              <w:jc w:val="right"/>
              <w:rPr>
                <w:color w:val="231F20"/>
                <w:sz w:val="18"/>
                <w:szCs w:val="18"/>
              </w:rPr>
            </w:pPr>
            <w:r>
              <w:rPr>
                <w:color w:val="231F20"/>
                <w:sz w:val="18"/>
                <w:szCs w:val="18"/>
              </w:rPr>
              <w:t>172,841</w:t>
            </w:r>
          </w:p>
        </w:tc>
        <w:tc>
          <w:tcPr>
            <w:tcW w:w="1718" w:type="dxa"/>
            <w:tcBorders>
              <w:top w:val="single" w:sz="4" w:space="0" w:color="231F20"/>
              <w:left w:val="single" w:sz="4" w:space="0" w:color="231F20"/>
              <w:bottom w:val="single" w:sz="4" w:space="0" w:color="231F20"/>
              <w:right w:val="single" w:sz="4" w:space="0" w:color="231F20"/>
            </w:tcBorders>
          </w:tcPr>
          <w:p w14:paraId="4E61D743" w14:textId="401E8D79" w:rsidR="005F60A3" w:rsidRDefault="00B46ABA">
            <w:pPr>
              <w:pStyle w:val="TableParagraph"/>
              <w:kinsoku w:val="0"/>
              <w:overflowPunct w:val="0"/>
              <w:spacing w:line="206" w:lineRule="exact"/>
              <w:ind w:right="97"/>
              <w:jc w:val="right"/>
              <w:rPr>
                <w:color w:val="231F20"/>
                <w:w w:val="95"/>
                <w:sz w:val="18"/>
                <w:szCs w:val="18"/>
              </w:rPr>
            </w:pPr>
            <w:r>
              <w:rPr>
                <w:w w:val="95"/>
                <w:sz w:val="18"/>
                <w:szCs w:val="18"/>
              </w:rPr>
              <w:t>0.14</w:t>
            </w:r>
          </w:p>
        </w:tc>
      </w:tr>
    </w:tbl>
    <w:p w14:paraId="52636454" w14:textId="77777777" w:rsidR="00783288" w:rsidRDefault="00783288">
      <w:pPr>
        <w:pStyle w:val="BodyText"/>
        <w:kinsoku w:val="0"/>
        <w:overflowPunct w:val="0"/>
        <w:spacing w:before="9"/>
        <w:rPr>
          <w:sz w:val="20"/>
          <w:szCs w:val="20"/>
        </w:rPr>
      </w:pPr>
    </w:p>
    <w:p w14:paraId="4A0CBE36" w14:textId="27A7451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 xml:space="preserve">None of the Directors intend to acquire </w:t>
      </w:r>
      <w:r w:rsidR="005D6FE4">
        <w:rPr>
          <w:color w:val="231F20"/>
          <w:sz w:val="18"/>
          <w:szCs w:val="18"/>
        </w:rPr>
        <w:t xml:space="preserve">Placing </w:t>
      </w:r>
      <w:r>
        <w:rPr>
          <w:color w:val="231F20"/>
          <w:sz w:val="18"/>
          <w:szCs w:val="18"/>
        </w:rPr>
        <w:t>Shares pursuant to the</w:t>
      </w:r>
      <w:r>
        <w:rPr>
          <w:color w:val="231F20"/>
          <w:spacing w:val="-8"/>
          <w:sz w:val="18"/>
          <w:szCs w:val="18"/>
        </w:rPr>
        <w:t xml:space="preserve"> </w:t>
      </w:r>
      <w:r w:rsidR="005D6FE4">
        <w:rPr>
          <w:color w:val="231F20"/>
          <w:sz w:val="18"/>
          <w:szCs w:val="18"/>
        </w:rPr>
        <w:t>Placing</w:t>
      </w:r>
      <w:r>
        <w:rPr>
          <w:color w:val="231F20"/>
          <w:sz w:val="18"/>
          <w:szCs w:val="18"/>
        </w:rPr>
        <w:t>.</w:t>
      </w:r>
    </w:p>
    <w:p w14:paraId="65E9F355" w14:textId="77777777" w:rsidR="00783288" w:rsidRDefault="00783288">
      <w:pPr>
        <w:pStyle w:val="BodyText"/>
        <w:kinsoku w:val="0"/>
        <w:overflowPunct w:val="0"/>
        <w:spacing w:before="9"/>
        <w:rPr>
          <w:sz w:val="20"/>
          <w:szCs w:val="20"/>
        </w:rPr>
      </w:pPr>
    </w:p>
    <w:p w14:paraId="5B28FC4A" w14:textId="77777777" w:rsidR="00783288" w:rsidRDefault="00E31420" w:rsidP="00512495">
      <w:pPr>
        <w:pStyle w:val="ListParagraph"/>
        <w:numPr>
          <w:ilvl w:val="1"/>
          <w:numId w:val="13"/>
        </w:numPr>
        <w:tabs>
          <w:tab w:val="left" w:pos="840"/>
        </w:tabs>
        <w:kinsoku w:val="0"/>
        <w:overflowPunct w:val="0"/>
        <w:ind w:left="839" w:right="1034"/>
        <w:jc w:val="both"/>
        <w:rPr>
          <w:color w:val="231F20"/>
          <w:sz w:val="18"/>
          <w:szCs w:val="18"/>
        </w:rPr>
      </w:pPr>
      <w:r>
        <w:rPr>
          <w:color w:val="231F20"/>
          <w:sz w:val="18"/>
          <w:szCs w:val="18"/>
        </w:rPr>
        <w:t>Save</w:t>
      </w:r>
      <w:r>
        <w:rPr>
          <w:color w:val="231F20"/>
          <w:spacing w:val="-5"/>
          <w:sz w:val="18"/>
          <w:szCs w:val="18"/>
        </w:rPr>
        <w:t xml:space="preserve"> </w:t>
      </w:r>
      <w:r>
        <w:rPr>
          <w:color w:val="231F20"/>
          <w:sz w:val="18"/>
          <w:szCs w:val="18"/>
        </w:rPr>
        <w:t>as</w:t>
      </w:r>
      <w:r>
        <w:rPr>
          <w:color w:val="231F20"/>
          <w:spacing w:val="-3"/>
          <w:sz w:val="18"/>
          <w:szCs w:val="18"/>
        </w:rPr>
        <w:t xml:space="preserve"> </w:t>
      </w:r>
      <w:r>
        <w:rPr>
          <w:color w:val="231F20"/>
          <w:sz w:val="18"/>
          <w:szCs w:val="18"/>
        </w:rPr>
        <w:t>described</w:t>
      </w:r>
      <w:r>
        <w:rPr>
          <w:color w:val="231F20"/>
          <w:spacing w:val="-6"/>
          <w:sz w:val="18"/>
          <w:szCs w:val="18"/>
        </w:rPr>
        <w:t xml:space="preserve"> </w:t>
      </w:r>
      <w:r>
        <w:rPr>
          <w:color w:val="231F20"/>
          <w:sz w:val="18"/>
          <w:szCs w:val="18"/>
        </w:rPr>
        <w:t>in</w:t>
      </w:r>
      <w:r>
        <w:rPr>
          <w:color w:val="231F20"/>
          <w:spacing w:val="-4"/>
          <w:sz w:val="18"/>
          <w:szCs w:val="18"/>
        </w:rPr>
        <w:t xml:space="preserve"> </w:t>
      </w:r>
      <w:r>
        <w:rPr>
          <w:color w:val="231F20"/>
          <w:sz w:val="18"/>
          <w:szCs w:val="18"/>
        </w:rPr>
        <w:t>paragraphs</w:t>
      </w:r>
      <w:r>
        <w:rPr>
          <w:color w:val="231F20"/>
          <w:spacing w:val="-3"/>
          <w:sz w:val="18"/>
          <w:szCs w:val="18"/>
        </w:rPr>
        <w:t xml:space="preserve"> </w:t>
      </w:r>
      <w:r>
        <w:rPr>
          <w:color w:val="231F20"/>
          <w:sz w:val="18"/>
          <w:szCs w:val="18"/>
        </w:rPr>
        <w:t>6.1,</w:t>
      </w:r>
      <w:r>
        <w:rPr>
          <w:color w:val="231F20"/>
          <w:spacing w:val="-4"/>
          <w:sz w:val="18"/>
          <w:szCs w:val="18"/>
        </w:rPr>
        <w:t xml:space="preserve"> </w:t>
      </w:r>
      <w:r>
        <w:rPr>
          <w:color w:val="231F20"/>
          <w:sz w:val="18"/>
          <w:szCs w:val="18"/>
        </w:rPr>
        <w:t>10</w:t>
      </w:r>
      <w:r>
        <w:rPr>
          <w:color w:val="231F20"/>
          <w:spacing w:val="-4"/>
          <w:sz w:val="18"/>
          <w:szCs w:val="18"/>
        </w:rPr>
        <w:t xml:space="preserve"> </w:t>
      </w:r>
      <w:r>
        <w:rPr>
          <w:color w:val="231F20"/>
          <w:sz w:val="18"/>
          <w:szCs w:val="18"/>
        </w:rPr>
        <w:t>and</w:t>
      </w:r>
      <w:r>
        <w:rPr>
          <w:color w:val="231F20"/>
          <w:spacing w:val="-4"/>
          <w:sz w:val="18"/>
          <w:szCs w:val="18"/>
        </w:rPr>
        <w:t xml:space="preserve"> </w:t>
      </w:r>
      <w:r>
        <w:rPr>
          <w:color w:val="231F20"/>
          <w:sz w:val="18"/>
          <w:szCs w:val="18"/>
        </w:rPr>
        <w:t>11</w:t>
      </w:r>
      <w:r>
        <w:rPr>
          <w:color w:val="231F20"/>
          <w:spacing w:val="-6"/>
          <w:sz w:val="18"/>
          <w:szCs w:val="18"/>
        </w:rPr>
        <w:t xml:space="preserve"> </w:t>
      </w:r>
      <w:r>
        <w:rPr>
          <w:color w:val="231F20"/>
          <w:sz w:val="18"/>
          <w:szCs w:val="18"/>
        </w:rPr>
        <w:t>of</w:t>
      </w:r>
      <w:r>
        <w:rPr>
          <w:color w:val="231F20"/>
          <w:spacing w:val="-4"/>
          <w:sz w:val="18"/>
          <w:szCs w:val="18"/>
        </w:rPr>
        <w:t xml:space="preserve"> </w:t>
      </w:r>
      <w:r>
        <w:rPr>
          <w:color w:val="231F20"/>
          <w:sz w:val="18"/>
          <w:szCs w:val="18"/>
        </w:rPr>
        <w:t>this</w:t>
      </w:r>
      <w:r>
        <w:rPr>
          <w:color w:val="231F20"/>
          <w:spacing w:val="-3"/>
          <w:sz w:val="18"/>
          <w:szCs w:val="18"/>
        </w:rPr>
        <w:t xml:space="preserve"> </w:t>
      </w:r>
      <w:r>
        <w:rPr>
          <w:color w:val="231F20"/>
          <w:sz w:val="18"/>
          <w:szCs w:val="18"/>
        </w:rPr>
        <w:t>Part</w:t>
      </w:r>
      <w:r>
        <w:rPr>
          <w:color w:val="231F20"/>
          <w:spacing w:val="-5"/>
          <w:sz w:val="18"/>
          <w:szCs w:val="18"/>
        </w:rPr>
        <w:t xml:space="preserve"> </w:t>
      </w:r>
      <w:r>
        <w:rPr>
          <w:color w:val="231F20"/>
          <w:sz w:val="18"/>
          <w:szCs w:val="18"/>
        </w:rPr>
        <w:t>VII,</w:t>
      </w:r>
      <w:r>
        <w:rPr>
          <w:color w:val="231F20"/>
          <w:spacing w:val="-4"/>
          <w:sz w:val="18"/>
          <w:szCs w:val="18"/>
        </w:rPr>
        <w:t xml:space="preserve"> </w:t>
      </w:r>
      <w:r>
        <w:rPr>
          <w:color w:val="231F20"/>
          <w:sz w:val="18"/>
          <w:szCs w:val="18"/>
        </w:rPr>
        <w:t>the</w:t>
      </w:r>
      <w:r>
        <w:rPr>
          <w:color w:val="231F20"/>
          <w:spacing w:val="-5"/>
          <w:sz w:val="18"/>
          <w:szCs w:val="18"/>
        </w:rPr>
        <w:t xml:space="preserve"> </w:t>
      </w:r>
      <w:r>
        <w:rPr>
          <w:color w:val="231F20"/>
          <w:sz w:val="18"/>
          <w:szCs w:val="18"/>
        </w:rPr>
        <w:t>Directors</w:t>
      </w:r>
      <w:r>
        <w:rPr>
          <w:color w:val="231F20"/>
          <w:spacing w:val="-3"/>
          <w:sz w:val="18"/>
          <w:szCs w:val="18"/>
        </w:rPr>
        <w:t xml:space="preserve"> </w:t>
      </w:r>
      <w:r>
        <w:rPr>
          <w:color w:val="231F20"/>
          <w:sz w:val="18"/>
          <w:szCs w:val="18"/>
        </w:rPr>
        <w:t>and</w:t>
      </w:r>
      <w:r>
        <w:rPr>
          <w:color w:val="231F20"/>
          <w:spacing w:val="-4"/>
          <w:sz w:val="18"/>
          <w:szCs w:val="18"/>
        </w:rPr>
        <w:t xml:space="preserve"> </w:t>
      </w:r>
      <w:r>
        <w:rPr>
          <w:color w:val="231F20"/>
          <w:sz w:val="18"/>
          <w:szCs w:val="18"/>
        </w:rPr>
        <w:t>their</w:t>
      </w:r>
      <w:r>
        <w:rPr>
          <w:color w:val="231F20"/>
          <w:spacing w:val="-4"/>
          <w:sz w:val="18"/>
          <w:szCs w:val="18"/>
        </w:rPr>
        <w:t xml:space="preserve"> </w:t>
      </w:r>
      <w:r>
        <w:rPr>
          <w:color w:val="231F20"/>
          <w:sz w:val="18"/>
          <w:szCs w:val="18"/>
        </w:rPr>
        <w:t>respective</w:t>
      </w:r>
      <w:r>
        <w:rPr>
          <w:color w:val="231F20"/>
          <w:spacing w:val="-4"/>
          <w:sz w:val="18"/>
          <w:szCs w:val="18"/>
        </w:rPr>
        <w:t xml:space="preserve"> </w:t>
      </w:r>
      <w:r>
        <w:rPr>
          <w:color w:val="231F20"/>
          <w:sz w:val="18"/>
          <w:szCs w:val="18"/>
        </w:rPr>
        <w:t>Connected Persons do not hold any options or warrants or other rights over any unissued Ordinary Shares of the Company.</w:t>
      </w:r>
    </w:p>
    <w:p w14:paraId="4E6378C0" w14:textId="77777777" w:rsidR="00783288" w:rsidRDefault="00783288">
      <w:pPr>
        <w:pStyle w:val="BodyText"/>
        <w:kinsoku w:val="0"/>
        <w:overflowPunct w:val="0"/>
        <w:spacing w:before="3"/>
        <w:rPr>
          <w:sz w:val="20"/>
          <w:szCs w:val="20"/>
        </w:rPr>
      </w:pPr>
    </w:p>
    <w:p w14:paraId="591C3DBB" w14:textId="77777777" w:rsidR="00783288" w:rsidRDefault="00E31420" w:rsidP="00512495">
      <w:pPr>
        <w:pStyle w:val="Heading1"/>
        <w:numPr>
          <w:ilvl w:val="0"/>
          <w:numId w:val="13"/>
        </w:numPr>
        <w:tabs>
          <w:tab w:val="left" w:pos="840"/>
        </w:tabs>
        <w:kinsoku w:val="0"/>
        <w:overflowPunct w:val="0"/>
        <w:spacing w:before="1"/>
        <w:ind w:left="839"/>
        <w:rPr>
          <w:color w:val="231F20"/>
        </w:rPr>
      </w:pPr>
      <w:r>
        <w:rPr>
          <w:color w:val="231F20"/>
        </w:rPr>
        <w:t>Substantial Shareholdings</w:t>
      </w:r>
    </w:p>
    <w:p w14:paraId="2B7922ED" w14:textId="77777777" w:rsidR="00783288" w:rsidRDefault="00783288">
      <w:pPr>
        <w:pStyle w:val="BodyText"/>
        <w:kinsoku w:val="0"/>
        <w:overflowPunct w:val="0"/>
        <w:spacing w:before="5"/>
        <w:rPr>
          <w:b/>
          <w:bCs/>
          <w:sz w:val="21"/>
          <w:szCs w:val="21"/>
        </w:rPr>
      </w:pPr>
    </w:p>
    <w:p w14:paraId="613D9877" w14:textId="77777777" w:rsidR="00783288" w:rsidRDefault="00E31420"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Save for the Directors and their Connected Persons, the following are the interests that represent or will represent directly, 3 per cent, or more of the issued share capital of the Company immediately following Admission.</w:t>
      </w:r>
    </w:p>
    <w:p w14:paraId="130EFA2E" w14:textId="77777777" w:rsidR="00783288" w:rsidRDefault="00783288">
      <w:pPr>
        <w:pStyle w:val="BodyText"/>
        <w:kinsoku w:val="0"/>
        <w:overflowPunct w:val="0"/>
        <w:spacing w:before="9"/>
        <w:rPr>
          <w:sz w:val="20"/>
          <w:szCs w:val="20"/>
        </w:rPr>
      </w:pPr>
    </w:p>
    <w:tbl>
      <w:tblPr>
        <w:tblW w:w="0" w:type="auto"/>
        <w:tblInd w:w="886" w:type="dxa"/>
        <w:tblLayout w:type="fixed"/>
        <w:tblCellMar>
          <w:left w:w="0" w:type="dxa"/>
          <w:right w:w="0" w:type="dxa"/>
        </w:tblCellMar>
        <w:tblLook w:val="0000" w:firstRow="0" w:lastRow="0" w:firstColumn="0" w:lastColumn="0" w:noHBand="0" w:noVBand="0"/>
      </w:tblPr>
      <w:tblGrid>
        <w:gridCol w:w="1377"/>
        <w:gridCol w:w="1276"/>
        <w:gridCol w:w="1722"/>
        <w:gridCol w:w="1680"/>
        <w:gridCol w:w="1559"/>
        <w:gridCol w:w="851"/>
      </w:tblGrid>
      <w:tr w:rsidR="005D186F" w14:paraId="22116022" w14:textId="40669CA2" w:rsidTr="001A7287">
        <w:trPr>
          <w:trHeight w:val="1047"/>
        </w:trPr>
        <w:tc>
          <w:tcPr>
            <w:tcW w:w="1377" w:type="dxa"/>
            <w:tcBorders>
              <w:top w:val="single" w:sz="4" w:space="0" w:color="auto"/>
              <w:left w:val="single" w:sz="4" w:space="0" w:color="auto"/>
              <w:bottom w:val="single" w:sz="4" w:space="0" w:color="auto"/>
              <w:right w:val="single" w:sz="4" w:space="0" w:color="auto"/>
            </w:tcBorders>
          </w:tcPr>
          <w:p w14:paraId="40A06E3C" w14:textId="77777777" w:rsidR="005D186F" w:rsidRPr="006220BB" w:rsidRDefault="005D186F">
            <w:pPr>
              <w:pStyle w:val="TableParagraph"/>
              <w:kinsoku w:val="0"/>
              <w:overflowPunct w:val="0"/>
              <w:spacing w:line="201" w:lineRule="exact"/>
              <w:ind w:left="50"/>
              <w:rPr>
                <w:b/>
                <w:bCs/>
                <w:color w:val="231F20"/>
                <w:sz w:val="14"/>
                <w:szCs w:val="14"/>
              </w:rPr>
            </w:pPr>
            <w:r w:rsidRPr="006220BB">
              <w:rPr>
                <w:b/>
                <w:bCs/>
                <w:color w:val="231F20"/>
                <w:sz w:val="14"/>
                <w:szCs w:val="14"/>
              </w:rPr>
              <w:t>Name</w:t>
            </w:r>
          </w:p>
        </w:tc>
        <w:tc>
          <w:tcPr>
            <w:tcW w:w="1276" w:type="dxa"/>
            <w:tcBorders>
              <w:top w:val="single" w:sz="4" w:space="0" w:color="auto"/>
              <w:left w:val="single" w:sz="4" w:space="0" w:color="auto"/>
              <w:bottom w:val="single" w:sz="4" w:space="0" w:color="auto"/>
              <w:right w:val="single" w:sz="4" w:space="0" w:color="auto"/>
            </w:tcBorders>
          </w:tcPr>
          <w:p w14:paraId="65B1BE20" w14:textId="77777777" w:rsidR="005D186F" w:rsidRPr="006220BB" w:rsidRDefault="005D186F" w:rsidP="001A7287">
            <w:pPr>
              <w:pStyle w:val="TableParagraph"/>
              <w:kinsoku w:val="0"/>
              <w:overflowPunct w:val="0"/>
              <w:spacing w:line="259" w:lineRule="auto"/>
              <w:ind w:left="3" w:right="117" w:hanging="2"/>
              <w:rPr>
                <w:b/>
                <w:bCs/>
                <w:color w:val="231F20"/>
                <w:sz w:val="14"/>
                <w:szCs w:val="14"/>
              </w:rPr>
            </w:pPr>
            <w:r w:rsidRPr="006220BB">
              <w:rPr>
                <w:b/>
                <w:bCs/>
                <w:color w:val="231F20"/>
                <w:sz w:val="14"/>
                <w:szCs w:val="14"/>
              </w:rPr>
              <w:t>Number of Ordinary Shares as at date of this Document</w:t>
            </w:r>
          </w:p>
        </w:tc>
        <w:tc>
          <w:tcPr>
            <w:tcW w:w="1722" w:type="dxa"/>
            <w:tcBorders>
              <w:top w:val="single" w:sz="4" w:space="0" w:color="auto"/>
              <w:left w:val="single" w:sz="4" w:space="0" w:color="auto"/>
              <w:bottom w:val="single" w:sz="4" w:space="0" w:color="auto"/>
              <w:right w:val="single" w:sz="4" w:space="0" w:color="auto"/>
            </w:tcBorders>
          </w:tcPr>
          <w:p w14:paraId="6ED7B2A8" w14:textId="77777777" w:rsidR="005D186F" w:rsidRPr="006220BB" w:rsidRDefault="005D186F" w:rsidP="001A7287">
            <w:pPr>
              <w:pStyle w:val="TableParagraph"/>
              <w:kinsoku w:val="0"/>
              <w:overflowPunct w:val="0"/>
              <w:spacing w:line="259" w:lineRule="auto"/>
              <w:ind w:left="4" w:right="115"/>
              <w:rPr>
                <w:b/>
                <w:bCs/>
                <w:color w:val="231F20"/>
                <w:sz w:val="14"/>
                <w:szCs w:val="14"/>
              </w:rPr>
            </w:pPr>
            <w:r w:rsidRPr="006220BB">
              <w:rPr>
                <w:b/>
                <w:bCs/>
                <w:color w:val="231F20"/>
                <w:sz w:val="14"/>
                <w:szCs w:val="14"/>
              </w:rPr>
              <w:t>% of Existing Ordinary Share Capital</w:t>
            </w:r>
          </w:p>
        </w:tc>
        <w:tc>
          <w:tcPr>
            <w:tcW w:w="1680" w:type="dxa"/>
            <w:tcBorders>
              <w:top w:val="single" w:sz="4" w:space="0" w:color="auto"/>
              <w:left w:val="single" w:sz="4" w:space="0" w:color="auto"/>
              <w:bottom w:val="single" w:sz="4" w:space="0" w:color="auto"/>
              <w:right w:val="single" w:sz="4" w:space="0" w:color="auto"/>
            </w:tcBorders>
          </w:tcPr>
          <w:p w14:paraId="63EDB97C" w14:textId="1FE6F7D4" w:rsidR="005D186F" w:rsidRPr="006220BB" w:rsidRDefault="005D186F" w:rsidP="001A7287">
            <w:pPr>
              <w:pStyle w:val="TableParagraph"/>
              <w:kinsoku w:val="0"/>
              <w:overflowPunct w:val="0"/>
              <w:spacing w:line="259" w:lineRule="auto"/>
              <w:ind w:right="187"/>
              <w:rPr>
                <w:b/>
                <w:bCs/>
                <w:color w:val="231F20"/>
                <w:sz w:val="14"/>
                <w:szCs w:val="14"/>
              </w:rPr>
            </w:pPr>
            <w:r w:rsidRPr="006220BB">
              <w:rPr>
                <w:b/>
                <w:bCs/>
                <w:color w:val="231F20"/>
                <w:sz w:val="14"/>
                <w:szCs w:val="14"/>
              </w:rPr>
              <w:t>Number of Ordinary Shares as at Admission</w:t>
            </w:r>
            <w:r>
              <w:rPr>
                <w:b/>
                <w:bCs/>
                <w:color w:val="231F20"/>
                <w:sz w:val="14"/>
                <w:szCs w:val="14"/>
              </w:rPr>
              <w:t xml:space="preserve"> (pre/post exercise of </w:t>
            </w:r>
            <w:r w:rsidR="00FF538D">
              <w:rPr>
                <w:b/>
                <w:bCs/>
                <w:color w:val="231F20"/>
                <w:sz w:val="14"/>
                <w:szCs w:val="14"/>
              </w:rPr>
              <w:t xml:space="preserve">Labrador Consideration </w:t>
            </w:r>
            <w:proofErr w:type="gramStart"/>
            <w:r>
              <w:rPr>
                <w:b/>
                <w:bCs/>
                <w:color w:val="231F20"/>
                <w:sz w:val="14"/>
                <w:szCs w:val="14"/>
              </w:rPr>
              <w:t>Warrants)</w:t>
            </w:r>
            <w:r w:rsidR="00FF538D">
              <w:rPr>
                <w:b/>
                <w:bCs/>
                <w:color w:val="231F20"/>
                <w:sz w:val="14"/>
                <w:szCs w:val="14"/>
              </w:rPr>
              <w:t>*</w:t>
            </w:r>
            <w:proofErr w:type="gramEnd"/>
          </w:p>
        </w:tc>
        <w:tc>
          <w:tcPr>
            <w:tcW w:w="1559" w:type="dxa"/>
            <w:tcBorders>
              <w:top w:val="single" w:sz="4" w:space="0" w:color="auto"/>
              <w:left w:val="single" w:sz="4" w:space="0" w:color="auto"/>
              <w:bottom w:val="single" w:sz="4" w:space="0" w:color="auto"/>
              <w:right w:val="single" w:sz="4" w:space="0" w:color="auto"/>
            </w:tcBorders>
          </w:tcPr>
          <w:p w14:paraId="31F1BDF6" w14:textId="537EB63B" w:rsidR="005D186F" w:rsidRPr="006220BB" w:rsidRDefault="005D186F" w:rsidP="001A7287">
            <w:pPr>
              <w:pStyle w:val="TableParagraph"/>
              <w:kinsoku w:val="0"/>
              <w:overflowPunct w:val="0"/>
              <w:spacing w:line="259" w:lineRule="auto"/>
              <w:ind w:left="1" w:right="32"/>
              <w:rPr>
                <w:b/>
                <w:bCs/>
                <w:color w:val="231F20"/>
                <w:sz w:val="14"/>
                <w:szCs w:val="14"/>
              </w:rPr>
            </w:pPr>
            <w:r w:rsidRPr="006220BB">
              <w:rPr>
                <w:b/>
                <w:bCs/>
                <w:color w:val="231F20"/>
                <w:sz w:val="14"/>
                <w:szCs w:val="14"/>
              </w:rPr>
              <w:t>% of the Enlarged Ordinary Share Capital</w:t>
            </w:r>
            <w:r w:rsidR="00FF538D">
              <w:rPr>
                <w:b/>
                <w:bCs/>
                <w:color w:val="231F20"/>
                <w:sz w:val="14"/>
                <w:szCs w:val="14"/>
              </w:rPr>
              <w:t>/issued ordinary share capital</w:t>
            </w:r>
            <w:r>
              <w:rPr>
                <w:b/>
                <w:bCs/>
                <w:color w:val="231F20"/>
                <w:sz w:val="14"/>
                <w:szCs w:val="14"/>
              </w:rPr>
              <w:t xml:space="preserve"> post </w:t>
            </w:r>
            <w:r w:rsidR="00F80BD7">
              <w:rPr>
                <w:b/>
                <w:bCs/>
                <w:color w:val="231F20"/>
                <w:sz w:val="14"/>
                <w:szCs w:val="14"/>
              </w:rPr>
              <w:t xml:space="preserve">exercise of </w:t>
            </w:r>
            <w:r w:rsidR="00FF538D">
              <w:rPr>
                <w:b/>
                <w:bCs/>
                <w:color w:val="231F20"/>
                <w:sz w:val="14"/>
                <w:szCs w:val="14"/>
              </w:rPr>
              <w:t xml:space="preserve">Labrador Consideration </w:t>
            </w:r>
            <w:r>
              <w:rPr>
                <w:b/>
                <w:bCs/>
                <w:color w:val="231F20"/>
                <w:sz w:val="14"/>
                <w:szCs w:val="14"/>
              </w:rPr>
              <w:t>Warrants</w:t>
            </w:r>
            <w:r w:rsidR="00FF538D">
              <w:rPr>
                <w:b/>
                <w:bCs/>
                <w:color w:val="231F20"/>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B93D070" w14:textId="46AC2749" w:rsidR="005D186F" w:rsidRPr="006220BB" w:rsidRDefault="005D186F" w:rsidP="001A7287">
            <w:pPr>
              <w:pStyle w:val="TableParagraph"/>
              <w:kinsoku w:val="0"/>
              <w:overflowPunct w:val="0"/>
              <w:spacing w:line="360" w:lineRule="auto"/>
              <w:ind w:right="32"/>
              <w:rPr>
                <w:b/>
                <w:bCs/>
                <w:color w:val="231F20"/>
                <w:sz w:val="14"/>
                <w:szCs w:val="14"/>
              </w:rPr>
            </w:pPr>
            <w:r>
              <w:rPr>
                <w:b/>
                <w:bCs/>
                <w:color w:val="231F20"/>
                <w:sz w:val="14"/>
                <w:szCs w:val="14"/>
              </w:rPr>
              <w:t>%</w:t>
            </w:r>
            <w:r w:rsidR="004A0FC8">
              <w:rPr>
                <w:b/>
                <w:bCs/>
                <w:color w:val="231F20"/>
                <w:sz w:val="14"/>
                <w:szCs w:val="14"/>
              </w:rPr>
              <w:t xml:space="preserve"> </w:t>
            </w:r>
            <w:proofErr w:type="gramStart"/>
            <w:r w:rsidR="004A0FC8">
              <w:rPr>
                <w:b/>
                <w:bCs/>
                <w:color w:val="231F20"/>
                <w:sz w:val="14"/>
                <w:szCs w:val="14"/>
              </w:rPr>
              <w:t xml:space="preserve">of </w:t>
            </w:r>
            <w:r>
              <w:rPr>
                <w:b/>
                <w:bCs/>
                <w:color w:val="231F20"/>
                <w:sz w:val="14"/>
                <w:szCs w:val="14"/>
              </w:rPr>
              <w:t xml:space="preserve"> Dilution</w:t>
            </w:r>
            <w:proofErr w:type="gramEnd"/>
            <w:r w:rsidR="00FF538D">
              <w:rPr>
                <w:b/>
                <w:bCs/>
                <w:color w:val="231F20"/>
                <w:sz w:val="14"/>
                <w:szCs w:val="14"/>
              </w:rPr>
              <w:t xml:space="preserve"> (pre/post exercise of Labrador Consideration Warrants)*.</w:t>
            </w:r>
          </w:p>
        </w:tc>
      </w:tr>
      <w:tr w:rsidR="005D186F" w14:paraId="3C3B803A" w14:textId="30B02D82" w:rsidTr="001A7287">
        <w:trPr>
          <w:trHeight w:val="409"/>
        </w:trPr>
        <w:tc>
          <w:tcPr>
            <w:tcW w:w="1377" w:type="dxa"/>
            <w:tcBorders>
              <w:top w:val="single" w:sz="4" w:space="0" w:color="auto"/>
              <w:left w:val="single" w:sz="4" w:space="0" w:color="auto"/>
              <w:bottom w:val="single" w:sz="4" w:space="0" w:color="auto"/>
              <w:right w:val="single" w:sz="4" w:space="0" w:color="auto"/>
            </w:tcBorders>
          </w:tcPr>
          <w:p w14:paraId="0FA1C30F" w14:textId="77777777" w:rsidR="005D186F" w:rsidRPr="006220BB" w:rsidRDefault="005D186F">
            <w:pPr>
              <w:pStyle w:val="TableParagraph"/>
              <w:kinsoku w:val="0"/>
              <w:overflowPunct w:val="0"/>
              <w:rPr>
                <w:sz w:val="14"/>
                <w:szCs w:val="14"/>
              </w:rPr>
            </w:pPr>
          </w:p>
          <w:p w14:paraId="4BC4CD99" w14:textId="0534505D" w:rsidR="005D186F" w:rsidRPr="006220BB" w:rsidRDefault="005D186F">
            <w:pPr>
              <w:pStyle w:val="TableParagraph"/>
              <w:kinsoku w:val="0"/>
              <w:overflowPunct w:val="0"/>
              <w:spacing w:before="1" w:line="198" w:lineRule="exact"/>
              <w:ind w:left="50"/>
              <w:rPr>
                <w:color w:val="231F20"/>
                <w:sz w:val="14"/>
                <w:szCs w:val="14"/>
              </w:rPr>
            </w:pPr>
            <w:proofErr w:type="spellStart"/>
            <w:r w:rsidRPr="006220BB">
              <w:rPr>
                <w:color w:val="231F20"/>
                <w:sz w:val="14"/>
                <w:szCs w:val="14"/>
              </w:rPr>
              <w:t>Polymetal</w:t>
            </w:r>
            <w:proofErr w:type="spellEnd"/>
            <w:r w:rsidRPr="006220BB">
              <w:rPr>
                <w:color w:val="231F20"/>
                <w:sz w:val="14"/>
                <w:szCs w:val="14"/>
              </w:rPr>
              <w:t xml:space="preserve"> </w:t>
            </w:r>
          </w:p>
        </w:tc>
        <w:tc>
          <w:tcPr>
            <w:tcW w:w="1276" w:type="dxa"/>
            <w:tcBorders>
              <w:top w:val="single" w:sz="4" w:space="0" w:color="auto"/>
              <w:left w:val="single" w:sz="4" w:space="0" w:color="auto"/>
              <w:bottom w:val="single" w:sz="4" w:space="0" w:color="auto"/>
              <w:right w:val="single" w:sz="4" w:space="0" w:color="auto"/>
            </w:tcBorders>
          </w:tcPr>
          <w:p w14:paraId="5810346E" w14:textId="77777777" w:rsidR="005D186F" w:rsidRPr="006220BB" w:rsidRDefault="005D186F" w:rsidP="001A7287">
            <w:pPr>
              <w:pStyle w:val="TableParagraph"/>
              <w:kinsoku w:val="0"/>
              <w:overflowPunct w:val="0"/>
              <w:ind w:left="3"/>
              <w:rPr>
                <w:sz w:val="14"/>
                <w:szCs w:val="14"/>
              </w:rPr>
            </w:pPr>
          </w:p>
          <w:p w14:paraId="00B8559A" w14:textId="57124238" w:rsidR="005D186F" w:rsidRPr="006220BB" w:rsidRDefault="005D186F" w:rsidP="001A7287">
            <w:pPr>
              <w:pStyle w:val="TableParagraph"/>
              <w:kinsoku w:val="0"/>
              <w:overflowPunct w:val="0"/>
              <w:spacing w:before="1" w:line="198" w:lineRule="exact"/>
              <w:ind w:left="3"/>
              <w:rPr>
                <w:color w:val="231F20"/>
                <w:w w:val="99"/>
                <w:sz w:val="14"/>
                <w:szCs w:val="14"/>
              </w:rPr>
            </w:pPr>
            <w:r w:rsidRPr="006220BB">
              <w:rPr>
                <w:color w:val="231F20"/>
                <w:w w:val="99"/>
                <w:sz w:val="14"/>
                <w:szCs w:val="14"/>
              </w:rPr>
              <w:t>23,333,334</w:t>
            </w:r>
          </w:p>
        </w:tc>
        <w:tc>
          <w:tcPr>
            <w:tcW w:w="1722" w:type="dxa"/>
            <w:tcBorders>
              <w:top w:val="single" w:sz="4" w:space="0" w:color="auto"/>
              <w:left w:val="single" w:sz="4" w:space="0" w:color="auto"/>
              <w:bottom w:val="single" w:sz="4" w:space="0" w:color="auto"/>
              <w:right w:val="single" w:sz="4" w:space="0" w:color="auto"/>
            </w:tcBorders>
          </w:tcPr>
          <w:p w14:paraId="3AB8AF2A" w14:textId="77777777" w:rsidR="005D186F" w:rsidRPr="006220BB" w:rsidRDefault="005D186F" w:rsidP="001A7287">
            <w:pPr>
              <w:pStyle w:val="TableParagraph"/>
              <w:kinsoku w:val="0"/>
              <w:overflowPunct w:val="0"/>
              <w:ind w:left="4"/>
              <w:rPr>
                <w:sz w:val="14"/>
                <w:szCs w:val="14"/>
              </w:rPr>
            </w:pPr>
          </w:p>
          <w:p w14:paraId="5A24BD44" w14:textId="3156BA7E" w:rsidR="005D186F" w:rsidRPr="006220BB" w:rsidRDefault="005D186F" w:rsidP="001A7287">
            <w:pPr>
              <w:pStyle w:val="TableParagraph"/>
              <w:kinsoku w:val="0"/>
              <w:overflowPunct w:val="0"/>
              <w:spacing w:before="1" w:line="198" w:lineRule="exact"/>
              <w:ind w:left="4" w:right="1"/>
              <w:rPr>
                <w:color w:val="231F20"/>
                <w:w w:val="99"/>
                <w:sz w:val="14"/>
                <w:szCs w:val="14"/>
              </w:rPr>
            </w:pPr>
            <w:r w:rsidRPr="006220BB">
              <w:rPr>
                <w:color w:val="231F20"/>
                <w:w w:val="99"/>
                <w:sz w:val="14"/>
                <w:szCs w:val="14"/>
              </w:rPr>
              <w:t>22.90</w:t>
            </w:r>
          </w:p>
        </w:tc>
        <w:tc>
          <w:tcPr>
            <w:tcW w:w="1680" w:type="dxa"/>
            <w:tcBorders>
              <w:top w:val="single" w:sz="4" w:space="0" w:color="auto"/>
              <w:left w:val="single" w:sz="4" w:space="0" w:color="auto"/>
              <w:bottom w:val="single" w:sz="4" w:space="0" w:color="auto"/>
              <w:right w:val="single" w:sz="4" w:space="0" w:color="auto"/>
            </w:tcBorders>
          </w:tcPr>
          <w:p w14:paraId="4E7DCB4B" w14:textId="77777777" w:rsidR="005D186F" w:rsidRPr="006220BB" w:rsidRDefault="005D186F" w:rsidP="001A7287">
            <w:pPr>
              <w:pStyle w:val="TableParagraph"/>
              <w:kinsoku w:val="0"/>
              <w:overflowPunct w:val="0"/>
              <w:rPr>
                <w:sz w:val="14"/>
                <w:szCs w:val="14"/>
              </w:rPr>
            </w:pPr>
          </w:p>
          <w:p w14:paraId="4AECE42C" w14:textId="6E7814CD" w:rsidR="005D186F" w:rsidRPr="006220BB" w:rsidRDefault="005D186F" w:rsidP="001A7287">
            <w:pPr>
              <w:pStyle w:val="TableParagraph"/>
              <w:kinsoku w:val="0"/>
              <w:overflowPunct w:val="0"/>
              <w:spacing w:before="1" w:line="198" w:lineRule="exact"/>
              <w:rPr>
                <w:color w:val="231F20"/>
                <w:sz w:val="14"/>
                <w:szCs w:val="14"/>
              </w:rPr>
            </w:pPr>
            <w:r w:rsidRPr="006220BB">
              <w:rPr>
                <w:color w:val="231F20"/>
                <w:sz w:val="14"/>
                <w:szCs w:val="14"/>
              </w:rPr>
              <w:t>23,333,334</w:t>
            </w:r>
            <w:r w:rsidR="00002F84">
              <w:rPr>
                <w:color w:val="231F20"/>
                <w:sz w:val="14"/>
                <w:szCs w:val="14"/>
              </w:rPr>
              <w:t>/</w:t>
            </w:r>
            <w:r w:rsidR="00B46ABA">
              <w:rPr>
                <w:color w:val="231F20"/>
                <w:sz w:val="14"/>
                <w:szCs w:val="14"/>
              </w:rPr>
              <w:t>23,333,334</w:t>
            </w:r>
          </w:p>
        </w:tc>
        <w:tc>
          <w:tcPr>
            <w:tcW w:w="1559" w:type="dxa"/>
            <w:tcBorders>
              <w:top w:val="single" w:sz="4" w:space="0" w:color="auto"/>
              <w:left w:val="single" w:sz="4" w:space="0" w:color="auto"/>
              <w:bottom w:val="single" w:sz="4" w:space="0" w:color="auto"/>
              <w:right w:val="single" w:sz="4" w:space="0" w:color="auto"/>
            </w:tcBorders>
          </w:tcPr>
          <w:p w14:paraId="7CFA4359" w14:textId="77777777" w:rsidR="005D186F" w:rsidRPr="006220BB" w:rsidRDefault="005D186F" w:rsidP="001A7287">
            <w:pPr>
              <w:pStyle w:val="TableParagraph"/>
              <w:kinsoku w:val="0"/>
              <w:overflowPunct w:val="0"/>
              <w:ind w:left="1"/>
              <w:rPr>
                <w:sz w:val="14"/>
                <w:szCs w:val="14"/>
              </w:rPr>
            </w:pPr>
          </w:p>
          <w:p w14:paraId="27F6A598" w14:textId="2411B14E" w:rsidR="005D186F" w:rsidRPr="006220BB" w:rsidRDefault="00EF4A2B" w:rsidP="001A7287">
            <w:pPr>
              <w:pStyle w:val="TableParagraph"/>
              <w:kinsoku w:val="0"/>
              <w:overflowPunct w:val="0"/>
              <w:spacing w:before="1" w:line="198" w:lineRule="exact"/>
              <w:ind w:left="1"/>
              <w:rPr>
                <w:color w:val="231F20"/>
                <w:sz w:val="14"/>
                <w:szCs w:val="14"/>
              </w:rPr>
            </w:pPr>
            <w:r>
              <w:rPr>
                <w:sz w:val="14"/>
                <w:szCs w:val="14"/>
              </w:rPr>
              <w:t>19.44/17.80</w:t>
            </w:r>
          </w:p>
        </w:tc>
        <w:tc>
          <w:tcPr>
            <w:tcW w:w="851" w:type="dxa"/>
            <w:tcBorders>
              <w:top w:val="single" w:sz="4" w:space="0" w:color="auto"/>
              <w:left w:val="single" w:sz="4" w:space="0" w:color="auto"/>
              <w:bottom w:val="single" w:sz="4" w:space="0" w:color="auto"/>
              <w:right w:val="single" w:sz="4" w:space="0" w:color="auto"/>
            </w:tcBorders>
          </w:tcPr>
          <w:p w14:paraId="3B2A11C9" w14:textId="77777777" w:rsidR="005D186F" w:rsidRDefault="005D186F" w:rsidP="001A7287">
            <w:pPr>
              <w:pStyle w:val="TableParagraph"/>
              <w:kinsoku w:val="0"/>
              <w:overflowPunct w:val="0"/>
              <w:rPr>
                <w:sz w:val="14"/>
                <w:szCs w:val="14"/>
              </w:rPr>
            </w:pPr>
          </w:p>
          <w:p w14:paraId="71CE9F60" w14:textId="556C00F9" w:rsidR="005D186F" w:rsidRPr="006220BB" w:rsidRDefault="00DE5D2A" w:rsidP="001A7287">
            <w:pPr>
              <w:pStyle w:val="TableParagraph"/>
              <w:kinsoku w:val="0"/>
              <w:overflowPunct w:val="0"/>
              <w:rPr>
                <w:sz w:val="14"/>
                <w:szCs w:val="14"/>
              </w:rPr>
            </w:pPr>
            <w:r>
              <w:rPr>
                <w:sz w:val="14"/>
                <w:szCs w:val="14"/>
              </w:rPr>
              <w:t>15.07/22.26</w:t>
            </w:r>
          </w:p>
        </w:tc>
      </w:tr>
      <w:tr w:rsidR="005D186F" w14:paraId="193E0303" w14:textId="1EC52D33" w:rsidTr="001A7287">
        <w:trPr>
          <w:trHeight w:val="431"/>
        </w:trPr>
        <w:tc>
          <w:tcPr>
            <w:tcW w:w="1377" w:type="dxa"/>
            <w:tcBorders>
              <w:top w:val="single" w:sz="4" w:space="0" w:color="auto"/>
              <w:left w:val="single" w:sz="4" w:space="0" w:color="auto"/>
              <w:bottom w:val="single" w:sz="4" w:space="0" w:color="auto"/>
              <w:right w:val="single" w:sz="4" w:space="0" w:color="auto"/>
            </w:tcBorders>
          </w:tcPr>
          <w:p w14:paraId="5A29DBAC" w14:textId="77777777" w:rsidR="005D186F" w:rsidRPr="006220BB" w:rsidRDefault="005D186F">
            <w:pPr>
              <w:pStyle w:val="TableParagraph"/>
              <w:kinsoku w:val="0"/>
              <w:overflowPunct w:val="0"/>
              <w:spacing w:before="16" w:line="200" w:lineRule="exact"/>
              <w:ind w:left="50"/>
              <w:rPr>
                <w:color w:val="231F20"/>
                <w:sz w:val="14"/>
                <w:szCs w:val="14"/>
              </w:rPr>
            </w:pPr>
            <w:r w:rsidRPr="006220BB">
              <w:rPr>
                <w:color w:val="231F20"/>
                <w:sz w:val="14"/>
                <w:szCs w:val="14"/>
              </w:rPr>
              <w:t xml:space="preserve">Claudio </w:t>
            </w:r>
            <w:proofErr w:type="spellStart"/>
            <w:r w:rsidRPr="006220BB">
              <w:rPr>
                <w:color w:val="231F20"/>
                <w:sz w:val="14"/>
                <w:szCs w:val="14"/>
              </w:rPr>
              <w:t>Ciaverella</w:t>
            </w:r>
            <w:proofErr w:type="spellEnd"/>
          </w:p>
        </w:tc>
        <w:tc>
          <w:tcPr>
            <w:tcW w:w="1276" w:type="dxa"/>
            <w:tcBorders>
              <w:top w:val="single" w:sz="4" w:space="0" w:color="auto"/>
              <w:left w:val="single" w:sz="4" w:space="0" w:color="auto"/>
              <w:bottom w:val="single" w:sz="4" w:space="0" w:color="auto"/>
              <w:right w:val="single" w:sz="4" w:space="0" w:color="auto"/>
            </w:tcBorders>
          </w:tcPr>
          <w:p w14:paraId="12DD3DA3" w14:textId="77777777" w:rsidR="005D186F" w:rsidRPr="006220BB" w:rsidRDefault="005D186F" w:rsidP="001A7287">
            <w:pPr>
              <w:pStyle w:val="TableParagraph"/>
              <w:kinsoku w:val="0"/>
              <w:overflowPunct w:val="0"/>
              <w:spacing w:before="9"/>
              <w:ind w:left="3"/>
              <w:rPr>
                <w:sz w:val="14"/>
                <w:szCs w:val="14"/>
              </w:rPr>
            </w:pPr>
          </w:p>
          <w:p w14:paraId="4C925C1F" w14:textId="265C26D6" w:rsidR="005D186F" w:rsidRPr="006220BB" w:rsidRDefault="00EF4A2B" w:rsidP="001A7287">
            <w:pPr>
              <w:pStyle w:val="TableParagraph"/>
              <w:kinsoku w:val="0"/>
              <w:overflowPunct w:val="0"/>
              <w:spacing w:before="1" w:line="200" w:lineRule="exact"/>
              <w:ind w:left="3" w:right="410"/>
              <w:rPr>
                <w:color w:val="231F20"/>
                <w:sz w:val="14"/>
                <w:szCs w:val="14"/>
              </w:rPr>
            </w:pPr>
            <w:r>
              <w:rPr>
                <w:color w:val="231F20"/>
                <w:sz w:val="14"/>
                <w:szCs w:val="14"/>
              </w:rPr>
              <w:t>4,440,000</w:t>
            </w:r>
          </w:p>
        </w:tc>
        <w:tc>
          <w:tcPr>
            <w:tcW w:w="1722" w:type="dxa"/>
            <w:tcBorders>
              <w:top w:val="single" w:sz="4" w:space="0" w:color="auto"/>
              <w:left w:val="single" w:sz="4" w:space="0" w:color="auto"/>
              <w:bottom w:val="single" w:sz="4" w:space="0" w:color="auto"/>
              <w:right w:val="single" w:sz="4" w:space="0" w:color="auto"/>
            </w:tcBorders>
          </w:tcPr>
          <w:p w14:paraId="25E4FD29" w14:textId="77777777" w:rsidR="005D186F" w:rsidRPr="006220BB" w:rsidRDefault="005D186F" w:rsidP="001A7287">
            <w:pPr>
              <w:pStyle w:val="TableParagraph"/>
              <w:kinsoku w:val="0"/>
              <w:overflowPunct w:val="0"/>
              <w:spacing w:before="9"/>
              <w:ind w:left="4"/>
              <w:rPr>
                <w:sz w:val="14"/>
                <w:szCs w:val="14"/>
              </w:rPr>
            </w:pPr>
          </w:p>
          <w:p w14:paraId="5CD0D6F3" w14:textId="384AA307" w:rsidR="005D186F" w:rsidRPr="006220BB" w:rsidRDefault="005D186F" w:rsidP="001A7287">
            <w:pPr>
              <w:pStyle w:val="TableParagraph"/>
              <w:kinsoku w:val="0"/>
              <w:overflowPunct w:val="0"/>
              <w:spacing w:before="1" w:line="200" w:lineRule="exact"/>
              <w:ind w:left="4" w:right="115"/>
              <w:rPr>
                <w:color w:val="231F20"/>
                <w:sz w:val="14"/>
                <w:szCs w:val="14"/>
              </w:rPr>
            </w:pPr>
            <w:r w:rsidRPr="006220BB">
              <w:rPr>
                <w:color w:val="231F20"/>
                <w:sz w:val="14"/>
                <w:szCs w:val="14"/>
              </w:rPr>
              <w:t>4.</w:t>
            </w:r>
            <w:r w:rsidR="00D1559C">
              <w:rPr>
                <w:color w:val="231F20"/>
                <w:sz w:val="14"/>
                <w:szCs w:val="14"/>
              </w:rPr>
              <w:t>36</w:t>
            </w:r>
          </w:p>
        </w:tc>
        <w:tc>
          <w:tcPr>
            <w:tcW w:w="1680" w:type="dxa"/>
            <w:tcBorders>
              <w:top w:val="single" w:sz="4" w:space="0" w:color="auto"/>
              <w:left w:val="single" w:sz="4" w:space="0" w:color="auto"/>
              <w:bottom w:val="single" w:sz="4" w:space="0" w:color="auto"/>
              <w:right w:val="single" w:sz="4" w:space="0" w:color="auto"/>
            </w:tcBorders>
          </w:tcPr>
          <w:p w14:paraId="52D305F0" w14:textId="77777777" w:rsidR="005D186F" w:rsidRPr="006220BB" w:rsidRDefault="005D186F" w:rsidP="001A7287">
            <w:pPr>
              <w:pStyle w:val="TableParagraph"/>
              <w:kinsoku w:val="0"/>
              <w:overflowPunct w:val="0"/>
              <w:spacing w:before="9"/>
              <w:rPr>
                <w:sz w:val="14"/>
                <w:szCs w:val="14"/>
              </w:rPr>
            </w:pPr>
          </w:p>
          <w:p w14:paraId="0497A3FB" w14:textId="61B3F67A" w:rsidR="005D186F" w:rsidRPr="006220BB" w:rsidRDefault="00EF4A2B" w:rsidP="001A7287">
            <w:pPr>
              <w:pStyle w:val="TableParagraph"/>
              <w:kinsoku w:val="0"/>
              <w:overflowPunct w:val="0"/>
              <w:spacing w:before="1" w:line="200" w:lineRule="exact"/>
              <w:rPr>
                <w:color w:val="231F20"/>
                <w:sz w:val="14"/>
                <w:szCs w:val="14"/>
              </w:rPr>
            </w:pPr>
            <w:r>
              <w:rPr>
                <w:sz w:val="14"/>
                <w:szCs w:val="14"/>
              </w:rPr>
              <w:t>4,440,000/4,440,000</w:t>
            </w:r>
          </w:p>
        </w:tc>
        <w:tc>
          <w:tcPr>
            <w:tcW w:w="1559" w:type="dxa"/>
            <w:tcBorders>
              <w:top w:val="single" w:sz="4" w:space="0" w:color="auto"/>
              <w:left w:val="single" w:sz="4" w:space="0" w:color="auto"/>
              <w:bottom w:val="single" w:sz="4" w:space="0" w:color="auto"/>
              <w:right w:val="single" w:sz="4" w:space="0" w:color="auto"/>
            </w:tcBorders>
          </w:tcPr>
          <w:p w14:paraId="487A74DA" w14:textId="77777777" w:rsidR="005D186F" w:rsidRPr="006220BB" w:rsidRDefault="005D186F" w:rsidP="001A7287">
            <w:pPr>
              <w:pStyle w:val="TableParagraph"/>
              <w:kinsoku w:val="0"/>
              <w:overflowPunct w:val="0"/>
              <w:spacing w:before="9"/>
              <w:ind w:left="1"/>
              <w:rPr>
                <w:sz w:val="14"/>
                <w:szCs w:val="14"/>
              </w:rPr>
            </w:pPr>
          </w:p>
          <w:p w14:paraId="1CE1B088" w14:textId="50EB494E" w:rsidR="005D186F" w:rsidRPr="006220BB" w:rsidRDefault="00EF4A2B" w:rsidP="001A7287">
            <w:pPr>
              <w:pStyle w:val="TableParagraph"/>
              <w:kinsoku w:val="0"/>
              <w:overflowPunct w:val="0"/>
              <w:spacing w:before="1" w:line="200" w:lineRule="exact"/>
              <w:ind w:left="1"/>
              <w:rPr>
                <w:color w:val="231F20"/>
                <w:sz w:val="14"/>
                <w:szCs w:val="14"/>
              </w:rPr>
            </w:pPr>
            <w:r>
              <w:rPr>
                <w:sz w:val="14"/>
                <w:szCs w:val="14"/>
              </w:rPr>
              <w:t>3.70/3.39</w:t>
            </w:r>
          </w:p>
        </w:tc>
        <w:tc>
          <w:tcPr>
            <w:tcW w:w="851" w:type="dxa"/>
            <w:tcBorders>
              <w:top w:val="single" w:sz="4" w:space="0" w:color="auto"/>
              <w:left w:val="single" w:sz="4" w:space="0" w:color="auto"/>
              <w:bottom w:val="single" w:sz="4" w:space="0" w:color="auto"/>
              <w:right w:val="single" w:sz="4" w:space="0" w:color="auto"/>
            </w:tcBorders>
          </w:tcPr>
          <w:p w14:paraId="3737BAC0" w14:textId="77777777" w:rsidR="005D186F" w:rsidRDefault="005D186F" w:rsidP="001A7287">
            <w:pPr>
              <w:pStyle w:val="TableParagraph"/>
              <w:kinsoku w:val="0"/>
              <w:overflowPunct w:val="0"/>
              <w:spacing w:before="9"/>
              <w:rPr>
                <w:sz w:val="14"/>
                <w:szCs w:val="14"/>
              </w:rPr>
            </w:pPr>
          </w:p>
          <w:p w14:paraId="0D63B2CE" w14:textId="2B6E280D" w:rsidR="005D186F" w:rsidRPr="006220BB" w:rsidRDefault="00DE5D2A" w:rsidP="001A7287">
            <w:pPr>
              <w:pStyle w:val="TableParagraph"/>
              <w:kinsoku w:val="0"/>
              <w:overflowPunct w:val="0"/>
              <w:spacing w:before="9"/>
              <w:rPr>
                <w:sz w:val="14"/>
                <w:szCs w:val="14"/>
              </w:rPr>
            </w:pPr>
            <w:r>
              <w:rPr>
                <w:sz w:val="14"/>
                <w:szCs w:val="14"/>
              </w:rPr>
              <w:t>15.07/22.26</w:t>
            </w:r>
          </w:p>
        </w:tc>
      </w:tr>
      <w:tr w:rsidR="005D186F" w14:paraId="233C5E75" w14:textId="44CF41EE" w:rsidTr="001A7287">
        <w:trPr>
          <w:trHeight w:val="218"/>
        </w:trPr>
        <w:tc>
          <w:tcPr>
            <w:tcW w:w="1377" w:type="dxa"/>
            <w:tcBorders>
              <w:top w:val="single" w:sz="4" w:space="0" w:color="auto"/>
              <w:left w:val="single" w:sz="4" w:space="0" w:color="auto"/>
              <w:bottom w:val="single" w:sz="4" w:space="0" w:color="auto"/>
              <w:right w:val="single" w:sz="4" w:space="0" w:color="auto"/>
            </w:tcBorders>
          </w:tcPr>
          <w:p w14:paraId="7B064701" w14:textId="77777777" w:rsidR="005D186F" w:rsidRPr="006220BB" w:rsidRDefault="005D186F">
            <w:pPr>
              <w:pStyle w:val="TableParagraph"/>
              <w:kinsoku w:val="0"/>
              <w:overflowPunct w:val="0"/>
              <w:spacing w:before="7" w:line="200" w:lineRule="exact"/>
              <w:ind w:left="50"/>
              <w:rPr>
                <w:color w:val="231F20"/>
                <w:sz w:val="14"/>
                <w:szCs w:val="14"/>
              </w:rPr>
            </w:pPr>
            <w:r w:rsidRPr="006220BB">
              <w:rPr>
                <w:color w:val="231F20"/>
                <w:sz w:val="14"/>
                <w:szCs w:val="14"/>
              </w:rPr>
              <w:t xml:space="preserve">Leo </w:t>
            </w:r>
            <w:proofErr w:type="spellStart"/>
            <w:r w:rsidRPr="006220BB">
              <w:rPr>
                <w:color w:val="231F20"/>
                <w:sz w:val="14"/>
                <w:szCs w:val="14"/>
              </w:rPr>
              <w:t>Berezan</w:t>
            </w:r>
            <w:proofErr w:type="spellEnd"/>
          </w:p>
        </w:tc>
        <w:tc>
          <w:tcPr>
            <w:tcW w:w="1276" w:type="dxa"/>
            <w:tcBorders>
              <w:top w:val="single" w:sz="4" w:space="0" w:color="auto"/>
              <w:left w:val="single" w:sz="4" w:space="0" w:color="auto"/>
              <w:bottom w:val="single" w:sz="4" w:space="0" w:color="auto"/>
              <w:right w:val="single" w:sz="4" w:space="0" w:color="auto"/>
            </w:tcBorders>
          </w:tcPr>
          <w:p w14:paraId="3ADEE50E" w14:textId="7D8FF0D7" w:rsidR="005D186F" w:rsidRPr="006220BB" w:rsidRDefault="00D1559C" w:rsidP="001A7287">
            <w:pPr>
              <w:pStyle w:val="TableParagraph"/>
              <w:kinsoku w:val="0"/>
              <w:overflowPunct w:val="0"/>
              <w:spacing w:before="7" w:line="200" w:lineRule="exact"/>
              <w:ind w:left="3" w:right="410"/>
              <w:rPr>
                <w:color w:val="231F20"/>
                <w:sz w:val="14"/>
                <w:szCs w:val="14"/>
              </w:rPr>
            </w:pPr>
            <w:r>
              <w:rPr>
                <w:color w:val="231F20"/>
                <w:sz w:val="14"/>
                <w:szCs w:val="14"/>
              </w:rPr>
              <w:t>4,201,334</w:t>
            </w:r>
          </w:p>
        </w:tc>
        <w:tc>
          <w:tcPr>
            <w:tcW w:w="1722" w:type="dxa"/>
            <w:tcBorders>
              <w:top w:val="single" w:sz="4" w:space="0" w:color="auto"/>
              <w:left w:val="single" w:sz="4" w:space="0" w:color="auto"/>
              <w:bottom w:val="single" w:sz="4" w:space="0" w:color="auto"/>
              <w:right w:val="single" w:sz="4" w:space="0" w:color="auto"/>
            </w:tcBorders>
          </w:tcPr>
          <w:p w14:paraId="14060EF3" w14:textId="16175C2C" w:rsidR="005D186F" w:rsidRPr="006220BB" w:rsidRDefault="005D186F" w:rsidP="001A7287">
            <w:pPr>
              <w:pStyle w:val="TableParagraph"/>
              <w:kinsoku w:val="0"/>
              <w:overflowPunct w:val="0"/>
              <w:spacing w:before="7" w:line="200" w:lineRule="exact"/>
              <w:ind w:left="4" w:right="115"/>
              <w:rPr>
                <w:color w:val="231F20"/>
                <w:sz w:val="14"/>
                <w:szCs w:val="14"/>
              </w:rPr>
            </w:pPr>
            <w:r w:rsidRPr="006220BB">
              <w:rPr>
                <w:color w:val="231F20"/>
                <w:sz w:val="14"/>
                <w:szCs w:val="14"/>
              </w:rPr>
              <w:t>4.</w:t>
            </w:r>
            <w:r w:rsidR="00D1559C">
              <w:rPr>
                <w:color w:val="231F20"/>
                <w:sz w:val="14"/>
                <w:szCs w:val="14"/>
              </w:rPr>
              <w:t>12</w:t>
            </w:r>
          </w:p>
        </w:tc>
        <w:tc>
          <w:tcPr>
            <w:tcW w:w="1680" w:type="dxa"/>
            <w:tcBorders>
              <w:top w:val="single" w:sz="4" w:space="0" w:color="auto"/>
              <w:left w:val="single" w:sz="4" w:space="0" w:color="auto"/>
              <w:bottom w:val="single" w:sz="4" w:space="0" w:color="auto"/>
              <w:right w:val="single" w:sz="4" w:space="0" w:color="auto"/>
            </w:tcBorders>
          </w:tcPr>
          <w:p w14:paraId="477830FB" w14:textId="1338A630" w:rsidR="005D186F" w:rsidRPr="006220BB" w:rsidRDefault="00D1559C" w:rsidP="001A7287">
            <w:pPr>
              <w:pStyle w:val="TableParagraph"/>
              <w:kinsoku w:val="0"/>
              <w:overflowPunct w:val="0"/>
              <w:spacing w:before="7" w:line="200" w:lineRule="exact"/>
              <w:rPr>
                <w:color w:val="231F20"/>
                <w:sz w:val="14"/>
                <w:szCs w:val="14"/>
              </w:rPr>
            </w:pPr>
            <w:r>
              <w:rPr>
                <w:sz w:val="14"/>
                <w:szCs w:val="14"/>
              </w:rPr>
              <w:t>4,201,334/4,201,334</w:t>
            </w:r>
          </w:p>
        </w:tc>
        <w:tc>
          <w:tcPr>
            <w:tcW w:w="1559" w:type="dxa"/>
            <w:tcBorders>
              <w:top w:val="single" w:sz="4" w:space="0" w:color="auto"/>
              <w:left w:val="single" w:sz="4" w:space="0" w:color="auto"/>
              <w:bottom w:val="single" w:sz="4" w:space="0" w:color="auto"/>
              <w:right w:val="single" w:sz="4" w:space="0" w:color="auto"/>
            </w:tcBorders>
          </w:tcPr>
          <w:p w14:paraId="68FBE991" w14:textId="632C11EB" w:rsidR="005D186F" w:rsidRPr="006220BB" w:rsidRDefault="00D1559C" w:rsidP="001A7287">
            <w:pPr>
              <w:pStyle w:val="TableParagraph"/>
              <w:kinsoku w:val="0"/>
              <w:overflowPunct w:val="0"/>
              <w:spacing w:before="7" w:line="200" w:lineRule="exact"/>
              <w:ind w:left="1"/>
              <w:rPr>
                <w:color w:val="231F20"/>
                <w:sz w:val="14"/>
                <w:szCs w:val="14"/>
              </w:rPr>
            </w:pPr>
            <w:r>
              <w:rPr>
                <w:sz w:val="14"/>
                <w:szCs w:val="14"/>
              </w:rPr>
              <w:t>3.50/3.20</w:t>
            </w:r>
          </w:p>
        </w:tc>
        <w:tc>
          <w:tcPr>
            <w:tcW w:w="851" w:type="dxa"/>
            <w:tcBorders>
              <w:top w:val="single" w:sz="4" w:space="0" w:color="auto"/>
              <w:left w:val="single" w:sz="4" w:space="0" w:color="auto"/>
              <w:bottom w:val="single" w:sz="4" w:space="0" w:color="auto"/>
              <w:right w:val="single" w:sz="4" w:space="0" w:color="auto"/>
            </w:tcBorders>
          </w:tcPr>
          <w:p w14:paraId="5E213109" w14:textId="15B1FC3D" w:rsidR="005D186F" w:rsidRPr="006220BB" w:rsidRDefault="00DE5D2A" w:rsidP="001A7287">
            <w:pPr>
              <w:pStyle w:val="TableParagraph"/>
              <w:kinsoku w:val="0"/>
              <w:overflowPunct w:val="0"/>
              <w:spacing w:before="7" w:line="200" w:lineRule="exact"/>
              <w:rPr>
                <w:color w:val="231F20"/>
                <w:sz w:val="14"/>
                <w:szCs w:val="14"/>
              </w:rPr>
            </w:pPr>
            <w:r>
              <w:rPr>
                <w:sz w:val="14"/>
                <w:szCs w:val="14"/>
              </w:rPr>
              <w:t>15.07/22.26</w:t>
            </w:r>
          </w:p>
        </w:tc>
      </w:tr>
      <w:tr w:rsidR="005D186F" w14:paraId="23F9F249" w14:textId="3A62FD7D" w:rsidTr="001A7287">
        <w:trPr>
          <w:trHeight w:val="542"/>
        </w:trPr>
        <w:tc>
          <w:tcPr>
            <w:tcW w:w="1377" w:type="dxa"/>
            <w:tcBorders>
              <w:top w:val="single" w:sz="4" w:space="0" w:color="auto"/>
              <w:left w:val="single" w:sz="4" w:space="0" w:color="auto"/>
              <w:bottom w:val="single" w:sz="4" w:space="0" w:color="auto"/>
              <w:right w:val="single" w:sz="4" w:space="0" w:color="auto"/>
            </w:tcBorders>
          </w:tcPr>
          <w:p w14:paraId="5E006EDE" w14:textId="7739F336" w:rsidR="005D186F" w:rsidRPr="006220BB" w:rsidRDefault="005D186F">
            <w:pPr>
              <w:pStyle w:val="TableParagraph"/>
              <w:kinsoku w:val="0"/>
              <w:overflowPunct w:val="0"/>
              <w:spacing w:before="7" w:line="259" w:lineRule="auto"/>
              <w:ind w:left="50" w:right="217"/>
              <w:rPr>
                <w:color w:val="231F20"/>
                <w:sz w:val="14"/>
                <w:szCs w:val="14"/>
              </w:rPr>
            </w:pPr>
            <w:r w:rsidRPr="006220BB">
              <w:rPr>
                <w:color w:val="231F20"/>
                <w:sz w:val="14"/>
                <w:szCs w:val="14"/>
              </w:rPr>
              <w:t xml:space="preserve">Kingfisher </w:t>
            </w:r>
          </w:p>
        </w:tc>
        <w:tc>
          <w:tcPr>
            <w:tcW w:w="1276" w:type="dxa"/>
            <w:tcBorders>
              <w:top w:val="single" w:sz="4" w:space="0" w:color="auto"/>
              <w:left w:val="single" w:sz="4" w:space="0" w:color="auto"/>
              <w:bottom w:val="single" w:sz="4" w:space="0" w:color="auto"/>
              <w:right w:val="single" w:sz="4" w:space="0" w:color="auto"/>
            </w:tcBorders>
          </w:tcPr>
          <w:p w14:paraId="51AA159C" w14:textId="77777777" w:rsidR="005D186F" w:rsidRPr="006220BB" w:rsidRDefault="005D186F" w:rsidP="001A7287">
            <w:pPr>
              <w:pStyle w:val="TableParagraph"/>
              <w:kinsoku w:val="0"/>
              <w:overflowPunct w:val="0"/>
              <w:spacing w:before="7"/>
              <w:ind w:left="3" w:right="409"/>
              <w:rPr>
                <w:color w:val="231F20"/>
                <w:sz w:val="14"/>
                <w:szCs w:val="14"/>
              </w:rPr>
            </w:pPr>
            <w:r w:rsidRPr="006220BB">
              <w:rPr>
                <w:color w:val="231F20"/>
                <w:sz w:val="14"/>
                <w:szCs w:val="14"/>
              </w:rPr>
              <w:t>3,350,000</w:t>
            </w:r>
          </w:p>
        </w:tc>
        <w:tc>
          <w:tcPr>
            <w:tcW w:w="1722" w:type="dxa"/>
            <w:tcBorders>
              <w:top w:val="single" w:sz="4" w:space="0" w:color="auto"/>
              <w:left w:val="single" w:sz="4" w:space="0" w:color="auto"/>
              <w:bottom w:val="single" w:sz="4" w:space="0" w:color="auto"/>
              <w:right w:val="single" w:sz="4" w:space="0" w:color="auto"/>
            </w:tcBorders>
          </w:tcPr>
          <w:p w14:paraId="050BEF25" w14:textId="300EBB19" w:rsidR="005D186F" w:rsidRPr="006220BB" w:rsidRDefault="005D186F" w:rsidP="001A7287">
            <w:pPr>
              <w:pStyle w:val="TableParagraph"/>
              <w:kinsoku w:val="0"/>
              <w:overflowPunct w:val="0"/>
              <w:spacing w:before="7"/>
              <w:ind w:left="4" w:right="115"/>
              <w:rPr>
                <w:color w:val="231F20"/>
                <w:sz w:val="14"/>
                <w:szCs w:val="14"/>
              </w:rPr>
            </w:pPr>
            <w:r w:rsidRPr="006220BB">
              <w:rPr>
                <w:color w:val="231F20"/>
                <w:sz w:val="14"/>
                <w:szCs w:val="14"/>
              </w:rPr>
              <w:t>3.29</w:t>
            </w:r>
          </w:p>
        </w:tc>
        <w:tc>
          <w:tcPr>
            <w:tcW w:w="1680" w:type="dxa"/>
            <w:tcBorders>
              <w:top w:val="single" w:sz="4" w:space="0" w:color="auto"/>
              <w:left w:val="single" w:sz="4" w:space="0" w:color="auto"/>
              <w:bottom w:val="single" w:sz="4" w:space="0" w:color="auto"/>
              <w:right w:val="single" w:sz="4" w:space="0" w:color="auto"/>
            </w:tcBorders>
          </w:tcPr>
          <w:p w14:paraId="35E22061" w14:textId="0FC2FE8D" w:rsidR="005D186F" w:rsidRPr="006220BB" w:rsidRDefault="005D186F" w:rsidP="001A7287">
            <w:pPr>
              <w:pStyle w:val="TableParagraph"/>
              <w:kinsoku w:val="0"/>
              <w:overflowPunct w:val="0"/>
              <w:spacing w:before="7"/>
              <w:rPr>
                <w:color w:val="231F20"/>
                <w:sz w:val="14"/>
                <w:szCs w:val="14"/>
              </w:rPr>
            </w:pPr>
            <w:r w:rsidRPr="006220BB">
              <w:rPr>
                <w:color w:val="231F20"/>
                <w:sz w:val="14"/>
                <w:szCs w:val="14"/>
              </w:rPr>
              <w:t>3,350,000</w:t>
            </w:r>
            <w:r>
              <w:rPr>
                <w:color w:val="231F20"/>
                <w:sz w:val="14"/>
                <w:szCs w:val="14"/>
              </w:rPr>
              <w:t>/</w:t>
            </w:r>
            <w:r w:rsidR="00D1559C">
              <w:rPr>
                <w:sz w:val="14"/>
                <w:szCs w:val="14"/>
              </w:rPr>
              <w:t>3,350,000</w:t>
            </w:r>
          </w:p>
        </w:tc>
        <w:tc>
          <w:tcPr>
            <w:tcW w:w="1559" w:type="dxa"/>
            <w:tcBorders>
              <w:top w:val="single" w:sz="4" w:space="0" w:color="auto"/>
              <w:left w:val="single" w:sz="4" w:space="0" w:color="auto"/>
              <w:bottom w:val="single" w:sz="4" w:space="0" w:color="auto"/>
              <w:right w:val="single" w:sz="4" w:space="0" w:color="auto"/>
            </w:tcBorders>
          </w:tcPr>
          <w:p w14:paraId="3F00FD15" w14:textId="4645A13A" w:rsidR="005D186F" w:rsidRPr="006220BB" w:rsidRDefault="00D1559C" w:rsidP="001A7287">
            <w:pPr>
              <w:pStyle w:val="TableParagraph"/>
              <w:kinsoku w:val="0"/>
              <w:overflowPunct w:val="0"/>
              <w:spacing w:before="7"/>
              <w:ind w:left="1"/>
              <w:rPr>
                <w:color w:val="231F20"/>
                <w:sz w:val="14"/>
                <w:szCs w:val="14"/>
              </w:rPr>
            </w:pPr>
            <w:r>
              <w:rPr>
                <w:sz w:val="14"/>
                <w:szCs w:val="14"/>
              </w:rPr>
              <w:t>2.79/2.56</w:t>
            </w:r>
          </w:p>
        </w:tc>
        <w:tc>
          <w:tcPr>
            <w:tcW w:w="851" w:type="dxa"/>
            <w:tcBorders>
              <w:top w:val="single" w:sz="4" w:space="0" w:color="auto"/>
              <w:left w:val="single" w:sz="4" w:space="0" w:color="auto"/>
              <w:bottom w:val="single" w:sz="4" w:space="0" w:color="auto"/>
              <w:right w:val="single" w:sz="4" w:space="0" w:color="auto"/>
            </w:tcBorders>
          </w:tcPr>
          <w:p w14:paraId="02A36860" w14:textId="3240AF78" w:rsidR="005D186F" w:rsidRPr="006220BB" w:rsidRDefault="00DE5D2A" w:rsidP="001A7287">
            <w:pPr>
              <w:pStyle w:val="TableParagraph"/>
              <w:kinsoku w:val="0"/>
              <w:overflowPunct w:val="0"/>
              <w:spacing w:before="7"/>
              <w:rPr>
                <w:color w:val="231F20"/>
                <w:sz w:val="14"/>
                <w:szCs w:val="14"/>
              </w:rPr>
            </w:pPr>
            <w:r>
              <w:rPr>
                <w:sz w:val="14"/>
                <w:szCs w:val="14"/>
              </w:rPr>
              <w:t>15.07/22.26</w:t>
            </w:r>
          </w:p>
        </w:tc>
      </w:tr>
      <w:tr w:rsidR="005D186F" w14:paraId="72FF64F1" w14:textId="51E7D4AF" w:rsidTr="001A7287">
        <w:trPr>
          <w:trHeight w:val="542"/>
        </w:trPr>
        <w:tc>
          <w:tcPr>
            <w:tcW w:w="1377" w:type="dxa"/>
            <w:tcBorders>
              <w:top w:val="single" w:sz="4" w:space="0" w:color="auto"/>
              <w:left w:val="single" w:sz="4" w:space="0" w:color="auto"/>
              <w:bottom w:val="single" w:sz="4" w:space="0" w:color="auto"/>
              <w:right w:val="single" w:sz="4" w:space="0" w:color="auto"/>
            </w:tcBorders>
          </w:tcPr>
          <w:p w14:paraId="193C4B1B" w14:textId="4B06172F" w:rsidR="005D186F" w:rsidRPr="006220BB" w:rsidRDefault="005D186F">
            <w:pPr>
              <w:pStyle w:val="TableParagraph"/>
              <w:kinsoku w:val="0"/>
              <w:overflowPunct w:val="0"/>
              <w:spacing w:before="7" w:line="259" w:lineRule="auto"/>
              <w:ind w:left="50" w:right="217"/>
              <w:rPr>
                <w:color w:val="231F20"/>
                <w:sz w:val="14"/>
                <w:szCs w:val="14"/>
              </w:rPr>
            </w:pPr>
            <w:r>
              <w:rPr>
                <w:color w:val="231F20"/>
                <w:sz w:val="14"/>
                <w:szCs w:val="14"/>
              </w:rPr>
              <w:t>Martin French</w:t>
            </w:r>
          </w:p>
        </w:tc>
        <w:tc>
          <w:tcPr>
            <w:tcW w:w="1276" w:type="dxa"/>
            <w:tcBorders>
              <w:top w:val="single" w:sz="4" w:space="0" w:color="auto"/>
              <w:left w:val="single" w:sz="4" w:space="0" w:color="auto"/>
              <w:bottom w:val="single" w:sz="4" w:space="0" w:color="auto"/>
              <w:right w:val="single" w:sz="4" w:space="0" w:color="auto"/>
            </w:tcBorders>
          </w:tcPr>
          <w:p w14:paraId="391A155D" w14:textId="141C2889" w:rsidR="005D186F" w:rsidRPr="006220BB" w:rsidRDefault="005D186F" w:rsidP="001A7287">
            <w:pPr>
              <w:pStyle w:val="TableParagraph"/>
              <w:kinsoku w:val="0"/>
              <w:overflowPunct w:val="0"/>
              <w:spacing w:before="7"/>
              <w:ind w:left="3" w:right="409"/>
              <w:rPr>
                <w:color w:val="231F20"/>
                <w:sz w:val="14"/>
                <w:szCs w:val="14"/>
              </w:rPr>
            </w:pPr>
            <w:r>
              <w:rPr>
                <w:color w:val="231F20"/>
                <w:sz w:val="14"/>
                <w:szCs w:val="14"/>
              </w:rPr>
              <w:t>3,175,000</w:t>
            </w:r>
          </w:p>
        </w:tc>
        <w:tc>
          <w:tcPr>
            <w:tcW w:w="1722" w:type="dxa"/>
            <w:tcBorders>
              <w:top w:val="single" w:sz="4" w:space="0" w:color="auto"/>
              <w:left w:val="single" w:sz="4" w:space="0" w:color="auto"/>
              <w:bottom w:val="single" w:sz="4" w:space="0" w:color="auto"/>
              <w:right w:val="single" w:sz="4" w:space="0" w:color="auto"/>
            </w:tcBorders>
          </w:tcPr>
          <w:p w14:paraId="38B2605C" w14:textId="4C5C04FE" w:rsidR="005D186F" w:rsidRPr="006220BB" w:rsidRDefault="005D186F" w:rsidP="001A7287">
            <w:pPr>
              <w:pStyle w:val="TableParagraph"/>
              <w:kinsoku w:val="0"/>
              <w:overflowPunct w:val="0"/>
              <w:spacing w:before="7"/>
              <w:ind w:left="4" w:right="115"/>
              <w:rPr>
                <w:color w:val="231F20"/>
                <w:sz w:val="14"/>
                <w:szCs w:val="14"/>
              </w:rPr>
            </w:pPr>
            <w:r>
              <w:rPr>
                <w:color w:val="231F20"/>
                <w:sz w:val="14"/>
                <w:szCs w:val="14"/>
              </w:rPr>
              <w:t>3.12</w:t>
            </w:r>
          </w:p>
        </w:tc>
        <w:tc>
          <w:tcPr>
            <w:tcW w:w="1680" w:type="dxa"/>
            <w:tcBorders>
              <w:top w:val="single" w:sz="4" w:space="0" w:color="auto"/>
              <w:left w:val="single" w:sz="4" w:space="0" w:color="auto"/>
              <w:bottom w:val="single" w:sz="4" w:space="0" w:color="auto"/>
              <w:right w:val="single" w:sz="4" w:space="0" w:color="auto"/>
            </w:tcBorders>
          </w:tcPr>
          <w:p w14:paraId="2E277F84" w14:textId="6ABE8D5C" w:rsidR="005D186F" w:rsidRPr="006220BB" w:rsidRDefault="00D1559C" w:rsidP="001A7287">
            <w:pPr>
              <w:pStyle w:val="TableParagraph"/>
              <w:kinsoku w:val="0"/>
              <w:overflowPunct w:val="0"/>
              <w:spacing w:before="7"/>
              <w:rPr>
                <w:color w:val="231F20"/>
                <w:sz w:val="14"/>
                <w:szCs w:val="14"/>
              </w:rPr>
            </w:pPr>
            <w:r>
              <w:rPr>
                <w:sz w:val="14"/>
                <w:szCs w:val="14"/>
              </w:rPr>
              <w:t>3,175,000/3,175,000</w:t>
            </w:r>
          </w:p>
        </w:tc>
        <w:tc>
          <w:tcPr>
            <w:tcW w:w="1559" w:type="dxa"/>
            <w:tcBorders>
              <w:top w:val="single" w:sz="4" w:space="0" w:color="auto"/>
              <w:left w:val="single" w:sz="4" w:space="0" w:color="auto"/>
              <w:bottom w:val="single" w:sz="4" w:space="0" w:color="auto"/>
              <w:right w:val="single" w:sz="4" w:space="0" w:color="auto"/>
            </w:tcBorders>
          </w:tcPr>
          <w:p w14:paraId="3C53B97B" w14:textId="6AE11DB4" w:rsidR="005D186F" w:rsidRPr="006220BB" w:rsidRDefault="00D1559C" w:rsidP="001A7287">
            <w:pPr>
              <w:pStyle w:val="TableParagraph"/>
              <w:kinsoku w:val="0"/>
              <w:overflowPunct w:val="0"/>
              <w:spacing w:before="7"/>
              <w:ind w:left="1"/>
              <w:rPr>
                <w:color w:val="231F20"/>
                <w:sz w:val="14"/>
                <w:szCs w:val="14"/>
              </w:rPr>
            </w:pPr>
            <w:r>
              <w:rPr>
                <w:sz w:val="14"/>
                <w:szCs w:val="14"/>
              </w:rPr>
              <w:t>2.65/2.42</w:t>
            </w:r>
          </w:p>
        </w:tc>
        <w:tc>
          <w:tcPr>
            <w:tcW w:w="851" w:type="dxa"/>
            <w:tcBorders>
              <w:top w:val="single" w:sz="4" w:space="0" w:color="auto"/>
              <w:left w:val="single" w:sz="4" w:space="0" w:color="auto"/>
              <w:bottom w:val="single" w:sz="4" w:space="0" w:color="auto"/>
              <w:right w:val="single" w:sz="4" w:space="0" w:color="auto"/>
            </w:tcBorders>
          </w:tcPr>
          <w:p w14:paraId="45D7250D" w14:textId="75974C6B" w:rsidR="005D186F" w:rsidRPr="006220BB" w:rsidRDefault="00DE5D2A" w:rsidP="001A7287">
            <w:pPr>
              <w:pStyle w:val="TableParagraph"/>
              <w:kinsoku w:val="0"/>
              <w:overflowPunct w:val="0"/>
              <w:spacing w:before="7"/>
              <w:rPr>
                <w:color w:val="231F20"/>
                <w:sz w:val="14"/>
                <w:szCs w:val="14"/>
              </w:rPr>
            </w:pPr>
            <w:r>
              <w:rPr>
                <w:sz w:val="14"/>
                <w:szCs w:val="14"/>
              </w:rPr>
              <w:t>15.07/22.26</w:t>
            </w:r>
          </w:p>
        </w:tc>
      </w:tr>
      <w:tr w:rsidR="00D1559C" w14:paraId="07475595" w14:textId="77777777" w:rsidTr="001A7287">
        <w:trPr>
          <w:trHeight w:val="542"/>
        </w:trPr>
        <w:tc>
          <w:tcPr>
            <w:tcW w:w="1377" w:type="dxa"/>
            <w:tcBorders>
              <w:top w:val="single" w:sz="4" w:space="0" w:color="auto"/>
              <w:left w:val="single" w:sz="4" w:space="0" w:color="auto"/>
              <w:bottom w:val="single" w:sz="4" w:space="0" w:color="auto"/>
              <w:right w:val="single" w:sz="4" w:space="0" w:color="auto"/>
            </w:tcBorders>
          </w:tcPr>
          <w:p w14:paraId="343ACFBB" w14:textId="19A84463" w:rsidR="00D1559C" w:rsidRDefault="00D1559C">
            <w:pPr>
              <w:pStyle w:val="TableParagraph"/>
              <w:kinsoku w:val="0"/>
              <w:overflowPunct w:val="0"/>
              <w:spacing w:before="7" w:line="259" w:lineRule="auto"/>
              <w:ind w:left="50" w:right="217"/>
              <w:rPr>
                <w:color w:val="231F20"/>
                <w:sz w:val="14"/>
                <w:szCs w:val="14"/>
              </w:rPr>
            </w:pPr>
            <w:r>
              <w:rPr>
                <w:color w:val="231F20"/>
                <w:sz w:val="14"/>
                <w:szCs w:val="14"/>
              </w:rPr>
              <w:t>Robert McFadden</w:t>
            </w:r>
          </w:p>
        </w:tc>
        <w:tc>
          <w:tcPr>
            <w:tcW w:w="1276" w:type="dxa"/>
            <w:tcBorders>
              <w:top w:val="single" w:sz="4" w:space="0" w:color="auto"/>
              <w:left w:val="single" w:sz="4" w:space="0" w:color="auto"/>
              <w:bottom w:val="single" w:sz="4" w:space="0" w:color="auto"/>
              <w:right w:val="single" w:sz="4" w:space="0" w:color="auto"/>
            </w:tcBorders>
          </w:tcPr>
          <w:p w14:paraId="4F400F40" w14:textId="5B566C8F" w:rsidR="00D1559C" w:rsidRDefault="00D1559C" w:rsidP="001A7287">
            <w:pPr>
              <w:pStyle w:val="TableParagraph"/>
              <w:kinsoku w:val="0"/>
              <w:overflowPunct w:val="0"/>
              <w:spacing w:before="7"/>
              <w:ind w:left="3" w:right="409"/>
              <w:rPr>
                <w:color w:val="231F20"/>
                <w:sz w:val="14"/>
                <w:szCs w:val="14"/>
              </w:rPr>
            </w:pPr>
            <w:r>
              <w:rPr>
                <w:color w:val="231F20"/>
                <w:sz w:val="14"/>
                <w:szCs w:val="14"/>
              </w:rPr>
              <w:t>2,232,937</w:t>
            </w:r>
          </w:p>
        </w:tc>
        <w:tc>
          <w:tcPr>
            <w:tcW w:w="1722" w:type="dxa"/>
            <w:tcBorders>
              <w:top w:val="single" w:sz="4" w:space="0" w:color="auto"/>
              <w:left w:val="single" w:sz="4" w:space="0" w:color="auto"/>
              <w:bottom w:val="single" w:sz="4" w:space="0" w:color="auto"/>
              <w:right w:val="single" w:sz="4" w:space="0" w:color="auto"/>
            </w:tcBorders>
          </w:tcPr>
          <w:p w14:paraId="6795EDAE" w14:textId="0E4AB866" w:rsidR="00D1559C" w:rsidDel="00D1559C" w:rsidRDefault="00D1559C" w:rsidP="001A7287">
            <w:pPr>
              <w:pStyle w:val="TableParagraph"/>
              <w:kinsoku w:val="0"/>
              <w:overflowPunct w:val="0"/>
              <w:spacing w:before="7"/>
              <w:ind w:left="4" w:right="115"/>
              <w:rPr>
                <w:color w:val="231F20"/>
                <w:sz w:val="14"/>
                <w:szCs w:val="14"/>
              </w:rPr>
            </w:pPr>
            <w:r>
              <w:rPr>
                <w:color w:val="231F20"/>
                <w:sz w:val="14"/>
                <w:szCs w:val="14"/>
              </w:rPr>
              <w:t>2.19</w:t>
            </w:r>
          </w:p>
        </w:tc>
        <w:tc>
          <w:tcPr>
            <w:tcW w:w="1680" w:type="dxa"/>
            <w:tcBorders>
              <w:top w:val="single" w:sz="4" w:space="0" w:color="auto"/>
              <w:left w:val="single" w:sz="4" w:space="0" w:color="auto"/>
              <w:bottom w:val="single" w:sz="4" w:space="0" w:color="auto"/>
              <w:right w:val="single" w:sz="4" w:space="0" w:color="auto"/>
            </w:tcBorders>
          </w:tcPr>
          <w:p w14:paraId="7DCC0778" w14:textId="1F18C676" w:rsidR="00D1559C" w:rsidDel="00D1559C" w:rsidRDefault="00D1559C" w:rsidP="001A7287">
            <w:pPr>
              <w:pStyle w:val="TableParagraph"/>
              <w:kinsoku w:val="0"/>
              <w:overflowPunct w:val="0"/>
              <w:spacing w:before="7"/>
              <w:rPr>
                <w:color w:val="231F20"/>
                <w:sz w:val="14"/>
                <w:szCs w:val="14"/>
              </w:rPr>
            </w:pPr>
            <w:r>
              <w:rPr>
                <w:color w:val="231F20"/>
                <w:sz w:val="14"/>
                <w:szCs w:val="14"/>
              </w:rPr>
              <w:t>2,232,937/2,232,937</w:t>
            </w:r>
          </w:p>
        </w:tc>
        <w:tc>
          <w:tcPr>
            <w:tcW w:w="1559" w:type="dxa"/>
            <w:tcBorders>
              <w:top w:val="single" w:sz="4" w:space="0" w:color="auto"/>
              <w:left w:val="single" w:sz="4" w:space="0" w:color="auto"/>
              <w:bottom w:val="single" w:sz="4" w:space="0" w:color="auto"/>
              <w:right w:val="single" w:sz="4" w:space="0" w:color="auto"/>
            </w:tcBorders>
          </w:tcPr>
          <w:p w14:paraId="17478FF1" w14:textId="6B518650" w:rsidR="00D1559C" w:rsidRPr="005D186F" w:rsidDel="00D1559C" w:rsidRDefault="00D1559C" w:rsidP="001A7287">
            <w:pPr>
              <w:pStyle w:val="TableParagraph"/>
              <w:kinsoku w:val="0"/>
              <w:overflowPunct w:val="0"/>
              <w:spacing w:before="7"/>
              <w:ind w:left="1"/>
              <w:rPr>
                <w:sz w:val="14"/>
                <w:szCs w:val="14"/>
              </w:rPr>
            </w:pPr>
            <w:r>
              <w:rPr>
                <w:sz w:val="14"/>
                <w:szCs w:val="14"/>
              </w:rPr>
              <w:t>1.86/1.70</w:t>
            </w:r>
          </w:p>
        </w:tc>
        <w:tc>
          <w:tcPr>
            <w:tcW w:w="851" w:type="dxa"/>
            <w:tcBorders>
              <w:top w:val="single" w:sz="4" w:space="0" w:color="auto"/>
              <w:left w:val="single" w:sz="4" w:space="0" w:color="auto"/>
              <w:bottom w:val="single" w:sz="4" w:space="0" w:color="auto"/>
              <w:right w:val="single" w:sz="4" w:space="0" w:color="auto"/>
            </w:tcBorders>
          </w:tcPr>
          <w:p w14:paraId="2F69C214" w14:textId="1128E4D4" w:rsidR="00D1559C" w:rsidRPr="005D186F" w:rsidRDefault="00DE5D2A" w:rsidP="001A7287">
            <w:pPr>
              <w:pStyle w:val="TableParagraph"/>
              <w:kinsoku w:val="0"/>
              <w:overflowPunct w:val="0"/>
              <w:spacing w:before="7"/>
              <w:rPr>
                <w:sz w:val="14"/>
                <w:szCs w:val="14"/>
              </w:rPr>
            </w:pPr>
            <w:r>
              <w:rPr>
                <w:sz w:val="14"/>
                <w:szCs w:val="14"/>
              </w:rPr>
              <w:t>15.07/22.26</w:t>
            </w:r>
          </w:p>
        </w:tc>
      </w:tr>
      <w:tr w:rsidR="005D186F" w14:paraId="598E78EC" w14:textId="69B54EA5" w:rsidTr="001A7287">
        <w:trPr>
          <w:trHeight w:val="542"/>
        </w:trPr>
        <w:tc>
          <w:tcPr>
            <w:tcW w:w="1377" w:type="dxa"/>
            <w:tcBorders>
              <w:top w:val="single" w:sz="4" w:space="0" w:color="auto"/>
              <w:left w:val="single" w:sz="4" w:space="0" w:color="auto"/>
              <w:bottom w:val="single" w:sz="4" w:space="0" w:color="auto"/>
              <w:right w:val="single" w:sz="4" w:space="0" w:color="auto"/>
            </w:tcBorders>
          </w:tcPr>
          <w:p w14:paraId="002F9092" w14:textId="3816467D" w:rsidR="005D186F" w:rsidRDefault="005D186F">
            <w:pPr>
              <w:pStyle w:val="TableParagraph"/>
              <w:kinsoku w:val="0"/>
              <w:overflowPunct w:val="0"/>
              <w:spacing w:before="7" w:line="259" w:lineRule="auto"/>
              <w:ind w:left="50" w:right="217"/>
              <w:rPr>
                <w:color w:val="231F20"/>
                <w:sz w:val="14"/>
                <w:szCs w:val="14"/>
              </w:rPr>
            </w:pPr>
            <w:r>
              <w:rPr>
                <w:color w:val="231F20"/>
                <w:sz w:val="14"/>
                <w:szCs w:val="14"/>
              </w:rPr>
              <w:t>Altius</w:t>
            </w:r>
          </w:p>
        </w:tc>
        <w:tc>
          <w:tcPr>
            <w:tcW w:w="1276" w:type="dxa"/>
            <w:tcBorders>
              <w:top w:val="single" w:sz="4" w:space="0" w:color="auto"/>
              <w:left w:val="single" w:sz="4" w:space="0" w:color="auto"/>
              <w:bottom w:val="single" w:sz="4" w:space="0" w:color="auto"/>
              <w:right w:val="single" w:sz="4" w:space="0" w:color="auto"/>
            </w:tcBorders>
          </w:tcPr>
          <w:p w14:paraId="3BC9D3F5" w14:textId="174BD5D5" w:rsidR="005D186F" w:rsidRPr="006220BB" w:rsidRDefault="005D186F" w:rsidP="001A7287">
            <w:pPr>
              <w:pStyle w:val="TableParagraph"/>
              <w:kinsoku w:val="0"/>
              <w:overflowPunct w:val="0"/>
              <w:spacing w:before="7"/>
              <w:ind w:left="3" w:right="409"/>
              <w:rPr>
                <w:color w:val="231F20"/>
                <w:sz w:val="14"/>
                <w:szCs w:val="14"/>
              </w:rPr>
            </w:pPr>
            <w:r>
              <w:rPr>
                <w:color w:val="231F20"/>
                <w:sz w:val="14"/>
                <w:szCs w:val="14"/>
              </w:rPr>
              <w:t>0</w:t>
            </w:r>
          </w:p>
        </w:tc>
        <w:tc>
          <w:tcPr>
            <w:tcW w:w="1722" w:type="dxa"/>
            <w:tcBorders>
              <w:top w:val="single" w:sz="4" w:space="0" w:color="auto"/>
              <w:left w:val="single" w:sz="4" w:space="0" w:color="auto"/>
              <w:bottom w:val="single" w:sz="4" w:space="0" w:color="auto"/>
              <w:right w:val="single" w:sz="4" w:space="0" w:color="auto"/>
            </w:tcBorders>
          </w:tcPr>
          <w:p w14:paraId="48D52A35" w14:textId="5356F97C" w:rsidR="005D186F" w:rsidRPr="006220BB" w:rsidRDefault="005D186F" w:rsidP="001A7287">
            <w:pPr>
              <w:pStyle w:val="TableParagraph"/>
              <w:kinsoku w:val="0"/>
              <w:overflowPunct w:val="0"/>
              <w:spacing w:before="7"/>
              <w:ind w:left="4" w:right="115"/>
              <w:rPr>
                <w:color w:val="231F20"/>
                <w:sz w:val="14"/>
                <w:szCs w:val="14"/>
              </w:rPr>
            </w:pPr>
            <w:r>
              <w:rPr>
                <w:color w:val="231F20"/>
                <w:sz w:val="14"/>
                <w:szCs w:val="14"/>
              </w:rPr>
              <w:t>0</w:t>
            </w:r>
          </w:p>
        </w:tc>
        <w:tc>
          <w:tcPr>
            <w:tcW w:w="1680" w:type="dxa"/>
            <w:tcBorders>
              <w:top w:val="single" w:sz="4" w:space="0" w:color="auto"/>
              <w:left w:val="single" w:sz="4" w:space="0" w:color="auto"/>
              <w:bottom w:val="single" w:sz="4" w:space="0" w:color="auto"/>
              <w:right w:val="single" w:sz="4" w:space="0" w:color="auto"/>
            </w:tcBorders>
          </w:tcPr>
          <w:p w14:paraId="34C11111" w14:textId="1521458A" w:rsidR="005D186F" w:rsidRPr="006220BB" w:rsidRDefault="005D186F" w:rsidP="001A7287">
            <w:pPr>
              <w:pStyle w:val="TableParagraph"/>
              <w:kinsoku w:val="0"/>
              <w:overflowPunct w:val="0"/>
              <w:spacing w:before="7"/>
              <w:rPr>
                <w:color w:val="231F20"/>
                <w:sz w:val="14"/>
                <w:szCs w:val="14"/>
              </w:rPr>
            </w:pPr>
            <w:r>
              <w:rPr>
                <w:color w:val="231F20"/>
                <w:sz w:val="14"/>
                <w:szCs w:val="14"/>
              </w:rPr>
              <w:t>10,089,199/</w:t>
            </w:r>
            <w:r>
              <w:rPr>
                <w:sz w:val="14"/>
                <w:szCs w:val="14"/>
              </w:rPr>
              <w:t>21,189,199</w:t>
            </w:r>
          </w:p>
        </w:tc>
        <w:tc>
          <w:tcPr>
            <w:tcW w:w="1559" w:type="dxa"/>
            <w:tcBorders>
              <w:top w:val="single" w:sz="4" w:space="0" w:color="auto"/>
              <w:left w:val="single" w:sz="4" w:space="0" w:color="auto"/>
              <w:bottom w:val="single" w:sz="4" w:space="0" w:color="auto"/>
              <w:right w:val="single" w:sz="4" w:space="0" w:color="auto"/>
            </w:tcBorders>
          </w:tcPr>
          <w:p w14:paraId="6DB87C89" w14:textId="18FC54BA" w:rsidR="005D186F" w:rsidRPr="006220BB" w:rsidRDefault="00D1559C" w:rsidP="001A7287">
            <w:pPr>
              <w:pStyle w:val="TableParagraph"/>
              <w:kinsoku w:val="0"/>
              <w:overflowPunct w:val="0"/>
              <w:spacing w:before="7"/>
              <w:ind w:left="1"/>
              <w:rPr>
                <w:color w:val="231F20"/>
                <w:sz w:val="14"/>
                <w:szCs w:val="14"/>
              </w:rPr>
            </w:pPr>
            <w:r>
              <w:rPr>
                <w:sz w:val="14"/>
                <w:szCs w:val="14"/>
              </w:rPr>
              <w:t>8.41/</w:t>
            </w:r>
            <w:r w:rsidR="00E84817">
              <w:rPr>
                <w:sz w:val="14"/>
                <w:szCs w:val="14"/>
              </w:rPr>
              <w:t>16.16</w:t>
            </w:r>
          </w:p>
        </w:tc>
        <w:tc>
          <w:tcPr>
            <w:tcW w:w="851" w:type="dxa"/>
            <w:tcBorders>
              <w:top w:val="single" w:sz="4" w:space="0" w:color="auto"/>
              <w:left w:val="single" w:sz="4" w:space="0" w:color="auto"/>
              <w:bottom w:val="single" w:sz="4" w:space="0" w:color="auto"/>
              <w:right w:val="single" w:sz="4" w:space="0" w:color="auto"/>
            </w:tcBorders>
          </w:tcPr>
          <w:p w14:paraId="6B96F17F" w14:textId="7D3D5973" w:rsidR="005D186F" w:rsidRPr="006220BB" w:rsidRDefault="00DE5D2A" w:rsidP="001A7287">
            <w:pPr>
              <w:pStyle w:val="TableParagraph"/>
              <w:kinsoku w:val="0"/>
              <w:overflowPunct w:val="0"/>
              <w:spacing w:before="7"/>
              <w:rPr>
                <w:color w:val="231F20"/>
                <w:sz w:val="14"/>
                <w:szCs w:val="14"/>
              </w:rPr>
            </w:pPr>
            <w:r>
              <w:rPr>
                <w:sz w:val="14"/>
                <w:szCs w:val="14"/>
              </w:rPr>
              <w:t>N/A</w:t>
            </w:r>
          </w:p>
        </w:tc>
      </w:tr>
      <w:tr w:rsidR="005D186F" w14:paraId="1E129047" w14:textId="18BB8203" w:rsidTr="001A7287">
        <w:trPr>
          <w:trHeight w:val="326"/>
        </w:trPr>
        <w:tc>
          <w:tcPr>
            <w:tcW w:w="1377" w:type="dxa"/>
            <w:tcBorders>
              <w:top w:val="single" w:sz="4" w:space="0" w:color="auto"/>
              <w:left w:val="none" w:sz="6" w:space="0" w:color="auto"/>
              <w:bottom w:val="none" w:sz="6" w:space="0" w:color="auto"/>
              <w:right w:val="none" w:sz="6" w:space="0" w:color="auto"/>
            </w:tcBorders>
          </w:tcPr>
          <w:p w14:paraId="46D0A453" w14:textId="402C7D0F" w:rsidR="005D186F" w:rsidRDefault="005D186F">
            <w:pPr>
              <w:pStyle w:val="TableParagraph"/>
              <w:kinsoku w:val="0"/>
              <w:overflowPunct w:val="0"/>
              <w:spacing w:before="119" w:line="200" w:lineRule="exact"/>
              <w:ind w:left="50"/>
              <w:rPr>
                <w:color w:val="231F20"/>
                <w:sz w:val="18"/>
                <w:szCs w:val="18"/>
              </w:rPr>
            </w:pPr>
          </w:p>
        </w:tc>
        <w:tc>
          <w:tcPr>
            <w:tcW w:w="1276" w:type="dxa"/>
            <w:tcBorders>
              <w:top w:val="single" w:sz="4" w:space="0" w:color="auto"/>
              <w:left w:val="none" w:sz="6" w:space="0" w:color="auto"/>
              <w:bottom w:val="none" w:sz="6" w:space="0" w:color="auto"/>
              <w:right w:val="none" w:sz="6" w:space="0" w:color="auto"/>
            </w:tcBorders>
          </w:tcPr>
          <w:p w14:paraId="4D3CDAC5" w14:textId="05C66D2A" w:rsidR="005D186F" w:rsidRDefault="005D186F">
            <w:pPr>
              <w:pStyle w:val="TableParagraph"/>
              <w:kinsoku w:val="0"/>
              <w:overflowPunct w:val="0"/>
              <w:spacing w:before="119" w:line="200" w:lineRule="exact"/>
              <w:ind w:left="444" w:right="410"/>
              <w:jc w:val="center"/>
              <w:rPr>
                <w:color w:val="231F20"/>
                <w:sz w:val="18"/>
                <w:szCs w:val="18"/>
              </w:rPr>
            </w:pPr>
          </w:p>
        </w:tc>
        <w:tc>
          <w:tcPr>
            <w:tcW w:w="1722" w:type="dxa"/>
            <w:tcBorders>
              <w:top w:val="single" w:sz="4" w:space="0" w:color="auto"/>
              <w:left w:val="none" w:sz="6" w:space="0" w:color="auto"/>
              <w:bottom w:val="none" w:sz="6" w:space="0" w:color="auto"/>
              <w:right w:val="none" w:sz="6" w:space="0" w:color="auto"/>
            </w:tcBorders>
          </w:tcPr>
          <w:p w14:paraId="32A19082" w14:textId="1A86D5D0" w:rsidR="005D186F" w:rsidRDefault="005D186F" w:rsidP="001A7287">
            <w:pPr>
              <w:pStyle w:val="TableParagraph"/>
              <w:kinsoku w:val="0"/>
              <w:overflowPunct w:val="0"/>
              <w:spacing w:before="119" w:line="200" w:lineRule="exact"/>
              <w:ind w:left="4" w:right="115"/>
              <w:jc w:val="center"/>
              <w:rPr>
                <w:color w:val="231F20"/>
                <w:sz w:val="18"/>
                <w:szCs w:val="18"/>
              </w:rPr>
            </w:pPr>
          </w:p>
        </w:tc>
        <w:tc>
          <w:tcPr>
            <w:tcW w:w="1680" w:type="dxa"/>
            <w:tcBorders>
              <w:top w:val="single" w:sz="4" w:space="0" w:color="auto"/>
              <w:left w:val="none" w:sz="6" w:space="0" w:color="auto"/>
              <w:bottom w:val="none" w:sz="6" w:space="0" w:color="auto"/>
              <w:right w:val="none" w:sz="6" w:space="0" w:color="auto"/>
            </w:tcBorders>
          </w:tcPr>
          <w:p w14:paraId="7B319600" w14:textId="157737E6" w:rsidR="005D186F" w:rsidRDefault="005D186F" w:rsidP="001A7287">
            <w:pPr>
              <w:pStyle w:val="TableParagraph"/>
              <w:kinsoku w:val="0"/>
              <w:overflowPunct w:val="0"/>
              <w:spacing w:before="119" w:line="200" w:lineRule="exact"/>
              <w:rPr>
                <w:color w:val="231F20"/>
                <w:sz w:val="18"/>
                <w:szCs w:val="18"/>
              </w:rPr>
            </w:pPr>
          </w:p>
        </w:tc>
        <w:tc>
          <w:tcPr>
            <w:tcW w:w="1559" w:type="dxa"/>
            <w:tcBorders>
              <w:top w:val="single" w:sz="4" w:space="0" w:color="auto"/>
              <w:left w:val="none" w:sz="6" w:space="0" w:color="auto"/>
              <w:bottom w:val="none" w:sz="6" w:space="0" w:color="auto"/>
              <w:right w:val="none" w:sz="6" w:space="0" w:color="auto"/>
            </w:tcBorders>
          </w:tcPr>
          <w:p w14:paraId="385488D8" w14:textId="793601F9" w:rsidR="005D186F" w:rsidRDefault="005D186F" w:rsidP="001A7287">
            <w:pPr>
              <w:pStyle w:val="TableParagraph"/>
              <w:kinsoku w:val="0"/>
              <w:overflowPunct w:val="0"/>
              <w:spacing w:before="119" w:line="200" w:lineRule="exact"/>
              <w:ind w:left="1"/>
              <w:rPr>
                <w:color w:val="231F20"/>
                <w:sz w:val="18"/>
                <w:szCs w:val="18"/>
              </w:rPr>
            </w:pPr>
          </w:p>
        </w:tc>
        <w:tc>
          <w:tcPr>
            <w:tcW w:w="851" w:type="dxa"/>
            <w:tcBorders>
              <w:top w:val="single" w:sz="4" w:space="0" w:color="auto"/>
              <w:left w:val="none" w:sz="6" w:space="0" w:color="auto"/>
              <w:bottom w:val="none" w:sz="6" w:space="0" w:color="auto"/>
              <w:right w:val="none" w:sz="6" w:space="0" w:color="auto"/>
            </w:tcBorders>
          </w:tcPr>
          <w:p w14:paraId="6C775DB7" w14:textId="77777777" w:rsidR="005D186F" w:rsidRDefault="005D186F" w:rsidP="001A7287">
            <w:pPr>
              <w:pStyle w:val="TableParagraph"/>
              <w:kinsoku w:val="0"/>
              <w:overflowPunct w:val="0"/>
              <w:spacing w:before="119" w:line="200" w:lineRule="exact"/>
              <w:rPr>
                <w:color w:val="231F20"/>
                <w:sz w:val="18"/>
                <w:szCs w:val="18"/>
              </w:rPr>
            </w:pPr>
          </w:p>
        </w:tc>
      </w:tr>
      <w:tr w:rsidR="005D186F" w14:paraId="17973EE9" w14:textId="3A533143" w:rsidTr="001A7287">
        <w:trPr>
          <w:trHeight w:val="206"/>
        </w:trPr>
        <w:tc>
          <w:tcPr>
            <w:tcW w:w="1377" w:type="dxa"/>
            <w:tcBorders>
              <w:top w:val="none" w:sz="6" w:space="0" w:color="auto"/>
              <w:left w:val="none" w:sz="6" w:space="0" w:color="auto"/>
              <w:bottom w:val="none" w:sz="6" w:space="0" w:color="auto"/>
              <w:right w:val="none" w:sz="6" w:space="0" w:color="auto"/>
            </w:tcBorders>
          </w:tcPr>
          <w:p w14:paraId="4935A40C" w14:textId="27F6A4BF" w:rsidR="005D186F" w:rsidRDefault="005D186F">
            <w:pPr>
              <w:pStyle w:val="TableParagraph"/>
              <w:kinsoku w:val="0"/>
              <w:overflowPunct w:val="0"/>
              <w:spacing w:before="7" w:line="187" w:lineRule="exact"/>
              <w:ind w:left="50"/>
              <w:rPr>
                <w:color w:val="231F20"/>
                <w:sz w:val="18"/>
                <w:szCs w:val="18"/>
              </w:rPr>
            </w:pPr>
          </w:p>
        </w:tc>
        <w:tc>
          <w:tcPr>
            <w:tcW w:w="1276" w:type="dxa"/>
            <w:tcBorders>
              <w:top w:val="none" w:sz="6" w:space="0" w:color="auto"/>
              <w:left w:val="none" w:sz="6" w:space="0" w:color="auto"/>
              <w:bottom w:val="none" w:sz="6" w:space="0" w:color="auto"/>
              <w:right w:val="none" w:sz="6" w:space="0" w:color="auto"/>
            </w:tcBorders>
          </w:tcPr>
          <w:p w14:paraId="29E3394D" w14:textId="3C1AED75" w:rsidR="005D186F" w:rsidRDefault="005D186F">
            <w:pPr>
              <w:pStyle w:val="TableParagraph"/>
              <w:kinsoku w:val="0"/>
              <w:overflowPunct w:val="0"/>
              <w:spacing w:before="7" w:line="187" w:lineRule="exact"/>
              <w:ind w:left="444" w:right="409"/>
              <w:jc w:val="center"/>
              <w:rPr>
                <w:color w:val="231F20"/>
                <w:sz w:val="18"/>
                <w:szCs w:val="18"/>
              </w:rPr>
            </w:pPr>
          </w:p>
        </w:tc>
        <w:tc>
          <w:tcPr>
            <w:tcW w:w="1722" w:type="dxa"/>
            <w:tcBorders>
              <w:top w:val="none" w:sz="6" w:space="0" w:color="auto"/>
              <w:left w:val="none" w:sz="6" w:space="0" w:color="auto"/>
              <w:bottom w:val="none" w:sz="6" w:space="0" w:color="auto"/>
              <w:right w:val="none" w:sz="6" w:space="0" w:color="auto"/>
            </w:tcBorders>
          </w:tcPr>
          <w:p w14:paraId="0D1A09C1" w14:textId="5B7C5FC5" w:rsidR="005D186F" w:rsidRDefault="005D186F" w:rsidP="001A7287">
            <w:pPr>
              <w:pStyle w:val="TableParagraph"/>
              <w:kinsoku w:val="0"/>
              <w:overflowPunct w:val="0"/>
              <w:spacing w:before="7" w:line="187" w:lineRule="exact"/>
              <w:ind w:left="4" w:right="115"/>
              <w:jc w:val="center"/>
              <w:rPr>
                <w:color w:val="231F20"/>
                <w:sz w:val="18"/>
                <w:szCs w:val="18"/>
              </w:rPr>
            </w:pPr>
          </w:p>
        </w:tc>
        <w:tc>
          <w:tcPr>
            <w:tcW w:w="1680" w:type="dxa"/>
            <w:tcBorders>
              <w:top w:val="none" w:sz="6" w:space="0" w:color="auto"/>
              <w:left w:val="none" w:sz="6" w:space="0" w:color="auto"/>
              <w:bottom w:val="none" w:sz="6" w:space="0" w:color="auto"/>
              <w:right w:val="none" w:sz="6" w:space="0" w:color="auto"/>
            </w:tcBorders>
          </w:tcPr>
          <w:p w14:paraId="3AF4EF3B" w14:textId="1C716543" w:rsidR="005D186F" w:rsidRDefault="005D186F" w:rsidP="001A7287">
            <w:pPr>
              <w:pStyle w:val="TableParagraph"/>
              <w:kinsoku w:val="0"/>
              <w:overflowPunct w:val="0"/>
              <w:spacing w:before="7" w:line="187" w:lineRule="exact"/>
              <w:rPr>
                <w:color w:val="231F20"/>
                <w:sz w:val="18"/>
                <w:szCs w:val="18"/>
              </w:rPr>
            </w:pPr>
          </w:p>
        </w:tc>
        <w:tc>
          <w:tcPr>
            <w:tcW w:w="1559" w:type="dxa"/>
            <w:tcBorders>
              <w:top w:val="none" w:sz="6" w:space="0" w:color="auto"/>
              <w:left w:val="none" w:sz="6" w:space="0" w:color="auto"/>
              <w:bottom w:val="none" w:sz="6" w:space="0" w:color="auto"/>
              <w:right w:val="none" w:sz="6" w:space="0" w:color="auto"/>
            </w:tcBorders>
          </w:tcPr>
          <w:p w14:paraId="618A7429" w14:textId="1BEAAE88" w:rsidR="005D186F" w:rsidRDefault="005D186F" w:rsidP="001A7287">
            <w:pPr>
              <w:pStyle w:val="TableParagraph"/>
              <w:kinsoku w:val="0"/>
              <w:overflowPunct w:val="0"/>
              <w:spacing w:before="7" w:line="187" w:lineRule="exact"/>
              <w:ind w:left="1"/>
              <w:rPr>
                <w:color w:val="231F20"/>
                <w:sz w:val="18"/>
                <w:szCs w:val="18"/>
              </w:rPr>
            </w:pPr>
          </w:p>
        </w:tc>
        <w:tc>
          <w:tcPr>
            <w:tcW w:w="851" w:type="dxa"/>
            <w:tcBorders>
              <w:top w:val="none" w:sz="6" w:space="0" w:color="auto"/>
              <w:left w:val="none" w:sz="6" w:space="0" w:color="auto"/>
              <w:bottom w:val="none" w:sz="6" w:space="0" w:color="auto"/>
              <w:right w:val="none" w:sz="6" w:space="0" w:color="auto"/>
            </w:tcBorders>
          </w:tcPr>
          <w:p w14:paraId="2495B3E1" w14:textId="77777777" w:rsidR="005D186F" w:rsidRDefault="005D186F" w:rsidP="001A7287">
            <w:pPr>
              <w:pStyle w:val="TableParagraph"/>
              <w:kinsoku w:val="0"/>
              <w:overflowPunct w:val="0"/>
              <w:spacing w:before="7" w:line="187" w:lineRule="exact"/>
              <w:rPr>
                <w:color w:val="231F20"/>
                <w:sz w:val="18"/>
                <w:szCs w:val="18"/>
              </w:rPr>
            </w:pPr>
          </w:p>
        </w:tc>
      </w:tr>
    </w:tbl>
    <w:p w14:paraId="7DD3255E" w14:textId="3F614C34" w:rsidR="00783288" w:rsidRPr="00377C50" w:rsidRDefault="00377C50" w:rsidP="00377C50">
      <w:pPr>
        <w:pStyle w:val="BodyText"/>
        <w:kinsoku w:val="0"/>
        <w:overflowPunct w:val="0"/>
        <w:spacing w:before="7"/>
        <w:ind w:left="720"/>
        <w:rPr>
          <w:sz w:val="16"/>
          <w:szCs w:val="16"/>
        </w:rPr>
      </w:pPr>
      <w:r w:rsidRPr="00377C50">
        <w:rPr>
          <w:sz w:val="16"/>
          <w:szCs w:val="16"/>
        </w:rPr>
        <w:t>* Assuming full exercise of the Labrador Consideration Warrants and no exercise of any other Warrants or Options.</w:t>
      </w:r>
    </w:p>
    <w:p w14:paraId="67F466AE" w14:textId="77777777" w:rsidR="00783288" w:rsidRDefault="00783288">
      <w:pPr>
        <w:pStyle w:val="BodyText"/>
        <w:kinsoku w:val="0"/>
        <w:overflowPunct w:val="0"/>
        <w:spacing w:before="11"/>
        <w:rPr>
          <w:sz w:val="20"/>
          <w:szCs w:val="20"/>
        </w:rPr>
      </w:pPr>
    </w:p>
    <w:p w14:paraId="19A1E8DF" w14:textId="44222F2D" w:rsidR="002213D7" w:rsidRDefault="002213D7" w:rsidP="00512495">
      <w:pPr>
        <w:pStyle w:val="ListParagraph"/>
        <w:numPr>
          <w:ilvl w:val="1"/>
          <w:numId w:val="13"/>
        </w:numPr>
        <w:tabs>
          <w:tab w:val="left" w:pos="840"/>
        </w:tabs>
        <w:kinsoku w:val="0"/>
        <w:overflowPunct w:val="0"/>
        <w:ind w:left="839" w:right="1038"/>
        <w:jc w:val="both"/>
        <w:rPr>
          <w:color w:val="231F20"/>
          <w:sz w:val="18"/>
          <w:szCs w:val="18"/>
        </w:rPr>
      </w:pPr>
      <w:r w:rsidRPr="002213D7">
        <w:rPr>
          <w:color w:val="231F20"/>
          <w:sz w:val="18"/>
          <w:szCs w:val="18"/>
        </w:rPr>
        <w:t>Save as disclosed in paragraphs 7.1 and 6.1 of this Part VII, the Company is not aware of any person who will, immediately following Admission, hold three per cent. or more of the voting rights in the Company as a Shareholder or through a direct or indirect holding of financial instruments (in each case for the purposes of Chapter 5 of the Disclosure Guidance and Transparency Rules).</w:t>
      </w:r>
    </w:p>
    <w:p w14:paraId="55B73782" w14:textId="77777777" w:rsidR="002213D7" w:rsidRDefault="002213D7" w:rsidP="002213D7">
      <w:pPr>
        <w:pStyle w:val="ListParagraph"/>
        <w:tabs>
          <w:tab w:val="left" w:pos="840"/>
        </w:tabs>
        <w:kinsoku w:val="0"/>
        <w:overflowPunct w:val="0"/>
        <w:ind w:right="1038" w:firstLine="0"/>
        <w:jc w:val="both"/>
        <w:rPr>
          <w:color w:val="231F20"/>
          <w:sz w:val="18"/>
          <w:szCs w:val="18"/>
        </w:rPr>
      </w:pPr>
    </w:p>
    <w:p w14:paraId="6933C0A4" w14:textId="154E0F3E" w:rsidR="00783288" w:rsidRPr="004D5F2F" w:rsidRDefault="004D5F2F" w:rsidP="00512495">
      <w:pPr>
        <w:pStyle w:val="ListParagraph"/>
        <w:numPr>
          <w:ilvl w:val="1"/>
          <w:numId w:val="13"/>
        </w:numPr>
        <w:tabs>
          <w:tab w:val="left" w:pos="840"/>
        </w:tabs>
        <w:kinsoku w:val="0"/>
        <w:overflowPunct w:val="0"/>
        <w:spacing w:before="9"/>
        <w:ind w:left="839" w:right="1038"/>
        <w:jc w:val="both"/>
        <w:rPr>
          <w:sz w:val="20"/>
          <w:szCs w:val="20"/>
        </w:rPr>
      </w:pPr>
      <w:r w:rsidRPr="004D5F2F">
        <w:rPr>
          <w:color w:val="231F20"/>
          <w:sz w:val="18"/>
          <w:szCs w:val="18"/>
        </w:rPr>
        <w:t>N</w:t>
      </w:r>
      <w:r w:rsidR="00E31420" w:rsidRPr="004D5F2F">
        <w:rPr>
          <w:color w:val="231F20"/>
          <w:sz w:val="18"/>
          <w:szCs w:val="18"/>
        </w:rPr>
        <w:t xml:space="preserve">one of the substantial shareholders notified at paragraph 7.2 above intend to acquire </w:t>
      </w:r>
      <w:r w:rsidR="005D6FE4" w:rsidRPr="004D5F2F">
        <w:rPr>
          <w:color w:val="231F20"/>
          <w:sz w:val="18"/>
          <w:szCs w:val="18"/>
        </w:rPr>
        <w:t xml:space="preserve">Placing </w:t>
      </w:r>
      <w:r w:rsidR="00E31420" w:rsidRPr="004D5F2F">
        <w:rPr>
          <w:color w:val="231F20"/>
          <w:sz w:val="18"/>
          <w:szCs w:val="18"/>
        </w:rPr>
        <w:t>Shares pursuant to the</w:t>
      </w:r>
      <w:r w:rsidR="00E31420" w:rsidRPr="004D5F2F">
        <w:rPr>
          <w:color w:val="231F20"/>
          <w:spacing w:val="-2"/>
          <w:sz w:val="18"/>
          <w:szCs w:val="18"/>
        </w:rPr>
        <w:t xml:space="preserve"> </w:t>
      </w:r>
      <w:r w:rsidR="005D6FE4" w:rsidRPr="004D5F2F">
        <w:rPr>
          <w:color w:val="231F20"/>
          <w:sz w:val="18"/>
          <w:szCs w:val="18"/>
        </w:rPr>
        <w:t>Placing</w:t>
      </w:r>
      <w:r w:rsidR="00E31420" w:rsidRPr="004D5F2F">
        <w:rPr>
          <w:color w:val="231F20"/>
          <w:sz w:val="18"/>
          <w:szCs w:val="18"/>
        </w:rPr>
        <w:t>.</w:t>
      </w:r>
      <w:r w:rsidR="00160BCC" w:rsidRPr="004D5F2F">
        <w:rPr>
          <w:color w:val="231F20"/>
          <w:sz w:val="18"/>
          <w:szCs w:val="18"/>
        </w:rPr>
        <w:t xml:space="preserve"> </w:t>
      </w:r>
    </w:p>
    <w:p w14:paraId="6EAB6D1A" w14:textId="77777777" w:rsidR="004D5F2F" w:rsidRPr="004D5F2F" w:rsidRDefault="004D5F2F" w:rsidP="004D5F2F">
      <w:pPr>
        <w:tabs>
          <w:tab w:val="left" w:pos="840"/>
        </w:tabs>
        <w:kinsoku w:val="0"/>
        <w:overflowPunct w:val="0"/>
        <w:spacing w:before="9"/>
        <w:ind w:right="1038"/>
        <w:jc w:val="both"/>
        <w:rPr>
          <w:sz w:val="20"/>
          <w:szCs w:val="20"/>
        </w:rPr>
      </w:pPr>
    </w:p>
    <w:p w14:paraId="01723D3B" w14:textId="77777777" w:rsidR="00783288" w:rsidRDefault="00E31420" w:rsidP="00512495">
      <w:pPr>
        <w:pStyle w:val="ListParagraph"/>
        <w:numPr>
          <w:ilvl w:val="1"/>
          <w:numId w:val="13"/>
        </w:numPr>
        <w:tabs>
          <w:tab w:val="left" w:pos="840"/>
        </w:tabs>
        <w:kinsoku w:val="0"/>
        <w:overflowPunct w:val="0"/>
        <w:ind w:left="839"/>
        <w:rPr>
          <w:color w:val="231F20"/>
          <w:sz w:val="18"/>
          <w:szCs w:val="18"/>
        </w:rPr>
      </w:pPr>
      <w:r>
        <w:rPr>
          <w:color w:val="231F20"/>
          <w:sz w:val="18"/>
          <w:szCs w:val="18"/>
        </w:rPr>
        <w:t>The voting rights of all Shareholders are the same in respect of each Ordinary Share</w:t>
      </w:r>
      <w:r>
        <w:rPr>
          <w:color w:val="231F20"/>
          <w:spacing w:val="-11"/>
          <w:sz w:val="18"/>
          <w:szCs w:val="18"/>
        </w:rPr>
        <w:t xml:space="preserve"> </w:t>
      </w:r>
      <w:r>
        <w:rPr>
          <w:color w:val="231F20"/>
          <w:sz w:val="18"/>
          <w:szCs w:val="18"/>
        </w:rPr>
        <w:t>held.</w:t>
      </w:r>
    </w:p>
    <w:p w14:paraId="16A3B842" w14:textId="77777777" w:rsidR="00783288" w:rsidRDefault="00783288">
      <w:pPr>
        <w:pStyle w:val="BodyText"/>
        <w:kinsoku w:val="0"/>
        <w:overflowPunct w:val="0"/>
        <w:spacing w:before="9"/>
        <w:rPr>
          <w:sz w:val="20"/>
          <w:szCs w:val="20"/>
        </w:rPr>
      </w:pPr>
    </w:p>
    <w:p w14:paraId="21E07BD2" w14:textId="77777777" w:rsidR="00783288" w:rsidRDefault="00E31420"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The</w:t>
      </w:r>
      <w:r>
        <w:rPr>
          <w:color w:val="231F20"/>
          <w:spacing w:val="-1"/>
          <w:sz w:val="18"/>
          <w:szCs w:val="18"/>
        </w:rPr>
        <w:t xml:space="preserve"> </w:t>
      </w:r>
      <w:r>
        <w:rPr>
          <w:color w:val="231F20"/>
          <w:sz w:val="18"/>
          <w:szCs w:val="18"/>
        </w:rPr>
        <w:t>Company</w:t>
      </w:r>
      <w:r>
        <w:rPr>
          <w:color w:val="231F20"/>
          <w:spacing w:val="-3"/>
          <w:sz w:val="18"/>
          <w:szCs w:val="18"/>
        </w:rPr>
        <w:t xml:space="preserve"> </w:t>
      </w:r>
      <w:r>
        <w:rPr>
          <w:color w:val="231F20"/>
          <w:sz w:val="18"/>
          <w:szCs w:val="18"/>
        </w:rPr>
        <w:t>is</w:t>
      </w:r>
      <w:r>
        <w:rPr>
          <w:color w:val="231F20"/>
          <w:spacing w:val="-3"/>
          <w:sz w:val="18"/>
          <w:szCs w:val="18"/>
        </w:rPr>
        <w:t xml:space="preserve"> </w:t>
      </w:r>
      <w:r>
        <w:rPr>
          <w:color w:val="231F20"/>
          <w:sz w:val="18"/>
          <w:szCs w:val="18"/>
        </w:rPr>
        <w:t>not,</w:t>
      </w:r>
      <w:r>
        <w:rPr>
          <w:color w:val="231F20"/>
          <w:spacing w:val="-3"/>
          <w:sz w:val="18"/>
          <w:szCs w:val="18"/>
        </w:rPr>
        <w:t xml:space="preserve"> </w:t>
      </w:r>
      <w:r>
        <w:rPr>
          <w:color w:val="231F20"/>
          <w:sz w:val="18"/>
          <w:szCs w:val="18"/>
        </w:rPr>
        <w:t>so</w:t>
      </w:r>
      <w:r>
        <w:rPr>
          <w:color w:val="231F20"/>
          <w:spacing w:val="-4"/>
          <w:sz w:val="18"/>
          <w:szCs w:val="18"/>
        </w:rPr>
        <w:t xml:space="preserve"> </w:t>
      </w:r>
      <w:r>
        <w:rPr>
          <w:color w:val="231F20"/>
          <w:sz w:val="18"/>
          <w:szCs w:val="18"/>
        </w:rPr>
        <w:t>far</w:t>
      </w:r>
      <w:r>
        <w:rPr>
          <w:color w:val="231F20"/>
          <w:spacing w:val="-4"/>
          <w:sz w:val="18"/>
          <w:szCs w:val="18"/>
        </w:rPr>
        <w:t xml:space="preserve"> </w:t>
      </w:r>
      <w:r>
        <w:rPr>
          <w:color w:val="231F20"/>
          <w:sz w:val="18"/>
          <w:szCs w:val="18"/>
        </w:rPr>
        <w:t>as</w:t>
      </w:r>
      <w:r>
        <w:rPr>
          <w:color w:val="231F20"/>
          <w:spacing w:val="-5"/>
          <w:sz w:val="18"/>
          <w:szCs w:val="18"/>
        </w:rPr>
        <w:t xml:space="preserve"> </w:t>
      </w:r>
      <w:r>
        <w:rPr>
          <w:color w:val="231F20"/>
          <w:sz w:val="18"/>
          <w:szCs w:val="18"/>
        </w:rPr>
        <w:t>it</w:t>
      </w:r>
      <w:r>
        <w:rPr>
          <w:color w:val="231F20"/>
          <w:spacing w:val="-2"/>
          <w:sz w:val="18"/>
          <w:szCs w:val="18"/>
        </w:rPr>
        <w:t xml:space="preserve"> </w:t>
      </w:r>
      <w:r>
        <w:rPr>
          <w:color w:val="231F20"/>
          <w:sz w:val="18"/>
          <w:szCs w:val="18"/>
        </w:rPr>
        <w:t>is</w:t>
      </w:r>
      <w:r>
        <w:rPr>
          <w:color w:val="231F20"/>
          <w:spacing w:val="-3"/>
          <w:sz w:val="18"/>
          <w:szCs w:val="18"/>
        </w:rPr>
        <w:t xml:space="preserve"> </w:t>
      </w:r>
      <w:r>
        <w:rPr>
          <w:color w:val="231F20"/>
          <w:sz w:val="18"/>
          <w:szCs w:val="18"/>
        </w:rPr>
        <w:t>aware,</w:t>
      </w:r>
      <w:r>
        <w:rPr>
          <w:color w:val="231F20"/>
          <w:spacing w:val="-1"/>
          <w:sz w:val="18"/>
          <w:szCs w:val="18"/>
        </w:rPr>
        <w:t xml:space="preserve"> </w:t>
      </w:r>
      <w:proofErr w:type="gramStart"/>
      <w:r>
        <w:rPr>
          <w:color w:val="231F20"/>
          <w:sz w:val="18"/>
          <w:szCs w:val="18"/>
        </w:rPr>
        <w:t>directly</w:t>
      </w:r>
      <w:proofErr w:type="gramEnd"/>
      <w:r>
        <w:rPr>
          <w:color w:val="231F20"/>
          <w:spacing w:val="-6"/>
          <w:sz w:val="18"/>
          <w:szCs w:val="18"/>
        </w:rPr>
        <w:t xml:space="preserve"> </w:t>
      </w:r>
      <w:r>
        <w:rPr>
          <w:color w:val="231F20"/>
          <w:sz w:val="18"/>
          <w:szCs w:val="18"/>
        </w:rPr>
        <w:t>or</w:t>
      </w:r>
      <w:r>
        <w:rPr>
          <w:color w:val="231F20"/>
          <w:spacing w:val="-4"/>
          <w:sz w:val="18"/>
          <w:szCs w:val="18"/>
        </w:rPr>
        <w:t xml:space="preserve"> </w:t>
      </w:r>
      <w:r>
        <w:rPr>
          <w:color w:val="231F20"/>
          <w:sz w:val="18"/>
          <w:szCs w:val="18"/>
        </w:rPr>
        <w:t>indirectly</w:t>
      </w:r>
      <w:r>
        <w:rPr>
          <w:color w:val="231F20"/>
          <w:spacing w:val="-2"/>
          <w:sz w:val="18"/>
          <w:szCs w:val="18"/>
        </w:rPr>
        <w:t xml:space="preserve"> </w:t>
      </w:r>
      <w:r>
        <w:rPr>
          <w:color w:val="231F20"/>
          <w:sz w:val="18"/>
          <w:szCs w:val="18"/>
        </w:rPr>
        <w:t>owned</w:t>
      </w:r>
      <w:r>
        <w:rPr>
          <w:color w:val="231F20"/>
          <w:spacing w:val="-1"/>
          <w:sz w:val="18"/>
          <w:szCs w:val="18"/>
        </w:rPr>
        <w:t xml:space="preserve"> </w:t>
      </w:r>
      <w:r>
        <w:rPr>
          <w:color w:val="231F20"/>
          <w:sz w:val="18"/>
          <w:szCs w:val="18"/>
        </w:rPr>
        <w:t>or</w:t>
      </w:r>
      <w:r>
        <w:rPr>
          <w:color w:val="231F20"/>
          <w:spacing w:val="-4"/>
          <w:sz w:val="18"/>
          <w:szCs w:val="18"/>
        </w:rPr>
        <w:t xml:space="preserve"> </w:t>
      </w:r>
      <w:r>
        <w:rPr>
          <w:color w:val="231F20"/>
          <w:sz w:val="18"/>
          <w:szCs w:val="18"/>
        </w:rPr>
        <w:t>controlled</w:t>
      </w:r>
      <w:r>
        <w:rPr>
          <w:color w:val="231F20"/>
          <w:spacing w:val="-3"/>
          <w:sz w:val="18"/>
          <w:szCs w:val="18"/>
        </w:rPr>
        <w:t xml:space="preserve"> </w:t>
      </w:r>
      <w:r>
        <w:rPr>
          <w:color w:val="231F20"/>
          <w:sz w:val="18"/>
          <w:szCs w:val="18"/>
        </w:rPr>
        <w:t>by</w:t>
      </w:r>
      <w:r>
        <w:rPr>
          <w:color w:val="231F20"/>
          <w:spacing w:val="-3"/>
          <w:sz w:val="18"/>
          <w:szCs w:val="18"/>
        </w:rPr>
        <w:t xml:space="preserve"> </w:t>
      </w:r>
      <w:r>
        <w:rPr>
          <w:color w:val="231F20"/>
          <w:sz w:val="18"/>
          <w:szCs w:val="18"/>
        </w:rPr>
        <w:t>any</w:t>
      </w:r>
      <w:r>
        <w:rPr>
          <w:color w:val="231F20"/>
          <w:spacing w:val="-3"/>
          <w:sz w:val="18"/>
          <w:szCs w:val="18"/>
        </w:rPr>
        <w:t xml:space="preserve"> </w:t>
      </w:r>
      <w:r>
        <w:rPr>
          <w:color w:val="231F20"/>
          <w:sz w:val="18"/>
          <w:szCs w:val="18"/>
        </w:rPr>
        <w:t>single</w:t>
      </w:r>
      <w:r>
        <w:rPr>
          <w:color w:val="231F20"/>
          <w:spacing w:val="-3"/>
          <w:sz w:val="18"/>
          <w:szCs w:val="18"/>
        </w:rPr>
        <w:t xml:space="preserve"> </w:t>
      </w:r>
      <w:r>
        <w:rPr>
          <w:color w:val="231F20"/>
          <w:sz w:val="18"/>
          <w:szCs w:val="18"/>
        </w:rPr>
        <w:t>Shareholder or group of Shareholders who are</w:t>
      </w:r>
      <w:r>
        <w:rPr>
          <w:color w:val="231F20"/>
          <w:spacing w:val="-1"/>
          <w:sz w:val="18"/>
          <w:szCs w:val="18"/>
        </w:rPr>
        <w:t xml:space="preserve"> </w:t>
      </w:r>
      <w:r>
        <w:rPr>
          <w:color w:val="231F20"/>
          <w:sz w:val="18"/>
          <w:szCs w:val="18"/>
        </w:rPr>
        <w:t>connected.</w:t>
      </w:r>
    </w:p>
    <w:p w14:paraId="3BFADCFA" w14:textId="77777777" w:rsidR="00783288" w:rsidRDefault="00783288">
      <w:pPr>
        <w:pStyle w:val="BodyText"/>
        <w:kinsoku w:val="0"/>
        <w:overflowPunct w:val="0"/>
        <w:rPr>
          <w:sz w:val="21"/>
          <w:szCs w:val="21"/>
        </w:rPr>
      </w:pPr>
    </w:p>
    <w:p w14:paraId="21FC2F10" w14:textId="77777777" w:rsidR="00783288" w:rsidRDefault="00E31420"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So far as the Company is aware, there are no arrangements in place, the operation of which may at a subsequent date result in a change of control of the</w:t>
      </w:r>
      <w:r>
        <w:rPr>
          <w:color w:val="231F20"/>
          <w:spacing w:val="-12"/>
          <w:sz w:val="18"/>
          <w:szCs w:val="18"/>
        </w:rPr>
        <w:t xml:space="preserve"> </w:t>
      </w:r>
      <w:r>
        <w:rPr>
          <w:color w:val="231F20"/>
          <w:sz w:val="18"/>
          <w:szCs w:val="18"/>
        </w:rPr>
        <w:t>Company.</w:t>
      </w:r>
    </w:p>
    <w:p w14:paraId="62A63880" w14:textId="77777777" w:rsidR="00783288" w:rsidRDefault="00783288">
      <w:pPr>
        <w:pStyle w:val="BodyText"/>
        <w:kinsoku w:val="0"/>
        <w:overflowPunct w:val="0"/>
        <w:spacing w:before="4"/>
        <w:rPr>
          <w:sz w:val="20"/>
          <w:szCs w:val="20"/>
        </w:rPr>
      </w:pPr>
    </w:p>
    <w:p w14:paraId="1DD26F7A" w14:textId="75AB116C" w:rsidR="00783288" w:rsidRDefault="00E31420" w:rsidP="00512495">
      <w:pPr>
        <w:pStyle w:val="Heading1"/>
        <w:numPr>
          <w:ilvl w:val="0"/>
          <w:numId w:val="13"/>
        </w:numPr>
        <w:tabs>
          <w:tab w:val="left" w:pos="840"/>
        </w:tabs>
        <w:kinsoku w:val="0"/>
        <w:overflowPunct w:val="0"/>
        <w:ind w:left="839"/>
        <w:rPr>
          <w:color w:val="231F20"/>
        </w:rPr>
      </w:pPr>
      <w:r>
        <w:rPr>
          <w:color w:val="231F20"/>
        </w:rPr>
        <w:t>Other Appointments of Directors</w:t>
      </w:r>
    </w:p>
    <w:p w14:paraId="2D0B6128" w14:textId="77777777" w:rsidR="00783288" w:rsidRDefault="00783288">
      <w:pPr>
        <w:pStyle w:val="BodyText"/>
        <w:kinsoku w:val="0"/>
        <w:overflowPunct w:val="0"/>
        <w:spacing w:before="5"/>
        <w:rPr>
          <w:b/>
          <w:bCs/>
          <w:sz w:val="21"/>
          <w:szCs w:val="21"/>
        </w:rPr>
      </w:pPr>
    </w:p>
    <w:p w14:paraId="441608AC" w14:textId="77777777" w:rsidR="002213D7" w:rsidRDefault="002213D7" w:rsidP="00FE358B">
      <w:pPr>
        <w:pStyle w:val="ListParagraph"/>
        <w:tabs>
          <w:tab w:val="left" w:pos="840"/>
        </w:tabs>
        <w:kinsoku w:val="0"/>
        <w:overflowPunct w:val="0"/>
        <w:spacing w:before="4"/>
        <w:ind w:right="1036" w:firstLine="0"/>
        <w:jc w:val="both"/>
        <w:rPr>
          <w:color w:val="050707"/>
          <w:sz w:val="18"/>
          <w:szCs w:val="18"/>
        </w:rPr>
      </w:pPr>
    </w:p>
    <w:p w14:paraId="6429F46D" w14:textId="20C4C920" w:rsidR="002213D7" w:rsidRPr="002A46A1" w:rsidRDefault="00E31420" w:rsidP="00512495">
      <w:pPr>
        <w:pStyle w:val="ListParagraph"/>
        <w:numPr>
          <w:ilvl w:val="1"/>
          <w:numId w:val="13"/>
        </w:numPr>
        <w:tabs>
          <w:tab w:val="left" w:pos="840"/>
        </w:tabs>
        <w:kinsoku w:val="0"/>
        <w:overflowPunct w:val="0"/>
        <w:spacing w:before="4"/>
        <w:ind w:left="839" w:right="1036"/>
        <w:jc w:val="both"/>
        <w:rPr>
          <w:color w:val="050707"/>
          <w:sz w:val="18"/>
          <w:szCs w:val="18"/>
        </w:rPr>
      </w:pPr>
      <w:r w:rsidRPr="002D4CD0">
        <w:rPr>
          <w:color w:val="050707"/>
          <w:sz w:val="18"/>
          <w:szCs w:val="18"/>
        </w:rPr>
        <w:t>Details of the names of companies and partnerships (excluding directorships of the Company) of which the Directors are or have been members of the administrative, management or supervisory bodies or partners at any time in the five years preceding the date of this Document are set out in the below</w:t>
      </w:r>
      <w:r w:rsidRPr="002D4CD0">
        <w:rPr>
          <w:color w:val="050707"/>
          <w:spacing w:val="-24"/>
          <w:sz w:val="18"/>
          <w:szCs w:val="18"/>
        </w:rPr>
        <w:t xml:space="preserve"> </w:t>
      </w:r>
      <w:r w:rsidRPr="002D4CD0">
        <w:rPr>
          <w:color w:val="050707"/>
          <w:sz w:val="18"/>
          <w:szCs w:val="18"/>
        </w:rPr>
        <w:t>table</w:t>
      </w:r>
      <w:r w:rsidR="002D4CD0">
        <w:rPr>
          <w:color w:val="050707"/>
        </w:rPr>
        <w:t>.</w:t>
      </w:r>
    </w:p>
    <w:p w14:paraId="38648633" w14:textId="11A25225" w:rsidR="002A46A1" w:rsidRDefault="002A46A1" w:rsidP="002A46A1">
      <w:pPr>
        <w:pStyle w:val="ListParagraph"/>
        <w:tabs>
          <w:tab w:val="left" w:pos="840"/>
        </w:tabs>
        <w:kinsoku w:val="0"/>
        <w:overflowPunct w:val="0"/>
        <w:spacing w:before="4"/>
        <w:ind w:right="1036" w:firstLine="0"/>
        <w:jc w:val="both"/>
        <w:rPr>
          <w:color w:val="050707"/>
          <w:sz w:val="18"/>
          <w:szCs w:val="18"/>
        </w:rPr>
      </w:pPr>
    </w:p>
    <w:p w14:paraId="1B3622B2" w14:textId="06DDC48F" w:rsidR="001071CA" w:rsidRDefault="001071CA" w:rsidP="002A46A1">
      <w:pPr>
        <w:pStyle w:val="ListParagraph"/>
        <w:tabs>
          <w:tab w:val="left" w:pos="840"/>
        </w:tabs>
        <w:kinsoku w:val="0"/>
        <w:overflowPunct w:val="0"/>
        <w:spacing w:before="4"/>
        <w:ind w:right="1036" w:firstLine="0"/>
        <w:jc w:val="both"/>
        <w:rPr>
          <w:color w:val="050707"/>
          <w:sz w:val="18"/>
          <w:szCs w:val="18"/>
        </w:rPr>
      </w:pPr>
    </w:p>
    <w:p w14:paraId="04CA56C7" w14:textId="616FC5F1" w:rsidR="001071CA" w:rsidRDefault="001071CA" w:rsidP="002A46A1">
      <w:pPr>
        <w:pStyle w:val="ListParagraph"/>
        <w:tabs>
          <w:tab w:val="left" w:pos="840"/>
        </w:tabs>
        <w:kinsoku w:val="0"/>
        <w:overflowPunct w:val="0"/>
        <w:spacing w:before="4"/>
        <w:ind w:right="1036" w:firstLine="0"/>
        <w:jc w:val="both"/>
        <w:rPr>
          <w:color w:val="050707"/>
          <w:sz w:val="18"/>
          <w:szCs w:val="18"/>
        </w:rPr>
      </w:pPr>
    </w:p>
    <w:p w14:paraId="18098A7E" w14:textId="77777777" w:rsidR="001071CA" w:rsidRDefault="001071CA" w:rsidP="002A46A1">
      <w:pPr>
        <w:pStyle w:val="ListParagraph"/>
        <w:tabs>
          <w:tab w:val="left" w:pos="840"/>
        </w:tabs>
        <w:kinsoku w:val="0"/>
        <w:overflowPunct w:val="0"/>
        <w:spacing w:before="4"/>
        <w:ind w:right="1036" w:firstLine="0"/>
        <w:jc w:val="both"/>
        <w:rPr>
          <w:color w:val="050707"/>
          <w:sz w:val="18"/>
          <w:szCs w:val="18"/>
        </w:rPr>
      </w:pPr>
    </w:p>
    <w:p w14:paraId="3721E743" w14:textId="77777777" w:rsidR="00783288" w:rsidRDefault="00783288">
      <w:pPr>
        <w:pStyle w:val="BodyText"/>
        <w:kinsoku w:val="0"/>
        <w:overflowPunct w:val="0"/>
        <w:spacing w:before="4"/>
        <w:rPr>
          <w:sz w:val="12"/>
          <w:szCs w:val="12"/>
        </w:rPr>
        <w:sectPr w:rsidR="00783288">
          <w:pgSz w:w="11900" w:h="16840"/>
          <w:pgMar w:top="1380" w:right="240" w:bottom="1160" w:left="1140" w:header="0" w:footer="891" w:gutter="0"/>
          <w:cols w:space="720"/>
          <w:noEndnote/>
        </w:sectPr>
      </w:pPr>
    </w:p>
    <w:p w14:paraId="39A41228" w14:textId="5C5CFBC6" w:rsidR="002A46A1" w:rsidRPr="001A7287" w:rsidRDefault="00E31420" w:rsidP="001A7287">
      <w:pPr>
        <w:pStyle w:val="Heading2"/>
        <w:tabs>
          <w:tab w:val="left" w:pos="2915"/>
        </w:tabs>
        <w:kinsoku w:val="0"/>
        <w:overflowPunct w:val="0"/>
        <w:spacing w:before="94"/>
        <w:ind w:left="2915" w:hanging="1980"/>
        <w:jc w:val="left"/>
        <w:rPr>
          <w:color w:val="050707"/>
        </w:rPr>
      </w:pPr>
      <w:r>
        <w:rPr>
          <w:color w:val="050707"/>
        </w:rPr>
        <w:t>Name</w:t>
      </w:r>
      <w:r>
        <w:rPr>
          <w:color w:val="050707"/>
        </w:rPr>
        <w:tab/>
        <w:t>Current directorships and partnerships</w:t>
      </w:r>
    </w:p>
    <w:p w14:paraId="0337BFF2" w14:textId="5F1B6950" w:rsidR="00783288" w:rsidRDefault="00E31420">
      <w:pPr>
        <w:pStyle w:val="BodyText"/>
        <w:kinsoku w:val="0"/>
        <w:overflowPunct w:val="0"/>
        <w:spacing w:before="94"/>
        <w:ind w:left="698" w:right="2692"/>
        <w:rPr>
          <w:b/>
          <w:bCs/>
          <w:i/>
          <w:iCs/>
          <w:color w:val="050707"/>
        </w:rPr>
      </w:pPr>
      <w:r>
        <w:rPr>
          <w:rFonts w:ascii="Times New Roman" w:hAnsi="Times New Roman" w:cs="Times New Roman"/>
          <w:sz w:val="24"/>
          <w:szCs w:val="24"/>
        </w:rPr>
        <w:br w:type="column"/>
      </w:r>
      <w:r>
        <w:rPr>
          <w:b/>
          <w:bCs/>
          <w:i/>
          <w:iCs/>
          <w:color w:val="050707"/>
        </w:rPr>
        <w:t>Past directorships and partnerships</w:t>
      </w:r>
    </w:p>
    <w:p w14:paraId="73610C39" w14:textId="77777777" w:rsidR="002A46A1" w:rsidRDefault="002A46A1">
      <w:pPr>
        <w:pStyle w:val="BodyText"/>
        <w:kinsoku w:val="0"/>
        <w:overflowPunct w:val="0"/>
        <w:spacing w:before="94"/>
        <w:ind w:left="698" w:right="2692"/>
        <w:rPr>
          <w:b/>
          <w:bCs/>
          <w:i/>
          <w:iCs/>
          <w:color w:val="050707"/>
        </w:rPr>
        <w:sectPr w:rsidR="002A46A1">
          <w:type w:val="continuous"/>
          <w:pgSz w:w="11900" w:h="16840"/>
          <w:pgMar w:top="1360" w:right="240" w:bottom="280" w:left="1140" w:header="720" w:footer="720" w:gutter="0"/>
          <w:cols w:num="2" w:space="720" w:equalWidth="0">
            <w:col w:w="5129" w:space="40"/>
            <w:col w:w="5351"/>
          </w:cols>
          <w:noEndnote/>
        </w:sectPr>
      </w:pPr>
    </w:p>
    <w:p w14:paraId="36D29E63" w14:textId="77777777" w:rsidR="001A7287" w:rsidRDefault="001A7287">
      <w:pPr>
        <w:pStyle w:val="BodyText"/>
        <w:tabs>
          <w:tab w:val="left" w:pos="2915"/>
          <w:tab w:val="left" w:pos="5867"/>
        </w:tabs>
        <w:kinsoku w:val="0"/>
        <w:overflowPunct w:val="0"/>
        <w:spacing w:before="94"/>
        <w:ind w:left="5867" w:right="2209" w:hanging="4932"/>
        <w:rPr>
          <w:color w:val="050707"/>
        </w:rPr>
      </w:pPr>
      <w:bookmarkStart w:id="12" w:name="_Hlk66896168"/>
    </w:p>
    <w:p w14:paraId="3677762F" w14:textId="49131C8C" w:rsidR="00783288" w:rsidRDefault="00E31420">
      <w:pPr>
        <w:pStyle w:val="BodyText"/>
        <w:tabs>
          <w:tab w:val="left" w:pos="2915"/>
          <w:tab w:val="left" w:pos="5867"/>
        </w:tabs>
        <w:kinsoku w:val="0"/>
        <w:overflowPunct w:val="0"/>
        <w:spacing w:before="94"/>
        <w:ind w:left="5867" w:right="2209" w:hanging="4932"/>
        <w:rPr>
          <w:color w:val="050707"/>
        </w:rPr>
      </w:pPr>
      <w:r>
        <w:rPr>
          <w:color w:val="050707"/>
        </w:rPr>
        <w:t>David</w:t>
      </w:r>
      <w:r>
        <w:rPr>
          <w:color w:val="050707"/>
          <w:spacing w:val="-1"/>
        </w:rPr>
        <w:t xml:space="preserve"> </w:t>
      </w:r>
      <w:r>
        <w:rPr>
          <w:color w:val="050707"/>
        </w:rPr>
        <w:t>Cliff</w:t>
      </w:r>
      <w:r>
        <w:rPr>
          <w:color w:val="050707"/>
        </w:rPr>
        <w:tab/>
      </w:r>
      <w:proofErr w:type="gramStart"/>
      <w:r>
        <w:rPr>
          <w:color w:val="050707"/>
        </w:rPr>
        <w:t>None</w:t>
      </w:r>
      <w:proofErr w:type="gramEnd"/>
      <w:r>
        <w:rPr>
          <w:color w:val="050707"/>
        </w:rPr>
        <w:tab/>
        <w:t>Columbus Copper Corporation DC Minerals Consultants Dinaric International Energy Corporation</w:t>
      </w:r>
    </w:p>
    <w:p w14:paraId="1FFDBB1F" w14:textId="77777777" w:rsidR="00783288" w:rsidRDefault="00E31420">
      <w:pPr>
        <w:pStyle w:val="BodyText"/>
        <w:kinsoku w:val="0"/>
        <w:overflowPunct w:val="0"/>
        <w:ind w:left="5867" w:right="2311"/>
        <w:rPr>
          <w:color w:val="050707"/>
        </w:rPr>
      </w:pPr>
      <w:proofErr w:type="spellStart"/>
      <w:r>
        <w:rPr>
          <w:color w:val="050707"/>
        </w:rPr>
        <w:t>Moonlake</w:t>
      </w:r>
      <w:proofErr w:type="spellEnd"/>
      <w:r>
        <w:rPr>
          <w:color w:val="050707"/>
        </w:rPr>
        <w:t xml:space="preserve"> Natural Resources Limited</w:t>
      </w:r>
    </w:p>
    <w:p w14:paraId="64006A21" w14:textId="77777777" w:rsidR="00783288" w:rsidRDefault="00783288">
      <w:pPr>
        <w:pStyle w:val="BodyText"/>
        <w:kinsoku w:val="0"/>
        <w:overflowPunct w:val="0"/>
      </w:pPr>
    </w:p>
    <w:p w14:paraId="7EF453F8" w14:textId="77777777" w:rsidR="00783288" w:rsidRDefault="00E31420">
      <w:pPr>
        <w:pStyle w:val="BodyText"/>
        <w:tabs>
          <w:tab w:val="left" w:pos="2915"/>
          <w:tab w:val="left" w:pos="5867"/>
        </w:tabs>
        <w:kinsoku w:val="0"/>
        <w:overflowPunct w:val="0"/>
        <w:ind w:left="2915" w:right="2537" w:hanging="1980"/>
        <w:rPr>
          <w:color w:val="050707"/>
        </w:rPr>
      </w:pPr>
      <w:r>
        <w:rPr>
          <w:color w:val="050707"/>
        </w:rPr>
        <w:t>Peter</w:t>
      </w:r>
      <w:r>
        <w:rPr>
          <w:color w:val="050707"/>
          <w:spacing w:val="-2"/>
        </w:rPr>
        <w:t xml:space="preserve"> </w:t>
      </w:r>
      <w:proofErr w:type="spellStart"/>
      <w:r>
        <w:rPr>
          <w:color w:val="050707"/>
        </w:rPr>
        <w:t>Damouni</w:t>
      </w:r>
      <w:proofErr w:type="spellEnd"/>
      <w:r>
        <w:rPr>
          <w:color w:val="050707"/>
        </w:rPr>
        <w:tab/>
        <w:t>Georgian</w:t>
      </w:r>
      <w:r>
        <w:rPr>
          <w:color w:val="050707"/>
          <w:spacing w:val="-5"/>
        </w:rPr>
        <w:t xml:space="preserve"> </w:t>
      </w:r>
      <w:r>
        <w:rPr>
          <w:color w:val="050707"/>
        </w:rPr>
        <w:t>Mining</w:t>
      </w:r>
      <w:r>
        <w:rPr>
          <w:color w:val="050707"/>
          <w:spacing w:val="-2"/>
        </w:rPr>
        <w:t xml:space="preserve"> </w:t>
      </w:r>
      <w:r>
        <w:rPr>
          <w:color w:val="050707"/>
        </w:rPr>
        <w:t>Corporation</w:t>
      </w:r>
      <w:r>
        <w:rPr>
          <w:color w:val="050707"/>
        </w:rPr>
        <w:tab/>
      </w:r>
      <w:proofErr w:type="spellStart"/>
      <w:r>
        <w:rPr>
          <w:color w:val="050707"/>
        </w:rPr>
        <w:t>NorthCrest</w:t>
      </w:r>
      <w:proofErr w:type="spellEnd"/>
      <w:r>
        <w:rPr>
          <w:color w:val="050707"/>
        </w:rPr>
        <w:t xml:space="preserve"> Capital Limited Kerr Mines Inc.</w:t>
      </w:r>
    </w:p>
    <w:p w14:paraId="7E464514" w14:textId="77777777" w:rsidR="00783288" w:rsidRDefault="00E31420">
      <w:pPr>
        <w:pStyle w:val="BodyText"/>
        <w:kinsoku w:val="0"/>
        <w:overflowPunct w:val="0"/>
        <w:ind w:left="2915" w:right="5443"/>
        <w:rPr>
          <w:color w:val="050707"/>
        </w:rPr>
      </w:pPr>
      <w:proofErr w:type="spellStart"/>
      <w:r>
        <w:rPr>
          <w:color w:val="050707"/>
        </w:rPr>
        <w:t>Silvergate</w:t>
      </w:r>
      <w:proofErr w:type="spellEnd"/>
      <w:r>
        <w:rPr>
          <w:color w:val="050707"/>
        </w:rPr>
        <w:t xml:space="preserve"> Capital Partners Limited</w:t>
      </w:r>
    </w:p>
    <w:p w14:paraId="68D5175C" w14:textId="77777777" w:rsidR="00783288" w:rsidRDefault="00E31420">
      <w:pPr>
        <w:pStyle w:val="BodyText"/>
        <w:kinsoku w:val="0"/>
        <w:overflowPunct w:val="0"/>
        <w:ind w:left="2915" w:right="5824"/>
        <w:rPr>
          <w:color w:val="050707"/>
        </w:rPr>
      </w:pPr>
      <w:r>
        <w:rPr>
          <w:color w:val="050707"/>
        </w:rPr>
        <w:t>Empire Metals Ltd, Gatlin Exploration Inc, Arena Minerals Inc, Mason Graphite</w:t>
      </w:r>
    </w:p>
    <w:p w14:paraId="51EE1171" w14:textId="77777777" w:rsidR="00783288" w:rsidRDefault="00783288">
      <w:pPr>
        <w:pStyle w:val="BodyText"/>
        <w:kinsoku w:val="0"/>
        <w:overflowPunct w:val="0"/>
      </w:pPr>
    </w:p>
    <w:p w14:paraId="352000E8" w14:textId="77777777" w:rsidR="00783288" w:rsidRDefault="00E31420">
      <w:pPr>
        <w:pStyle w:val="BodyText"/>
        <w:tabs>
          <w:tab w:val="left" w:pos="2915"/>
          <w:tab w:val="left" w:pos="5867"/>
        </w:tabs>
        <w:kinsoku w:val="0"/>
        <w:overflowPunct w:val="0"/>
        <w:spacing w:line="207" w:lineRule="exact"/>
        <w:ind w:left="935"/>
        <w:rPr>
          <w:color w:val="050707"/>
        </w:rPr>
      </w:pPr>
      <w:bookmarkStart w:id="13" w:name="_Hlk64281070"/>
      <w:r>
        <w:rPr>
          <w:color w:val="050707"/>
        </w:rPr>
        <w:t>Martin</w:t>
      </w:r>
      <w:r>
        <w:rPr>
          <w:color w:val="050707"/>
          <w:spacing w:val="-1"/>
        </w:rPr>
        <w:t xml:space="preserve"> </w:t>
      </w:r>
      <w:r>
        <w:rPr>
          <w:color w:val="050707"/>
        </w:rPr>
        <w:t>French</w:t>
      </w:r>
      <w:r>
        <w:rPr>
          <w:color w:val="050707"/>
        </w:rPr>
        <w:tab/>
        <w:t>Exchange</w:t>
      </w:r>
      <w:r>
        <w:rPr>
          <w:color w:val="050707"/>
          <w:spacing w:val="-3"/>
        </w:rPr>
        <w:t xml:space="preserve"> </w:t>
      </w:r>
      <w:r>
        <w:rPr>
          <w:color w:val="050707"/>
        </w:rPr>
        <w:t>Juhu Ltd</w:t>
      </w:r>
      <w:r>
        <w:rPr>
          <w:color w:val="050707"/>
        </w:rPr>
        <w:tab/>
      </w:r>
      <w:proofErr w:type="spellStart"/>
      <w:r>
        <w:rPr>
          <w:color w:val="050707"/>
        </w:rPr>
        <w:t>Enfren</w:t>
      </w:r>
      <w:proofErr w:type="spellEnd"/>
      <w:r>
        <w:rPr>
          <w:color w:val="050707"/>
          <w:spacing w:val="1"/>
        </w:rPr>
        <w:t xml:space="preserve"> </w:t>
      </w:r>
      <w:r>
        <w:rPr>
          <w:color w:val="050707"/>
        </w:rPr>
        <w:t>Ltd</w:t>
      </w:r>
    </w:p>
    <w:p w14:paraId="27CF8A7E" w14:textId="77777777" w:rsidR="00783288" w:rsidRDefault="00E31420">
      <w:pPr>
        <w:pStyle w:val="BodyText"/>
        <w:kinsoku w:val="0"/>
        <w:overflowPunct w:val="0"/>
        <w:ind w:left="5867" w:right="1921"/>
        <w:rPr>
          <w:color w:val="050707"/>
        </w:rPr>
      </w:pPr>
      <w:r>
        <w:rPr>
          <w:color w:val="050707"/>
        </w:rPr>
        <w:t>Specialist Trading London Limited North River Resources</w:t>
      </w:r>
      <w:r>
        <w:rPr>
          <w:color w:val="050707"/>
          <w:spacing w:val="-3"/>
        </w:rPr>
        <w:t xml:space="preserve"> </w:t>
      </w:r>
      <w:r>
        <w:rPr>
          <w:color w:val="050707"/>
        </w:rPr>
        <w:t>Plc</w:t>
      </w:r>
    </w:p>
    <w:p w14:paraId="6000BED1" w14:textId="47B950E9" w:rsidR="00783288" w:rsidRDefault="00E31420">
      <w:pPr>
        <w:pStyle w:val="BodyText"/>
        <w:kinsoku w:val="0"/>
        <w:overflowPunct w:val="0"/>
        <w:spacing w:before="1"/>
        <w:ind w:left="5867" w:right="2262"/>
        <w:rPr>
          <w:color w:val="050707"/>
        </w:rPr>
      </w:pPr>
      <w:r>
        <w:rPr>
          <w:color w:val="050707"/>
        </w:rPr>
        <w:t>NRR Energy Minerals Limited NRR Mozambique</w:t>
      </w:r>
      <w:r>
        <w:rPr>
          <w:color w:val="050707"/>
          <w:spacing w:val="-3"/>
        </w:rPr>
        <w:t xml:space="preserve"> </w:t>
      </w:r>
      <w:r>
        <w:rPr>
          <w:color w:val="050707"/>
        </w:rPr>
        <w:t>Limited</w:t>
      </w:r>
    </w:p>
    <w:bookmarkEnd w:id="13"/>
    <w:p w14:paraId="4D5FD002" w14:textId="6FBBC879" w:rsidR="00E2782E" w:rsidRDefault="00E2782E" w:rsidP="00F90149">
      <w:pPr>
        <w:pStyle w:val="BodyText"/>
        <w:kinsoku w:val="0"/>
        <w:overflowPunct w:val="0"/>
        <w:spacing w:before="1"/>
        <w:ind w:right="2262"/>
        <w:rPr>
          <w:color w:val="050707"/>
        </w:rPr>
      </w:pPr>
    </w:p>
    <w:p w14:paraId="1206AB71" w14:textId="611F202F" w:rsidR="00E2782E" w:rsidRDefault="00E2782E">
      <w:pPr>
        <w:pStyle w:val="BodyText"/>
        <w:kinsoku w:val="0"/>
        <w:overflowPunct w:val="0"/>
        <w:spacing w:before="1"/>
        <w:ind w:left="5867" w:right="2262"/>
        <w:rPr>
          <w:color w:val="050707"/>
        </w:rPr>
      </w:pPr>
    </w:p>
    <w:p w14:paraId="0D24F0D2" w14:textId="77777777" w:rsidR="00E2782E" w:rsidRDefault="00E2782E" w:rsidP="00E2782E">
      <w:pPr>
        <w:pStyle w:val="BodyText"/>
        <w:tabs>
          <w:tab w:val="left" w:pos="2915"/>
          <w:tab w:val="left" w:pos="5867"/>
        </w:tabs>
        <w:kinsoku w:val="0"/>
        <w:overflowPunct w:val="0"/>
        <w:spacing w:line="207" w:lineRule="exact"/>
        <w:ind w:left="935"/>
        <w:rPr>
          <w:color w:val="050707"/>
        </w:rPr>
      </w:pPr>
      <w:bookmarkStart w:id="14" w:name="_Hlk64281176"/>
      <w:r>
        <w:rPr>
          <w:color w:val="050707"/>
        </w:rPr>
        <w:t>Paul Ensor</w:t>
      </w:r>
      <w:r>
        <w:rPr>
          <w:color w:val="050707"/>
        </w:rPr>
        <w:tab/>
        <w:t>London Specialist Capital</w:t>
      </w:r>
      <w:r>
        <w:rPr>
          <w:color w:val="050707"/>
        </w:rPr>
        <w:tab/>
        <w:t xml:space="preserve">Secure Property Development </w:t>
      </w:r>
    </w:p>
    <w:p w14:paraId="566E5B3B" w14:textId="2F24673F" w:rsidR="00E2782E" w:rsidRDefault="00E2782E" w:rsidP="00E2782E">
      <w:pPr>
        <w:pStyle w:val="BodyText"/>
        <w:tabs>
          <w:tab w:val="left" w:pos="2915"/>
          <w:tab w:val="left" w:pos="5867"/>
        </w:tabs>
        <w:kinsoku w:val="0"/>
        <w:overflowPunct w:val="0"/>
        <w:spacing w:line="207" w:lineRule="exact"/>
        <w:ind w:left="935"/>
        <w:rPr>
          <w:color w:val="050707"/>
        </w:rPr>
      </w:pPr>
      <w:r>
        <w:rPr>
          <w:color w:val="050707"/>
        </w:rPr>
        <w:tab/>
      </w:r>
      <w:r>
        <w:rPr>
          <w:color w:val="050707"/>
        </w:rPr>
        <w:tab/>
        <w:t>&amp; Investment</w:t>
      </w:r>
    </w:p>
    <w:p w14:paraId="62AEC31E" w14:textId="3C6E5A60" w:rsidR="00E2782E" w:rsidRDefault="00E2782E" w:rsidP="00E2782E">
      <w:pPr>
        <w:pStyle w:val="BodyText"/>
        <w:kinsoku w:val="0"/>
        <w:overflowPunct w:val="0"/>
        <w:ind w:left="5867" w:right="1921"/>
        <w:rPr>
          <w:color w:val="050707"/>
        </w:rPr>
      </w:pPr>
      <w:r>
        <w:rPr>
          <w:color w:val="050707"/>
        </w:rPr>
        <w:t>Brazil Tungsten Holdings Ltd</w:t>
      </w:r>
    </w:p>
    <w:p w14:paraId="65804A2F" w14:textId="3CFDDEA7" w:rsidR="00E2782E" w:rsidRDefault="00E2782E" w:rsidP="00E2782E">
      <w:pPr>
        <w:pStyle w:val="BodyText"/>
        <w:kinsoku w:val="0"/>
        <w:overflowPunct w:val="0"/>
        <w:spacing w:before="1"/>
        <w:ind w:left="5867" w:right="2262"/>
        <w:rPr>
          <w:color w:val="050707"/>
        </w:rPr>
      </w:pPr>
      <w:proofErr w:type="spellStart"/>
      <w:r>
        <w:rPr>
          <w:color w:val="050707"/>
        </w:rPr>
        <w:t>Enfren</w:t>
      </w:r>
      <w:proofErr w:type="spellEnd"/>
      <w:r>
        <w:rPr>
          <w:color w:val="050707"/>
        </w:rPr>
        <w:t xml:space="preserve"> </w:t>
      </w:r>
    </w:p>
    <w:bookmarkEnd w:id="14"/>
    <w:p w14:paraId="022286CA" w14:textId="0199B373" w:rsidR="00E2782E" w:rsidRDefault="00E2782E">
      <w:pPr>
        <w:pStyle w:val="BodyText"/>
        <w:kinsoku w:val="0"/>
        <w:overflowPunct w:val="0"/>
        <w:spacing w:before="1"/>
        <w:ind w:left="5867" w:right="2262"/>
        <w:rPr>
          <w:color w:val="050707"/>
        </w:rPr>
      </w:pPr>
    </w:p>
    <w:p w14:paraId="008601E0" w14:textId="3002903D" w:rsidR="00E2782E" w:rsidRDefault="00E2782E">
      <w:pPr>
        <w:pStyle w:val="BodyText"/>
        <w:kinsoku w:val="0"/>
        <w:overflowPunct w:val="0"/>
        <w:spacing w:before="1"/>
        <w:ind w:left="5867" w:right="2262"/>
        <w:rPr>
          <w:color w:val="050707"/>
        </w:rPr>
      </w:pPr>
    </w:p>
    <w:p w14:paraId="4A059C18" w14:textId="1E8436C4" w:rsidR="00E2782E" w:rsidRDefault="00E2782E" w:rsidP="00E2782E">
      <w:pPr>
        <w:pStyle w:val="BodyText"/>
        <w:tabs>
          <w:tab w:val="left" w:pos="2915"/>
          <w:tab w:val="left" w:pos="5867"/>
        </w:tabs>
        <w:kinsoku w:val="0"/>
        <w:overflowPunct w:val="0"/>
        <w:spacing w:line="207" w:lineRule="exact"/>
        <w:ind w:left="935"/>
        <w:rPr>
          <w:color w:val="050707"/>
        </w:rPr>
      </w:pPr>
      <w:proofErr w:type="spellStart"/>
      <w:r>
        <w:rPr>
          <w:color w:val="050707"/>
        </w:rPr>
        <w:t>Evgeny</w:t>
      </w:r>
      <w:proofErr w:type="spellEnd"/>
      <w:r>
        <w:rPr>
          <w:color w:val="050707"/>
        </w:rPr>
        <w:t xml:space="preserve"> </w:t>
      </w:r>
      <w:proofErr w:type="spellStart"/>
      <w:r>
        <w:rPr>
          <w:color w:val="050707"/>
        </w:rPr>
        <w:t>Vrubleveskyi</w:t>
      </w:r>
      <w:proofErr w:type="spellEnd"/>
      <w:r>
        <w:rPr>
          <w:color w:val="050707"/>
        </w:rPr>
        <w:tab/>
      </w:r>
      <w:r w:rsidR="00C34B17">
        <w:rPr>
          <w:color w:val="050707"/>
        </w:rPr>
        <w:t>PMTL Holding Ltd</w:t>
      </w:r>
      <w:r>
        <w:rPr>
          <w:color w:val="050707"/>
        </w:rPr>
        <w:tab/>
      </w:r>
      <w:r w:rsidR="00C34B17">
        <w:rPr>
          <w:color w:val="050707"/>
        </w:rPr>
        <w:t xml:space="preserve">Polar Silver Resources Ltd UVGK </w:t>
      </w:r>
    </w:p>
    <w:p w14:paraId="54422680" w14:textId="676B237B" w:rsidR="00E2782E" w:rsidRDefault="00E2782E" w:rsidP="00E2782E">
      <w:pPr>
        <w:pStyle w:val="BodyText"/>
        <w:tabs>
          <w:tab w:val="left" w:pos="2915"/>
          <w:tab w:val="left" w:pos="5867"/>
        </w:tabs>
        <w:kinsoku w:val="0"/>
        <w:overflowPunct w:val="0"/>
        <w:spacing w:line="207" w:lineRule="exact"/>
        <w:ind w:left="935"/>
        <w:rPr>
          <w:color w:val="050707"/>
        </w:rPr>
      </w:pPr>
      <w:r>
        <w:rPr>
          <w:color w:val="050707"/>
        </w:rPr>
        <w:tab/>
      </w:r>
      <w:r>
        <w:rPr>
          <w:color w:val="050707"/>
        </w:rPr>
        <w:tab/>
      </w:r>
      <w:r w:rsidR="00C34B17">
        <w:rPr>
          <w:color w:val="050707"/>
        </w:rPr>
        <w:t>Holdings Limited</w:t>
      </w:r>
    </w:p>
    <w:p w14:paraId="08CBD7EB" w14:textId="594AC6BB" w:rsidR="00E2782E" w:rsidRDefault="00C34B17" w:rsidP="00E2782E">
      <w:pPr>
        <w:pStyle w:val="BodyText"/>
        <w:kinsoku w:val="0"/>
        <w:overflowPunct w:val="0"/>
        <w:ind w:left="5867" w:right="1921"/>
        <w:rPr>
          <w:color w:val="050707"/>
        </w:rPr>
      </w:pPr>
      <w:r>
        <w:rPr>
          <w:color w:val="050707"/>
        </w:rPr>
        <w:t>PMTL Netherlands B.V.</w:t>
      </w:r>
    </w:p>
    <w:p w14:paraId="0F26F691" w14:textId="5744B7DD" w:rsidR="00E2782E" w:rsidRDefault="00C34B17" w:rsidP="00E2782E">
      <w:pPr>
        <w:pStyle w:val="BodyText"/>
        <w:kinsoku w:val="0"/>
        <w:overflowPunct w:val="0"/>
        <w:spacing w:before="1"/>
        <w:ind w:left="5867" w:right="2262"/>
        <w:rPr>
          <w:color w:val="050707"/>
        </w:rPr>
      </w:pPr>
      <w:r>
        <w:rPr>
          <w:color w:val="050707"/>
        </w:rPr>
        <w:t>PMTL Mining Ltd</w:t>
      </w:r>
    </w:p>
    <w:p w14:paraId="024E8317" w14:textId="2289C964" w:rsidR="00C34B17" w:rsidRDefault="00C34B17" w:rsidP="00E2782E">
      <w:pPr>
        <w:pStyle w:val="BodyText"/>
        <w:kinsoku w:val="0"/>
        <w:overflowPunct w:val="0"/>
        <w:spacing w:before="1"/>
        <w:ind w:left="5867" w:right="2262"/>
        <w:rPr>
          <w:color w:val="050707"/>
        </w:rPr>
      </w:pPr>
      <w:proofErr w:type="spellStart"/>
      <w:r>
        <w:rPr>
          <w:color w:val="050707"/>
        </w:rPr>
        <w:t>Polymetal</w:t>
      </w:r>
      <w:proofErr w:type="spellEnd"/>
      <w:r>
        <w:rPr>
          <w:color w:val="050707"/>
        </w:rPr>
        <w:t xml:space="preserve"> International PLC</w:t>
      </w:r>
    </w:p>
    <w:p w14:paraId="6D643EC4" w14:textId="77777777" w:rsidR="00E2782E" w:rsidRDefault="00E2782E">
      <w:pPr>
        <w:pStyle w:val="BodyText"/>
        <w:kinsoku w:val="0"/>
        <w:overflowPunct w:val="0"/>
        <w:spacing w:before="1"/>
        <w:ind w:left="5867" w:right="2262"/>
        <w:rPr>
          <w:color w:val="050707"/>
        </w:rPr>
      </w:pPr>
    </w:p>
    <w:p w14:paraId="198EB7AF" w14:textId="4FB4F606" w:rsidR="00F90149" w:rsidRDefault="00F90149" w:rsidP="00F90149">
      <w:pPr>
        <w:pStyle w:val="BodyText"/>
        <w:tabs>
          <w:tab w:val="left" w:pos="2915"/>
          <w:tab w:val="left" w:pos="5867"/>
        </w:tabs>
        <w:kinsoku w:val="0"/>
        <w:overflowPunct w:val="0"/>
        <w:spacing w:line="207" w:lineRule="exact"/>
        <w:ind w:left="935"/>
        <w:rPr>
          <w:color w:val="050707"/>
        </w:rPr>
      </w:pPr>
      <w:r>
        <w:rPr>
          <w:color w:val="050707"/>
        </w:rPr>
        <w:t xml:space="preserve">Ajay </w:t>
      </w:r>
      <w:proofErr w:type="spellStart"/>
      <w:r>
        <w:rPr>
          <w:color w:val="050707"/>
        </w:rPr>
        <w:t>Kerjriwal</w:t>
      </w:r>
      <w:proofErr w:type="spellEnd"/>
      <w:r>
        <w:rPr>
          <w:color w:val="050707"/>
        </w:rPr>
        <w:tab/>
      </w:r>
      <w:proofErr w:type="spellStart"/>
      <w:r>
        <w:rPr>
          <w:color w:val="050707"/>
        </w:rPr>
        <w:t>Enim</w:t>
      </w:r>
      <w:proofErr w:type="spellEnd"/>
      <w:r>
        <w:rPr>
          <w:color w:val="050707"/>
        </w:rPr>
        <w:t xml:space="preserve"> Vero Ltd</w:t>
      </w:r>
      <w:r>
        <w:rPr>
          <w:color w:val="050707"/>
        </w:rPr>
        <w:tab/>
        <w:t xml:space="preserve"> </w:t>
      </w:r>
    </w:p>
    <w:p w14:paraId="04E4C308" w14:textId="77777777" w:rsidR="00F90149" w:rsidRDefault="00F90149" w:rsidP="00F90149">
      <w:pPr>
        <w:pStyle w:val="BodyText"/>
        <w:tabs>
          <w:tab w:val="left" w:pos="2915"/>
          <w:tab w:val="left" w:pos="5867"/>
        </w:tabs>
        <w:kinsoku w:val="0"/>
        <w:overflowPunct w:val="0"/>
        <w:spacing w:line="207" w:lineRule="exact"/>
        <w:ind w:left="935"/>
        <w:rPr>
          <w:color w:val="050707"/>
        </w:rPr>
      </w:pPr>
      <w:r>
        <w:rPr>
          <w:color w:val="050707"/>
        </w:rPr>
        <w:tab/>
        <w:t>Dormers Wells Learning Trust</w:t>
      </w:r>
    </w:p>
    <w:p w14:paraId="13297CA9" w14:textId="2BC3256D" w:rsidR="00F90149" w:rsidRDefault="00F90149" w:rsidP="00F90149">
      <w:pPr>
        <w:pStyle w:val="BodyText"/>
        <w:tabs>
          <w:tab w:val="left" w:pos="2915"/>
          <w:tab w:val="left" w:pos="5867"/>
        </w:tabs>
        <w:kinsoku w:val="0"/>
        <w:overflowPunct w:val="0"/>
        <w:spacing w:line="207" w:lineRule="exact"/>
        <w:ind w:left="935"/>
        <w:rPr>
          <w:color w:val="050707"/>
        </w:rPr>
      </w:pPr>
      <w:r>
        <w:rPr>
          <w:color w:val="050707"/>
        </w:rPr>
        <w:tab/>
        <w:t>Apollo Minerals</w:t>
      </w:r>
      <w:r w:rsidR="008547A8">
        <w:rPr>
          <w:color w:val="050707"/>
        </w:rPr>
        <w:t xml:space="preserve"> </w:t>
      </w:r>
      <w:r w:rsidR="00143214">
        <w:rPr>
          <w:color w:val="050707"/>
        </w:rPr>
        <w:t xml:space="preserve">Limited </w:t>
      </w:r>
    </w:p>
    <w:bookmarkEnd w:id="12"/>
    <w:p w14:paraId="12EE3BE1" w14:textId="7633CAF2" w:rsidR="00783288" w:rsidRPr="001A7287" w:rsidRDefault="00E2782E" w:rsidP="001A7287">
      <w:pPr>
        <w:pStyle w:val="BodyText"/>
        <w:kinsoku w:val="0"/>
        <w:overflowPunct w:val="0"/>
        <w:spacing w:before="1"/>
        <w:ind w:left="5867" w:right="2262"/>
        <w:rPr>
          <w:color w:val="050707"/>
        </w:rPr>
      </w:pPr>
      <w:r>
        <w:rPr>
          <w:color w:val="050707"/>
        </w:rPr>
        <w:tab/>
      </w:r>
    </w:p>
    <w:p w14:paraId="587BE36E" w14:textId="77777777" w:rsidR="00783288" w:rsidRDefault="00E31420" w:rsidP="00512495">
      <w:pPr>
        <w:pStyle w:val="ListParagraph"/>
        <w:numPr>
          <w:ilvl w:val="1"/>
          <w:numId w:val="13"/>
        </w:numPr>
        <w:tabs>
          <w:tab w:val="left" w:pos="840"/>
        </w:tabs>
        <w:kinsoku w:val="0"/>
        <w:overflowPunct w:val="0"/>
        <w:spacing w:before="160"/>
        <w:ind w:left="839"/>
        <w:rPr>
          <w:color w:val="231F20"/>
          <w:sz w:val="18"/>
          <w:szCs w:val="18"/>
        </w:rPr>
      </w:pPr>
      <w:r>
        <w:rPr>
          <w:color w:val="231F20"/>
          <w:sz w:val="18"/>
          <w:szCs w:val="18"/>
        </w:rPr>
        <w:t>None of the</w:t>
      </w:r>
      <w:r>
        <w:rPr>
          <w:color w:val="231F20"/>
          <w:spacing w:val="-1"/>
          <w:sz w:val="18"/>
          <w:szCs w:val="18"/>
        </w:rPr>
        <w:t xml:space="preserve"> </w:t>
      </w:r>
      <w:r>
        <w:rPr>
          <w:color w:val="231F20"/>
          <w:sz w:val="18"/>
          <w:szCs w:val="18"/>
        </w:rPr>
        <w:t>Directors:</w:t>
      </w:r>
    </w:p>
    <w:p w14:paraId="23D0D1BF" w14:textId="77777777" w:rsidR="00783288" w:rsidRDefault="00783288">
      <w:pPr>
        <w:pStyle w:val="BodyText"/>
        <w:kinsoku w:val="0"/>
        <w:overflowPunct w:val="0"/>
        <w:spacing w:before="9"/>
        <w:rPr>
          <w:sz w:val="20"/>
          <w:szCs w:val="20"/>
        </w:rPr>
      </w:pPr>
    </w:p>
    <w:p w14:paraId="1D0B5D9D"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has any convictions in relation to fraudulent offences;</w:t>
      </w:r>
      <w:r>
        <w:rPr>
          <w:color w:val="231F20"/>
          <w:spacing w:val="-7"/>
          <w:sz w:val="18"/>
          <w:szCs w:val="18"/>
        </w:rPr>
        <w:t xml:space="preserve"> </w:t>
      </w:r>
      <w:r>
        <w:rPr>
          <w:color w:val="231F20"/>
          <w:sz w:val="18"/>
          <w:szCs w:val="18"/>
        </w:rPr>
        <w:t>or</w:t>
      </w:r>
    </w:p>
    <w:p w14:paraId="5812FF9D" w14:textId="77777777" w:rsidR="00783288" w:rsidRDefault="00783288">
      <w:pPr>
        <w:pStyle w:val="BodyText"/>
        <w:kinsoku w:val="0"/>
        <w:overflowPunct w:val="0"/>
        <w:spacing w:before="10"/>
        <w:rPr>
          <w:sz w:val="20"/>
          <w:szCs w:val="20"/>
        </w:rPr>
      </w:pPr>
    </w:p>
    <w:p w14:paraId="6BE510FC" w14:textId="77777777" w:rsidR="00783288" w:rsidRDefault="00E31420" w:rsidP="00512495">
      <w:pPr>
        <w:pStyle w:val="ListParagraph"/>
        <w:numPr>
          <w:ilvl w:val="2"/>
          <w:numId w:val="13"/>
        </w:numPr>
        <w:tabs>
          <w:tab w:val="left" w:pos="1822"/>
        </w:tabs>
        <w:kinsoku w:val="0"/>
        <w:overflowPunct w:val="0"/>
        <w:ind w:right="1037"/>
        <w:jc w:val="both"/>
        <w:rPr>
          <w:color w:val="231F20"/>
          <w:sz w:val="18"/>
          <w:szCs w:val="18"/>
        </w:rPr>
      </w:pPr>
      <w:r>
        <w:rPr>
          <w:color w:val="231F20"/>
          <w:sz w:val="18"/>
          <w:szCs w:val="18"/>
        </w:rPr>
        <w:t>has been declared bankrupt or been a director or member of the administrative, management or supervisory</w:t>
      </w:r>
      <w:r>
        <w:rPr>
          <w:color w:val="231F20"/>
          <w:spacing w:val="-8"/>
          <w:sz w:val="18"/>
          <w:szCs w:val="18"/>
        </w:rPr>
        <w:t xml:space="preserve"> </w:t>
      </w:r>
      <w:r>
        <w:rPr>
          <w:color w:val="231F20"/>
          <w:sz w:val="18"/>
          <w:szCs w:val="18"/>
        </w:rPr>
        <w:t>body</w:t>
      </w:r>
      <w:r>
        <w:rPr>
          <w:color w:val="231F20"/>
          <w:spacing w:val="-7"/>
          <w:sz w:val="18"/>
          <w:szCs w:val="18"/>
        </w:rPr>
        <w:t xml:space="preserve"> </w:t>
      </w:r>
      <w:r>
        <w:rPr>
          <w:color w:val="231F20"/>
          <w:sz w:val="18"/>
          <w:szCs w:val="18"/>
        </w:rPr>
        <w:t>of</w:t>
      </w:r>
      <w:r>
        <w:rPr>
          <w:color w:val="231F20"/>
          <w:spacing w:val="-8"/>
          <w:sz w:val="18"/>
          <w:szCs w:val="18"/>
        </w:rPr>
        <w:t xml:space="preserve"> </w:t>
      </w:r>
      <w:r>
        <w:rPr>
          <w:color w:val="231F20"/>
          <w:sz w:val="18"/>
          <w:szCs w:val="18"/>
        </w:rPr>
        <w:t>a</w:t>
      </w:r>
      <w:r>
        <w:rPr>
          <w:color w:val="231F20"/>
          <w:spacing w:val="-6"/>
          <w:sz w:val="18"/>
          <w:szCs w:val="18"/>
        </w:rPr>
        <w:t xml:space="preserve"> </w:t>
      </w:r>
      <w:r>
        <w:rPr>
          <w:color w:val="231F20"/>
          <w:sz w:val="18"/>
          <w:szCs w:val="18"/>
        </w:rPr>
        <w:t>company</w:t>
      </w:r>
      <w:r>
        <w:rPr>
          <w:color w:val="231F20"/>
          <w:spacing w:val="-7"/>
          <w:sz w:val="18"/>
          <w:szCs w:val="18"/>
        </w:rPr>
        <w:t xml:space="preserve"> </w:t>
      </w:r>
      <w:r>
        <w:rPr>
          <w:color w:val="231F20"/>
          <w:sz w:val="18"/>
          <w:szCs w:val="18"/>
        </w:rPr>
        <w:t>or</w:t>
      </w:r>
      <w:r>
        <w:rPr>
          <w:color w:val="231F20"/>
          <w:spacing w:val="-6"/>
          <w:sz w:val="18"/>
          <w:szCs w:val="18"/>
        </w:rPr>
        <w:t xml:space="preserve"> </w:t>
      </w:r>
      <w:r>
        <w:rPr>
          <w:color w:val="231F20"/>
          <w:sz w:val="18"/>
          <w:szCs w:val="18"/>
        </w:rPr>
        <w:t>a</w:t>
      </w:r>
      <w:r>
        <w:rPr>
          <w:color w:val="231F20"/>
          <w:spacing w:val="-5"/>
          <w:sz w:val="18"/>
          <w:szCs w:val="18"/>
        </w:rPr>
        <w:t xml:space="preserve"> </w:t>
      </w:r>
      <w:r>
        <w:rPr>
          <w:color w:val="231F20"/>
          <w:sz w:val="18"/>
          <w:szCs w:val="18"/>
        </w:rPr>
        <w:t>senior</w:t>
      </w:r>
      <w:r>
        <w:rPr>
          <w:color w:val="231F20"/>
          <w:spacing w:val="-7"/>
          <w:sz w:val="18"/>
          <w:szCs w:val="18"/>
        </w:rPr>
        <w:t xml:space="preserve"> </w:t>
      </w:r>
      <w:r>
        <w:rPr>
          <w:color w:val="231F20"/>
          <w:sz w:val="18"/>
          <w:szCs w:val="18"/>
        </w:rPr>
        <w:t>manager</w:t>
      </w:r>
      <w:r>
        <w:rPr>
          <w:color w:val="231F20"/>
          <w:spacing w:val="-6"/>
          <w:sz w:val="18"/>
          <w:szCs w:val="18"/>
        </w:rPr>
        <w:t xml:space="preserve"> </w:t>
      </w:r>
      <w:r>
        <w:rPr>
          <w:color w:val="231F20"/>
          <w:sz w:val="18"/>
          <w:szCs w:val="18"/>
        </w:rPr>
        <w:t>of</w:t>
      </w:r>
      <w:r>
        <w:rPr>
          <w:color w:val="231F20"/>
          <w:spacing w:val="-5"/>
          <w:sz w:val="18"/>
          <w:szCs w:val="18"/>
        </w:rPr>
        <w:t xml:space="preserve"> </w:t>
      </w:r>
      <w:r>
        <w:rPr>
          <w:color w:val="231F20"/>
          <w:sz w:val="18"/>
          <w:szCs w:val="18"/>
        </w:rPr>
        <w:t>a</w:t>
      </w:r>
      <w:r>
        <w:rPr>
          <w:color w:val="231F20"/>
          <w:spacing w:val="-9"/>
          <w:sz w:val="18"/>
          <w:szCs w:val="18"/>
        </w:rPr>
        <w:t xml:space="preserve"> </w:t>
      </w:r>
      <w:r>
        <w:rPr>
          <w:color w:val="231F20"/>
          <w:sz w:val="18"/>
          <w:szCs w:val="18"/>
        </w:rPr>
        <w:t>company</w:t>
      </w:r>
      <w:r>
        <w:rPr>
          <w:color w:val="231F20"/>
          <w:spacing w:val="-6"/>
          <w:sz w:val="18"/>
          <w:szCs w:val="18"/>
        </w:rPr>
        <w:t xml:space="preserve"> </w:t>
      </w:r>
      <w:r>
        <w:rPr>
          <w:color w:val="231F20"/>
          <w:sz w:val="18"/>
          <w:szCs w:val="18"/>
        </w:rPr>
        <w:t>at</w:t>
      </w:r>
      <w:r>
        <w:rPr>
          <w:color w:val="231F20"/>
          <w:spacing w:val="-5"/>
          <w:sz w:val="18"/>
          <w:szCs w:val="18"/>
        </w:rPr>
        <w:t xml:space="preserve"> </w:t>
      </w:r>
      <w:r>
        <w:rPr>
          <w:color w:val="231F20"/>
          <w:sz w:val="18"/>
          <w:szCs w:val="18"/>
        </w:rPr>
        <w:t>the</w:t>
      </w:r>
      <w:r>
        <w:rPr>
          <w:color w:val="231F20"/>
          <w:spacing w:val="-6"/>
          <w:sz w:val="18"/>
          <w:szCs w:val="18"/>
        </w:rPr>
        <w:t xml:space="preserve"> </w:t>
      </w:r>
      <w:r>
        <w:rPr>
          <w:color w:val="231F20"/>
          <w:sz w:val="18"/>
          <w:szCs w:val="18"/>
        </w:rPr>
        <w:t>time</w:t>
      </w:r>
      <w:r>
        <w:rPr>
          <w:color w:val="231F20"/>
          <w:spacing w:val="-8"/>
          <w:sz w:val="18"/>
          <w:szCs w:val="18"/>
        </w:rPr>
        <w:t xml:space="preserve"> </w:t>
      </w:r>
      <w:r>
        <w:rPr>
          <w:color w:val="231F20"/>
          <w:sz w:val="18"/>
          <w:szCs w:val="18"/>
        </w:rPr>
        <w:t>of</w:t>
      </w:r>
      <w:r>
        <w:rPr>
          <w:color w:val="231F20"/>
          <w:spacing w:val="-5"/>
          <w:sz w:val="18"/>
          <w:szCs w:val="18"/>
        </w:rPr>
        <w:t xml:space="preserve"> </w:t>
      </w:r>
      <w:r>
        <w:rPr>
          <w:color w:val="231F20"/>
          <w:sz w:val="18"/>
          <w:szCs w:val="18"/>
        </w:rPr>
        <w:t>any</w:t>
      </w:r>
      <w:r>
        <w:rPr>
          <w:color w:val="231F20"/>
          <w:spacing w:val="-7"/>
          <w:sz w:val="18"/>
          <w:szCs w:val="18"/>
        </w:rPr>
        <w:t xml:space="preserve"> </w:t>
      </w:r>
      <w:r>
        <w:rPr>
          <w:color w:val="231F20"/>
          <w:sz w:val="18"/>
          <w:szCs w:val="18"/>
        </w:rPr>
        <w:t>receivership or liquidation;</w:t>
      </w:r>
      <w:r>
        <w:rPr>
          <w:color w:val="231F20"/>
          <w:spacing w:val="-1"/>
          <w:sz w:val="18"/>
          <w:szCs w:val="18"/>
        </w:rPr>
        <w:t xml:space="preserve"> </w:t>
      </w:r>
      <w:r>
        <w:rPr>
          <w:color w:val="231F20"/>
          <w:sz w:val="18"/>
          <w:szCs w:val="18"/>
        </w:rPr>
        <w:t>or</w:t>
      </w:r>
    </w:p>
    <w:p w14:paraId="4DC9836A" w14:textId="77777777" w:rsidR="00783288" w:rsidRDefault="00783288">
      <w:pPr>
        <w:pStyle w:val="BodyText"/>
        <w:kinsoku w:val="0"/>
        <w:overflowPunct w:val="0"/>
        <w:spacing w:before="10"/>
        <w:rPr>
          <w:sz w:val="20"/>
          <w:szCs w:val="20"/>
        </w:rPr>
      </w:pPr>
    </w:p>
    <w:p w14:paraId="46C35AB1" w14:textId="77777777" w:rsidR="00783288" w:rsidRDefault="00E31420" w:rsidP="00512495">
      <w:pPr>
        <w:pStyle w:val="ListParagraph"/>
        <w:numPr>
          <w:ilvl w:val="2"/>
          <w:numId w:val="13"/>
        </w:numPr>
        <w:tabs>
          <w:tab w:val="left" w:pos="1822"/>
        </w:tabs>
        <w:kinsoku w:val="0"/>
        <w:overflowPunct w:val="0"/>
        <w:ind w:right="1035"/>
        <w:jc w:val="both"/>
        <w:rPr>
          <w:color w:val="231F20"/>
          <w:sz w:val="18"/>
          <w:szCs w:val="18"/>
        </w:rPr>
      </w:pPr>
      <w:r>
        <w:rPr>
          <w:color w:val="231F20"/>
          <w:sz w:val="18"/>
          <w:szCs w:val="18"/>
        </w:rPr>
        <w:t>has</w:t>
      </w:r>
      <w:r>
        <w:rPr>
          <w:color w:val="231F20"/>
          <w:spacing w:val="-14"/>
          <w:sz w:val="18"/>
          <w:szCs w:val="18"/>
        </w:rPr>
        <w:t xml:space="preserve"> </w:t>
      </w:r>
      <w:r>
        <w:rPr>
          <w:color w:val="231F20"/>
          <w:sz w:val="18"/>
          <w:szCs w:val="18"/>
        </w:rPr>
        <w:t>been</w:t>
      </w:r>
      <w:r>
        <w:rPr>
          <w:color w:val="231F20"/>
          <w:spacing w:val="-13"/>
          <w:sz w:val="18"/>
          <w:szCs w:val="18"/>
        </w:rPr>
        <w:t xml:space="preserve"> </w:t>
      </w:r>
      <w:r>
        <w:rPr>
          <w:color w:val="231F20"/>
          <w:sz w:val="18"/>
          <w:szCs w:val="18"/>
        </w:rPr>
        <w:t>subject</w:t>
      </w:r>
      <w:r>
        <w:rPr>
          <w:color w:val="231F20"/>
          <w:spacing w:val="-11"/>
          <w:sz w:val="18"/>
          <w:szCs w:val="18"/>
        </w:rPr>
        <w:t xml:space="preserve"> </w:t>
      </w:r>
      <w:r>
        <w:rPr>
          <w:color w:val="231F20"/>
          <w:sz w:val="18"/>
          <w:szCs w:val="18"/>
        </w:rPr>
        <w:t>to</w:t>
      </w:r>
      <w:r>
        <w:rPr>
          <w:color w:val="231F20"/>
          <w:spacing w:val="-13"/>
          <w:sz w:val="18"/>
          <w:szCs w:val="18"/>
        </w:rPr>
        <w:t xml:space="preserve"> </w:t>
      </w:r>
      <w:r>
        <w:rPr>
          <w:color w:val="231F20"/>
          <w:sz w:val="18"/>
          <w:szCs w:val="18"/>
        </w:rPr>
        <w:t>any</w:t>
      </w:r>
      <w:r>
        <w:rPr>
          <w:color w:val="231F20"/>
          <w:spacing w:val="-13"/>
          <w:sz w:val="18"/>
          <w:szCs w:val="18"/>
        </w:rPr>
        <w:t xml:space="preserve"> </w:t>
      </w:r>
      <w:r>
        <w:rPr>
          <w:color w:val="231F20"/>
          <w:sz w:val="18"/>
          <w:szCs w:val="18"/>
        </w:rPr>
        <w:t>official</w:t>
      </w:r>
      <w:r>
        <w:rPr>
          <w:color w:val="231F20"/>
          <w:spacing w:val="-13"/>
          <w:sz w:val="18"/>
          <w:szCs w:val="18"/>
        </w:rPr>
        <w:t xml:space="preserve"> </w:t>
      </w:r>
      <w:r>
        <w:rPr>
          <w:color w:val="231F20"/>
          <w:sz w:val="18"/>
          <w:szCs w:val="18"/>
        </w:rPr>
        <w:t>public</w:t>
      </w:r>
      <w:r>
        <w:rPr>
          <w:color w:val="231F20"/>
          <w:spacing w:val="-13"/>
          <w:sz w:val="18"/>
          <w:szCs w:val="18"/>
        </w:rPr>
        <w:t xml:space="preserve"> </w:t>
      </w:r>
      <w:r>
        <w:rPr>
          <w:color w:val="231F20"/>
          <w:sz w:val="18"/>
          <w:szCs w:val="18"/>
        </w:rPr>
        <w:t>incrimination</w:t>
      </w:r>
      <w:r>
        <w:rPr>
          <w:color w:val="231F20"/>
          <w:spacing w:val="-13"/>
          <w:sz w:val="18"/>
          <w:szCs w:val="18"/>
        </w:rPr>
        <w:t xml:space="preserve"> </w:t>
      </w:r>
      <w:r>
        <w:rPr>
          <w:color w:val="231F20"/>
          <w:sz w:val="18"/>
          <w:szCs w:val="18"/>
        </w:rPr>
        <w:t>and/or</w:t>
      </w:r>
      <w:r>
        <w:rPr>
          <w:color w:val="231F20"/>
          <w:spacing w:val="-12"/>
          <w:sz w:val="18"/>
          <w:szCs w:val="18"/>
        </w:rPr>
        <w:t xml:space="preserve"> </w:t>
      </w:r>
      <w:r>
        <w:rPr>
          <w:color w:val="231F20"/>
          <w:sz w:val="18"/>
          <w:szCs w:val="18"/>
        </w:rPr>
        <w:t>sanctions</w:t>
      </w:r>
      <w:r>
        <w:rPr>
          <w:color w:val="231F20"/>
          <w:spacing w:val="-13"/>
          <w:sz w:val="18"/>
          <w:szCs w:val="18"/>
        </w:rPr>
        <w:t xml:space="preserve"> </w:t>
      </w:r>
      <w:r>
        <w:rPr>
          <w:color w:val="231F20"/>
          <w:sz w:val="18"/>
          <w:szCs w:val="18"/>
        </w:rPr>
        <w:t>by</w:t>
      </w:r>
      <w:r>
        <w:rPr>
          <w:color w:val="231F20"/>
          <w:spacing w:val="-13"/>
          <w:sz w:val="18"/>
          <w:szCs w:val="18"/>
        </w:rPr>
        <w:t xml:space="preserve"> </w:t>
      </w:r>
      <w:r>
        <w:rPr>
          <w:color w:val="231F20"/>
          <w:sz w:val="18"/>
          <w:szCs w:val="18"/>
        </w:rPr>
        <w:t>any</w:t>
      </w:r>
      <w:r>
        <w:rPr>
          <w:color w:val="231F20"/>
          <w:spacing w:val="-13"/>
          <w:sz w:val="18"/>
          <w:szCs w:val="18"/>
        </w:rPr>
        <w:t xml:space="preserve"> </w:t>
      </w:r>
      <w:r>
        <w:rPr>
          <w:color w:val="231F20"/>
          <w:sz w:val="18"/>
          <w:szCs w:val="18"/>
        </w:rPr>
        <w:t>statutory</w:t>
      </w:r>
      <w:r>
        <w:rPr>
          <w:color w:val="231F20"/>
          <w:spacing w:val="-13"/>
          <w:sz w:val="18"/>
          <w:szCs w:val="18"/>
        </w:rPr>
        <w:t xml:space="preserve"> </w:t>
      </w:r>
      <w:r>
        <w:rPr>
          <w:color w:val="231F20"/>
          <w:sz w:val="18"/>
          <w:szCs w:val="18"/>
        </w:rPr>
        <w:t>or</w:t>
      </w:r>
      <w:r>
        <w:rPr>
          <w:color w:val="231F20"/>
          <w:spacing w:val="-12"/>
          <w:sz w:val="18"/>
          <w:szCs w:val="18"/>
        </w:rPr>
        <w:t xml:space="preserve"> </w:t>
      </w:r>
      <w:r>
        <w:rPr>
          <w:color w:val="231F20"/>
          <w:sz w:val="18"/>
          <w:szCs w:val="18"/>
        </w:rPr>
        <w:t>regulatory authority</w:t>
      </w:r>
      <w:r>
        <w:rPr>
          <w:color w:val="231F20"/>
          <w:spacing w:val="-7"/>
          <w:sz w:val="18"/>
          <w:szCs w:val="18"/>
        </w:rPr>
        <w:t xml:space="preserve"> </w:t>
      </w:r>
      <w:r>
        <w:rPr>
          <w:color w:val="231F20"/>
          <w:sz w:val="18"/>
          <w:szCs w:val="18"/>
        </w:rPr>
        <w:t>(including</w:t>
      </w:r>
      <w:r>
        <w:rPr>
          <w:color w:val="231F20"/>
          <w:spacing w:val="-6"/>
          <w:sz w:val="18"/>
          <w:szCs w:val="18"/>
        </w:rPr>
        <w:t xml:space="preserve"> </w:t>
      </w:r>
      <w:r>
        <w:rPr>
          <w:color w:val="231F20"/>
          <w:sz w:val="18"/>
          <w:szCs w:val="18"/>
        </w:rPr>
        <w:t>designated</w:t>
      </w:r>
      <w:r>
        <w:rPr>
          <w:color w:val="231F20"/>
          <w:spacing w:val="-7"/>
          <w:sz w:val="18"/>
          <w:szCs w:val="18"/>
        </w:rPr>
        <w:t xml:space="preserve"> </w:t>
      </w:r>
      <w:r>
        <w:rPr>
          <w:color w:val="231F20"/>
          <w:sz w:val="18"/>
          <w:szCs w:val="18"/>
        </w:rPr>
        <w:t>professional</w:t>
      </w:r>
      <w:r>
        <w:rPr>
          <w:color w:val="231F20"/>
          <w:spacing w:val="-6"/>
          <w:sz w:val="18"/>
          <w:szCs w:val="18"/>
        </w:rPr>
        <w:t xml:space="preserve"> </w:t>
      </w:r>
      <w:r>
        <w:rPr>
          <w:color w:val="231F20"/>
          <w:sz w:val="18"/>
          <w:szCs w:val="18"/>
        </w:rPr>
        <w:t>bodies)</w:t>
      </w:r>
      <w:r>
        <w:rPr>
          <w:color w:val="231F20"/>
          <w:spacing w:val="-7"/>
          <w:sz w:val="18"/>
          <w:szCs w:val="18"/>
        </w:rPr>
        <w:t xml:space="preserve"> </w:t>
      </w:r>
      <w:r>
        <w:rPr>
          <w:color w:val="231F20"/>
          <w:sz w:val="18"/>
          <w:szCs w:val="18"/>
        </w:rPr>
        <w:t>or</w:t>
      </w:r>
      <w:r>
        <w:rPr>
          <w:color w:val="231F20"/>
          <w:spacing w:val="-8"/>
          <w:sz w:val="18"/>
          <w:szCs w:val="18"/>
        </w:rPr>
        <w:t xml:space="preserve"> </w:t>
      </w:r>
      <w:r>
        <w:rPr>
          <w:color w:val="231F20"/>
          <w:sz w:val="18"/>
          <w:szCs w:val="18"/>
        </w:rPr>
        <w:t>has</w:t>
      </w:r>
      <w:r>
        <w:rPr>
          <w:color w:val="231F20"/>
          <w:spacing w:val="-6"/>
          <w:sz w:val="18"/>
          <w:szCs w:val="18"/>
        </w:rPr>
        <w:t xml:space="preserve"> </w:t>
      </w:r>
      <w:r>
        <w:rPr>
          <w:color w:val="231F20"/>
          <w:sz w:val="18"/>
          <w:szCs w:val="18"/>
        </w:rPr>
        <w:t>ever</w:t>
      </w:r>
      <w:r>
        <w:rPr>
          <w:color w:val="231F20"/>
          <w:spacing w:val="-4"/>
          <w:sz w:val="18"/>
          <w:szCs w:val="18"/>
        </w:rPr>
        <w:t xml:space="preserve"> </w:t>
      </w:r>
      <w:r>
        <w:rPr>
          <w:color w:val="231F20"/>
          <w:sz w:val="18"/>
          <w:szCs w:val="18"/>
        </w:rPr>
        <w:t>been</w:t>
      </w:r>
      <w:r>
        <w:rPr>
          <w:color w:val="231F20"/>
          <w:spacing w:val="-7"/>
          <w:sz w:val="18"/>
          <w:szCs w:val="18"/>
        </w:rPr>
        <w:t xml:space="preserve"> </w:t>
      </w:r>
      <w:r>
        <w:rPr>
          <w:color w:val="231F20"/>
          <w:sz w:val="18"/>
          <w:szCs w:val="18"/>
        </w:rPr>
        <w:t>disqualified</w:t>
      </w:r>
      <w:r>
        <w:rPr>
          <w:color w:val="231F20"/>
          <w:spacing w:val="-6"/>
          <w:sz w:val="18"/>
          <w:szCs w:val="18"/>
        </w:rPr>
        <w:t xml:space="preserve"> </w:t>
      </w:r>
      <w:r>
        <w:rPr>
          <w:color w:val="231F20"/>
          <w:sz w:val="18"/>
          <w:szCs w:val="18"/>
        </w:rPr>
        <w:t>by</w:t>
      </w:r>
      <w:r>
        <w:rPr>
          <w:color w:val="231F20"/>
          <w:spacing w:val="-8"/>
          <w:sz w:val="18"/>
          <w:szCs w:val="18"/>
        </w:rPr>
        <w:t xml:space="preserve"> </w:t>
      </w:r>
      <w:r>
        <w:rPr>
          <w:color w:val="231F20"/>
          <w:sz w:val="18"/>
          <w:szCs w:val="18"/>
        </w:rPr>
        <w:t>a</w:t>
      </w:r>
      <w:r>
        <w:rPr>
          <w:color w:val="231F20"/>
          <w:spacing w:val="-7"/>
          <w:sz w:val="18"/>
          <w:szCs w:val="18"/>
        </w:rPr>
        <w:t xml:space="preserve"> </w:t>
      </w:r>
      <w:r>
        <w:rPr>
          <w:color w:val="231F20"/>
          <w:sz w:val="18"/>
          <w:szCs w:val="18"/>
        </w:rPr>
        <w:t>court</w:t>
      </w:r>
      <w:r>
        <w:rPr>
          <w:color w:val="231F20"/>
          <w:spacing w:val="-9"/>
          <w:sz w:val="18"/>
          <w:szCs w:val="18"/>
        </w:rPr>
        <w:t xml:space="preserve"> </w:t>
      </w:r>
      <w:r>
        <w:rPr>
          <w:color w:val="231F20"/>
          <w:sz w:val="18"/>
          <w:szCs w:val="18"/>
        </w:rPr>
        <w:t>from acting</w:t>
      </w:r>
      <w:r>
        <w:rPr>
          <w:color w:val="231F20"/>
          <w:spacing w:val="-6"/>
          <w:sz w:val="18"/>
          <w:szCs w:val="18"/>
        </w:rPr>
        <w:t xml:space="preserve"> </w:t>
      </w:r>
      <w:r>
        <w:rPr>
          <w:color w:val="231F20"/>
          <w:sz w:val="18"/>
          <w:szCs w:val="18"/>
        </w:rPr>
        <w:t>as</w:t>
      </w:r>
      <w:r>
        <w:rPr>
          <w:color w:val="231F20"/>
          <w:spacing w:val="-6"/>
          <w:sz w:val="18"/>
          <w:szCs w:val="18"/>
        </w:rPr>
        <w:t xml:space="preserve"> </w:t>
      </w:r>
      <w:r>
        <w:rPr>
          <w:color w:val="231F20"/>
          <w:sz w:val="18"/>
          <w:szCs w:val="18"/>
        </w:rPr>
        <w:t>a</w:t>
      </w:r>
      <w:r>
        <w:rPr>
          <w:color w:val="231F20"/>
          <w:spacing w:val="-6"/>
          <w:sz w:val="18"/>
          <w:szCs w:val="18"/>
        </w:rPr>
        <w:t xml:space="preserve"> </w:t>
      </w:r>
      <w:r>
        <w:rPr>
          <w:color w:val="231F20"/>
          <w:sz w:val="18"/>
          <w:szCs w:val="18"/>
        </w:rPr>
        <w:t>director</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a</w:t>
      </w:r>
      <w:r>
        <w:rPr>
          <w:color w:val="231F20"/>
          <w:spacing w:val="-6"/>
          <w:sz w:val="18"/>
          <w:szCs w:val="18"/>
        </w:rPr>
        <w:t xml:space="preserve"> </w:t>
      </w:r>
      <w:r>
        <w:rPr>
          <w:color w:val="231F20"/>
          <w:sz w:val="18"/>
          <w:szCs w:val="18"/>
        </w:rPr>
        <w:t>company</w:t>
      </w:r>
      <w:r>
        <w:rPr>
          <w:color w:val="231F20"/>
          <w:spacing w:val="-6"/>
          <w:sz w:val="18"/>
          <w:szCs w:val="18"/>
        </w:rPr>
        <w:t xml:space="preserve"> </w:t>
      </w:r>
      <w:r>
        <w:rPr>
          <w:color w:val="231F20"/>
          <w:sz w:val="18"/>
          <w:szCs w:val="18"/>
        </w:rPr>
        <w:t>or</w:t>
      </w:r>
      <w:r>
        <w:rPr>
          <w:color w:val="231F20"/>
          <w:spacing w:val="-4"/>
          <w:sz w:val="18"/>
          <w:szCs w:val="18"/>
        </w:rPr>
        <w:t xml:space="preserve"> </w:t>
      </w:r>
      <w:r>
        <w:rPr>
          <w:color w:val="231F20"/>
          <w:sz w:val="18"/>
          <w:szCs w:val="18"/>
        </w:rPr>
        <w:t>from</w:t>
      </w:r>
      <w:r>
        <w:rPr>
          <w:color w:val="231F20"/>
          <w:spacing w:val="-6"/>
          <w:sz w:val="18"/>
          <w:szCs w:val="18"/>
        </w:rPr>
        <w:t xml:space="preserve"> </w:t>
      </w:r>
      <w:r>
        <w:rPr>
          <w:color w:val="231F20"/>
          <w:sz w:val="18"/>
          <w:szCs w:val="18"/>
        </w:rPr>
        <w:t>acting</w:t>
      </w:r>
      <w:r>
        <w:rPr>
          <w:color w:val="231F20"/>
          <w:spacing w:val="-5"/>
          <w:sz w:val="18"/>
          <w:szCs w:val="18"/>
        </w:rPr>
        <w:t xml:space="preserve"> </w:t>
      </w:r>
      <w:r>
        <w:rPr>
          <w:color w:val="231F20"/>
          <w:sz w:val="18"/>
          <w:szCs w:val="18"/>
        </w:rPr>
        <w:t>as</w:t>
      </w:r>
      <w:r>
        <w:rPr>
          <w:color w:val="231F20"/>
          <w:spacing w:val="-6"/>
          <w:sz w:val="18"/>
          <w:szCs w:val="18"/>
        </w:rPr>
        <w:t xml:space="preserve"> </w:t>
      </w:r>
      <w:r>
        <w:rPr>
          <w:color w:val="231F20"/>
          <w:sz w:val="18"/>
          <w:szCs w:val="18"/>
        </w:rPr>
        <w:t>a</w:t>
      </w:r>
      <w:r>
        <w:rPr>
          <w:color w:val="231F20"/>
          <w:spacing w:val="-6"/>
          <w:sz w:val="18"/>
          <w:szCs w:val="18"/>
        </w:rPr>
        <w:t xml:space="preserve"> </w:t>
      </w:r>
      <w:r>
        <w:rPr>
          <w:color w:val="231F20"/>
          <w:sz w:val="18"/>
          <w:szCs w:val="18"/>
        </w:rPr>
        <w:t>member</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5"/>
          <w:sz w:val="18"/>
          <w:szCs w:val="18"/>
        </w:rPr>
        <w:t xml:space="preserve"> </w:t>
      </w:r>
      <w:r>
        <w:rPr>
          <w:color w:val="231F20"/>
          <w:sz w:val="18"/>
          <w:szCs w:val="18"/>
        </w:rPr>
        <w:t>administrative,</w:t>
      </w:r>
      <w:r>
        <w:rPr>
          <w:color w:val="231F20"/>
          <w:spacing w:val="-6"/>
          <w:sz w:val="18"/>
          <w:szCs w:val="18"/>
        </w:rPr>
        <w:t xml:space="preserve"> </w:t>
      </w:r>
      <w:r>
        <w:rPr>
          <w:color w:val="231F20"/>
          <w:sz w:val="18"/>
          <w:szCs w:val="18"/>
        </w:rPr>
        <w:t>management or</w:t>
      </w:r>
      <w:r>
        <w:rPr>
          <w:color w:val="231F20"/>
          <w:spacing w:val="-5"/>
          <w:sz w:val="18"/>
          <w:szCs w:val="18"/>
        </w:rPr>
        <w:t xml:space="preserve"> </w:t>
      </w:r>
      <w:r>
        <w:rPr>
          <w:color w:val="231F20"/>
          <w:sz w:val="18"/>
          <w:szCs w:val="18"/>
        </w:rPr>
        <w:t>supervisory</w:t>
      </w:r>
      <w:r>
        <w:rPr>
          <w:color w:val="231F20"/>
          <w:spacing w:val="-6"/>
          <w:sz w:val="18"/>
          <w:szCs w:val="18"/>
        </w:rPr>
        <w:t xml:space="preserve"> </w:t>
      </w:r>
      <w:r>
        <w:rPr>
          <w:color w:val="231F20"/>
          <w:sz w:val="18"/>
          <w:szCs w:val="18"/>
        </w:rPr>
        <w:t>bodies</w:t>
      </w:r>
      <w:r>
        <w:rPr>
          <w:color w:val="231F20"/>
          <w:spacing w:val="-6"/>
          <w:sz w:val="18"/>
          <w:szCs w:val="18"/>
        </w:rPr>
        <w:t xml:space="preserve"> </w:t>
      </w:r>
      <w:r>
        <w:rPr>
          <w:color w:val="231F20"/>
          <w:sz w:val="18"/>
          <w:szCs w:val="18"/>
        </w:rPr>
        <w:t>of</w:t>
      </w:r>
      <w:r>
        <w:rPr>
          <w:color w:val="231F20"/>
          <w:spacing w:val="-4"/>
          <w:sz w:val="18"/>
          <w:szCs w:val="18"/>
        </w:rPr>
        <w:t xml:space="preserve"> </w:t>
      </w:r>
      <w:r>
        <w:rPr>
          <w:color w:val="231F20"/>
          <w:sz w:val="18"/>
          <w:szCs w:val="18"/>
        </w:rPr>
        <w:t>a</w:t>
      </w:r>
      <w:r>
        <w:rPr>
          <w:color w:val="231F20"/>
          <w:spacing w:val="-6"/>
          <w:sz w:val="18"/>
          <w:szCs w:val="18"/>
        </w:rPr>
        <w:t xml:space="preserve"> </w:t>
      </w:r>
      <w:r>
        <w:rPr>
          <w:color w:val="231F20"/>
          <w:sz w:val="18"/>
          <w:szCs w:val="18"/>
        </w:rPr>
        <w:t>company</w:t>
      </w:r>
      <w:r>
        <w:rPr>
          <w:color w:val="231F20"/>
          <w:spacing w:val="-6"/>
          <w:sz w:val="18"/>
          <w:szCs w:val="18"/>
        </w:rPr>
        <w:t xml:space="preserve"> </w:t>
      </w:r>
      <w:r>
        <w:rPr>
          <w:color w:val="231F20"/>
          <w:sz w:val="18"/>
          <w:szCs w:val="18"/>
        </w:rPr>
        <w:t>or</w:t>
      </w:r>
      <w:r>
        <w:rPr>
          <w:color w:val="231F20"/>
          <w:spacing w:val="-7"/>
          <w:sz w:val="18"/>
          <w:szCs w:val="18"/>
        </w:rPr>
        <w:t xml:space="preserve"> </w:t>
      </w:r>
      <w:r>
        <w:rPr>
          <w:color w:val="231F20"/>
          <w:sz w:val="18"/>
          <w:szCs w:val="18"/>
        </w:rPr>
        <w:t>from</w:t>
      </w:r>
      <w:r>
        <w:rPr>
          <w:color w:val="231F20"/>
          <w:spacing w:val="-3"/>
          <w:sz w:val="18"/>
          <w:szCs w:val="18"/>
        </w:rPr>
        <w:t xml:space="preserve"> </w:t>
      </w:r>
      <w:r>
        <w:rPr>
          <w:color w:val="231F20"/>
          <w:sz w:val="18"/>
          <w:szCs w:val="18"/>
        </w:rPr>
        <w:t>acting</w:t>
      </w:r>
      <w:r>
        <w:rPr>
          <w:color w:val="231F20"/>
          <w:spacing w:val="-7"/>
          <w:sz w:val="18"/>
          <w:szCs w:val="18"/>
        </w:rPr>
        <w:t xml:space="preserve"> </w:t>
      </w:r>
      <w:r>
        <w:rPr>
          <w:color w:val="231F20"/>
          <w:sz w:val="18"/>
          <w:szCs w:val="18"/>
        </w:rPr>
        <w:t>in</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management</w:t>
      </w:r>
      <w:r>
        <w:rPr>
          <w:color w:val="231F20"/>
          <w:spacing w:val="-6"/>
          <w:sz w:val="18"/>
          <w:szCs w:val="18"/>
        </w:rPr>
        <w:t xml:space="preserve"> </w:t>
      </w:r>
      <w:r>
        <w:rPr>
          <w:color w:val="231F20"/>
          <w:sz w:val="18"/>
          <w:szCs w:val="18"/>
        </w:rPr>
        <w:t>or</w:t>
      </w:r>
      <w:r>
        <w:rPr>
          <w:color w:val="231F20"/>
          <w:spacing w:val="-7"/>
          <w:sz w:val="18"/>
          <w:szCs w:val="18"/>
        </w:rPr>
        <w:t xml:space="preserve"> </w:t>
      </w:r>
      <w:r>
        <w:rPr>
          <w:color w:val="231F20"/>
          <w:sz w:val="18"/>
          <w:szCs w:val="18"/>
        </w:rPr>
        <w:t>conduct</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6"/>
          <w:sz w:val="18"/>
          <w:szCs w:val="18"/>
        </w:rPr>
        <w:t xml:space="preserve"> </w:t>
      </w:r>
      <w:r>
        <w:rPr>
          <w:color w:val="231F20"/>
          <w:sz w:val="18"/>
          <w:szCs w:val="18"/>
        </w:rPr>
        <w:t>affairs</w:t>
      </w:r>
      <w:r>
        <w:rPr>
          <w:color w:val="231F20"/>
          <w:spacing w:val="-6"/>
          <w:sz w:val="18"/>
          <w:szCs w:val="18"/>
        </w:rPr>
        <w:t xml:space="preserve"> </w:t>
      </w:r>
      <w:r>
        <w:rPr>
          <w:color w:val="231F20"/>
          <w:sz w:val="18"/>
          <w:szCs w:val="18"/>
        </w:rPr>
        <w:t>of any</w:t>
      </w:r>
      <w:r>
        <w:rPr>
          <w:color w:val="231F20"/>
          <w:spacing w:val="-2"/>
          <w:sz w:val="18"/>
          <w:szCs w:val="18"/>
        </w:rPr>
        <w:t xml:space="preserve"> </w:t>
      </w:r>
      <w:r>
        <w:rPr>
          <w:color w:val="231F20"/>
          <w:sz w:val="18"/>
          <w:szCs w:val="18"/>
        </w:rPr>
        <w:t>company.</w:t>
      </w:r>
    </w:p>
    <w:p w14:paraId="4F7B0254" w14:textId="77777777" w:rsidR="00783288" w:rsidRDefault="00783288">
      <w:pPr>
        <w:pStyle w:val="BodyText"/>
        <w:kinsoku w:val="0"/>
        <w:overflowPunct w:val="0"/>
        <w:spacing w:before="5"/>
        <w:rPr>
          <w:sz w:val="20"/>
          <w:szCs w:val="20"/>
        </w:rPr>
      </w:pPr>
    </w:p>
    <w:p w14:paraId="3D153C0A" w14:textId="77777777" w:rsidR="00783288" w:rsidRDefault="00E31420" w:rsidP="00512495">
      <w:pPr>
        <w:pStyle w:val="Heading1"/>
        <w:keepNext/>
        <w:keepLines/>
        <w:numPr>
          <w:ilvl w:val="0"/>
          <w:numId w:val="13"/>
        </w:numPr>
        <w:tabs>
          <w:tab w:val="left" w:pos="840"/>
        </w:tabs>
        <w:kinsoku w:val="0"/>
        <w:overflowPunct w:val="0"/>
        <w:ind w:left="839"/>
        <w:rPr>
          <w:color w:val="231F20"/>
        </w:rPr>
      </w:pPr>
      <w:r>
        <w:rPr>
          <w:color w:val="231F20"/>
        </w:rPr>
        <w:lastRenderedPageBreak/>
        <w:t>Directors Appointment Letters and Service</w:t>
      </w:r>
      <w:r>
        <w:rPr>
          <w:color w:val="231F20"/>
          <w:spacing w:val="1"/>
        </w:rPr>
        <w:t xml:space="preserve"> </w:t>
      </w:r>
      <w:r>
        <w:rPr>
          <w:color w:val="231F20"/>
        </w:rPr>
        <w:t>Agreements</w:t>
      </w:r>
    </w:p>
    <w:p w14:paraId="72AD1835" w14:textId="77777777" w:rsidR="00783288" w:rsidRDefault="00783288" w:rsidP="001A7287">
      <w:pPr>
        <w:pStyle w:val="BodyText"/>
        <w:keepNext/>
        <w:keepLines/>
        <w:kinsoku w:val="0"/>
        <w:overflowPunct w:val="0"/>
        <w:spacing w:before="3"/>
        <w:rPr>
          <w:b/>
          <w:bCs/>
          <w:sz w:val="21"/>
          <w:szCs w:val="21"/>
        </w:rPr>
      </w:pPr>
    </w:p>
    <w:p w14:paraId="533B4D0B" w14:textId="7AE6497C" w:rsidR="00460571" w:rsidRDefault="00E31420" w:rsidP="00512495">
      <w:pPr>
        <w:pStyle w:val="Heading2"/>
        <w:keepNext/>
        <w:keepLines/>
        <w:numPr>
          <w:ilvl w:val="1"/>
          <w:numId w:val="13"/>
        </w:numPr>
        <w:tabs>
          <w:tab w:val="left" w:pos="840"/>
        </w:tabs>
        <w:kinsoku w:val="0"/>
        <w:overflowPunct w:val="0"/>
        <w:ind w:left="839"/>
        <w:jc w:val="left"/>
        <w:rPr>
          <w:color w:val="231F20"/>
        </w:rPr>
      </w:pPr>
      <w:r w:rsidRPr="00460571">
        <w:rPr>
          <w:color w:val="231F20"/>
        </w:rPr>
        <w:t xml:space="preserve">Executive </w:t>
      </w:r>
      <w:r w:rsidR="00A56E7C" w:rsidRPr="00460571">
        <w:rPr>
          <w:color w:val="231F20"/>
        </w:rPr>
        <w:t>Directors</w:t>
      </w:r>
    </w:p>
    <w:p w14:paraId="428D1CB0" w14:textId="77777777" w:rsidR="002213D7" w:rsidRDefault="002213D7" w:rsidP="001A7287">
      <w:pPr>
        <w:pStyle w:val="BodyText"/>
        <w:keepNext/>
        <w:keepLines/>
        <w:kinsoku w:val="0"/>
        <w:overflowPunct w:val="0"/>
        <w:spacing w:before="75"/>
        <w:ind w:left="839"/>
        <w:jc w:val="both"/>
        <w:rPr>
          <w:color w:val="231F20"/>
        </w:rPr>
      </w:pPr>
    </w:p>
    <w:p w14:paraId="1FCFEB06" w14:textId="77777777" w:rsidR="00783288" w:rsidRDefault="00E31420" w:rsidP="001A7287">
      <w:pPr>
        <w:pStyle w:val="BodyText"/>
        <w:keepNext/>
        <w:keepLines/>
        <w:kinsoku w:val="0"/>
        <w:overflowPunct w:val="0"/>
        <w:spacing w:before="75"/>
        <w:ind w:left="839"/>
        <w:jc w:val="both"/>
        <w:rPr>
          <w:i/>
          <w:iCs/>
          <w:color w:val="231F20"/>
        </w:rPr>
      </w:pPr>
      <w:r>
        <w:rPr>
          <w:i/>
          <w:iCs/>
          <w:color w:val="231F20"/>
        </w:rPr>
        <w:t>Executive Service Agreement</w:t>
      </w:r>
      <w:r w:rsidR="00A56E7C">
        <w:rPr>
          <w:i/>
          <w:iCs/>
          <w:color w:val="231F20"/>
        </w:rPr>
        <w:t>s</w:t>
      </w:r>
      <w:r>
        <w:rPr>
          <w:i/>
          <w:iCs/>
          <w:color w:val="231F20"/>
        </w:rPr>
        <w:t xml:space="preserve"> of Martin French</w:t>
      </w:r>
      <w:r w:rsidR="00A56E7C">
        <w:rPr>
          <w:i/>
          <w:iCs/>
          <w:color w:val="231F20"/>
        </w:rPr>
        <w:t xml:space="preserve"> and Ajay Kejriwal</w:t>
      </w:r>
    </w:p>
    <w:p w14:paraId="0677F6F0" w14:textId="77777777" w:rsidR="00783288" w:rsidRDefault="00783288">
      <w:pPr>
        <w:pStyle w:val="BodyText"/>
        <w:kinsoku w:val="0"/>
        <w:overflowPunct w:val="0"/>
        <w:spacing w:before="1"/>
        <w:rPr>
          <w:i/>
          <w:iCs/>
          <w:sz w:val="21"/>
          <w:szCs w:val="21"/>
        </w:rPr>
      </w:pPr>
    </w:p>
    <w:p w14:paraId="4348F9AD" w14:textId="7952DD06" w:rsidR="00783288" w:rsidRDefault="00E31420">
      <w:pPr>
        <w:pStyle w:val="BodyText"/>
        <w:kinsoku w:val="0"/>
        <w:overflowPunct w:val="0"/>
        <w:ind w:left="839" w:right="1035"/>
        <w:jc w:val="both"/>
        <w:rPr>
          <w:color w:val="231F20"/>
        </w:rPr>
      </w:pPr>
      <w:r>
        <w:rPr>
          <w:color w:val="231F20"/>
        </w:rPr>
        <w:t>On 26 July 2018, Martin French entered into a service agreement with the Company, pursuant to which he agreed</w:t>
      </w:r>
      <w:r>
        <w:rPr>
          <w:color w:val="231F20"/>
          <w:spacing w:val="-17"/>
        </w:rPr>
        <w:t xml:space="preserve"> </w:t>
      </w:r>
      <w:r>
        <w:rPr>
          <w:color w:val="231F20"/>
        </w:rPr>
        <w:t>to</w:t>
      </w:r>
      <w:r>
        <w:rPr>
          <w:color w:val="231F20"/>
          <w:spacing w:val="-16"/>
        </w:rPr>
        <w:t xml:space="preserve"> </w:t>
      </w:r>
      <w:r>
        <w:rPr>
          <w:color w:val="231F20"/>
        </w:rPr>
        <w:t>serve</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Executive</w:t>
      </w:r>
      <w:r>
        <w:rPr>
          <w:color w:val="231F20"/>
          <w:spacing w:val="-14"/>
        </w:rPr>
        <w:t xml:space="preserve"> </w:t>
      </w:r>
      <w:r>
        <w:rPr>
          <w:color w:val="231F20"/>
        </w:rPr>
        <w:t>Chairman</w:t>
      </w:r>
      <w:r>
        <w:rPr>
          <w:color w:val="231F20"/>
          <w:spacing w:val="-13"/>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Company.</w:t>
      </w:r>
      <w:r>
        <w:rPr>
          <w:color w:val="231F20"/>
          <w:spacing w:val="-16"/>
        </w:rPr>
        <w:t xml:space="preserve"> </w:t>
      </w:r>
      <w:r>
        <w:rPr>
          <w:color w:val="231F20"/>
        </w:rPr>
        <w:t>Pursuant</w:t>
      </w:r>
      <w:r>
        <w:rPr>
          <w:color w:val="231F20"/>
          <w:spacing w:val="-14"/>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service</w:t>
      </w:r>
      <w:r>
        <w:rPr>
          <w:color w:val="231F20"/>
          <w:spacing w:val="-13"/>
        </w:rPr>
        <w:t xml:space="preserve"> </w:t>
      </w:r>
      <w:r>
        <w:rPr>
          <w:color w:val="231F20"/>
        </w:rPr>
        <w:t>agreement,</w:t>
      </w:r>
      <w:r>
        <w:rPr>
          <w:color w:val="231F20"/>
          <w:spacing w:val="-14"/>
        </w:rPr>
        <w:t xml:space="preserve"> </w:t>
      </w:r>
      <w:r>
        <w:rPr>
          <w:color w:val="231F20"/>
        </w:rPr>
        <w:t>Martin</w:t>
      </w:r>
      <w:r>
        <w:rPr>
          <w:color w:val="231F20"/>
          <w:spacing w:val="-13"/>
        </w:rPr>
        <w:t xml:space="preserve"> </w:t>
      </w:r>
      <w:r>
        <w:rPr>
          <w:color w:val="231F20"/>
        </w:rPr>
        <w:t>French agrees</w:t>
      </w:r>
      <w:r>
        <w:rPr>
          <w:color w:val="231F20"/>
          <w:spacing w:val="-4"/>
        </w:rPr>
        <w:t xml:space="preserve"> </w:t>
      </w:r>
      <w:r>
        <w:rPr>
          <w:color w:val="231F20"/>
        </w:rPr>
        <w:t>to</w:t>
      </w:r>
      <w:r>
        <w:rPr>
          <w:color w:val="231F20"/>
          <w:spacing w:val="-4"/>
        </w:rPr>
        <w:t xml:space="preserve"> </w:t>
      </w:r>
      <w:r>
        <w:rPr>
          <w:color w:val="231F20"/>
        </w:rPr>
        <w:t>devote</w:t>
      </w:r>
      <w:r>
        <w:rPr>
          <w:color w:val="231F20"/>
          <w:spacing w:val="-7"/>
        </w:rPr>
        <w:t xml:space="preserve"> </w:t>
      </w:r>
      <w:r>
        <w:rPr>
          <w:color w:val="231F20"/>
        </w:rPr>
        <w:t>such</w:t>
      </w:r>
      <w:r>
        <w:rPr>
          <w:color w:val="231F20"/>
          <w:spacing w:val="-6"/>
        </w:rPr>
        <w:t xml:space="preserve"> </w:t>
      </w:r>
      <w:r>
        <w:rPr>
          <w:color w:val="231F20"/>
        </w:rPr>
        <w:t>hours</w:t>
      </w:r>
      <w:r>
        <w:rPr>
          <w:color w:val="231F20"/>
          <w:spacing w:val="-6"/>
        </w:rPr>
        <w:t xml:space="preserve"> </w:t>
      </w:r>
      <w:r>
        <w:rPr>
          <w:color w:val="231F20"/>
        </w:rPr>
        <w:t>as</w:t>
      </w:r>
      <w:r>
        <w:rPr>
          <w:color w:val="231F20"/>
          <w:spacing w:val="-4"/>
        </w:rPr>
        <w:t xml:space="preserve"> </w:t>
      </w:r>
      <w:r>
        <w:rPr>
          <w:color w:val="231F20"/>
        </w:rPr>
        <w:t>are</w:t>
      </w:r>
      <w:r>
        <w:rPr>
          <w:color w:val="231F20"/>
          <w:spacing w:val="-4"/>
        </w:rPr>
        <w:t xml:space="preserve"> </w:t>
      </w:r>
      <w:r>
        <w:rPr>
          <w:color w:val="231F20"/>
        </w:rPr>
        <w:t>necessary</w:t>
      </w:r>
      <w:r>
        <w:rPr>
          <w:color w:val="231F20"/>
          <w:spacing w:val="-7"/>
        </w:rPr>
        <w:t xml:space="preserve"> </w:t>
      </w:r>
      <w:r>
        <w:rPr>
          <w:color w:val="231F20"/>
        </w:rPr>
        <w:t>for</w:t>
      </w:r>
      <w:r>
        <w:rPr>
          <w:color w:val="231F20"/>
          <w:spacing w:val="-7"/>
        </w:rPr>
        <w:t xml:space="preserve"> </w:t>
      </w:r>
      <w:r>
        <w:rPr>
          <w:color w:val="231F20"/>
        </w:rPr>
        <w:t>the</w:t>
      </w:r>
      <w:r>
        <w:rPr>
          <w:color w:val="231F20"/>
          <w:spacing w:val="-4"/>
        </w:rPr>
        <w:t xml:space="preserve"> </w:t>
      </w:r>
      <w:r>
        <w:rPr>
          <w:color w:val="231F20"/>
        </w:rPr>
        <w:t>proper</w:t>
      </w:r>
      <w:r>
        <w:rPr>
          <w:color w:val="231F20"/>
          <w:spacing w:val="-9"/>
        </w:rPr>
        <w:t xml:space="preserve"> </w:t>
      </w:r>
      <w:r>
        <w:rPr>
          <w:color w:val="231F20"/>
        </w:rPr>
        <w:t>performance</w:t>
      </w:r>
      <w:r>
        <w:rPr>
          <w:color w:val="231F20"/>
          <w:spacing w:val="-7"/>
        </w:rPr>
        <w:t xml:space="preserve"> </w:t>
      </w:r>
      <w:r>
        <w:rPr>
          <w:color w:val="231F20"/>
        </w:rPr>
        <w:t>of</w:t>
      </w:r>
      <w:r>
        <w:rPr>
          <w:color w:val="231F20"/>
          <w:spacing w:val="-6"/>
        </w:rPr>
        <w:t xml:space="preserve"> </w:t>
      </w:r>
      <w:r>
        <w:rPr>
          <w:color w:val="231F20"/>
        </w:rPr>
        <w:t>his</w:t>
      </w:r>
      <w:r>
        <w:rPr>
          <w:color w:val="231F20"/>
          <w:spacing w:val="-4"/>
        </w:rPr>
        <w:t xml:space="preserve"> </w:t>
      </w:r>
      <w:r>
        <w:rPr>
          <w:color w:val="231F20"/>
        </w:rPr>
        <w:t>duties</w:t>
      </w:r>
      <w:r>
        <w:rPr>
          <w:color w:val="231F20"/>
          <w:spacing w:val="-6"/>
        </w:rPr>
        <w:t xml:space="preserve"> </w:t>
      </w:r>
      <w:r>
        <w:rPr>
          <w:color w:val="231F20"/>
        </w:rPr>
        <w:t>and</w:t>
      </w:r>
      <w:r>
        <w:rPr>
          <w:color w:val="231F20"/>
          <w:spacing w:val="-9"/>
        </w:rPr>
        <w:t xml:space="preserve"> </w:t>
      </w:r>
      <w:r>
        <w:rPr>
          <w:color w:val="231F20"/>
        </w:rPr>
        <w:t>a</w:t>
      </w:r>
      <w:r>
        <w:rPr>
          <w:color w:val="231F20"/>
          <w:spacing w:val="-5"/>
        </w:rPr>
        <w:t xml:space="preserve"> </w:t>
      </w:r>
      <w:r>
        <w:rPr>
          <w:color w:val="231F20"/>
        </w:rPr>
        <w:t>minimum</w:t>
      </w:r>
      <w:r>
        <w:rPr>
          <w:color w:val="231F20"/>
          <w:spacing w:val="-3"/>
        </w:rPr>
        <w:t xml:space="preserve"> </w:t>
      </w:r>
      <w:r>
        <w:rPr>
          <w:color w:val="231F20"/>
        </w:rPr>
        <w:t>of</w:t>
      </w:r>
      <w:r>
        <w:rPr>
          <w:color w:val="231F20"/>
          <w:spacing w:val="-4"/>
        </w:rPr>
        <w:t xml:space="preserve"> </w:t>
      </w:r>
      <w:r>
        <w:rPr>
          <w:color w:val="231F20"/>
        </w:rPr>
        <w:t>five working days per month. Pursuant to the service agreement, the Company agrees to pay Martin French an annual salary of £27,000 per year payable in equal monthly instalments in arears (however this amount was increased on 1 July 2019 to £90,000) and he is entitled to 20 days annual leave per year (including public holidays).</w:t>
      </w:r>
      <w:r>
        <w:rPr>
          <w:color w:val="231F20"/>
          <w:spacing w:val="-3"/>
        </w:rPr>
        <w:t xml:space="preserve"> </w:t>
      </w:r>
      <w:r>
        <w:rPr>
          <w:color w:val="231F20"/>
        </w:rPr>
        <w:t>The</w:t>
      </w:r>
      <w:r>
        <w:rPr>
          <w:color w:val="231F20"/>
          <w:spacing w:val="-5"/>
        </w:rPr>
        <w:t xml:space="preserve"> </w:t>
      </w:r>
      <w:r>
        <w:rPr>
          <w:color w:val="231F20"/>
        </w:rPr>
        <w:t>service</w:t>
      </w:r>
      <w:r>
        <w:rPr>
          <w:color w:val="231F20"/>
          <w:spacing w:val="-2"/>
        </w:rPr>
        <w:t xml:space="preserve"> </w:t>
      </w:r>
      <w:r>
        <w:rPr>
          <w:color w:val="231F20"/>
        </w:rPr>
        <w:t>agreement</w:t>
      </w:r>
      <w:r>
        <w:rPr>
          <w:color w:val="231F20"/>
          <w:spacing w:val="-3"/>
        </w:rPr>
        <w:t xml:space="preserve"> </w:t>
      </w:r>
      <w:r>
        <w:rPr>
          <w:color w:val="231F20"/>
        </w:rPr>
        <w:t>continues</w:t>
      </w:r>
      <w:r>
        <w:rPr>
          <w:color w:val="231F20"/>
          <w:spacing w:val="-2"/>
        </w:rPr>
        <w:t xml:space="preserve"> </w:t>
      </w:r>
      <w:r>
        <w:rPr>
          <w:color w:val="231F20"/>
        </w:rPr>
        <w:t>in</w:t>
      </w:r>
      <w:r>
        <w:rPr>
          <w:color w:val="231F20"/>
          <w:spacing w:val="-2"/>
        </w:rPr>
        <w:t xml:space="preserve"> </w:t>
      </w:r>
      <w:r>
        <w:rPr>
          <w:color w:val="231F20"/>
        </w:rPr>
        <w:t>force</w:t>
      </w:r>
      <w:r>
        <w:rPr>
          <w:color w:val="231F20"/>
          <w:spacing w:val="-5"/>
        </w:rPr>
        <w:t xml:space="preserve"> </w:t>
      </w:r>
      <w:r>
        <w:rPr>
          <w:color w:val="231F20"/>
        </w:rPr>
        <w:t>until</w:t>
      </w:r>
      <w:r>
        <w:rPr>
          <w:color w:val="231F20"/>
          <w:spacing w:val="-2"/>
        </w:rPr>
        <w:t xml:space="preserve"> </w:t>
      </w:r>
      <w:r>
        <w:rPr>
          <w:color w:val="231F20"/>
        </w:rPr>
        <w:t>terminated</w:t>
      </w:r>
      <w:r>
        <w:rPr>
          <w:color w:val="231F20"/>
          <w:spacing w:val="-5"/>
        </w:rPr>
        <w:t xml:space="preserve"> </w:t>
      </w:r>
      <w:r>
        <w:rPr>
          <w:color w:val="231F20"/>
        </w:rPr>
        <w:t>by</w:t>
      </w:r>
      <w:r>
        <w:rPr>
          <w:color w:val="231F20"/>
          <w:spacing w:val="-4"/>
        </w:rPr>
        <w:t xml:space="preserve"> </w:t>
      </w:r>
      <w:r>
        <w:rPr>
          <w:color w:val="231F20"/>
        </w:rPr>
        <w:t>either</w:t>
      </w:r>
      <w:r>
        <w:rPr>
          <w:color w:val="231F20"/>
          <w:spacing w:val="-3"/>
        </w:rPr>
        <w:t xml:space="preserve"> </w:t>
      </w:r>
      <w:r>
        <w:rPr>
          <w:color w:val="231F20"/>
        </w:rPr>
        <w:t>party</w:t>
      </w:r>
      <w:r>
        <w:rPr>
          <w:color w:val="231F20"/>
          <w:spacing w:val="-4"/>
        </w:rPr>
        <w:t xml:space="preserve"> </w:t>
      </w:r>
      <w:r>
        <w:rPr>
          <w:color w:val="231F20"/>
        </w:rPr>
        <w:t>giving</w:t>
      </w:r>
      <w:r>
        <w:rPr>
          <w:color w:val="231F20"/>
          <w:spacing w:val="-5"/>
        </w:rPr>
        <w:t xml:space="preserve"> </w:t>
      </w:r>
      <w:r>
        <w:rPr>
          <w:color w:val="231F20"/>
        </w:rPr>
        <w:t>not</w:t>
      </w:r>
      <w:r>
        <w:rPr>
          <w:color w:val="231F20"/>
          <w:spacing w:val="-3"/>
        </w:rPr>
        <w:t xml:space="preserve"> </w:t>
      </w:r>
      <w:r>
        <w:rPr>
          <w:color w:val="231F20"/>
        </w:rPr>
        <w:t>less</w:t>
      </w:r>
      <w:r>
        <w:rPr>
          <w:color w:val="231F20"/>
          <w:spacing w:val="-2"/>
        </w:rPr>
        <w:t xml:space="preserve"> </w:t>
      </w:r>
      <w:r>
        <w:rPr>
          <w:color w:val="231F20"/>
        </w:rPr>
        <w:t>than</w:t>
      </w:r>
      <w:r>
        <w:rPr>
          <w:color w:val="231F20"/>
          <w:spacing w:val="-2"/>
        </w:rPr>
        <w:t xml:space="preserve"> </w:t>
      </w:r>
      <w:r>
        <w:rPr>
          <w:color w:val="231F20"/>
        </w:rPr>
        <w:t>three months’ notice in writing or on the happening of certain other standard form termination events (such as material breach). Under the service agreement, Martin French is obliged to keep Company information confidential, comply with the Company’s data protection, share dealing and other policies, disclose all intellectual property developed in the course of his employment and comply with certain post termination competition restrictions for a period of six</w:t>
      </w:r>
      <w:r>
        <w:rPr>
          <w:color w:val="231F20"/>
          <w:spacing w:val="-11"/>
        </w:rPr>
        <w:t xml:space="preserve"> </w:t>
      </w:r>
      <w:r>
        <w:rPr>
          <w:color w:val="231F20"/>
        </w:rPr>
        <w:t>months.</w:t>
      </w:r>
    </w:p>
    <w:p w14:paraId="7AF6311A" w14:textId="77777777" w:rsidR="00DB2451" w:rsidRDefault="00DB2451">
      <w:pPr>
        <w:pStyle w:val="BodyText"/>
        <w:kinsoku w:val="0"/>
        <w:overflowPunct w:val="0"/>
        <w:ind w:left="839" w:right="1035"/>
        <w:jc w:val="both"/>
        <w:rPr>
          <w:color w:val="231F20"/>
        </w:rPr>
      </w:pPr>
    </w:p>
    <w:p w14:paraId="619F4D4B" w14:textId="77777777" w:rsidR="00A56E7C" w:rsidRDefault="00A56E7C">
      <w:pPr>
        <w:pStyle w:val="BodyText"/>
        <w:kinsoku w:val="0"/>
        <w:overflowPunct w:val="0"/>
        <w:ind w:left="839" w:right="1035"/>
        <w:jc w:val="both"/>
        <w:rPr>
          <w:color w:val="231F20"/>
        </w:rPr>
      </w:pPr>
    </w:p>
    <w:p w14:paraId="1BFBB0FD" w14:textId="6F9E202A" w:rsidR="00DB2451" w:rsidRPr="00BD2FE1" w:rsidRDefault="00A56E7C" w:rsidP="00A80E10">
      <w:pPr>
        <w:pStyle w:val="BodyText"/>
        <w:kinsoku w:val="0"/>
        <w:overflowPunct w:val="0"/>
        <w:ind w:left="851" w:right="1022"/>
        <w:jc w:val="both"/>
        <w:rPr>
          <w:color w:val="231F20"/>
        </w:rPr>
      </w:pPr>
      <w:r>
        <w:rPr>
          <w:color w:val="231F20"/>
        </w:rPr>
        <w:t xml:space="preserve">On </w:t>
      </w:r>
      <w:r w:rsidR="007E71D5">
        <w:t>1</w:t>
      </w:r>
      <w:r>
        <w:rPr>
          <w:color w:val="231F20"/>
        </w:rPr>
        <w:t xml:space="preserve"> February 2021, Ajay Kejriwal entered into a service agreement with the Company, pursuant to which he agreed to serve as </w:t>
      </w:r>
      <w:r w:rsidR="000F1CE8">
        <w:rPr>
          <w:color w:val="231F20"/>
        </w:rPr>
        <w:t xml:space="preserve">an Executive Director and the Chief Financial Officer of the Company. </w:t>
      </w:r>
      <w:r w:rsidR="007E71D5">
        <w:rPr>
          <w:color w:val="231F20"/>
        </w:rPr>
        <w:t xml:space="preserve">Pursuant to the service agreement, Ajay Kejriwal agrees to allocate sufficient time to meet the expectations of his role, anticipated to be a time commitment </w:t>
      </w:r>
      <w:r w:rsidR="006E1BEB">
        <w:rPr>
          <w:color w:val="231F20"/>
        </w:rPr>
        <w:t xml:space="preserve">of </w:t>
      </w:r>
      <w:r w:rsidR="007E71D5">
        <w:rPr>
          <w:color w:val="231F20"/>
        </w:rPr>
        <w:t>one day per week on average. Pursuant to the service agreement, the Company agrees to pay Ajay Kejriwal director and executive fees of £4,000 per month</w:t>
      </w:r>
      <w:r w:rsidR="00C77D7A">
        <w:rPr>
          <w:color w:val="231F20"/>
        </w:rPr>
        <w:t xml:space="preserve"> (with a review after a three</w:t>
      </w:r>
      <w:r w:rsidR="00580A40">
        <w:rPr>
          <w:color w:val="231F20"/>
        </w:rPr>
        <w:t>-</w:t>
      </w:r>
      <w:r w:rsidR="00C77D7A">
        <w:rPr>
          <w:color w:val="231F20"/>
        </w:rPr>
        <w:t>month probationary period)</w:t>
      </w:r>
      <w:r w:rsidR="00BD2FE1">
        <w:rPr>
          <w:color w:val="231F20"/>
        </w:rPr>
        <w:t xml:space="preserve">. The service agreement continues in force unless terminated by Ajay Kejriwal giving not less than one month’s notice in writing or </w:t>
      </w:r>
      <w:r w:rsidR="006E1BEB">
        <w:rPr>
          <w:color w:val="231F20"/>
        </w:rPr>
        <w:t xml:space="preserve">by the Company </w:t>
      </w:r>
      <w:r w:rsidR="00BD2FE1">
        <w:rPr>
          <w:color w:val="231F20"/>
        </w:rPr>
        <w:t xml:space="preserve">on the happening of certain other standard termination events (such as material breach). Under the service agreement, Ajay Kejriwal is obliged to keep Company information confidential during his employment and for a period of two years post termination.  </w:t>
      </w:r>
    </w:p>
    <w:p w14:paraId="47FD8D19" w14:textId="77777777" w:rsidR="00783288" w:rsidRDefault="00783288" w:rsidP="00A80E10">
      <w:pPr>
        <w:pStyle w:val="BodyText"/>
        <w:kinsoku w:val="0"/>
        <w:overflowPunct w:val="0"/>
        <w:spacing w:before="7"/>
        <w:ind w:left="851" w:right="1022"/>
        <w:rPr>
          <w:sz w:val="20"/>
          <w:szCs w:val="20"/>
        </w:rPr>
      </w:pPr>
    </w:p>
    <w:p w14:paraId="651AE1F4" w14:textId="77777777" w:rsidR="00783288" w:rsidRDefault="00E31420" w:rsidP="00512495">
      <w:pPr>
        <w:pStyle w:val="Heading2"/>
        <w:numPr>
          <w:ilvl w:val="1"/>
          <w:numId w:val="13"/>
        </w:numPr>
        <w:tabs>
          <w:tab w:val="left" w:pos="840"/>
        </w:tabs>
        <w:kinsoku w:val="0"/>
        <w:overflowPunct w:val="0"/>
        <w:ind w:left="839"/>
        <w:jc w:val="left"/>
        <w:rPr>
          <w:color w:val="231F20"/>
        </w:rPr>
      </w:pPr>
      <w:r>
        <w:rPr>
          <w:color w:val="231F20"/>
        </w:rPr>
        <w:t>Non-Executive Directors</w:t>
      </w:r>
    </w:p>
    <w:p w14:paraId="535B40BB" w14:textId="77777777" w:rsidR="00783288" w:rsidRDefault="00783288">
      <w:pPr>
        <w:pStyle w:val="BodyText"/>
        <w:kinsoku w:val="0"/>
        <w:overflowPunct w:val="0"/>
        <w:rPr>
          <w:b/>
          <w:bCs/>
          <w:i/>
          <w:iCs/>
          <w:sz w:val="21"/>
          <w:szCs w:val="21"/>
        </w:rPr>
      </w:pPr>
    </w:p>
    <w:p w14:paraId="6ECF1FC5" w14:textId="2044F0DB" w:rsidR="00783288" w:rsidRDefault="00E31420">
      <w:pPr>
        <w:pStyle w:val="BodyText"/>
        <w:kinsoku w:val="0"/>
        <w:overflowPunct w:val="0"/>
        <w:spacing w:before="1"/>
        <w:ind w:left="839"/>
        <w:jc w:val="both"/>
        <w:rPr>
          <w:i/>
          <w:iCs/>
          <w:color w:val="231F20"/>
        </w:rPr>
      </w:pPr>
      <w:r>
        <w:rPr>
          <w:i/>
          <w:iCs/>
          <w:color w:val="231F20"/>
        </w:rPr>
        <w:t xml:space="preserve">Appointment Letters of Peter </w:t>
      </w:r>
      <w:proofErr w:type="spellStart"/>
      <w:r>
        <w:rPr>
          <w:i/>
          <w:iCs/>
          <w:color w:val="231F20"/>
        </w:rPr>
        <w:t>Damouni</w:t>
      </w:r>
      <w:proofErr w:type="spellEnd"/>
      <w:r w:rsidR="00BB56CE">
        <w:rPr>
          <w:i/>
          <w:iCs/>
          <w:color w:val="231F20"/>
        </w:rPr>
        <w:t xml:space="preserve">, </w:t>
      </w:r>
      <w:r>
        <w:rPr>
          <w:i/>
          <w:iCs/>
          <w:color w:val="231F20"/>
        </w:rPr>
        <w:t>David Cliff</w:t>
      </w:r>
      <w:r w:rsidR="007D5ADB">
        <w:rPr>
          <w:i/>
          <w:iCs/>
          <w:color w:val="231F20"/>
        </w:rPr>
        <w:t xml:space="preserve">, </w:t>
      </w:r>
      <w:proofErr w:type="spellStart"/>
      <w:r w:rsidR="007D5ADB">
        <w:rPr>
          <w:i/>
          <w:iCs/>
          <w:color w:val="231F20"/>
        </w:rPr>
        <w:t>Evgeny</w:t>
      </w:r>
      <w:proofErr w:type="spellEnd"/>
      <w:r w:rsidR="007D5ADB">
        <w:rPr>
          <w:i/>
          <w:iCs/>
          <w:color w:val="231F20"/>
        </w:rPr>
        <w:t xml:space="preserve"> </w:t>
      </w:r>
      <w:proofErr w:type="spellStart"/>
      <w:r w:rsidR="007D5ADB">
        <w:rPr>
          <w:i/>
          <w:iCs/>
          <w:color w:val="231F20"/>
        </w:rPr>
        <w:t>Vrublevskiy</w:t>
      </w:r>
      <w:proofErr w:type="spellEnd"/>
      <w:r w:rsidR="00BB56CE">
        <w:rPr>
          <w:i/>
          <w:iCs/>
          <w:color w:val="231F20"/>
        </w:rPr>
        <w:t xml:space="preserve"> and Paul Ensor</w:t>
      </w:r>
    </w:p>
    <w:p w14:paraId="1B02C09B" w14:textId="77777777" w:rsidR="00783288" w:rsidRDefault="00783288">
      <w:pPr>
        <w:pStyle w:val="BodyText"/>
        <w:kinsoku w:val="0"/>
        <w:overflowPunct w:val="0"/>
        <w:rPr>
          <w:i/>
          <w:iCs/>
          <w:sz w:val="21"/>
          <w:szCs w:val="21"/>
        </w:rPr>
      </w:pPr>
    </w:p>
    <w:p w14:paraId="53A3AD7C" w14:textId="4112B261" w:rsidR="00783288" w:rsidRDefault="00E31420">
      <w:pPr>
        <w:pStyle w:val="BodyText"/>
        <w:kinsoku w:val="0"/>
        <w:overflowPunct w:val="0"/>
        <w:ind w:left="839" w:right="1035"/>
        <w:jc w:val="both"/>
        <w:rPr>
          <w:color w:val="231F20"/>
        </w:rPr>
      </w:pPr>
      <w:r>
        <w:rPr>
          <w:color w:val="231F20"/>
        </w:rPr>
        <w:t xml:space="preserve">On 16 March 2017, Peter Damouni and David Cliff, </w:t>
      </w:r>
      <w:proofErr w:type="gramStart"/>
      <w:r>
        <w:rPr>
          <w:color w:val="231F20"/>
        </w:rPr>
        <w:t>entered into</w:t>
      </w:r>
      <w:proofErr w:type="gramEnd"/>
      <w:r>
        <w:rPr>
          <w:color w:val="231F20"/>
        </w:rPr>
        <w:t xml:space="preserve"> letters of appointment with the Company on substantially</w:t>
      </w:r>
      <w:r>
        <w:rPr>
          <w:color w:val="231F20"/>
          <w:spacing w:val="-7"/>
        </w:rPr>
        <w:t xml:space="preserve"> </w:t>
      </w:r>
      <w:r>
        <w:rPr>
          <w:color w:val="231F20"/>
        </w:rPr>
        <w:t>identical</w:t>
      </w:r>
      <w:r>
        <w:rPr>
          <w:color w:val="231F20"/>
          <w:spacing w:val="-4"/>
        </w:rPr>
        <w:t xml:space="preserve"> </w:t>
      </w:r>
      <w:r>
        <w:rPr>
          <w:color w:val="231F20"/>
        </w:rPr>
        <w:t>terms.</w:t>
      </w:r>
      <w:r>
        <w:rPr>
          <w:color w:val="231F20"/>
          <w:spacing w:val="-5"/>
        </w:rPr>
        <w:t xml:space="preserve"> </w:t>
      </w:r>
      <w:r>
        <w:rPr>
          <w:color w:val="231F20"/>
        </w:rPr>
        <w:t>The</w:t>
      </w:r>
      <w:r>
        <w:rPr>
          <w:color w:val="231F20"/>
          <w:spacing w:val="-5"/>
        </w:rPr>
        <w:t xml:space="preserve"> </w:t>
      </w:r>
      <w:r>
        <w:rPr>
          <w:color w:val="231F20"/>
        </w:rPr>
        <w:t>letters</w:t>
      </w:r>
      <w:r>
        <w:rPr>
          <w:color w:val="231F20"/>
          <w:spacing w:val="-6"/>
        </w:rPr>
        <w:t xml:space="preserve"> </w:t>
      </w:r>
      <w:r>
        <w:rPr>
          <w:color w:val="231F20"/>
        </w:rPr>
        <w:t>of</w:t>
      </w:r>
      <w:r>
        <w:rPr>
          <w:color w:val="231F20"/>
          <w:spacing w:val="-5"/>
        </w:rPr>
        <w:t xml:space="preserve"> </w:t>
      </w:r>
      <w:r>
        <w:rPr>
          <w:color w:val="231F20"/>
        </w:rPr>
        <w:t>appointment</w:t>
      </w:r>
      <w:r>
        <w:rPr>
          <w:color w:val="231F20"/>
          <w:spacing w:val="-4"/>
        </w:rPr>
        <w:t xml:space="preserve"> </w:t>
      </w:r>
      <w:r>
        <w:rPr>
          <w:color w:val="231F20"/>
        </w:rPr>
        <w:t>were</w:t>
      </w:r>
      <w:r>
        <w:rPr>
          <w:color w:val="231F20"/>
          <w:spacing w:val="-6"/>
        </w:rPr>
        <w:t xml:space="preserve"> </w:t>
      </w:r>
      <w:r>
        <w:rPr>
          <w:color w:val="231F20"/>
        </w:rPr>
        <w:t>effective</w:t>
      </w:r>
      <w:r>
        <w:rPr>
          <w:color w:val="231F20"/>
          <w:spacing w:val="-4"/>
        </w:rPr>
        <w:t xml:space="preserve"> </w:t>
      </w:r>
      <w:r>
        <w:rPr>
          <w:color w:val="231F20"/>
        </w:rPr>
        <w:t>from</w:t>
      </w:r>
      <w:r>
        <w:rPr>
          <w:color w:val="231F20"/>
          <w:spacing w:val="-4"/>
        </w:rPr>
        <w:t xml:space="preserve"> </w:t>
      </w:r>
      <w:r>
        <w:rPr>
          <w:color w:val="231F20"/>
        </w:rPr>
        <w:t>IPO</w:t>
      </w:r>
      <w:r>
        <w:rPr>
          <w:color w:val="231F20"/>
          <w:spacing w:val="-5"/>
        </w:rPr>
        <w:t xml:space="preserve"> </w:t>
      </w:r>
      <w:r>
        <w:rPr>
          <w:color w:val="231F20"/>
        </w:rPr>
        <w:t>Admission</w:t>
      </w:r>
      <w:r>
        <w:rPr>
          <w:color w:val="231F20"/>
          <w:spacing w:val="-7"/>
        </w:rPr>
        <w:t xml:space="preserve"> </w:t>
      </w:r>
      <w:r>
        <w:rPr>
          <w:color w:val="231F20"/>
        </w:rPr>
        <w:t>and</w:t>
      </w:r>
      <w:r>
        <w:rPr>
          <w:color w:val="231F20"/>
          <w:spacing w:val="-4"/>
        </w:rPr>
        <w:t xml:space="preserve"> </w:t>
      </w:r>
      <w:r>
        <w:rPr>
          <w:color w:val="231F20"/>
        </w:rPr>
        <w:t>each</w:t>
      </w:r>
      <w:r>
        <w:rPr>
          <w:color w:val="231F20"/>
          <w:spacing w:val="-7"/>
        </w:rPr>
        <w:t xml:space="preserve"> </w:t>
      </w:r>
      <w:r>
        <w:rPr>
          <w:color w:val="231F20"/>
        </w:rPr>
        <w:t>of</w:t>
      </w:r>
      <w:r>
        <w:rPr>
          <w:color w:val="231F20"/>
          <w:spacing w:val="-4"/>
        </w:rPr>
        <w:t xml:space="preserve"> </w:t>
      </w:r>
      <w:r>
        <w:rPr>
          <w:color w:val="231F20"/>
        </w:rPr>
        <w:t>Peter Damouni and David Cliff are entitled to receive a gross annual fee of £12,000, payable in equal monthly instalments in arrears, and to be reimbursed for reasonable and properly documented expenses incurred in performing</w:t>
      </w:r>
      <w:r>
        <w:rPr>
          <w:color w:val="231F20"/>
          <w:spacing w:val="-7"/>
        </w:rPr>
        <w:t xml:space="preserve"> </w:t>
      </w:r>
      <w:r>
        <w:rPr>
          <w:color w:val="231F20"/>
        </w:rPr>
        <w:t>their</w:t>
      </w:r>
      <w:r>
        <w:rPr>
          <w:color w:val="231F20"/>
          <w:spacing w:val="-6"/>
        </w:rPr>
        <w:t xml:space="preserve"> </w:t>
      </w:r>
      <w:r>
        <w:rPr>
          <w:color w:val="231F20"/>
        </w:rPr>
        <w:t>duties</w:t>
      </w:r>
      <w:r>
        <w:rPr>
          <w:color w:val="231F20"/>
          <w:spacing w:val="-4"/>
        </w:rPr>
        <w:t xml:space="preserve"> </w:t>
      </w:r>
      <w:r>
        <w:rPr>
          <w:color w:val="231F20"/>
        </w:rPr>
        <w:t>as</w:t>
      </w:r>
      <w:r>
        <w:rPr>
          <w:color w:val="231F20"/>
          <w:spacing w:val="-4"/>
        </w:rPr>
        <w:t xml:space="preserve"> </w:t>
      </w:r>
      <w:r>
        <w:rPr>
          <w:color w:val="231F20"/>
        </w:rPr>
        <w:t>a</w:t>
      </w:r>
      <w:r>
        <w:rPr>
          <w:color w:val="231F20"/>
          <w:spacing w:val="-5"/>
        </w:rPr>
        <w:t xml:space="preserve"> </w:t>
      </w:r>
      <w:r>
        <w:rPr>
          <w:color w:val="231F20"/>
        </w:rPr>
        <w:t>Non-Executive</w:t>
      </w:r>
      <w:r>
        <w:rPr>
          <w:color w:val="231F20"/>
          <w:spacing w:val="-5"/>
        </w:rPr>
        <w:t xml:space="preserve"> </w:t>
      </w:r>
      <w:r>
        <w:rPr>
          <w:color w:val="231F20"/>
        </w:rPr>
        <w:t>Director.</w:t>
      </w:r>
      <w:r w:rsidR="000414D5">
        <w:rPr>
          <w:color w:val="231F20"/>
        </w:rPr>
        <w:t xml:space="preserve"> </w:t>
      </w:r>
      <w:r w:rsidR="00AD2EB4">
        <w:rPr>
          <w:color w:val="231F20"/>
        </w:rPr>
        <w:t xml:space="preserve">On </w:t>
      </w:r>
      <w:r w:rsidR="00BD2FE1">
        <w:t>12</w:t>
      </w:r>
      <w:r w:rsidR="00AD2EB4">
        <w:rPr>
          <w:color w:val="231F20"/>
        </w:rPr>
        <w:t xml:space="preserve"> January 2021, </w:t>
      </w:r>
      <w:proofErr w:type="spellStart"/>
      <w:r w:rsidR="00AD2EB4">
        <w:rPr>
          <w:color w:val="231F20"/>
        </w:rPr>
        <w:t>Evgeny</w:t>
      </w:r>
      <w:proofErr w:type="spellEnd"/>
      <w:r w:rsidR="00AD2EB4">
        <w:rPr>
          <w:color w:val="231F20"/>
        </w:rPr>
        <w:t xml:space="preserve"> </w:t>
      </w:r>
      <w:proofErr w:type="spellStart"/>
      <w:r w:rsidR="00AD2EB4">
        <w:rPr>
          <w:color w:val="231F20"/>
        </w:rPr>
        <w:t>Vrublevskiy</w:t>
      </w:r>
      <w:proofErr w:type="spellEnd"/>
      <w:r w:rsidR="00083562">
        <w:rPr>
          <w:color w:val="231F20"/>
        </w:rPr>
        <w:t xml:space="preserve">, the nominated director of </w:t>
      </w:r>
      <w:proofErr w:type="spellStart"/>
      <w:r w:rsidR="00083562">
        <w:rPr>
          <w:color w:val="231F20"/>
        </w:rPr>
        <w:t>Polymetal</w:t>
      </w:r>
      <w:proofErr w:type="spellEnd"/>
      <w:r w:rsidR="00083562">
        <w:rPr>
          <w:color w:val="231F20"/>
        </w:rPr>
        <w:t>,</w:t>
      </w:r>
      <w:r w:rsidR="00AD2EB4">
        <w:rPr>
          <w:color w:val="231F20"/>
        </w:rPr>
        <w:t xml:space="preserve"> </w:t>
      </w:r>
      <w:proofErr w:type="gramStart"/>
      <w:r w:rsidR="00AD2EB4">
        <w:rPr>
          <w:color w:val="231F20"/>
        </w:rPr>
        <w:t>entered into</w:t>
      </w:r>
      <w:proofErr w:type="gramEnd"/>
      <w:r w:rsidR="00AD2EB4">
        <w:rPr>
          <w:color w:val="231F20"/>
        </w:rPr>
        <w:t xml:space="preserve"> a letter of appointment with the Company</w:t>
      </w:r>
      <w:r w:rsidR="00D7745D">
        <w:rPr>
          <w:color w:val="231F20"/>
        </w:rPr>
        <w:t>.</w:t>
      </w:r>
      <w:r w:rsidR="00BD2FE1">
        <w:rPr>
          <w:color w:val="231F20"/>
        </w:rPr>
        <w:t xml:space="preserve"> H</w:t>
      </w:r>
      <w:r w:rsidR="007135F9">
        <w:rPr>
          <w:color w:val="231F20"/>
        </w:rPr>
        <w:t xml:space="preserve">is remuneration for his duties </w:t>
      </w:r>
      <w:r w:rsidR="00D7579E">
        <w:rPr>
          <w:color w:val="231F20"/>
        </w:rPr>
        <w:t xml:space="preserve">as a Non-Executive Director </w:t>
      </w:r>
      <w:r w:rsidR="007135F9">
        <w:rPr>
          <w:color w:val="231F20"/>
        </w:rPr>
        <w:t xml:space="preserve">is to be discharged and satisfied in full by </w:t>
      </w:r>
      <w:proofErr w:type="spellStart"/>
      <w:r w:rsidR="007135F9">
        <w:rPr>
          <w:color w:val="231F20"/>
        </w:rPr>
        <w:t>Polymeta</w:t>
      </w:r>
      <w:r w:rsidR="00D7579E">
        <w:rPr>
          <w:color w:val="231F20"/>
        </w:rPr>
        <w:t>l</w:t>
      </w:r>
      <w:proofErr w:type="spellEnd"/>
      <w:r w:rsidR="00D7579E">
        <w:rPr>
          <w:color w:val="231F20"/>
        </w:rPr>
        <w:t xml:space="preserve"> </w:t>
      </w:r>
      <w:r w:rsidR="007135F9">
        <w:rPr>
          <w:color w:val="231F20"/>
        </w:rPr>
        <w:t xml:space="preserve">pursuant to a relationship agreement </w:t>
      </w:r>
      <w:proofErr w:type="gramStart"/>
      <w:r w:rsidR="007135F9">
        <w:rPr>
          <w:color w:val="231F20"/>
        </w:rPr>
        <w:t>entered into</w:t>
      </w:r>
      <w:proofErr w:type="gramEnd"/>
      <w:r w:rsidR="007135F9">
        <w:rPr>
          <w:color w:val="231F20"/>
        </w:rPr>
        <w:t xml:space="preserve"> between the Company and </w:t>
      </w:r>
      <w:proofErr w:type="spellStart"/>
      <w:r w:rsidR="007135F9">
        <w:rPr>
          <w:color w:val="231F20"/>
        </w:rPr>
        <w:t>Polymetal</w:t>
      </w:r>
      <w:proofErr w:type="spellEnd"/>
      <w:r w:rsidR="007135F9">
        <w:rPr>
          <w:color w:val="231F20"/>
        </w:rPr>
        <w:t xml:space="preserve"> dated 25 November 2020. </w:t>
      </w:r>
      <w:r w:rsidR="00D7745D">
        <w:rPr>
          <w:color w:val="231F20"/>
        </w:rPr>
        <w:t>On</w:t>
      </w:r>
      <w:r w:rsidR="000414D5">
        <w:rPr>
          <w:color w:val="231F20"/>
        </w:rPr>
        <w:t xml:space="preserve"> </w:t>
      </w:r>
      <w:r w:rsidR="00D7579E">
        <w:t>1</w:t>
      </w:r>
      <w:r w:rsidR="000414D5">
        <w:rPr>
          <w:color w:val="231F20"/>
        </w:rPr>
        <w:t xml:space="preserve"> February 2021, Paul Ensor </w:t>
      </w:r>
      <w:proofErr w:type="gramStart"/>
      <w:r w:rsidR="000414D5">
        <w:rPr>
          <w:color w:val="231F20"/>
        </w:rPr>
        <w:t>entered into</w:t>
      </w:r>
      <w:proofErr w:type="gramEnd"/>
      <w:r w:rsidR="000414D5">
        <w:rPr>
          <w:color w:val="231F20"/>
        </w:rPr>
        <w:t xml:space="preserve"> a letter of appointment with the Company</w:t>
      </w:r>
      <w:r w:rsidR="00211D6E">
        <w:rPr>
          <w:color w:val="231F20"/>
        </w:rPr>
        <w:t>.</w:t>
      </w:r>
      <w:r w:rsidR="00D7579E">
        <w:rPr>
          <w:color w:val="231F20"/>
        </w:rPr>
        <w:t xml:space="preserve"> Paul Ensor is entitled to receive a monthly fee of £2,000 and to be reimbursed for properly incurred expenses incurred in performing his duties as a Non-Executive Director.</w:t>
      </w:r>
      <w:r w:rsidR="001720C7" w:rsidRPr="001720C7">
        <w:rPr>
          <w:color w:val="231F20"/>
        </w:rPr>
        <w:t xml:space="preserve"> </w:t>
      </w:r>
      <w:r>
        <w:rPr>
          <w:color w:val="231F20"/>
        </w:rPr>
        <w:t>Each</w:t>
      </w:r>
      <w:r>
        <w:rPr>
          <w:color w:val="231F20"/>
          <w:spacing w:val="-5"/>
        </w:rPr>
        <w:t xml:space="preserve"> </w:t>
      </w:r>
      <w:r>
        <w:rPr>
          <w:color w:val="231F20"/>
        </w:rPr>
        <w:t>Non-Executive</w:t>
      </w:r>
      <w:r>
        <w:rPr>
          <w:color w:val="231F20"/>
          <w:spacing w:val="-6"/>
        </w:rPr>
        <w:t xml:space="preserve"> </w:t>
      </w:r>
      <w:r>
        <w:rPr>
          <w:color w:val="231F20"/>
        </w:rPr>
        <w:t>Director</w:t>
      </w:r>
      <w:r>
        <w:rPr>
          <w:color w:val="231F20"/>
          <w:spacing w:val="-5"/>
        </w:rPr>
        <w:t xml:space="preserve"> </w:t>
      </w:r>
      <w:r>
        <w:rPr>
          <w:color w:val="231F20"/>
        </w:rPr>
        <w:t>is</w:t>
      </w:r>
      <w:r>
        <w:rPr>
          <w:color w:val="231F20"/>
          <w:spacing w:val="-4"/>
        </w:rPr>
        <w:t xml:space="preserve"> </w:t>
      </w:r>
      <w:r>
        <w:rPr>
          <w:color w:val="231F20"/>
        </w:rPr>
        <w:t>expected</w:t>
      </w:r>
      <w:r>
        <w:rPr>
          <w:color w:val="231F20"/>
          <w:spacing w:val="-5"/>
        </w:rPr>
        <w:t xml:space="preserve"> </w:t>
      </w:r>
      <w:r>
        <w:rPr>
          <w:color w:val="231F20"/>
        </w:rPr>
        <w:t>to</w:t>
      </w:r>
      <w:r>
        <w:rPr>
          <w:color w:val="231F20"/>
          <w:spacing w:val="-7"/>
        </w:rPr>
        <w:t xml:space="preserve"> </w:t>
      </w:r>
      <w:r>
        <w:rPr>
          <w:color w:val="231F20"/>
        </w:rPr>
        <w:t>devote</w:t>
      </w:r>
      <w:r>
        <w:rPr>
          <w:color w:val="231F20"/>
          <w:spacing w:val="-7"/>
        </w:rPr>
        <w:t xml:space="preserve"> </w:t>
      </w:r>
      <w:r>
        <w:rPr>
          <w:color w:val="231F20"/>
        </w:rPr>
        <w:t>such time as is necessary for the proper performance of their duties</w:t>
      </w:r>
      <w:r w:rsidR="00447470">
        <w:rPr>
          <w:color w:val="231F20"/>
        </w:rPr>
        <w:t>.</w:t>
      </w:r>
      <w:r>
        <w:rPr>
          <w:color w:val="231F20"/>
        </w:rPr>
        <w:t xml:space="preserve"> </w:t>
      </w:r>
      <w:r w:rsidR="00447470">
        <w:rPr>
          <w:color w:val="231F20"/>
        </w:rPr>
        <w:t>I</w:t>
      </w:r>
      <w:r>
        <w:rPr>
          <w:color w:val="231F20"/>
        </w:rPr>
        <w:t xml:space="preserve">t is anticipated that </w:t>
      </w:r>
      <w:r w:rsidR="00447470">
        <w:rPr>
          <w:color w:val="231F20"/>
        </w:rPr>
        <w:t>Peter Damouni</w:t>
      </w:r>
      <w:r w:rsidR="000A54BC">
        <w:rPr>
          <w:color w:val="231F20"/>
        </w:rPr>
        <w:t xml:space="preserve">, </w:t>
      </w:r>
      <w:r w:rsidR="00447470">
        <w:rPr>
          <w:color w:val="231F20"/>
        </w:rPr>
        <w:t xml:space="preserve">David </w:t>
      </w:r>
      <w:proofErr w:type="gramStart"/>
      <w:r w:rsidR="00447470">
        <w:rPr>
          <w:color w:val="231F20"/>
        </w:rPr>
        <w:t>Cliff</w:t>
      </w:r>
      <w:proofErr w:type="gramEnd"/>
      <w:r w:rsidR="000A54BC">
        <w:rPr>
          <w:color w:val="231F20"/>
        </w:rPr>
        <w:t xml:space="preserve"> and Paul Ensor</w:t>
      </w:r>
      <w:r w:rsidR="001F7DD5">
        <w:rPr>
          <w:color w:val="231F20"/>
        </w:rPr>
        <w:t xml:space="preserve"> </w:t>
      </w:r>
      <w:r>
        <w:rPr>
          <w:color w:val="231F20"/>
        </w:rPr>
        <w:t>will</w:t>
      </w:r>
      <w:r>
        <w:rPr>
          <w:color w:val="231F20"/>
          <w:spacing w:val="-9"/>
        </w:rPr>
        <w:t xml:space="preserve"> </w:t>
      </w:r>
      <w:r>
        <w:rPr>
          <w:color w:val="231F20"/>
        </w:rPr>
        <w:t>spend</w:t>
      </w:r>
      <w:r>
        <w:rPr>
          <w:color w:val="231F20"/>
          <w:spacing w:val="-8"/>
        </w:rPr>
        <w:t xml:space="preserve"> </w:t>
      </w:r>
      <w:r>
        <w:rPr>
          <w:color w:val="231F20"/>
        </w:rPr>
        <w:t>a</w:t>
      </w:r>
      <w:r>
        <w:rPr>
          <w:color w:val="231F20"/>
          <w:spacing w:val="-11"/>
        </w:rPr>
        <w:t xml:space="preserve"> </w:t>
      </w:r>
      <w:r>
        <w:rPr>
          <w:color w:val="231F20"/>
        </w:rPr>
        <w:t>minimum</w:t>
      </w:r>
      <w:r>
        <w:rPr>
          <w:color w:val="231F20"/>
          <w:spacing w:val="-10"/>
        </w:rPr>
        <w:t xml:space="preserve"> </w:t>
      </w:r>
      <w:r>
        <w:rPr>
          <w:color w:val="231F20"/>
        </w:rPr>
        <w:t>of</w:t>
      </w:r>
      <w:r>
        <w:rPr>
          <w:color w:val="231F20"/>
          <w:spacing w:val="-8"/>
        </w:rPr>
        <w:t xml:space="preserve"> </w:t>
      </w:r>
      <w:r w:rsidRPr="00447470">
        <w:rPr>
          <w:color w:val="231F20"/>
        </w:rPr>
        <w:t>four</w:t>
      </w:r>
      <w:r>
        <w:rPr>
          <w:color w:val="231F20"/>
          <w:spacing w:val="-12"/>
        </w:rPr>
        <w:t xml:space="preserve"> </w:t>
      </w:r>
      <w:r>
        <w:rPr>
          <w:color w:val="231F20"/>
        </w:rPr>
        <w:t>days</w:t>
      </w:r>
      <w:r>
        <w:rPr>
          <w:color w:val="231F20"/>
          <w:spacing w:val="-10"/>
        </w:rPr>
        <w:t xml:space="preserve"> </w:t>
      </w:r>
      <w:r>
        <w:rPr>
          <w:color w:val="231F20"/>
        </w:rPr>
        <w:t>per</w:t>
      </w:r>
      <w:r>
        <w:rPr>
          <w:color w:val="231F20"/>
          <w:spacing w:val="-11"/>
        </w:rPr>
        <w:t xml:space="preserve"> </w:t>
      </w:r>
      <w:r>
        <w:rPr>
          <w:color w:val="231F20"/>
        </w:rPr>
        <w:t>month</w:t>
      </w:r>
      <w:r>
        <w:rPr>
          <w:color w:val="231F20"/>
          <w:spacing w:val="-11"/>
        </w:rPr>
        <w:t xml:space="preserve"> </w:t>
      </w:r>
      <w:r>
        <w:rPr>
          <w:color w:val="231F20"/>
        </w:rPr>
        <w:t>on</w:t>
      </w:r>
      <w:r>
        <w:rPr>
          <w:color w:val="231F20"/>
          <w:spacing w:val="-9"/>
        </w:rPr>
        <w:t xml:space="preserve"> </w:t>
      </w:r>
      <w:r>
        <w:rPr>
          <w:color w:val="231F20"/>
        </w:rPr>
        <w:t>work</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Company</w:t>
      </w:r>
      <w:r w:rsidR="00447470">
        <w:rPr>
          <w:color w:val="231F20"/>
        </w:rPr>
        <w:t xml:space="preserve">, whilst </w:t>
      </w:r>
      <w:proofErr w:type="spellStart"/>
      <w:r w:rsidR="00447470">
        <w:rPr>
          <w:color w:val="231F20"/>
        </w:rPr>
        <w:t>Evgeny</w:t>
      </w:r>
      <w:proofErr w:type="spellEnd"/>
      <w:r w:rsidR="00447470">
        <w:rPr>
          <w:color w:val="231F20"/>
        </w:rPr>
        <w:t xml:space="preserve"> </w:t>
      </w:r>
      <w:proofErr w:type="spellStart"/>
      <w:r w:rsidR="00447470">
        <w:rPr>
          <w:color w:val="231F20"/>
        </w:rPr>
        <w:t>Vrublevskiy</w:t>
      </w:r>
      <w:proofErr w:type="spellEnd"/>
      <w:r w:rsidR="00447470">
        <w:rPr>
          <w:color w:val="231F20"/>
        </w:rPr>
        <w:t xml:space="preserve"> will spend a minimum </w:t>
      </w:r>
      <w:r w:rsidR="00D7579E">
        <w:rPr>
          <w:color w:val="231F20"/>
        </w:rPr>
        <w:t>of three days per month on work for the Company</w:t>
      </w:r>
      <w:r>
        <w:rPr>
          <w:color w:val="231F20"/>
        </w:rPr>
        <w:t>.</w:t>
      </w:r>
      <w:r>
        <w:rPr>
          <w:color w:val="231F20"/>
          <w:spacing w:val="-8"/>
        </w:rPr>
        <w:t xml:space="preserve"> </w:t>
      </w:r>
      <w:r>
        <w:rPr>
          <w:color w:val="231F20"/>
        </w:rPr>
        <w:t>The</w:t>
      </w:r>
      <w:r>
        <w:rPr>
          <w:color w:val="231F20"/>
          <w:spacing w:val="-9"/>
        </w:rPr>
        <w:t xml:space="preserve"> </w:t>
      </w:r>
      <w:r>
        <w:rPr>
          <w:color w:val="231F20"/>
        </w:rPr>
        <w:t>appointment</w:t>
      </w:r>
      <w:r>
        <w:rPr>
          <w:color w:val="231F20"/>
          <w:spacing w:val="-11"/>
        </w:rPr>
        <w:t xml:space="preserve"> </w:t>
      </w:r>
      <w:r>
        <w:rPr>
          <w:color w:val="231F20"/>
        </w:rPr>
        <w:t>is</w:t>
      </w:r>
      <w:r>
        <w:rPr>
          <w:color w:val="231F20"/>
          <w:spacing w:val="-9"/>
        </w:rPr>
        <w:t xml:space="preserve"> </w:t>
      </w:r>
      <w:r>
        <w:rPr>
          <w:color w:val="231F20"/>
        </w:rPr>
        <w:t>a</w:t>
      </w:r>
      <w:r>
        <w:rPr>
          <w:color w:val="231F20"/>
          <w:spacing w:val="-11"/>
        </w:rPr>
        <w:t xml:space="preserve"> </w:t>
      </w:r>
      <w:r>
        <w:rPr>
          <w:color w:val="231F20"/>
        </w:rPr>
        <w:t xml:space="preserve">contract for services and not a contract of employment. </w:t>
      </w:r>
      <w:r w:rsidR="00A20A31">
        <w:rPr>
          <w:color w:val="231F20"/>
        </w:rPr>
        <w:t xml:space="preserve">Under their service agreements, </w:t>
      </w:r>
      <w:proofErr w:type="spellStart"/>
      <w:r w:rsidR="00A20A31">
        <w:rPr>
          <w:color w:val="231F20"/>
        </w:rPr>
        <w:t>Evgeny</w:t>
      </w:r>
      <w:proofErr w:type="spellEnd"/>
      <w:r w:rsidR="00A20A31">
        <w:rPr>
          <w:color w:val="231F20"/>
        </w:rPr>
        <w:t xml:space="preserve"> </w:t>
      </w:r>
      <w:proofErr w:type="spellStart"/>
      <w:r w:rsidR="00A20A31">
        <w:rPr>
          <w:color w:val="231F20"/>
        </w:rPr>
        <w:t>Vrublevskiy</w:t>
      </w:r>
      <w:proofErr w:type="spellEnd"/>
      <w:r w:rsidR="00A20A31">
        <w:rPr>
          <w:color w:val="231F20"/>
        </w:rPr>
        <w:t xml:space="preserve"> and Paul Ensor</w:t>
      </w:r>
      <w:r>
        <w:rPr>
          <w:color w:val="231F20"/>
        </w:rPr>
        <w:t xml:space="preserve"> will be required to keep information about the Company confidential</w:t>
      </w:r>
      <w:r w:rsidR="00E7098E">
        <w:rPr>
          <w:color w:val="231F20"/>
        </w:rPr>
        <w:t xml:space="preserve"> during their employment and for a period of two years post termination</w:t>
      </w:r>
      <w:r w:rsidR="00A20A31">
        <w:rPr>
          <w:color w:val="231F20"/>
        </w:rPr>
        <w:t>. Peter Damouni and David Cliff will be required to keep information about the Company confidential,</w:t>
      </w:r>
      <w:r>
        <w:rPr>
          <w:color w:val="231F20"/>
        </w:rPr>
        <w:t xml:space="preserve"> return any of the Company’s property upon termination of his appointment, comply with the Company’s share dealing policy and comply with certain post-termination competition restrictions for a period of six</w:t>
      </w:r>
      <w:r>
        <w:rPr>
          <w:color w:val="231F20"/>
          <w:spacing w:val="-11"/>
        </w:rPr>
        <w:t xml:space="preserve"> </w:t>
      </w:r>
      <w:r>
        <w:rPr>
          <w:color w:val="231F20"/>
        </w:rPr>
        <w:t>months.</w:t>
      </w:r>
    </w:p>
    <w:p w14:paraId="49434A35" w14:textId="77777777" w:rsidR="00783288" w:rsidRDefault="00783288">
      <w:pPr>
        <w:pStyle w:val="BodyText"/>
        <w:kinsoku w:val="0"/>
        <w:overflowPunct w:val="0"/>
        <w:spacing w:before="8"/>
        <w:rPr>
          <w:sz w:val="20"/>
          <w:szCs w:val="20"/>
        </w:rPr>
      </w:pPr>
    </w:p>
    <w:p w14:paraId="3582BD21" w14:textId="77777777" w:rsidR="00783288" w:rsidRDefault="00E31420">
      <w:pPr>
        <w:pStyle w:val="BodyText"/>
        <w:kinsoku w:val="0"/>
        <w:overflowPunct w:val="0"/>
        <w:ind w:left="839" w:right="1038"/>
        <w:jc w:val="both"/>
        <w:rPr>
          <w:color w:val="231F20"/>
        </w:rPr>
      </w:pPr>
      <w:r>
        <w:rPr>
          <w:color w:val="231F20"/>
        </w:rPr>
        <w:t xml:space="preserve">On 3 July 2018, Peter </w:t>
      </w:r>
      <w:proofErr w:type="spellStart"/>
      <w:r>
        <w:rPr>
          <w:color w:val="231F20"/>
        </w:rPr>
        <w:t>Damouni’s</w:t>
      </w:r>
      <w:proofErr w:type="spellEnd"/>
      <w:r>
        <w:rPr>
          <w:color w:val="231F20"/>
        </w:rPr>
        <w:t xml:space="preserve"> and David Cliff’s appointment letters were varied to increase their gross annual salary to £24,000 per year and to incorporate certain data protection provisions.</w:t>
      </w:r>
    </w:p>
    <w:p w14:paraId="739E67B6" w14:textId="77777777" w:rsidR="00783288" w:rsidRDefault="00783288">
      <w:pPr>
        <w:pStyle w:val="BodyText"/>
        <w:kinsoku w:val="0"/>
        <w:overflowPunct w:val="0"/>
        <w:spacing w:before="9"/>
        <w:rPr>
          <w:sz w:val="20"/>
          <w:szCs w:val="20"/>
        </w:rPr>
      </w:pPr>
    </w:p>
    <w:p w14:paraId="1EFDB152" w14:textId="77777777" w:rsidR="00783288" w:rsidRDefault="00E31420" w:rsidP="00512495">
      <w:pPr>
        <w:pStyle w:val="Heading2"/>
        <w:numPr>
          <w:ilvl w:val="1"/>
          <w:numId w:val="13"/>
        </w:numPr>
        <w:tabs>
          <w:tab w:val="left" w:pos="840"/>
        </w:tabs>
        <w:kinsoku w:val="0"/>
        <w:overflowPunct w:val="0"/>
        <w:ind w:left="839"/>
        <w:jc w:val="left"/>
        <w:rPr>
          <w:color w:val="231F20"/>
        </w:rPr>
      </w:pPr>
      <w:r>
        <w:rPr>
          <w:color w:val="231F20"/>
        </w:rPr>
        <w:t>Company Secretary</w:t>
      </w:r>
    </w:p>
    <w:p w14:paraId="0588688A" w14:textId="77777777" w:rsidR="00783288" w:rsidRDefault="00783288">
      <w:pPr>
        <w:pStyle w:val="BodyText"/>
        <w:kinsoku w:val="0"/>
        <w:overflowPunct w:val="0"/>
        <w:spacing w:before="9"/>
        <w:rPr>
          <w:b/>
          <w:bCs/>
          <w:i/>
          <w:iCs/>
          <w:sz w:val="20"/>
          <w:szCs w:val="20"/>
        </w:rPr>
      </w:pPr>
    </w:p>
    <w:p w14:paraId="5D1F3020" w14:textId="77777777" w:rsidR="00783288" w:rsidRDefault="00E31420">
      <w:pPr>
        <w:pStyle w:val="BodyText"/>
        <w:kinsoku w:val="0"/>
        <w:overflowPunct w:val="0"/>
        <w:ind w:left="839"/>
        <w:jc w:val="both"/>
        <w:rPr>
          <w:i/>
          <w:iCs/>
          <w:color w:val="231F20"/>
        </w:rPr>
      </w:pPr>
      <w:r>
        <w:rPr>
          <w:i/>
          <w:iCs/>
          <w:color w:val="231F20"/>
        </w:rPr>
        <w:t xml:space="preserve">Agreement with </w:t>
      </w:r>
      <w:proofErr w:type="spellStart"/>
      <w:r>
        <w:rPr>
          <w:i/>
          <w:iCs/>
          <w:color w:val="231F20"/>
        </w:rPr>
        <w:t>Heytesbury</w:t>
      </w:r>
      <w:proofErr w:type="spellEnd"/>
      <w:r>
        <w:rPr>
          <w:i/>
          <w:iCs/>
          <w:color w:val="231F20"/>
        </w:rPr>
        <w:t xml:space="preserve"> Corporate LLP</w:t>
      </w:r>
      <w:r>
        <w:rPr>
          <w:i/>
          <w:iCs/>
          <w:color w:val="231F20"/>
          <w:spacing w:val="-28"/>
        </w:rPr>
        <w:t xml:space="preserve"> </w:t>
      </w:r>
      <w:r>
        <w:rPr>
          <w:i/>
          <w:iCs/>
          <w:color w:val="231F20"/>
        </w:rPr>
        <w:t>(“</w:t>
      </w:r>
      <w:proofErr w:type="spellStart"/>
      <w:r>
        <w:rPr>
          <w:b/>
          <w:bCs/>
          <w:i/>
          <w:iCs/>
          <w:color w:val="231F20"/>
        </w:rPr>
        <w:t>Heytesbury</w:t>
      </w:r>
      <w:proofErr w:type="spellEnd"/>
      <w:r>
        <w:rPr>
          <w:i/>
          <w:iCs/>
          <w:color w:val="231F20"/>
        </w:rPr>
        <w:t>”)</w:t>
      </w:r>
    </w:p>
    <w:p w14:paraId="10862C18" w14:textId="77777777" w:rsidR="00783288" w:rsidRDefault="00783288">
      <w:pPr>
        <w:pStyle w:val="BodyText"/>
        <w:kinsoku w:val="0"/>
        <w:overflowPunct w:val="0"/>
        <w:spacing w:before="1"/>
        <w:rPr>
          <w:i/>
          <w:iCs/>
          <w:sz w:val="21"/>
          <w:szCs w:val="21"/>
        </w:rPr>
      </w:pPr>
    </w:p>
    <w:p w14:paraId="1CBEFBD2" w14:textId="63B6F818" w:rsidR="002213D7" w:rsidRPr="001A7287" w:rsidRDefault="00E31420" w:rsidP="001A7287">
      <w:pPr>
        <w:pStyle w:val="BodyText"/>
        <w:kinsoku w:val="0"/>
        <w:overflowPunct w:val="0"/>
        <w:ind w:left="839" w:right="1033"/>
        <w:jc w:val="both"/>
        <w:rPr>
          <w:color w:val="231F20"/>
        </w:rPr>
      </w:pPr>
      <w:r>
        <w:rPr>
          <w:color w:val="231F20"/>
        </w:rPr>
        <w:t xml:space="preserve">On 10 July 2018 the Company entered into an engagement letter with </w:t>
      </w:r>
      <w:proofErr w:type="spellStart"/>
      <w:r>
        <w:rPr>
          <w:color w:val="231F20"/>
        </w:rPr>
        <w:t>Heytesbury</w:t>
      </w:r>
      <w:proofErr w:type="spellEnd"/>
      <w:r>
        <w:rPr>
          <w:color w:val="231F20"/>
        </w:rPr>
        <w:t xml:space="preserve"> Corporate LLP, pursuant to which </w:t>
      </w:r>
      <w:proofErr w:type="spellStart"/>
      <w:r>
        <w:rPr>
          <w:color w:val="231F20"/>
        </w:rPr>
        <w:t>Heytesbury</w:t>
      </w:r>
      <w:proofErr w:type="spellEnd"/>
      <w:r>
        <w:rPr>
          <w:color w:val="231F20"/>
        </w:rPr>
        <w:t xml:space="preserve"> agreed to provide company secretarial services to the Company including assistance with board and annual general meetings, ongoing compliance services (including maintenance of statutory </w:t>
      </w:r>
      <w:r>
        <w:rPr>
          <w:color w:val="231F20"/>
        </w:rPr>
        <w:lastRenderedPageBreak/>
        <w:t>records and Companies House filings), financial control, accounting and finance support, including tax assistance and management accounting. The fee payable by the Company for these services is £4,950 per month plus VAT. The engagement is for an initial term of 6 months after which the agreement may be terminated by three months written notice from either</w:t>
      </w:r>
      <w:r>
        <w:rPr>
          <w:color w:val="231F20"/>
          <w:spacing w:val="-5"/>
        </w:rPr>
        <w:t xml:space="preserve"> </w:t>
      </w:r>
      <w:r>
        <w:rPr>
          <w:color w:val="231F20"/>
        </w:rPr>
        <w:t>party.</w:t>
      </w:r>
    </w:p>
    <w:p w14:paraId="62C515BD" w14:textId="77777777" w:rsidR="002213D7" w:rsidRDefault="002213D7">
      <w:pPr>
        <w:pStyle w:val="BodyText"/>
        <w:kinsoku w:val="0"/>
        <w:overflowPunct w:val="0"/>
        <w:spacing w:before="5"/>
        <w:rPr>
          <w:sz w:val="20"/>
          <w:szCs w:val="20"/>
        </w:rPr>
      </w:pPr>
    </w:p>
    <w:p w14:paraId="12AC3C2A"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Share Options</w:t>
      </w:r>
    </w:p>
    <w:p w14:paraId="748CC749" w14:textId="77777777" w:rsidR="00783288" w:rsidRDefault="00783288">
      <w:pPr>
        <w:pStyle w:val="BodyText"/>
        <w:kinsoku w:val="0"/>
        <w:overflowPunct w:val="0"/>
        <w:spacing w:before="3"/>
        <w:rPr>
          <w:b/>
          <w:bCs/>
          <w:sz w:val="21"/>
          <w:szCs w:val="21"/>
        </w:rPr>
      </w:pPr>
    </w:p>
    <w:p w14:paraId="57C625EB" w14:textId="00F0BC2B" w:rsidR="00783288" w:rsidRDefault="00E31420" w:rsidP="00512495">
      <w:pPr>
        <w:pStyle w:val="ListParagraph"/>
        <w:numPr>
          <w:ilvl w:val="1"/>
          <w:numId w:val="13"/>
        </w:numPr>
        <w:tabs>
          <w:tab w:val="left" w:pos="840"/>
        </w:tabs>
        <w:kinsoku w:val="0"/>
        <w:overflowPunct w:val="0"/>
        <w:ind w:left="839" w:right="1035"/>
        <w:jc w:val="both"/>
        <w:rPr>
          <w:color w:val="231F20"/>
          <w:sz w:val="18"/>
          <w:szCs w:val="18"/>
        </w:rPr>
      </w:pPr>
      <w:r>
        <w:rPr>
          <w:color w:val="231F20"/>
          <w:sz w:val="18"/>
          <w:szCs w:val="18"/>
        </w:rPr>
        <w:t>Options representing approximately 9.54 per cent. of the Enlarged Ordinary Share Capital (and 8.25% of the Enlarged</w:t>
      </w:r>
      <w:r>
        <w:rPr>
          <w:color w:val="231F20"/>
          <w:spacing w:val="-12"/>
          <w:sz w:val="18"/>
          <w:szCs w:val="18"/>
        </w:rPr>
        <w:t xml:space="preserve"> </w:t>
      </w:r>
      <w:r>
        <w:rPr>
          <w:color w:val="231F20"/>
          <w:sz w:val="18"/>
          <w:szCs w:val="18"/>
        </w:rPr>
        <w:t>Ordinary</w:t>
      </w:r>
      <w:r>
        <w:rPr>
          <w:color w:val="231F20"/>
          <w:spacing w:val="-13"/>
          <w:sz w:val="18"/>
          <w:szCs w:val="18"/>
        </w:rPr>
        <w:t xml:space="preserve"> </w:t>
      </w:r>
      <w:r>
        <w:rPr>
          <w:color w:val="231F20"/>
          <w:sz w:val="18"/>
          <w:szCs w:val="18"/>
        </w:rPr>
        <w:t>Share</w:t>
      </w:r>
      <w:r>
        <w:rPr>
          <w:color w:val="231F20"/>
          <w:spacing w:val="-11"/>
          <w:sz w:val="18"/>
          <w:szCs w:val="18"/>
        </w:rPr>
        <w:t xml:space="preserve"> </w:t>
      </w:r>
      <w:r>
        <w:rPr>
          <w:color w:val="231F20"/>
          <w:sz w:val="18"/>
          <w:szCs w:val="18"/>
        </w:rPr>
        <w:t>Capital</w:t>
      </w:r>
      <w:r>
        <w:rPr>
          <w:color w:val="231F20"/>
          <w:spacing w:val="-11"/>
          <w:sz w:val="18"/>
          <w:szCs w:val="18"/>
        </w:rPr>
        <w:t xml:space="preserve"> </w:t>
      </w:r>
      <w:r>
        <w:rPr>
          <w:color w:val="231F20"/>
          <w:sz w:val="18"/>
          <w:szCs w:val="18"/>
        </w:rPr>
        <w:t>on</w:t>
      </w:r>
      <w:r>
        <w:rPr>
          <w:color w:val="231F20"/>
          <w:spacing w:val="-11"/>
          <w:sz w:val="18"/>
          <w:szCs w:val="18"/>
        </w:rPr>
        <w:t xml:space="preserve"> </w:t>
      </w:r>
      <w:r>
        <w:rPr>
          <w:color w:val="231F20"/>
          <w:sz w:val="18"/>
          <w:szCs w:val="18"/>
        </w:rPr>
        <w:t>a</w:t>
      </w:r>
      <w:r>
        <w:rPr>
          <w:color w:val="231F20"/>
          <w:spacing w:val="-12"/>
          <w:sz w:val="18"/>
          <w:szCs w:val="18"/>
        </w:rPr>
        <w:t xml:space="preserve"> </w:t>
      </w:r>
      <w:r>
        <w:rPr>
          <w:color w:val="231F20"/>
          <w:sz w:val="18"/>
          <w:szCs w:val="18"/>
        </w:rPr>
        <w:t>fully</w:t>
      </w:r>
      <w:r>
        <w:rPr>
          <w:color w:val="231F20"/>
          <w:spacing w:val="-13"/>
          <w:sz w:val="18"/>
          <w:szCs w:val="18"/>
        </w:rPr>
        <w:t xml:space="preserve"> </w:t>
      </w:r>
      <w:r>
        <w:rPr>
          <w:color w:val="231F20"/>
          <w:sz w:val="18"/>
          <w:szCs w:val="18"/>
        </w:rPr>
        <w:t>diluted</w:t>
      </w:r>
      <w:r>
        <w:rPr>
          <w:color w:val="231F20"/>
          <w:spacing w:val="-11"/>
          <w:sz w:val="18"/>
          <w:szCs w:val="18"/>
        </w:rPr>
        <w:t xml:space="preserve"> </w:t>
      </w:r>
      <w:r>
        <w:rPr>
          <w:color w:val="231F20"/>
          <w:sz w:val="18"/>
          <w:szCs w:val="18"/>
        </w:rPr>
        <w:t>basis)</w:t>
      </w:r>
      <w:r>
        <w:rPr>
          <w:color w:val="231F20"/>
          <w:spacing w:val="-12"/>
          <w:sz w:val="18"/>
          <w:szCs w:val="18"/>
        </w:rPr>
        <w:t xml:space="preserve"> </w:t>
      </w:r>
      <w:r>
        <w:rPr>
          <w:color w:val="231F20"/>
          <w:sz w:val="18"/>
          <w:szCs w:val="18"/>
        </w:rPr>
        <w:t>have</w:t>
      </w:r>
      <w:r>
        <w:rPr>
          <w:color w:val="231F20"/>
          <w:spacing w:val="-12"/>
          <w:sz w:val="18"/>
          <w:szCs w:val="18"/>
        </w:rPr>
        <w:t xml:space="preserve"> </w:t>
      </w:r>
      <w:r>
        <w:rPr>
          <w:color w:val="231F20"/>
          <w:sz w:val="18"/>
          <w:szCs w:val="18"/>
        </w:rPr>
        <w:t>been</w:t>
      </w:r>
      <w:r>
        <w:rPr>
          <w:color w:val="231F20"/>
          <w:spacing w:val="-11"/>
          <w:sz w:val="18"/>
          <w:szCs w:val="18"/>
        </w:rPr>
        <w:t xml:space="preserve"> </w:t>
      </w:r>
      <w:r>
        <w:rPr>
          <w:color w:val="231F20"/>
          <w:sz w:val="18"/>
          <w:szCs w:val="18"/>
        </w:rPr>
        <w:t>granted,</w:t>
      </w:r>
      <w:r>
        <w:rPr>
          <w:color w:val="231F20"/>
          <w:spacing w:val="-11"/>
          <w:sz w:val="18"/>
          <w:szCs w:val="18"/>
        </w:rPr>
        <w:t xml:space="preserve"> </w:t>
      </w:r>
      <w:r>
        <w:rPr>
          <w:color w:val="231F20"/>
          <w:sz w:val="18"/>
          <w:szCs w:val="18"/>
        </w:rPr>
        <w:t>as</w:t>
      </w:r>
      <w:r>
        <w:rPr>
          <w:color w:val="231F20"/>
          <w:spacing w:val="-11"/>
          <w:sz w:val="18"/>
          <w:szCs w:val="18"/>
        </w:rPr>
        <w:t xml:space="preserve"> </w:t>
      </w:r>
      <w:r>
        <w:rPr>
          <w:color w:val="231F20"/>
          <w:sz w:val="18"/>
          <w:szCs w:val="18"/>
        </w:rPr>
        <w:t>at</w:t>
      </w:r>
      <w:r>
        <w:rPr>
          <w:color w:val="231F20"/>
          <w:spacing w:val="-11"/>
          <w:sz w:val="18"/>
          <w:szCs w:val="18"/>
        </w:rPr>
        <w:t xml:space="preserve"> </w:t>
      </w:r>
      <w:r>
        <w:rPr>
          <w:color w:val="231F20"/>
          <w:sz w:val="18"/>
          <w:szCs w:val="18"/>
        </w:rPr>
        <w:t>Admission,</w:t>
      </w:r>
      <w:r>
        <w:rPr>
          <w:color w:val="231F20"/>
          <w:spacing w:val="-14"/>
          <w:sz w:val="18"/>
          <w:szCs w:val="18"/>
        </w:rPr>
        <w:t xml:space="preserve"> </w:t>
      </w:r>
      <w:r>
        <w:rPr>
          <w:color w:val="231F20"/>
          <w:sz w:val="18"/>
          <w:szCs w:val="18"/>
        </w:rPr>
        <w:t>in accordance with the below</w:t>
      </w:r>
      <w:r>
        <w:rPr>
          <w:color w:val="231F20"/>
          <w:spacing w:val="-2"/>
          <w:sz w:val="18"/>
          <w:szCs w:val="18"/>
        </w:rPr>
        <w:t xml:space="preserve"> </w:t>
      </w:r>
      <w:r>
        <w:rPr>
          <w:color w:val="231F20"/>
          <w:sz w:val="18"/>
          <w:szCs w:val="18"/>
        </w:rPr>
        <w:t>table.</w:t>
      </w:r>
    </w:p>
    <w:p w14:paraId="67A97F83" w14:textId="77777777" w:rsidR="00783288" w:rsidRDefault="00783288">
      <w:pPr>
        <w:pStyle w:val="BodyText"/>
        <w:kinsoku w:val="0"/>
        <w:overflowPunct w:val="0"/>
        <w:rPr>
          <w:sz w:val="21"/>
          <w:szCs w:val="21"/>
        </w:rPr>
      </w:pPr>
    </w:p>
    <w:tbl>
      <w:tblPr>
        <w:tblW w:w="0" w:type="auto"/>
        <w:tblInd w:w="823" w:type="dxa"/>
        <w:tblLayout w:type="fixed"/>
        <w:tblCellMar>
          <w:left w:w="0" w:type="dxa"/>
          <w:right w:w="0" w:type="dxa"/>
        </w:tblCellMar>
        <w:tblLook w:val="0000" w:firstRow="0" w:lastRow="0" w:firstColumn="0" w:lastColumn="0" w:noHBand="0" w:noVBand="0"/>
      </w:tblPr>
      <w:tblGrid>
        <w:gridCol w:w="1377"/>
        <w:gridCol w:w="2246"/>
        <w:gridCol w:w="1819"/>
        <w:gridCol w:w="274"/>
        <w:gridCol w:w="1203"/>
        <w:gridCol w:w="1119"/>
        <w:gridCol w:w="1009"/>
      </w:tblGrid>
      <w:tr w:rsidR="00783288" w14:paraId="0625A72D" w14:textId="77777777">
        <w:trPr>
          <w:trHeight w:val="414"/>
        </w:trPr>
        <w:tc>
          <w:tcPr>
            <w:tcW w:w="1377" w:type="dxa"/>
            <w:tcBorders>
              <w:top w:val="single" w:sz="4" w:space="0" w:color="231F20"/>
              <w:left w:val="single" w:sz="4" w:space="0" w:color="231F20"/>
              <w:bottom w:val="single" w:sz="4" w:space="0" w:color="231F20"/>
              <w:right w:val="single" w:sz="4" w:space="0" w:color="231F20"/>
            </w:tcBorders>
            <w:shd w:val="clear" w:color="auto" w:fill="BEC0C2"/>
          </w:tcPr>
          <w:p w14:paraId="6C8DA7F1" w14:textId="77777777" w:rsidR="00783288" w:rsidRDefault="00E31420">
            <w:pPr>
              <w:pStyle w:val="TableParagraph"/>
              <w:kinsoku w:val="0"/>
              <w:overflowPunct w:val="0"/>
              <w:spacing w:before="97"/>
              <w:ind w:left="126"/>
              <w:rPr>
                <w:b/>
                <w:bCs/>
                <w:color w:val="231F20"/>
                <w:sz w:val="18"/>
                <w:szCs w:val="18"/>
              </w:rPr>
            </w:pPr>
            <w:r>
              <w:rPr>
                <w:b/>
                <w:bCs/>
                <w:color w:val="231F20"/>
                <w:sz w:val="18"/>
                <w:szCs w:val="18"/>
              </w:rPr>
              <w:t>Date of Issue</w:t>
            </w:r>
          </w:p>
        </w:tc>
        <w:tc>
          <w:tcPr>
            <w:tcW w:w="2246" w:type="dxa"/>
            <w:tcBorders>
              <w:top w:val="single" w:sz="4" w:space="0" w:color="231F20"/>
              <w:left w:val="single" w:sz="4" w:space="0" w:color="231F20"/>
              <w:bottom w:val="single" w:sz="4" w:space="0" w:color="231F20"/>
              <w:right w:val="single" w:sz="4" w:space="0" w:color="231F20"/>
            </w:tcBorders>
            <w:shd w:val="clear" w:color="auto" w:fill="BEC0C2"/>
          </w:tcPr>
          <w:p w14:paraId="1170C336" w14:textId="77777777" w:rsidR="00783288" w:rsidRDefault="00E31420">
            <w:pPr>
              <w:pStyle w:val="TableParagraph"/>
              <w:kinsoku w:val="0"/>
              <w:overflowPunct w:val="0"/>
              <w:spacing w:before="97"/>
              <w:ind w:left="141"/>
              <w:rPr>
                <w:b/>
                <w:bCs/>
                <w:color w:val="231F20"/>
                <w:sz w:val="18"/>
                <w:szCs w:val="18"/>
              </w:rPr>
            </w:pPr>
            <w:r>
              <w:rPr>
                <w:b/>
                <w:bCs/>
                <w:color w:val="231F20"/>
                <w:sz w:val="18"/>
                <w:szCs w:val="18"/>
              </w:rPr>
              <w:t>Name of Option Holder</w:t>
            </w:r>
          </w:p>
        </w:tc>
        <w:tc>
          <w:tcPr>
            <w:tcW w:w="1819" w:type="dxa"/>
            <w:tcBorders>
              <w:top w:val="single" w:sz="4" w:space="0" w:color="231F20"/>
              <w:left w:val="single" w:sz="4" w:space="0" w:color="231F20"/>
              <w:bottom w:val="single" w:sz="4" w:space="0" w:color="231F20"/>
              <w:right w:val="single" w:sz="4" w:space="0" w:color="231F20"/>
            </w:tcBorders>
            <w:shd w:val="clear" w:color="auto" w:fill="BEC0C2"/>
          </w:tcPr>
          <w:p w14:paraId="2DFDAF6E" w14:textId="77777777" w:rsidR="00783288" w:rsidRDefault="00E31420">
            <w:pPr>
              <w:pStyle w:val="TableParagraph"/>
              <w:kinsoku w:val="0"/>
              <w:overflowPunct w:val="0"/>
              <w:spacing w:line="201" w:lineRule="exact"/>
              <w:ind w:left="439" w:right="429"/>
              <w:jc w:val="center"/>
              <w:rPr>
                <w:b/>
                <w:bCs/>
                <w:color w:val="231F20"/>
                <w:sz w:val="18"/>
                <w:szCs w:val="18"/>
              </w:rPr>
            </w:pPr>
            <w:r>
              <w:rPr>
                <w:b/>
                <w:bCs/>
                <w:color w:val="231F20"/>
                <w:sz w:val="18"/>
                <w:szCs w:val="18"/>
              </w:rPr>
              <w:t>Number of</w:t>
            </w:r>
          </w:p>
          <w:p w14:paraId="783FED5E" w14:textId="77777777" w:rsidR="00783288" w:rsidRDefault="00E31420">
            <w:pPr>
              <w:pStyle w:val="TableParagraph"/>
              <w:kinsoku w:val="0"/>
              <w:overflowPunct w:val="0"/>
              <w:spacing w:before="1" w:line="192" w:lineRule="exact"/>
              <w:ind w:left="439" w:right="429"/>
              <w:jc w:val="center"/>
              <w:rPr>
                <w:b/>
                <w:bCs/>
                <w:color w:val="231F20"/>
                <w:sz w:val="18"/>
                <w:szCs w:val="18"/>
              </w:rPr>
            </w:pPr>
            <w:r>
              <w:rPr>
                <w:b/>
                <w:bCs/>
                <w:color w:val="231F20"/>
                <w:sz w:val="18"/>
                <w:szCs w:val="18"/>
              </w:rPr>
              <w:t>Options</w:t>
            </w:r>
          </w:p>
        </w:tc>
        <w:tc>
          <w:tcPr>
            <w:tcW w:w="274" w:type="dxa"/>
            <w:tcBorders>
              <w:top w:val="single" w:sz="4" w:space="0" w:color="231F20"/>
              <w:left w:val="single" w:sz="4" w:space="0" w:color="231F20"/>
              <w:bottom w:val="single" w:sz="4" w:space="0" w:color="231F20"/>
              <w:right w:val="single" w:sz="4" w:space="0" w:color="231F20"/>
            </w:tcBorders>
            <w:shd w:val="clear" w:color="auto" w:fill="BEC0C2"/>
          </w:tcPr>
          <w:p w14:paraId="47822A41"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shd w:val="clear" w:color="auto" w:fill="BEC0C2"/>
          </w:tcPr>
          <w:p w14:paraId="679BEA3C" w14:textId="77777777" w:rsidR="00783288" w:rsidRDefault="00E31420">
            <w:pPr>
              <w:pStyle w:val="TableParagraph"/>
              <w:kinsoku w:val="0"/>
              <w:overflowPunct w:val="0"/>
              <w:spacing w:line="201" w:lineRule="exact"/>
              <w:ind w:left="211" w:right="200"/>
              <w:jc w:val="center"/>
              <w:rPr>
                <w:b/>
                <w:bCs/>
                <w:color w:val="231F20"/>
                <w:sz w:val="18"/>
                <w:szCs w:val="18"/>
              </w:rPr>
            </w:pPr>
            <w:r>
              <w:rPr>
                <w:b/>
                <w:bCs/>
                <w:color w:val="231F20"/>
                <w:sz w:val="18"/>
                <w:szCs w:val="18"/>
              </w:rPr>
              <w:t>Exercise</w:t>
            </w:r>
          </w:p>
          <w:p w14:paraId="6375EBD7" w14:textId="77777777" w:rsidR="00783288" w:rsidRDefault="00E31420">
            <w:pPr>
              <w:pStyle w:val="TableParagraph"/>
              <w:kinsoku w:val="0"/>
              <w:overflowPunct w:val="0"/>
              <w:spacing w:before="1" w:line="192" w:lineRule="exact"/>
              <w:ind w:left="211" w:right="200"/>
              <w:jc w:val="center"/>
              <w:rPr>
                <w:b/>
                <w:bCs/>
                <w:color w:val="231F20"/>
                <w:sz w:val="18"/>
                <w:szCs w:val="18"/>
              </w:rPr>
            </w:pPr>
            <w:r>
              <w:rPr>
                <w:b/>
                <w:bCs/>
                <w:color w:val="231F20"/>
                <w:sz w:val="18"/>
                <w:szCs w:val="18"/>
              </w:rPr>
              <w:t>Price</w:t>
            </w:r>
          </w:p>
        </w:tc>
        <w:tc>
          <w:tcPr>
            <w:tcW w:w="1119" w:type="dxa"/>
            <w:tcBorders>
              <w:top w:val="single" w:sz="4" w:space="0" w:color="231F20"/>
              <w:left w:val="single" w:sz="4" w:space="0" w:color="231F20"/>
              <w:bottom w:val="single" w:sz="4" w:space="0" w:color="231F20"/>
              <w:right w:val="single" w:sz="4" w:space="0" w:color="231F20"/>
            </w:tcBorders>
            <w:shd w:val="clear" w:color="auto" w:fill="BEC0C2"/>
          </w:tcPr>
          <w:p w14:paraId="3DE59476" w14:textId="77777777" w:rsidR="00783288" w:rsidRDefault="00E31420">
            <w:pPr>
              <w:pStyle w:val="TableParagraph"/>
              <w:kinsoku w:val="0"/>
              <w:overflowPunct w:val="0"/>
              <w:spacing w:line="201" w:lineRule="exact"/>
              <w:ind w:left="210" w:right="208"/>
              <w:jc w:val="center"/>
              <w:rPr>
                <w:b/>
                <w:bCs/>
                <w:color w:val="231F20"/>
                <w:sz w:val="18"/>
                <w:szCs w:val="18"/>
              </w:rPr>
            </w:pPr>
            <w:r>
              <w:rPr>
                <w:b/>
                <w:bCs/>
                <w:color w:val="231F20"/>
                <w:sz w:val="18"/>
                <w:szCs w:val="18"/>
              </w:rPr>
              <w:t>Vesting</w:t>
            </w:r>
          </w:p>
          <w:p w14:paraId="2B7D4849" w14:textId="77777777" w:rsidR="00783288" w:rsidRDefault="00E31420">
            <w:pPr>
              <w:pStyle w:val="TableParagraph"/>
              <w:kinsoku w:val="0"/>
              <w:overflowPunct w:val="0"/>
              <w:spacing w:before="1" w:line="192" w:lineRule="exact"/>
              <w:ind w:left="210" w:right="206"/>
              <w:jc w:val="center"/>
              <w:rPr>
                <w:b/>
                <w:bCs/>
                <w:color w:val="231F20"/>
                <w:sz w:val="18"/>
                <w:szCs w:val="18"/>
              </w:rPr>
            </w:pPr>
            <w:r>
              <w:rPr>
                <w:b/>
                <w:bCs/>
                <w:color w:val="231F20"/>
                <w:sz w:val="18"/>
                <w:szCs w:val="18"/>
              </w:rPr>
              <w:t>Date</w:t>
            </w:r>
          </w:p>
        </w:tc>
        <w:tc>
          <w:tcPr>
            <w:tcW w:w="1009" w:type="dxa"/>
            <w:tcBorders>
              <w:top w:val="single" w:sz="4" w:space="0" w:color="231F20"/>
              <w:left w:val="single" w:sz="4" w:space="0" w:color="231F20"/>
              <w:bottom w:val="single" w:sz="4" w:space="0" w:color="231F20"/>
              <w:right w:val="single" w:sz="4" w:space="0" w:color="231F20"/>
            </w:tcBorders>
            <w:shd w:val="clear" w:color="auto" w:fill="BEC0C2"/>
          </w:tcPr>
          <w:p w14:paraId="004AF50F" w14:textId="77777777" w:rsidR="00783288" w:rsidRDefault="00E31420">
            <w:pPr>
              <w:pStyle w:val="TableParagraph"/>
              <w:kinsoku w:val="0"/>
              <w:overflowPunct w:val="0"/>
              <w:spacing w:line="201" w:lineRule="exact"/>
              <w:ind w:left="226"/>
              <w:rPr>
                <w:b/>
                <w:bCs/>
                <w:color w:val="231F20"/>
                <w:sz w:val="18"/>
                <w:szCs w:val="18"/>
              </w:rPr>
            </w:pPr>
            <w:r>
              <w:rPr>
                <w:b/>
                <w:bCs/>
                <w:color w:val="231F20"/>
                <w:sz w:val="18"/>
                <w:szCs w:val="18"/>
              </w:rPr>
              <w:t>Expiry</w:t>
            </w:r>
          </w:p>
          <w:p w14:paraId="56A80070" w14:textId="77777777" w:rsidR="00783288" w:rsidRDefault="00E31420">
            <w:pPr>
              <w:pStyle w:val="TableParagraph"/>
              <w:kinsoku w:val="0"/>
              <w:overflowPunct w:val="0"/>
              <w:spacing w:before="1" w:line="192" w:lineRule="exact"/>
              <w:ind w:left="303"/>
              <w:rPr>
                <w:b/>
                <w:bCs/>
                <w:color w:val="231F20"/>
                <w:sz w:val="18"/>
                <w:szCs w:val="18"/>
              </w:rPr>
            </w:pPr>
            <w:r>
              <w:rPr>
                <w:b/>
                <w:bCs/>
                <w:color w:val="231F20"/>
                <w:sz w:val="18"/>
                <w:szCs w:val="18"/>
              </w:rPr>
              <w:t>Date</w:t>
            </w:r>
          </w:p>
        </w:tc>
      </w:tr>
      <w:tr w:rsidR="00783288" w14:paraId="0F4D6044" w14:textId="77777777">
        <w:trPr>
          <w:trHeight w:val="282"/>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3"/>
          </w:tcPr>
          <w:p w14:paraId="6D8B2D15" w14:textId="77777777" w:rsidR="00783288" w:rsidRDefault="00E31420">
            <w:pPr>
              <w:pStyle w:val="TableParagraph"/>
              <w:kinsoku w:val="0"/>
              <w:overflowPunct w:val="0"/>
              <w:spacing w:before="32"/>
              <w:ind w:left="107"/>
              <w:rPr>
                <w:b/>
                <w:bCs/>
                <w:color w:val="231F20"/>
                <w:sz w:val="18"/>
                <w:szCs w:val="18"/>
              </w:rPr>
            </w:pPr>
            <w:r>
              <w:rPr>
                <w:b/>
                <w:bCs/>
                <w:color w:val="231F20"/>
                <w:sz w:val="18"/>
                <w:szCs w:val="18"/>
              </w:rPr>
              <w:t>7.5p Options issued in connection with IPO Admission</w:t>
            </w:r>
          </w:p>
        </w:tc>
      </w:tr>
      <w:tr w:rsidR="00783288" w14:paraId="392019AF"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2672B7E4" w14:textId="77777777" w:rsidR="00783288" w:rsidRDefault="00E31420">
            <w:pPr>
              <w:pStyle w:val="TableParagraph"/>
              <w:kinsoku w:val="0"/>
              <w:overflowPunct w:val="0"/>
              <w:spacing w:before="104"/>
              <w:ind w:left="107"/>
              <w:rPr>
                <w:color w:val="231F20"/>
                <w:sz w:val="18"/>
                <w:szCs w:val="18"/>
              </w:rPr>
            </w:pPr>
            <w:r>
              <w:rPr>
                <w:color w:val="231F20"/>
                <w:sz w:val="18"/>
                <w:szCs w:val="18"/>
              </w:rPr>
              <w:t>28/06/2018</w:t>
            </w:r>
          </w:p>
        </w:tc>
        <w:tc>
          <w:tcPr>
            <w:tcW w:w="2246" w:type="dxa"/>
            <w:tcBorders>
              <w:top w:val="single" w:sz="4" w:space="0" w:color="231F20"/>
              <w:left w:val="single" w:sz="4" w:space="0" w:color="231F20"/>
              <w:bottom w:val="single" w:sz="4" w:space="0" w:color="231F20"/>
              <w:right w:val="single" w:sz="4" w:space="0" w:color="231F20"/>
            </w:tcBorders>
          </w:tcPr>
          <w:p w14:paraId="1A057F98" w14:textId="77777777" w:rsidR="00783288" w:rsidRDefault="00E31420">
            <w:pPr>
              <w:pStyle w:val="TableParagraph"/>
              <w:kinsoku w:val="0"/>
              <w:overflowPunct w:val="0"/>
              <w:spacing w:before="1" w:line="208" w:lineRule="exact"/>
              <w:ind w:left="105" w:right="460"/>
              <w:rPr>
                <w:color w:val="231F20"/>
                <w:sz w:val="18"/>
                <w:szCs w:val="18"/>
              </w:rPr>
            </w:pPr>
            <w:r>
              <w:rPr>
                <w:color w:val="231F20"/>
                <w:sz w:val="18"/>
                <w:szCs w:val="18"/>
              </w:rPr>
              <w:t xml:space="preserve">Christopher </w:t>
            </w:r>
            <w:proofErr w:type="spellStart"/>
            <w:r>
              <w:rPr>
                <w:color w:val="231F20"/>
                <w:sz w:val="18"/>
                <w:szCs w:val="18"/>
              </w:rPr>
              <w:t>Raymon</w:t>
            </w:r>
            <w:proofErr w:type="spellEnd"/>
            <w:r>
              <w:rPr>
                <w:color w:val="231F20"/>
                <w:sz w:val="18"/>
                <w:szCs w:val="18"/>
              </w:rPr>
              <w:t xml:space="preserve"> John Hall</w:t>
            </w:r>
          </w:p>
        </w:tc>
        <w:tc>
          <w:tcPr>
            <w:tcW w:w="1819" w:type="dxa"/>
            <w:tcBorders>
              <w:top w:val="single" w:sz="4" w:space="0" w:color="231F20"/>
              <w:left w:val="single" w:sz="4" w:space="0" w:color="231F20"/>
              <w:bottom w:val="single" w:sz="4" w:space="0" w:color="231F20"/>
              <w:right w:val="single" w:sz="4" w:space="0" w:color="231F20"/>
            </w:tcBorders>
          </w:tcPr>
          <w:p w14:paraId="5FFCB4EC" w14:textId="77777777" w:rsidR="00783288" w:rsidRDefault="00E31420">
            <w:pPr>
              <w:pStyle w:val="TableParagraph"/>
              <w:kinsoku w:val="0"/>
              <w:overflowPunct w:val="0"/>
              <w:spacing w:before="104"/>
              <w:ind w:left="108"/>
              <w:rPr>
                <w:color w:val="231F20"/>
                <w:sz w:val="18"/>
                <w:szCs w:val="18"/>
              </w:rPr>
            </w:pPr>
            <w:r>
              <w:rPr>
                <w:color w:val="231F20"/>
                <w:sz w:val="18"/>
                <w:szCs w:val="18"/>
              </w:rPr>
              <w:t>175,000</w:t>
            </w:r>
          </w:p>
        </w:tc>
        <w:tc>
          <w:tcPr>
            <w:tcW w:w="274" w:type="dxa"/>
            <w:tcBorders>
              <w:top w:val="single" w:sz="4" w:space="0" w:color="231F20"/>
              <w:left w:val="single" w:sz="4" w:space="0" w:color="231F20"/>
              <w:bottom w:val="single" w:sz="4" w:space="0" w:color="231F20"/>
              <w:right w:val="single" w:sz="4" w:space="0" w:color="231F20"/>
            </w:tcBorders>
          </w:tcPr>
          <w:p w14:paraId="7CB59F3E"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5EAB01BC" w14:textId="77777777" w:rsidR="00783288" w:rsidRDefault="00E31420">
            <w:pPr>
              <w:pStyle w:val="TableParagraph"/>
              <w:kinsoku w:val="0"/>
              <w:overflowPunct w:val="0"/>
              <w:spacing w:before="104"/>
              <w:ind w:left="107"/>
              <w:rPr>
                <w:color w:val="231F20"/>
                <w:sz w:val="18"/>
                <w:szCs w:val="18"/>
              </w:rPr>
            </w:pPr>
            <w:r>
              <w:rPr>
                <w:color w:val="231F20"/>
                <w:sz w:val="18"/>
                <w:szCs w:val="18"/>
              </w:rPr>
              <w:t>7.5p</w:t>
            </w:r>
          </w:p>
        </w:tc>
        <w:tc>
          <w:tcPr>
            <w:tcW w:w="1119" w:type="dxa"/>
            <w:tcBorders>
              <w:top w:val="single" w:sz="4" w:space="0" w:color="231F20"/>
              <w:left w:val="single" w:sz="4" w:space="0" w:color="231F20"/>
              <w:bottom w:val="single" w:sz="4" w:space="0" w:color="231F20"/>
              <w:right w:val="single" w:sz="4" w:space="0" w:color="231F20"/>
            </w:tcBorders>
          </w:tcPr>
          <w:p w14:paraId="616E7F02" w14:textId="77777777" w:rsidR="00783288" w:rsidRDefault="00E31420">
            <w:pPr>
              <w:pStyle w:val="TableParagraph"/>
              <w:kinsoku w:val="0"/>
              <w:overflowPunct w:val="0"/>
              <w:spacing w:before="104"/>
              <w:ind w:left="106"/>
              <w:rPr>
                <w:color w:val="231F20"/>
                <w:sz w:val="18"/>
                <w:szCs w:val="18"/>
              </w:rPr>
            </w:pPr>
            <w:r>
              <w:rPr>
                <w:color w:val="231F20"/>
                <w:sz w:val="18"/>
                <w:szCs w:val="18"/>
              </w:rPr>
              <w:t>3/01/19</w:t>
            </w:r>
          </w:p>
        </w:tc>
        <w:tc>
          <w:tcPr>
            <w:tcW w:w="1009" w:type="dxa"/>
            <w:tcBorders>
              <w:top w:val="single" w:sz="4" w:space="0" w:color="231F20"/>
              <w:left w:val="single" w:sz="4" w:space="0" w:color="231F20"/>
              <w:bottom w:val="single" w:sz="4" w:space="0" w:color="231F20"/>
              <w:right w:val="single" w:sz="4" w:space="0" w:color="231F20"/>
            </w:tcBorders>
          </w:tcPr>
          <w:p w14:paraId="670B5747" w14:textId="77777777" w:rsidR="00783288" w:rsidRDefault="00E31420">
            <w:pPr>
              <w:pStyle w:val="TableParagraph"/>
              <w:kinsoku w:val="0"/>
              <w:overflowPunct w:val="0"/>
              <w:spacing w:before="104"/>
              <w:ind w:left="103"/>
              <w:rPr>
                <w:color w:val="231F20"/>
                <w:sz w:val="18"/>
                <w:szCs w:val="18"/>
              </w:rPr>
            </w:pPr>
            <w:r>
              <w:rPr>
                <w:color w:val="231F20"/>
                <w:sz w:val="18"/>
                <w:szCs w:val="18"/>
              </w:rPr>
              <w:t>3/07/23</w:t>
            </w:r>
          </w:p>
        </w:tc>
      </w:tr>
      <w:tr w:rsidR="00783288" w14:paraId="00AB3238" w14:textId="77777777">
        <w:trPr>
          <w:trHeight w:val="280"/>
        </w:trPr>
        <w:tc>
          <w:tcPr>
            <w:tcW w:w="1377" w:type="dxa"/>
            <w:tcBorders>
              <w:top w:val="single" w:sz="4" w:space="0" w:color="231F20"/>
              <w:left w:val="single" w:sz="4" w:space="0" w:color="231F20"/>
              <w:bottom w:val="single" w:sz="4" w:space="0" w:color="231F20"/>
              <w:right w:val="single" w:sz="4" w:space="0" w:color="231F20"/>
            </w:tcBorders>
          </w:tcPr>
          <w:p w14:paraId="1F860EB7" w14:textId="77777777" w:rsidR="00783288" w:rsidRDefault="00E31420">
            <w:pPr>
              <w:pStyle w:val="TableParagraph"/>
              <w:kinsoku w:val="0"/>
              <w:overflowPunct w:val="0"/>
              <w:spacing w:before="35"/>
              <w:ind w:left="107"/>
              <w:rPr>
                <w:color w:val="231F20"/>
                <w:sz w:val="18"/>
                <w:szCs w:val="18"/>
              </w:rPr>
            </w:pPr>
            <w:r>
              <w:rPr>
                <w:color w:val="231F20"/>
                <w:sz w:val="18"/>
                <w:szCs w:val="18"/>
              </w:rPr>
              <w:t>28/06/2018</w:t>
            </w:r>
          </w:p>
        </w:tc>
        <w:tc>
          <w:tcPr>
            <w:tcW w:w="2246" w:type="dxa"/>
            <w:tcBorders>
              <w:top w:val="single" w:sz="4" w:space="0" w:color="231F20"/>
              <w:left w:val="single" w:sz="4" w:space="0" w:color="231F20"/>
              <w:bottom w:val="single" w:sz="4" w:space="0" w:color="231F20"/>
              <w:right w:val="single" w:sz="4" w:space="0" w:color="231F20"/>
            </w:tcBorders>
          </w:tcPr>
          <w:p w14:paraId="74EF4889" w14:textId="77777777" w:rsidR="00783288" w:rsidRDefault="00E31420">
            <w:pPr>
              <w:pStyle w:val="TableParagraph"/>
              <w:kinsoku w:val="0"/>
              <w:overflowPunct w:val="0"/>
              <w:spacing w:before="35"/>
              <w:ind w:left="105"/>
              <w:rPr>
                <w:color w:val="231F20"/>
                <w:sz w:val="18"/>
                <w:szCs w:val="18"/>
              </w:rPr>
            </w:pPr>
            <w:r>
              <w:rPr>
                <w:color w:val="231F20"/>
                <w:sz w:val="18"/>
                <w:szCs w:val="18"/>
              </w:rPr>
              <w:t>Derek Crowhurst</w:t>
            </w:r>
          </w:p>
        </w:tc>
        <w:tc>
          <w:tcPr>
            <w:tcW w:w="1819" w:type="dxa"/>
            <w:tcBorders>
              <w:top w:val="single" w:sz="4" w:space="0" w:color="231F20"/>
              <w:left w:val="single" w:sz="4" w:space="0" w:color="231F20"/>
              <w:bottom w:val="single" w:sz="4" w:space="0" w:color="231F20"/>
              <w:right w:val="single" w:sz="4" w:space="0" w:color="231F20"/>
            </w:tcBorders>
          </w:tcPr>
          <w:p w14:paraId="1ABEA99B" w14:textId="77777777" w:rsidR="00783288" w:rsidRDefault="00E31420">
            <w:pPr>
              <w:pStyle w:val="TableParagraph"/>
              <w:kinsoku w:val="0"/>
              <w:overflowPunct w:val="0"/>
              <w:spacing w:before="35"/>
              <w:ind w:left="107"/>
              <w:rPr>
                <w:color w:val="231F20"/>
                <w:sz w:val="18"/>
                <w:szCs w:val="18"/>
              </w:rPr>
            </w:pPr>
            <w:r>
              <w:rPr>
                <w:color w:val="231F20"/>
                <w:sz w:val="18"/>
                <w:szCs w:val="18"/>
              </w:rPr>
              <w:t>700,000</w:t>
            </w:r>
          </w:p>
        </w:tc>
        <w:tc>
          <w:tcPr>
            <w:tcW w:w="274" w:type="dxa"/>
            <w:tcBorders>
              <w:top w:val="single" w:sz="4" w:space="0" w:color="231F20"/>
              <w:left w:val="single" w:sz="4" w:space="0" w:color="231F20"/>
              <w:bottom w:val="single" w:sz="4" w:space="0" w:color="231F20"/>
              <w:right w:val="single" w:sz="4" w:space="0" w:color="231F20"/>
            </w:tcBorders>
          </w:tcPr>
          <w:p w14:paraId="1F7D6046"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7E3236A" w14:textId="77777777" w:rsidR="00783288" w:rsidRDefault="00E31420">
            <w:pPr>
              <w:pStyle w:val="TableParagraph"/>
              <w:kinsoku w:val="0"/>
              <w:overflowPunct w:val="0"/>
              <w:spacing w:line="204" w:lineRule="exact"/>
              <w:ind w:left="107"/>
              <w:rPr>
                <w:color w:val="231F20"/>
                <w:sz w:val="18"/>
                <w:szCs w:val="18"/>
              </w:rPr>
            </w:pPr>
            <w:r>
              <w:rPr>
                <w:color w:val="231F20"/>
                <w:sz w:val="18"/>
                <w:szCs w:val="18"/>
              </w:rPr>
              <w:t>7.5p</w:t>
            </w:r>
          </w:p>
        </w:tc>
        <w:tc>
          <w:tcPr>
            <w:tcW w:w="1119" w:type="dxa"/>
            <w:tcBorders>
              <w:top w:val="single" w:sz="4" w:space="0" w:color="231F20"/>
              <w:left w:val="single" w:sz="4" w:space="0" w:color="231F20"/>
              <w:bottom w:val="single" w:sz="4" w:space="0" w:color="231F20"/>
              <w:right w:val="single" w:sz="4" w:space="0" w:color="231F20"/>
            </w:tcBorders>
          </w:tcPr>
          <w:p w14:paraId="4FD26602" w14:textId="77777777" w:rsidR="00783288" w:rsidRDefault="00E31420">
            <w:pPr>
              <w:pStyle w:val="TableParagraph"/>
              <w:kinsoku w:val="0"/>
              <w:overflowPunct w:val="0"/>
              <w:spacing w:before="35"/>
              <w:ind w:left="107"/>
              <w:rPr>
                <w:color w:val="231F20"/>
                <w:sz w:val="18"/>
                <w:szCs w:val="18"/>
              </w:rPr>
            </w:pPr>
            <w:r>
              <w:rPr>
                <w:color w:val="231F20"/>
                <w:sz w:val="18"/>
                <w:szCs w:val="18"/>
              </w:rPr>
              <w:t>3/01/19</w:t>
            </w:r>
          </w:p>
        </w:tc>
        <w:tc>
          <w:tcPr>
            <w:tcW w:w="1009" w:type="dxa"/>
            <w:tcBorders>
              <w:top w:val="single" w:sz="4" w:space="0" w:color="231F20"/>
              <w:left w:val="single" w:sz="4" w:space="0" w:color="231F20"/>
              <w:bottom w:val="single" w:sz="4" w:space="0" w:color="231F20"/>
              <w:right w:val="single" w:sz="4" w:space="0" w:color="231F20"/>
            </w:tcBorders>
          </w:tcPr>
          <w:p w14:paraId="55A04606" w14:textId="77777777" w:rsidR="00783288" w:rsidRDefault="00E31420">
            <w:pPr>
              <w:pStyle w:val="TableParagraph"/>
              <w:kinsoku w:val="0"/>
              <w:overflowPunct w:val="0"/>
              <w:spacing w:before="35"/>
              <w:ind w:left="103"/>
              <w:rPr>
                <w:color w:val="231F20"/>
                <w:sz w:val="18"/>
                <w:szCs w:val="18"/>
              </w:rPr>
            </w:pPr>
            <w:r>
              <w:rPr>
                <w:color w:val="231F20"/>
                <w:sz w:val="18"/>
                <w:szCs w:val="18"/>
              </w:rPr>
              <w:t>3/07/23</w:t>
            </w:r>
          </w:p>
        </w:tc>
      </w:tr>
      <w:tr w:rsidR="00783288" w14:paraId="7CB9EEAC"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42B2403F" w14:textId="77777777" w:rsidR="00783288" w:rsidRDefault="00E31420">
            <w:pPr>
              <w:pStyle w:val="TableParagraph"/>
              <w:kinsoku w:val="0"/>
              <w:overflowPunct w:val="0"/>
              <w:spacing w:before="39"/>
              <w:ind w:left="107"/>
              <w:rPr>
                <w:color w:val="231F20"/>
                <w:sz w:val="18"/>
                <w:szCs w:val="18"/>
              </w:rPr>
            </w:pPr>
            <w:r>
              <w:rPr>
                <w:color w:val="231F20"/>
                <w:sz w:val="18"/>
                <w:szCs w:val="18"/>
              </w:rPr>
              <w:t>28/06/2018</w:t>
            </w:r>
          </w:p>
        </w:tc>
        <w:tc>
          <w:tcPr>
            <w:tcW w:w="2246" w:type="dxa"/>
            <w:tcBorders>
              <w:top w:val="single" w:sz="4" w:space="0" w:color="231F20"/>
              <w:left w:val="single" w:sz="4" w:space="0" w:color="231F20"/>
              <w:bottom w:val="single" w:sz="4" w:space="0" w:color="231F20"/>
              <w:right w:val="single" w:sz="4" w:space="0" w:color="231F20"/>
            </w:tcBorders>
          </w:tcPr>
          <w:p w14:paraId="4B5789AD" w14:textId="77777777" w:rsidR="00783288" w:rsidRDefault="00E31420">
            <w:pPr>
              <w:pStyle w:val="TableParagraph"/>
              <w:kinsoku w:val="0"/>
              <w:overflowPunct w:val="0"/>
              <w:spacing w:before="39"/>
              <w:ind w:left="105"/>
              <w:rPr>
                <w:color w:val="231F20"/>
                <w:sz w:val="18"/>
                <w:szCs w:val="18"/>
              </w:rPr>
            </w:pPr>
            <w:r>
              <w:rPr>
                <w:color w:val="231F20"/>
                <w:sz w:val="18"/>
                <w:szCs w:val="18"/>
              </w:rPr>
              <w:t>Michael Godfrey Green</w:t>
            </w:r>
          </w:p>
        </w:tc>
        <w:tc>
          <w:tcPr>
            <w:tcW w:w="1819" w:type="dxa"/>
            <w:tcBorders>
              <w:top w:val="single" w:sz="4" w:space="0" w:color="231F20"/>
              <w:left w:val="single" w:sz="4" w:space="0" w:color="231F20"/>
              <w:bottom w:val="single" w:sz="4" w:space="0" w:color="231F20"/>
              <w:right w:val="single" w:sz="4" w:space="0" w:color="231F20"/>
            </w:tcBorders>
          </w:tcPr>
          <w:p w14:paraId="7849A083" w14:textId="77777777" w:rsidR="00783288" w:rsidRDefault="00E31420">
            <w:pPr>
              <w:pStyle w:val="TableParagraph"/>
              <w:kinsoku w:val="0"/>
              <w:overflowPunct w:val="0"/>
              <w:spacing w:before="39"/>
              <w:ind w:left="107"/>
              <w:rPr>
                <w:color w:val="231F20"/>
                <w:sz w:val="18"/>
                <w:szCs w:val="18"/>
              </w:rPr>
            </w:pPr>
            <w:r>
              <w:rPr>
                <w:color w:val="231F20"/>
                <w:sz w:val="18"/>
                <w:szCs w:val="18"/>
              </w:rPr>
              <w:t>700,000</w:t>
            </w:r>
          </w:p>
        </w:tc>
        <w:tc>
          <w:tcPr>
            <w:tcW w:w="274" w:type="dxa"/>
            <w:tcBorders>
              <w:top w:val="single" w:sz="4" w:space="0" w:color="231F20"/>
              <w:left w:val="single" w:sz="4" w:space="0" w:color="231F20"/>
              <w:bottom w:val="single" w:sz="4" w:space="0" w:color="231F20"/>
              <w:right w:val="single" w:sz="4" w:space="0" w:color="231F20"/>
            </w:tcBorders>
          </w:tcPr>
          <w:p w14:paraId="3B9FCCA8"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7C7B27AA" w14:textId="77777777" w:rsidR="00783288" w:rsidRDefault="00E31420">
            <w:pPr>
              <w:pStyle w:val="TableParagraph"/>
              <w:kinsoku w:val="0"/>
              <w:overflowPunct w:val="0"/>
              <w:spacing w:before="1"/>
              <w:ind w:left="107"/>
              <w:rPr>
                <w:color w:val="231F20"/>
                <w:sz w:val="18"/>
                <w:szCs w:val="18"/>
              </w:rPr>
            </w:pPr>
            <w:r>
              <w:rPr>
                <w:color w:val="231F20"/>
                <w:sz w:val="18"/>
                <w:szCs w:val="18"/>
              </w:rPr>
              <w:t>7.5p</w:t>
            </w:r>
          </w:p>
        </w:tc>
        <w:tc>
          <w:tcPr>
            <w:tcW w:w="1119" w:type="dxa"/>
            <w:tcBorders>
              <w:top w:val="single" w:sz="4" w:space="0" w:color="231F20"/>
              <w:left w:val="single" w:sz="4" w:space="0" w:color="231F20"/>
              <w:bottom w:val="single" w:sz="4" w:space="0" w:color="231F20"/>
              <w:right w:val="single" w:sz="4" w:space="0" w:color="231F20"/>
            </w:tcBorders>
          </w:tcPr>
          <w:p w14:paraId="1BAD8E69" w14:textId="77777777" w:rsidR="00783288" w:rsidRDefault="00E31420">
            <w:pPr>
              <w:pStyle w:val="TableParagraph"/>
              <w:kinsoku w:val="0"/>
              <w:overflowPunct w:val="0"/>
              <w:spacing w:before="39"/>
              <w:ind w:left="107"/>
              <w:rPr>
                <w:color w:val="231F20"/>
                <w:sz w:val="18"/>
                <w:szCs w:val="18"/>
              </w:rPr>
            </w:pPr>
            <w:r>
              <w:rPr>
                <w:color w:val="231F20"/>
                <w:sz w:val="18"/>
                <w:szCs w:val="18"/>
              </w:rPr>
              <w:t>3/01/19</w:t>
            </w:r>
          </w:p>
        </w:tc>
        <w:tc>
          <w:tcPr>
            <w:tcW w:w="1009" w:type="dxa"/>
            <w:tcBorders>
              <w:top w:val="single" w:sz="4" w:space="0" w:color="231F20"/>
              <w:left w:val="single" w:sz="4" w:space="0" w:color="231F20"/>
              <w:bottom w:val="single" w:sz="4" w:space="0" w:color="231F20"/>
              <w:right w:val="single" w:sz="4" w:space="0" w:color="231F20"/>
            </w:tcBorders>
          </w:tcPr>
          <w:p w14:paraId="6C3D0A1D" w14:textId="77777777" w:rsidR="00783288" w:rsidRDefault="00E31420">
            <w:pPr>
              <w:pStyle w:val="TableParagraph"/>
              <w:kinsoku w:val="0"/>
              <w:overflowPunct w:val="0"/>
              <w:spacing w:before="39"/>
              <w:ind w:left="103"/>
              <w:rPr>
                <w:color w:val="231F20"/>
                <w:sz w:val="18"/>
                <w:szCs w:val="18"/>
              </w:rPr>
            </w:pPr>
            <w:r>
              <w:rPr>
                <w:color w:val="231F20"/>
                <w:sz w:val="18"/>
                <w:szCs w:val="18"/>
              </w:rPr>
              <w:t>3/07/23</w:t>
            </w:r>
          </w:p>
        </w:tc>
      </w:tr>
      <w:tr w:rsidR="00783288" w14:paraId="01DC045C"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04062B4F" w14:textId="77777777" w:rsidR="00783288" w:rsidRDefault="00E31420">
            <w:pPr>
              <w:pStyle w:val="TableParagraph"/>
              <w:kinsoku w:val="0"/>
              <w:overflowPunct w:val="0"/>
              <w:spacing w:before="37"/>
              <w:ind w:left="107"/>
              <w:rPr>
                <w:color w:val="231F20"/>
                <w:sz w:val="18"/>
                <w:szCs w:val="18"/>
              </w:rPr>
            </w:pPr>
            <w:r>
              <w:rPr>
                <w:color w:val="231F20"/>
                <w:sz w:val="18"/>
                <w:szCs w:val="18"/>
              </w:rPr>
              <w:t>28/06/2018</w:t>
            </w:r>
          </w:p>
        </w:tc>
        <w:tc>
          <w:tcPr>
            <w:tcW w:w="2246" w:type="dxa"/>
            <w:tcBorders>
              <w:top w:val="single" w:sz="4" w:space="0" w:color="231F20"/>
              <w:left w:val="single" w:sz="4" w:space="0" w:color="231F20"/>
              <w:bottom w:val="single" w:sz="4" w:space="0" w:color="231F20"/>
              <w:right w:val="single" w:sz="4" w:space="0" w:color="231F20"/>
            </w:tcBorders>
          </w:tcPr>
          <w:p w14:paraId="7BB81BAF" w14:textId="77777777" w:rsidR="00783288" w:rsidRDefault="00E31420">
            <w:pPr>
              <w:pStyle w:val="TableParagraph"/>
              <w:kinsoku w:val="0"/>
              <w:overflowPunct w:val="0"/>
              <w:spacing w:before="37"/>
              <w:ind w:left="105"/>
              <w:rPr>
                <w:color w:val="231F20"/>
                <w:sz w:val="18"/>
                <w:szCs w:val="18"/>
              </w:rPr>
            </w:pPr>
            <w:r>
              <w:rPr>
                <w:color w:val="231F20"/>
                <w:sz w:val="18"/>
                <w:szCs w:val="18"/>
              </w:rPr>
              <w:t>David John Hall</w:t>
            </w:r>
          </w:p>
        </w:tc>
        <w:tc>
          <w:tcPr>
            <w:tcW w:w="1819" w:type="dxa"/>
            <w:tcBorders>
              <w:top w:val="single" w:sz="4" w:space="0" w:color="231F20"/>
              <w:left w:val="single" w:sz="4" w:space="0" w:color="231F20"/>
              <w:bottom w:val="single" w:sz="4" w:space="0" w:color="231F20"/>
              <w:right w:val="single" w:sz="4" w:space="0" w:color="231F20"/>
            </w:tcBorders>
          </w:tcPr>
          <w:p w14:paraId="610B0C4C" w14:textId="77777777" w:rsidR="00783288" w:rsidRDefault="00E31420">
            <w:pPr>
              <w:pStyle w:val="TableParagraph"/>
              <w:kinsoku w:val="0"/>
              <w:overflowPunct w:val="0"/>
              <w:spacing w:before="37"/>
              <w:ind w:left="107"/>
              <w:rPr>
                <w:color w:val="231F20"/>
                <w:sz w:val="18"/>
                <w:szCs w:val="18"/>
              </w:rPr>
            </w:pPr>
            <w:r>
              <w:rPr>
                <w:color w:val="231F20"/>
                <w:sz w:val="18"/>
                <w:szCs w:val="18"/>
              </w:rPr>
              <w:t>115,000</w:t>
            </w:r>
          </w:p>
        </w:tc>
        <w:tc>
          <w:tcPr>
            <w:tcW w:w="274" w:type="dxa"/>
            <w:tcBorders>
              <w:top w:val="single" w:sz="4" w:space="0" w:color="231F20"/>
              <w:left w:val="single" w:sz="4" w:space="0" w:color="231F20"/>
              <w:bottom w:val="single" w:sz="4" w:space="0" w:color="231F20"/>
              <w:right w:val="single" w:sz="4" w:space="0" w:color="231F20"/>
            </w:tcBorders>
          </w:tcPr>
          <w:p w14:paraId="7FE3A608"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5B658CB9" w14:textId="77777777" w:rsidR="00783288" w:rsidRDefault="00E31420">
            <w:pPr>
              <w:pStyle w:val="TableParagraph"/>
              <w:kinsoku w:val="0"/>
              <w:overflowPunct w:val="0"/>
              <w:spacing w:line="206" w:lineRule="exact"/>
              <w:ind w:left="107"/>
              <w:rPr>
                <w:color w:val="231F20"/>
                <w:sz w:val="18"/>
                <w:szCs w:val="18"/>
              </w:rPr>
            </w:pPr>
            <w:r>
              <w:rPr>
                <w:color w:val="231F20"/>
                <w:sz w:val="18"/>
                <w:szCs w:val="18"/>
              </w:rPr>
              <w:t>7.5p</w:t>
            </w:r>
          </w:p>
        </w:tc>
        <w:tc>
          <w:tcPr>
            <w:tcW w:w="1119" w:type="dxa"/>
            <w:tcBorders>
              <w:top w:val="single" w:sz="4" w:space="0" w:color="231F20"/>
              <w:left w:val="single" w:sz="4" w:space="0" w:color="231F20"/>
              <w:bottom w:val="single" w:sz="4" w:space="0" w:color="231F20"/>
              <w:right w:val="single" w:sz="4" w:space="0" w:color="231F20"/>
            </w:tcBorders>
          </w:tcPr>
          <w:p w14:paraId="61D46CF2" w14:textId="77777777" w:rsidR="00783288" w:rsidRDefault="00E31420">
            <w:pPr>
              <w:pStyle w:val="TableParagraph"/>
              <w:kinsoku w:val="0"/>
              <w:overflowPunct w:val="0"/>
              <w:spacing w:before="37"/>
              <w:ind w:left="107"/>
              <w:rPr>
                <w:color w:val="231F20"/>
                <w:sz w:val="18"/>
                <w:szCs w:val="18"/>
              </w:rPr>
            </w:pPr>
            <w:r>
              <w:rPr>
                <w:color w:val="231F20"/>
                <w:sz w:val="18"/>
                <w:szCs w:val="18"/>
              </w:rPr>
              <w:t>3/01/19</w:t>
            </w:r>
          </w:p>
        </w:tc>
        <w:tc>
          <w:tcPr>
            <w:tcW w:w="1009" w:type="dxa"/>
            <w:tcBorders>
              <w:top w:val="single" w:sz="4" w:space="0" w:color="231F20"/>
              <w:left w:val="single" w:sz="4" w:space="0" w:color="231F20"/>
              <w:bottom w:val="single" w:sz="4" w:space="0" w:color="231F20"/>
              <w:right w:val="single" w:sz="4" w:space="0" w:color="231F20"/>
            </w:tcBorders>
          </w:tcPr>
          <w:p w14:paraId="2D6474A7" w14:textId="77777777" w:rsidR="00783288" w:rsidRDefault="00E31420">
            <w:pPr>
              <w:pStyle w:val="TableParagraph"/>
              <w:kinsoku w:val="0"/>
              <w:overflowPunct w:val="0"/>
              <w:spacing w:before="37"/>
              <w:ind w:left="103"/>
              <w:rPr>
                <w:color w:val="231F20"/>
                <w:sz w:val="18"/>
                <w:szCs w:val="18"/>
              </w:rPr>
            </w:pPr>
            <w:r>
              <w:rPr>
                <w:color w:val="231F20"/>
                <w:sz w:val="18"/>
                <w:szCs w:val="18"/>
              </w:rPr>
              <w:t>3/07/23</w:t>
            </w:r>
          </w:p>
        </w:tc>
      </w:tr>
      <w:tr w:rsidR="00783288" w14:paraId="2E51BADD"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70A00128" w14:textId="77777777" w:rsidR="00783288" w:rsidRDefault="00E31420">
            <w:pPr>
              <w:pStyle w:val="TableParagraph"/>
              <w:kinsoku w:val="0"/>
              <w:overflowPunct w:val="0"/>
              <w:spacing w:before="39"/>
              <w:ind w:left="107"/>
              <w:rPr>
                <w:color w:val="231F20"/>
                <w:sz w:val="18"/>
                <w:szCs w:val="18"/>
              </w:rPr>
            </w:pPr>
            <w:r>
              <w:rPr>
                <w:color w:val="231F20"/>
                <w:sz w:val="18"/>
                <w:szCs w:val="18"/>
              </w:rPr>
              <w:t>28/06/2018</w:t>
            </w:r>
          </w:p>
        </w:tc>
        <w:tc>
          <w:tcPr>
            <w:tcW w:w="2246" w:type="dxa"/>
            <w:tcBorders>
              <w:top w:val="single" w:sz="4" w:space="0" w:color="231F20"/>
              <w:left w:val="single" w:sz="4" w:space="0" w:color="231F20"/>
              <w:bottom w:val="single" w:sz="4" w:space="0" w:color="231F20"/>
              <w:right w:val="single" w:sz="4" w:space="0" w:color="231F20"/>
            </w:tcBorders>
          </w:tcPr>
          <w:p w14:paraId="45593D2A" w14:textId="77777777" w:rsidR="00783288" w:rsidRDefault="00E31420">
            <w:pPr>
              <w:pStyle w:val="TableParagraph"/>
              <w:kinsoku w:val="0"/>
              <w:overflowPunct w:val="0"/>
              <w:spacing w:before="39"/>
              <w:ind w:left="105"/>
              <w:rPr>
                <w:color w:val="231F20"/>
                <w:sz w:val="18"/>
                <w:szCs w:val="18"/>
              </w:rPr>
            </w:pPr>
            <w:r>
              <w:rPr>
                <w:color w:val="231F20"/>
                <w:sz w:val="18"/>
                <w:szCs w:val="18"/>
              </w:rPr>
              <w:t>Jeremy John Martin</w:t>
            </w:r>
          </w:p>
        </w:tc>
        <w:tc>
          <w:tcPr>
            <w:tcW w:w="1819" w:type="dxa"/>
            <w:tcBorders>
              <w:top w:val="single" w:sz="4" w:space="0" w:color="231F20"/>
              <w:left w:val="single" w:sz="4" w:space="0" w:color="231F20"/>
              <w:bottom w:val="single" w:sz="4" w:space="0" w:color="231F20"/>
              <w:right w:val="single" w:sz="4" w:space="0" w:color="231F20"/>
            </w:tcBorders>
          </w:tcPr>
          <w:p w14:paraId="0B8C58BD" w14:textId="77777777" w:rsidR="00783288" w:rsidRDefault="00E31420">
            <w:pPr>
              <w:pStyle w:val="TableParagraph"/>
              <w:kinsoku w:val="0"/>
              <w:overflowPunct w:val="0"/>
              <w:spacing w:before="39"/>
              <w:ind w:left="107"/>
              <w:rPr>
                <w:color w:val="231F20"/>
                <w:sz w:val="18"/>
                <w:szCs w:val="18"/>
              </w:rPr>
            </w:pPr>
            <w:r>
              <w:rPr>
                <w:color w:val="231F20"/>
                <w:sz w:val="18"/>
                <w:szCs w:val="18"/>
              </w:rPr>
              <w:t>115,000</w:t>
            </w:r>
          </w:p>
        </w:tc>
        <w:tc>
          <w:tcPr>
            <w:tcW w:w="274" w:type="dxa"/>
            <w:tcBorders>
              <w:top w:val="single" w:sz="4" w:space="0" w:color="231F20"/>
              <w:left w:val="single" w:sz="4" w:space="0" w:color="231F20"/>
              <w:bottom w:val="single" w:sz="4" w:space="0" w:color="231F20"/>
              <w:right w:val="single" w:sz="4" w:space="0" w:color="231F20"/>
            </w:tcBorders>
          </w:tcPr>
          <w:p w14:paraId="22351464"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695C0FFA" w14:textId="77777777" w:rsidR="00783288" w:rsidRDefault="00E31420">
            <w:pPr>
              <w:pStyle w:val="TableParagraph"/>
              <w:kinsoku w:val="0"/>
              <w:overflowPunct w:val="0"/>
              <w:spacing w:before="1"/>
              <w:ind w:left="107"/>
              <w:rPr>
                <w:color w:val="231F20"/>
                <w:sz w:val="18"/>
                <w:szCs w:val="18"/>
              </w:rPr>
            </w:pPr>
            <w:r>
              <w:rPr>
                <w:color w:val="231F20"/>
                <w:sz w:val="18"/>
                <w:szCs w:val="18"/>
              </w:rPr>
              <w:t>7.5p</w:t>
            </w:r>
          </w:p>
        </w:tc>
        <w:tc>
          <w:tcPr>
            <w:tcW w:w="1119" w:type="dxa"/>
            <w:tcBorders>
              <w:top w:val="single" w:sz="4" w:space="0" w:color="231F20"/>
              <w:left w:val="single" w:sz="4" w:space="0" w:color="231F20"/>
              <w:bottom w:val="single" w:sz="4" w:space="0" w:color="231F20"/>
              <w:right w:val="single" w:sz="4" w:space="0" w:color="231F20"/>
            </w:tcBorders>
          </w:tcPr>
          <w:p w14:paraId="0BDDC6E2" w14:textId="77777777" w:rsidR="00783288" w:rsidRDefault="00E31420">
            <w:pPr>
              <w:pStyle w:val="TableParagraph"/>
              <w:kinsoku w:val="0"/>
              <w:overflowPunct w:val="0"/>
              <w:spacing w:before="39"/>
              <w:ind w:left="107"/>
              <w:rPr>
                <w:color w:val="231F20"/>
                <w:sz w:val="18"/>
                <w:szCs w:val="18"/>
              </w:rPr>
            </w:pPr>
            <w:r>
              <w:rPr>
                <w:color w:val="231F20"/>
                <w:sz w:val="18"/>
                <w:szCs w:val="18"/>
              </w:rPr>
              <w:t>3/01/19</w:t>
            </w:r>
          </w:p>
        </w:tc>
        <w:tc>
          <w:tcPr>
            <w:tcW w:w="1009" w:type="dxa"/>
            <w:tcBorders>
              <w:top w:val="single" w:sz="4" w:space="0" w:color="231F20"/>
              <w:left w:val="single" w:sz="4" w:space="0" w:color="231F20"/>
              <w:bottom w:val="single" w:sz="4" w:space="0" w:color="231F20"/>
              <w:right w:val="single" w:sz="4" w:space="0" w:color="231F20"/>
            </w:tcBorders>
          </w:tcPr>
          <w:p w14:paraId="56239681" w14:textId="77777777" w:rsidR="00783288" w:rsidRDefault="00E31420">
            <w:pPr>
              <w:pStyle w:val="TableParagraph"/>
              <w:kinsoku w:val="0"/>
              <w:overflowPunct w:val="0"/>
              <w:spacing w:before="39"/>
              <w:ind w:left="103"/>
              <w:rPr>
                <w:color w:val="231F20"/>
                <w:sz w:val="18"/>
                <w:szCs w:val="18"/>
              </w:rPr>
            </w:pPr>
            <w:r>
              <w:rPr>
                <w:color w:val="231F20"/>
                <w:sz w:val="18"/>
                <w:szCs w:val="18"/>
              </w:rPr>
              <w:t>3/07/23</w:t>
            </w:r>
          </w:p>
        </w:tc>
      </w:tr>
      <w:tr w:rsidR="00783288" w14:paraId="48BE3789" w14:textId="77777777">
        <w:trPr>
          <w:trHeight w:val="282"/>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3"/>
          </w:tcPr>
          <w:p w14:paraId="107A8EA0" w14:textId="77777777" w:rsidR="00783288" w:rsidRDefault="00E31420">
            <w:pPr>
              <w:pStyle w:val="TableParagraph"/>
              <w:kinsoku w:val="0"/>
              <w:overflowPunct w:val="0"/>
              <w:spacing w:before="32"/>
              <w:ind w:left="107"/>
              <w:rPr>
                <w:b/>
                <w:bCs/>
                <w:color w:val="231F20"/>
                <w:sz w:val="18"/>
                <w:szCs w:val="18"/>
              </w:rPr>
            </w:pPr>
            <w:r>
              <w:rPr>
                <w:b/>
                <w:bCs/>
                <w:color w:val="231F20"/>
                <w:sz w:val="18"/>
                <w:szCs w:val="18"/>
              </w:rPr>
              <w:t>5p Options issued in December 2019</w:t>
            </w:r>
          </w:p>
        </w:tc>
      </w:tr>
      <w:tr w:rsidR="00783288" w14:paraId="7F61C0F1"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44657170" w14:textId="77777777" w:rsidR="00783288" w:rsidRDefault="00E31420">
            <w:pPr>
              <w:pStyle w:val="TableParagraph"/>
              <w:kinsoku w:val="0"/>
              <w:overflowPunct w:val="0"/>
              <w:spacing w:before="39"/>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02BDBA65" w14:textId="77777777" w:rsidR="00783288" w:rsidRDefault="00E31420">
            <w:pPr>
              <w:pStyle w:val="TableParagraph"/>
              <w:kinsoku w:val="0"/>
              <w:overflowPunct w:val="0"/>
              <w:spacing w:before="39"/>
              <w:ind w:left="105"/>
              <w:rPr>
                <w:color w:val="231F20"/>
                <w:sz w:val="18"/>
                <w:szCs w:val="18"/>
              </w:rPr>
            </w:pPr>
            <w:r>
              <w:rPr>
                <w:color w:val="231F20"/>
                <w:sz w:val="18"/>
                <w:szCs w:val="18"/>
              </w:rPr>
              <w:t>Martin French</w:t>
            </w:r>
          </w:p>
        </w:tc>
        <w:tc>
          <w:tcPr>
            <w:tcW w:w="1819" w:type="dxa"/>
            <w:tcBorders>
              <w:top w:val="single" w:sz="4" w:space="0" w:color="231F20"/>
              <w:left w:val="single" w:sz="4" w:space="0" w:color="231F20"/>
              <w:bottom w:val="single" w:sz="4" w:space="0" w:color="231F20"/>
              <w:right w:val="single" w:sz="4" w:space="0" w:color="231F20"/>
            </w:tcBorders>
          </w:tcPr>
          <w:p w14:paraId="43A46CF6" w14:textId="77777777" w:rsidR="00783288" w:rsidRDefault="00E31420">
            <w:pPr>
              <w:pStyle w:val="TableParagraph"/>
              <w:kinsoku w:val="0"/>
              <w:overflowPunct w:val="0"/>
              <w:spacing w:before="39"/>
              <w:ind w:left="107"/>
              <w:rPr>
                <w:color w:val="231F20"/>
                <w:sz w:val="18"/>
                <w:szCs w:val="18"/>
              </w:rPr>
            </w:pPr>
            <w:r>
              <w:rPr>
                <w:color w:val="231F20"/>
                <w:sz w:val="18"/>
                <w:szCs w:val="18"/>
              </w:rPr>
              <w:t>1,000,000</w:t>
            </w:r>
          </w:p>
        </w:tc>
        <w:tc>
          <w:tcPr>
            <w:tcW w:w="274" w:type="dxa"/>
            <w:tcBorders>
              <w:top w:val="single" w:sz="4" w:space="0" w:color="231F20"/>
              <w:left w:val="single" w:sz="4" w:space="0" w:color="231F20"/>
              <w:bottom w:val="single" w:sz="4" w:space="0" w:color="231F20"/>
              <w:right w:val="single" w:sz="4" w:space="0" w:color="231F20"/>
            </w:tcBorders>
          </w:tcPr>
          <w:p w14:paraId="15F50305"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7381A5A3" w14:textId="77777777" w:rsidR="00783288" w:rsidRDefault="00E31420">
            <w:pPr>
              <w:pStyle w:val="TableParagraph"/>
              <w:kinsoku w:val="0"/>
              <w:overflowPunct w:val="0"/>
              <w:spacing w:before="39"/>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4FBC61B7" w14:textId="77777777" w:rsidR="00783288" w:rsidRDefault="00E31420">
            <w:pPr>
              <w:pStyle w:val="TableParagraph"/>
              <w:kinsoku w:val="0"/>
              <w:overflowPunct w:val="0"/>
              <w:spacing w:before="39"/>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08FD7AEE" w14:textId="77777777" w:rsidR="00783288" w:rsidRDefault="00E31420">
            <w:pPr>
              <w:pStyle w:val="TableParagraph"/>
              <w:kinsoku w:val="0"/>
              <w:overflowPunct w:val="0"/>
              <w:spacing w:before="39"/>
              <w:ind w:left="103"/>
              <w:rPr>
                <w:color w:val="231F20"/>
                <w:sz w:val="18"/>
                <w:szCs w:val="18"/>
              </w:rPr>
            </w:pPr>
            <w:r>
              <w:rPr>
                <w:color w:val="231F20"/>
                <w:sz w:val="18"/>
                <w:szCs w:val="18"/>
              </w:rPr>
              <w:t>1/01/25</w:t>
            </w:r>
          </w:p>
        </w:tc>
      </w:tr>
      <w:tr w:rsidR="00783288" w14:paraId="6B8DB9B4"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34EBC591"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5407292F" w14:textId="77777777" w:rsidR="00783288" w:rsidRDefault="00E31420">
            <w:pPr>
              <w:pStyle w:val="TableParagraph"/>
              <w:kinsoku w:val="0"/>
              <w:overflowPunct w:val="0"/>
              <w:spacing w:before="37"/>
              <w:ind w:left="105"/>
              <w:rPr>
                <w:color w:val="231F20"/>
                <w:sz w:val="18"/>
                <w:szCs w:val="18"/>
              </w:rPr>
            </w:pPr>
            <w:r>
              <w:rPr>
                <w:color w:val="231F20"/>
                <w:sz w:val="18"/>
                <w:szCs w:val="18"/>
              </w:rPr>
              <w:t>Michael Parker</w:t>
            </w:r>
          </w:p>
        </w:tc>
        <w:tc>
          <w:tcPr>
            <w:tcW w:w="1819" w:type="dxa"/>
            <w:tcBorders>
              <w:top w:val="single" w:sz="4" w:space="0" w:color="231F20"/>
              <w:left w:val="single" w:sz="4" w:space="0" w:color="231F20"/>
              <w:bottom w:val="single" w:sz="4" w:space="0" w:color="231F20"/>
              <w:right w:val="single" w:sz="4" w:space="0" w:color="231F20"/>
            </w:tcBorders>
          </w:tcPr>
          <w:p w14:paraId="31C3E44A" w14:textId="77777777" w:rsidR="00783288" w:rsidRDefault="00E31420">
            <w:pPr>
              <w:pStyle w:val="TableParagraph"/>
              <w:kinsoku w:val="0"/>
              <w:overflowPunct w:val="0"/>
              <w:spacing w:before="37"/>
              <w:ind w:left="107"/>
              <w:rPr>
                <w:color w:val="231F20"/>
                <w:sz w:val="18"/>
                <w:szCs w:val="18"/>
              </w:rPr>
            </w:pPr>
            <w:r>
              <w:rPr>
                <w:color w:val="231F20"/>
                <w:sz w:val="18"/>
                <w:szCs w:val="18"/>
              </w:rPr>
              <w:t>500,000</w:t>
            </w:r>
          </w:p>
        </w:tc>
        <w:tc>
          <w:tcPr>
            <w:tcW w:w="274" w:type="dxa"/>
            <w:tcBorders>
              <w:top w:val="single" w:sz="4" w:space="0" w:color="231F20"/>
              <w:left w:val="single" w:sz="4" w:space="0" w:color="231F20"/>
              <w:bottom w:val="single" w:sz="4" w:space="0" w:color="231F20"/>
              <w:right w:val="single" w:sz="4" w:space="0" w:color="231F20"/>
            </w:tcBorders>
          </w:tcPr>
          <w:p w14:paraId="4319BA28"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4D07711D" w14:textId="77777777" w:rsidR="00783288" w:rsidRDefault="00E31420">
            <w:pPr>
              <w:pStyle w:val="TableParagraph"/>
              <w:kinsoku w:val="0"/>
              <w:overflowPunct w:val="0"/>
              <w:spacing w:before="37"/>
              <w:ind w:left="106"/>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318B448C"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46D16EA0" w14:textId="68F9A3D5" w:rsidR="00783288" w:rsidRDefault="00E31420">
            <w:pPr>
              <w:pStyle w:val="TableParagraph"/>
              <w:kinsoku w:val="0"/>
              <w:overflowPunct w:val="0"/>
              <w:spacing w:before="37"/>
              <w:ind w:left="102"/>
              <w:rPr>
                <w:color w:val="231F20"/>
                <w:sz w:val="18"/>
                <w:szCs w:val="18"/>
              </w:rPr>
            </w:pPr>
            <w:r>
              <w:rPr>
                <w:color w:val="231F20"/>
                <w:sz w:val="18"/>
                <w:szCs w:val="18"/>
              </w:rPr>
              <w:t>1/01/25</w:t>
            </w:r>
          </w:p>
        </w:tc>
      </w:tr>
      <w:tr w:rsidR="00783288" w14:paraId="2C2076FE"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371A1678"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7EDCB89B" w14:textId="77777777" w:rsidR="00783288" w:rsidRDefault="00E31420">
            <w:pPr>
              <w:pStyle w:val="TableParagraph"/>
              <w:kinsoku w:val="0"/>
              <w:overflowPunct w:val="0"/>
              <w:spacing w:before="37"/>
              <w:ind w:left="105"/>
              <w:rPr>
                <w:color w:val="231F20"/>
                <w:sz w:val="18"/>
                <w:szCs w:val="18"/>
              </w:rPr>
            </w:pPr>
            <w:r>
              <w:rPr>
                <w:color w:val="231F20"/>
                <w:sz w:val="18"/>
                <w:szCs w:val="18"/>
              </w:rPr>
              <w:t>Peter Damouni</w:t>
            </w:r>
          </w:p>
        </w:tc>
        <w:tc>
          <w:tcPr>
            <w:tcW w:w="1819" w:type="dxa"/>
            <w:tcBorders>
              <w:top w:val="single" w:sz="4" w:space="0" w:color="231F20"/>
              <w:left w:val="single" w:sz="4" w:space="0" w:color="231F20"/>
              <w:bottom w:val="single" w:sz="4" w:space="0" w:color="231F20"/>
              <w:right w:val="single" w:sz="4" w:space="0" w:color="231F20"/>
            </w:tcBorders>
          </w:tcPr>
          <w:p w14:paraId="74A3094B" w14:textId="77777777" w:rsidR="00783288" w:rsidRDefault="00E31420">
            <w:pPr>
              <w:pStyle w:val="TableParagraph"/>
              <w:kinsoku w:val="0"/>
              <w:overflowPunct w:val="0"/>
              <w:spacing w:before="37"/>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2DA86D2C"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3170EC41" w14:textId="77777777" w:rsidR="00783288" w:rsidRDefault="00E31420">
            <w:pPr>
              <w:pStyle w:val="TableParagraph"/>
              <w:kinsoku w:val="0"/>
              <w:overflowPunct w:val="0"/>
              <w:spacing w:before="37"/>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54244717"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0EC81028" w14:textId="77777777" w:rsidR="00783288" w:rsidRDefault="00E31420">
            <w:pPr>
              <w:pStyle w:val="TableParagraph"/>
              <w:kinsoku w:val="0"/>
              <w:overflowPunct w:val="0"/>
              <w:spacing w:before="37"/>
              <w:ind w:left="103"/>
              <w:rPr>
                <w:color w:val="231F20"/>
                <w:sz w:val="18"/>
                <w:szCs w:val="18"/>
              </w:rPr>
            </w:pPr>
            <w:r>
              <w:rPr>
                <w:color w:val="231F20"/>
                <w:sz w:val="18"/>
                <w:szCs w:val="18"/>
              </w:rPr>
              <w:t>1/01/25</w:t>
            </w:r>
          </w:p>
        </w:tc>
      </w:tr>
      <w:tr w:rsidR="00783288" w14:paraId="26ED699F"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7481CB68"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32654C85" w14:textId="77777777" w:rsidR="00783288" w:rsidRDefault="00E31420">
            <w:pPr>
              <w:pStyle w:val="TableParagraph"/>
              <w:kinsoku w:val="0"/>
              <w:overflowPunct w:val="0"/>
              <w:spacing w:before="37"/>
              <w:ind w:left="105"/>
              <w:rPr>
                <w:color w:val="231F20"/>
                <w:sz w:val="18"/>
                <w:szCs w:val="18"/>
              </w:rPr>
            </w:pPr>
            <w:r>
              <w:rPr>
                <w:color w:val="231F20"/>
                <w:sz w:val="18"/>
                <w:szCs w:val="18"/>
              </w:rPr>
              <w:t>Neil O'Brien</w:t>
            </w:r>
          </w:p>
        </w:tc>
        <w:tc>
          <w:tcPr>
            <w:tcW w:w="1819" w:type="dxa"/>
            <w:tcBorders>
              <w:top w:val="single" w:sz="4" w:space="0" w:color="231F20"/>
              <w:left w:val="single" w:sz="4" w:space="0" w:color="231F20"/>
              <w:bottom w:val="single" w:sz="4" w:space="0" w:color="231F20"/>
              <w:right w:val="single" w:sz="4" w:space="0" w:color="231F20"/>
            </w:tcBorders>
          </w:tcPr>
          <w:p w14:paraId="733547FB" w14:textId="77777777" w:rsidR="00783288" w:rsidRDefault="00E31420">
            <w:pPr>
              <w:pStyle w:val="TableParagraph"/>
              <w:kinsoku w:val="0"/>
              <w:overflowPunct w:val="0"/>
              <w:spacing w:before="37"/>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5E1754D4"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401E318A" w14:textId="77777777" w:rsidR="00783288" w:rsidRDefault="00E31420">
            <w:pPr>
              <w:pStyle w:val="TableParagraph"/>
              <w:kinsoku w:val="0"/>
              <w:overflowPunct w:val="0"/>
              <w:spacing w:before="37"/>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615F63E1"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2387AC65" w14:textId="77777777" w:rsidR="00783288" w:rsidRDefault="00E31420">
            <w:pPr>
              <w:pStyle w:val="TableParagraph"/>
              <w:kinsoku w:val="0"/>
              <w:overflowPunct w:val="0"/>
              <w:spacing w:before="37"/>
              <w:ind w:left="102"/>
              <w:rPr>
                <w:color w:val="231F20"/>
                <w:sz w:val="18"/>
                <w:szCs w:val="18"/>
              </w:rPr>
            </w:pPr>
            <w:r>
              <w:rPr>
                <w:color w:val="231F20"/>
                <w:sz w:val="18"/>
                <w:szCs w:val="18"/>
              </w:rPr>
              <w:t>1/01/25</w:t>
            </w:r>
          </w:p>
        </w:tc>
      </w:tr>
      <w:tr w:rsidR="00783288" w14:paraId="46F43600"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7CF9C4CF"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1500476B" w14:textId="77777777" w:rsidR="00783288" w:rsidRDefault="00E31420">
            <w:pPr>
              <w:pStyle w:val="TableParagraph"/>
              <w:kinsoku w:val="0"/>
              <w:overflowPunct w:val="0"/>
              <w:spacing w:before="37"/>
              <w:ind w:left="105"/>
              <w:rPr>
                <w:color w:val="231F20"/>
                <w:sz w:val="18"/>
                <w:szCs w:val="18"/>
              </w:rPr>
            </w:pPr>
            <w:r>
              <w:rPr>
                <w:color w:val="231F20"/>
                <w:sz w:val="18"/>
                <w:szCs w:val="18"/>
              </w:rPr>
              <w:t>David Cliff</w:t>
            </w:r>
          </w:p>
        </w:tc>
        <w:tc>
          <w:tcPr>
            <w:tcW w:w="1819" w:type="dxa"/>
            <w:tcBorders>
              <w:top w:val="single" w:sz="4" w:space="0" w:color="231F20"/>
              <w:left w:val="single" w:sz="4" w:space="0" w:color="231F20"/>
              <w:bottom w:val="single" w:sz="4" w:space="0" w:color="231F20"/>
              <w:right w:val="single" w:sz="4" w:space="0" w:color="231F20"/>
            </w:tcBorders>
          </w:tcPr>
          <w:p w14:paraId="46C07E0E" w14:textId="77777777" w:rsidR="00783288" w:rsidRDefault="00E31420">
            <w:pPr>
              <w:pStyle w:val="TableParagraph"/>
              <w:kinsoku w:val="0"/>
              <w:overflowPunct w:val="0"/>
              <w:spacing w:before="37"/>
              <w:ind w:left="107"/>
              <w:rPr>
                <w:color w:val="231F20"/>
                <w:sz w:val="18"/>
                <w:szCs w:val="18"/>
              </w:rPr>
            </w:pPr>
            <w:r>
              <w:rPr>
                <w:color w:val="231F20"/>
                <w:sz w:val="18"/>
                <w:szCs w:val="18"/>
              </w:rPr>
              <w:t>100,000</w:t>
            </w:r>
          </w:p>
        </w:tc>
        <w:tc>
          <w:tcPr>
            <w:tcW w:w="274" w:type="dxa"/>
            <w:tcBorders>
              <w:top w:val="single" w:sz="4" w:space="0" w:color="231F20"/>
              <w:left w:val="single" w:sz="4" w:space="0" w:color="231F20"/>
              <w:bottom w:val="single" w:sz="4" w:space="0" w:color="231F20"/>
              <w:right w:val="single" w:sz="4" w:space="0" w:color="231F20"/>
            </w:tcBorders>
          </w:tcPr>
          <w:p w14:paraId="61B0C30A"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55373C4F" w14:textId="77777777" w:rsidR="00783288" w:rsidRDefault="00E31420">
            <w:pPr>
              <w:pStyle w:val="TableParagraph"/>
              <w:kinsoku w:val="0"/>
              <w:overflowPunct w:val="0"/>
              <w:spacing w:before="37"/>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43118F32"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13AF4B9B" w14:textId="77777777" w:rsidR="00783288" w:rsidRDefault="00E31420">
            <w:pPr>
              <w:pStyle w:val="TableParagraph"/>
              <w:kinsoku w:val="0"/>
              <w:overflowPunct w:val="0"/>
              <w:spacing w:before="37"/>
              <w:ind w:left="103"/>
              <w:rPr>
                <w:color w:val="231F20"/>
                <w:sz w:val="18"/>
                <w:szCs w:val="18"/>
              </w:rPr>
            </w:pPr>
            <w:r>
              <w:rPr>
                <w:color w:val="231F20"/>
                <w:sz w:val="18"/>
                <w:szCs w:val="18"/>
              </w:rPr>
              <w:t>1/01/25</w:t>
            </w:r>
          </w:p>
        </w:tc>
      </w:tr>
      <w:tr w:rsidR="00783288" w14:paraId="30E7EFF8"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21C87CC9"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2367FC3E" w14:textId="77777777" w:rsidR="00783288" w:rsidRDefault="00E31420">
            <w:pPr>
              <w:pStyle w:val="TableParagraph"/>
              <w:kinsoku w:val="0"/>
              <w:overflowPunct w:val="0"/>
              <w:spacing w:before="37"/>
              <w:ind w:left="105"/>
              <w:rPr>
                <w:color w:val="231F20"/>
                <w:sz w:val="18"/>
                <w:szCs w:val="18"/>
              </w:rPr>
            </w:pPr>
            <w:r>
              <w:rPr>
                <w:color w:val="231F20"/>
                <w:sz w:val="18"/>
                <w:szCs w:val="18"/>
              </w:rPr>
              <w:t>Ryan Fells</w:t>
            </w:r>
          </w:p>
        </w:tc>
        <w:tc>
          <w:tcPr>
            <w:tcW w:w="1819" w:type="dxa"/>
            <w:tcBorders>
              <w:top w:val="single" w:sz="4" w:space="0" w:color="231F20"/>
              <w:left w:val="single" w:sz="4" w:space="0" w:color="231F20"/>
              <w:bottom w:val="single" w:sz="4" w:space="0" w:color="231F20"/>
              <w:right w:val="single" w:sz="4" w:space="0" w:color="231F20"/>
            </w:tcBorders>
          </w:tcPr>
          <w:p w14:paraId="6744AC77" w14:textId="77777777" w:rsidR="00783288" w:rsidRDefault="00E31420">
            <w:pPr>
              <w:pStyle w:val="TableParagraph"/>
              <w:kinsoku w:val="0"/>
              <w:overflowPunct w:val="0"/>
              <w:spacing w:before="37"/>
              <w:ind w:left="107"/>
              <w:rPr>
                <w:color w:val="231F20"/>
                <w:sz w:val="18"/>
                <w:szCs w:val="18"/>
              </w:rPr>
            </w:pPr>
            <w:r>
              <w:rPr>
                <w:color w:val="231F20"/>
                <w:sz w:val="18"/>
                <w:szCs w:val="18"/>
              </w:rPr>
              <w:t>100,000</w:t>
            </w:r>
          </w:p>
        </w:tc>
        <w:tc>
          <w:tcPr>
            <w:tcW w:w="274" w:type="dxa"/>
            <w:tcBorders>
              <w:top w:val="single" w:sz="4" w:space="0" w:color="231F20"/>
              <w:left w:val="single" w:sz="4" w:space="0" w:color="231F20"/>
              <w:bottom w:val="single" w:sz="4" w:space="0" w:color="231F20"/>
              <w:right w:val="single" w:sz="4" w:space="0" w:color="231F20"/>
            </w:tcBorders>
          </w:tcPr>
          <w:p w14:paraId="5099382E"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10D2C95" w14:textId="77777777" w:rsidR="00783288" w:rsidRDefault="00E31420">
            <w:pPr>
              <w:pStyle w:val="TableParagraph"/>
              <w:kinsoku w:val="0"/>
              <w:overflowPunct w:val="0"/>
              <w:spacing w:before="37"/>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11740AE0"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2BD1F670" w14:textId="77777777" w:rsidR="00783288" w:rsidRDefault="00E31420">
            <w:pPr>
              <w:pStyle w:val="TableParagraph"/>
              <w:kinsoku w:val="0"/>
              <w:overflowPunct w:val="0"/>
              <w:spacing w:before="37"/>
              <w:ind w:left="102"/>
              <w:rPr>
                <w:color w:val="231F20"/>
                <w:sz w:val="18"/>
                <w:szCs w:val="18"/>
              </w:rPr>
            </w:pPr>
            <w:r>
              <w:rPr>
                <w:color w:val="231F20"/>
                <w:sz w:val="18"/>
                <w:szCs w:val="18"/>
              </w:rPr>
              <w:t>1/01/25</w:t>
            </w:r>
          </w:p>
        </w:tc>
      </w:tr>
      <w:tr w:rsidR="00783288" w14:paraId="76BA4069"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4CEDC94C" w14:textId="77777777" w:rsidR="00783288" w:rsidRDefault="00E31420">
            <w:pPr>
              <w:pStyle w:val="TableParagraph"/>
              <w:kinsoku w:val="0"/>
              <w:overflowPunct w:val="0"/>
              <w:spacing w:before="37"/>
              <w:ind w:left="107"/>
              <w:rPr>
                <w:color w:val="231F20"/>
                <w:sz w:val="18"/>
                <w:szCs w:val="18"/>
              </w:rPr>
            </w:pPr>
            <w:r>
              <w:rPr>
                <w:color w:val="231F20"/>
                <w:sz w:val="18"/>
                <w:szCs w:val="18"/>
              </w:rPr>
              <w:t>17/12/2019</w:t>
            </w:r>
          </w:p>
        </w:tc>
        <w:tc>
          <w:tcPr>
            <w:tcW w:w="2246" w:type="dxa"/>
            <w:tcBorders>
              <w:top w:val="single" w:sz="4" w:space="0" w:color="231F20"/>
              <w:left w:val="single" w:sz="4" w:space="0" w:color="231F20"/>
              <w:bottom w:val="single" w:sz="4" w:space="0" w:color="231F20"/>
              <w:right w:val="single" w:sz="4" w:space="0" w:color="231F20"/>
            </w:tcBorders>
          </w:tcPr>
          <w:p w14:paraId="59503808" w14:textId="77777777" w:rsidR="00783288" w:rsidRDefault="00E31420">
            <w:pPr>
              <w:pStyle w:val="TableParagraph"/>
              <w:kinsoku w:val="0"/>
              <w:overflowPunct w:val="0"/>
              <w:spacing w:before="37"/>
              <w:ind w:left="105"/>
              <w:rPr>
                <w:color w:val="231F20"/>
                <w:sz w:val="18"/>
                <w:szCs w:val="18"/>
              </w:rPr>
            </w:pPr>
            <w:r>
              <w:rPr>
                <w:color w:val="231F20"/>
                <w:sz w:val="18"/>
                <w:szCs w:val="18"/>
              </w:rPr>
              <w:t>George Clegg</w:t>
            </w:r>
          </w:p>
        </w:tc>
        <w:tc>
          <w:tcPr>
            <w:tcW w:w="1819" w:type="dxa"/>
            <w:tcBorders>
              <w:top w:val="single" w:sz="4" w:space="0" w:color="231F20"/>
              <w:left w:val="single" w:sz="4" w:space="0" w:color="231F20"/>
              <w:bottom w:val="single" w:sz="4" w:space="0" w:color="231F20"/>
              <w:right w:val="single" w:sz="4" w:space="0" w:color="231F20"/>
            </w:tcBorders>
          </w:tcPr>
          <w:p w14:paraId="7582796C" w14:textId="77777777" w:rsidR="00783288" w:rsidRDefault="00E31420">
            <w:pPr>
              <w:pStyle w:val="TableParagraph"/>
              <w:kinsoku w:val="0"/>
              <w:overflowPunct w:val="0"/>
              <w:spacing w:before="37"/>
              <w:ind w:left="107"/>
              <w:rPr>
                <w:color w:val="231F20"/>
                <w:sz w:val="18"/>
                <w:szCs w:val="18"/>
              </w:rPr>
            </w:pPr>
            <w:r>
              <w:rPr>
                <w:color w:val="231F20"/>
                <w:sz w:val="18"/>
                <w:szCs w:val="18"/>
              </w:rPr>
              <w:t>100,000</w:t>
            </w:r>
          </w:p>
        </w:tc>
        <w:tc>
          <w:tcPr>
            <w:tcW w:w="274" w:type="dxa"/>
            <w:tcBorders>
              <w:top w:val="single" w:sz="4" w:space="0" w:color="231F20"/>
              <w:left w:val="single" w:sz="4" w:space="0" w:color="231F20"/>
              <w:bottom w:val="single" w:sz="4" w:space="0" w:color="231F20"/>
              <w:right w:val="single" w:sz="4" w:space="0" w:color="231F20"/>
            </w:tcBorders>
          </w:tcPr>
          <w:p w14:paraId="2979215E"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701D3D0" w14:textId="77777777" w:rsidR="00783288" w:rsidRDefault="00E31420">
            <w:pPr>
              <w:pStyle w:val="TableParagraph"/>
              <w:kinsoku w:val="0"/>
              <w:overflowPunct w:val="0"/>
              <w:spacing w:before="37"/>
              <w:ind w:left="107"/>
              <w:rPr>
                <w:color w:val="231F20"/>
                <w:sz w:val="18"/>
                <w:szCs w:val="18"/>
              </w:rPr>
            </w:pPr>
            <w:r>
              <w:rPr>
                <w:color w:val="231F20"/>
                <w:sz w:val="18"/>
                <w:szCs w:val="18"/>
              </w:rPr>
              <w:t>5p</w:t>
            </w:r>
          </w:p>
        </w:tc>
        <w:tc>
          <w:tcPr>
            <w:tcW w:w="1119" w:type="dxa"/>
            <w:tcBorders>
              <w:top w:val="single" w:sz="4" w:space="0" w:color="231F20"/>
              <w:left w:val="single" w:sz="4" w:space="0" w:color="231F20"/>
              <w:bottom w:val="single" w:sz="4" w:space="0" w:color="231F20"/>
              <w:right w:val="single" w:sz="4" w:space="0" w:color="231F20"/>
            </w:tcBorders>
          </w:tcPr>
          <w:p w14:paraId="0C27A30A" w14:textId="77777777" w:rsidR="00783288" w:rsidRDefault="00E31420">
            <w:pPr>
              <w:pStyle w:val="TableParagraph"/>
              <w:kinsoku w:val="0"/>
              <w:overflowPunct w:val="0"/>
              <w:spacing w:before="37"/>
              <w:ind w:left="106"/>
              <w:rPr>
                <w:color w:val="231F20"/>
                <w:sz w:val="18"/>
                <w:szCs w:val="18"/>
              </w:rPr>
            </w:pPr>
            <w:r>
              <w:rPr>
                <w:color w:val="231F20"/>
                <w:sz w:val="18"/>
                <w:szCs w:val="18"/>
              </w:rPr>
              <w:t>1/01/20</w:t>
            </w:r>
          </w:p>
        </w:tc>
        <w:tc>
          <w:tcPr>
            <w:tcW w:w="1009" w:type="dxa"/>
            <w:tcBorders>
              <w:top w:val="single" w:sz="4" w:space="0" w:color="231F20"/>
              <w:left w:val="single" w:sz="4" w:space="0" w:color="231F20"/>
              <w:bottom w:val="single" w:sz="4" w:space="0" w:color="231F20"/>
              <w:right w:val="single" w:sz="4" w:space="0" w:color="231F20"/>
            </w:tcBorders>
          </w:tcPr>
          <w:p w14:paraId="67A66D41" w14:textId="77777777" w:rsidR="00783288" w:rsidRDefault="00E31420">
            <w:pPr>
              <w:pStyle w:val="TableParagraph"/>
              <w:kinsoku w:val="0"/>
              <w:overflowPunct w:val="0"/>
              <w:spacing w:before="37"/>
              <w:ind w:left="102"/>
              <w:rPr>
                <w:color w:val="231F20"/>
                <w:sz w:val="18"/>
                <w:szCs w:val="18"/>
              </w:rPr>
            </w:pPr>
            <w:r>
              <w:rPr>
                <w:color w:val="231F20"/>
                <w:sz w:val="18"/>
                <w:szCs w:val="18"/>
              </w:rPr>
              <w:t>1/01/25</w:t>
            </w:r>
          </w:p>
        </w:tc>
      </w:tr>
      <w:tr w:rsidR="00783288" w14:paraId="2EEC56BD" w14:textId="77777777">
        <w:trPr>
          <w:trHeight w:val="285"/>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3"/>
          </w:tcPr>
          <w:p w14:paraId="6245E844" w14:textId="7AB7670F" w:rsidR="00783288" w:rsidRDefault="00E31420">
            <w:pPr>
              <w:pStyle w:val="TableParagraph"/>
              <w:kinsoku w:val="0"/>
              <w:overflowPunct w:val="0"/>
              <w:spacing w:before="32"/>
              <w:ind w:left="107"/>
              <w:rPr>
                <w:b/>
                <w:bCs/>
                <w:color w:val="231F20"/>
                <w:sz w:val="18"/>
                <w:szCs w:val="18"/>
              </w:rPr>
            </w:pPr>
            <w:r>
              <w:rPr>
                <w:b/>
                <w:bCs/>
                <w:color w:val="231F20"/>
                <w:sz w:val="18"/>
                <w:szCs w:val="18"/>
              </w:rPr>
              <w:t xml:space="preserve">Repricing of existing </w:t>
            </w:r>
            <w:r w:rsidR="00E03C6C">
              <w:rPr>
                <w:b/>
                <w:bCs/>
                <w:color w:val="231F20"/>
                <w:sz w:val="18"/>
                <w:szCs w:val="18"/>
              </w:rPr>
              <w:t>O</w:t>
            </w:r>
            <w:r>
              <w:rPr>
                <w:b/>
                <w:bCs/>
                <w:color w:val="231F20"/>
                <w:sz w:val="18"/>
                <w:szCs w:val="18"/>
              </w:rPr>
              <w:t>ptions to 5.25p* in connection with the July 2020 Placing</w:t>
            </w:r>
          </w:p>
        </w:tc>
      </w:tr>
      <w:tr w:rsidR="00783288" w14:paraId="31F53A86"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3BC868ED"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126E24E4" w14:textId="77777777" w:rsidR="00783288" w:rsidRDefault="00E31420">
            <w:pPr>
              <w:pStyle w:val="TableParagraph"/>
              <w:kinsoku w:val="0"/>
              <w:overflowPunct w:val="0"/>
              <w:spacing w:before="37"/>
              <w:ind w:left="105"/>
              <w:rPr>
                <w:color w:val="231F20"/>
                <w:sz w:val="18"/>
                <w:szCs w:val="18"/>
              </w:rPr>
            </w:pPr>
            <w:r>
              <w:rPr>
                <w:color w:val="231F20"/>
                <w:sz w:val="18"/>
                <w:szCs w:val="18"/>
              </w:rPr>
              <w:t>David Charles Cliff</w:t>
            </w:r>
          </w:p>
        </w:tc>
        <w:tc>
          <w:tcPr>
            <w:tcW w:w="1819" w:type="dxa"/>
            <w:tcBorders>
              <w:top w:val="single" w:sz="4" w:space="0" w:color="231F20"/>
              <w:left w:val="single" w:sz="4" w:space="0" w:color="231F20"/>
              <w:bottom w:val="single" w:sz="4" w:space="0" w:color="231F20"/>
              <w:right w:val="single" w:sz="4" w:space="0" w:color="231F20"/>
            </w:tcBorders>
          </w:tcPr>
          <w:p w14:paraId="2689FBAC" w14:textId="77777777" w:rsidR="00783288" w:rsidRDefault="00E31420">
            <w:pPr>
              <w:pStyle w:val="TableParagraph"/>
              <w:kinsoku w:val="0"/>
              <w:overflowPunct w:val="0"/>
              <w:spacing w:before="37"/>
              <w:ind w:left="107"/>
              <w:rPr>
                <w:color w:val="231F20"/>
                <w:sz w:val="18"/>
                <w:szCs w:val="18"/>
              </w:rPr>
            </w:pPr>
            <w:r>
              <w:rPr>
                <w:color w:val="231F20"/>
                <w:sz w:val="18"/>
                <w:szCs w:val="18"/>
              </w:rPr>
              <w:t>465,000</w:t>
            </w:r>
          </w:p>
        </w:tc>
        <w:tc>
          <w:tcPr>
            <w:tcW w:w="274" w:type="dxa"/>
            <w:tcBorders>
              <w:top w:val="single" w:sz="4" w:space="0" w:color="231F20"/>
              <w:left w:val="single" w:sz="4" w:space="0" w:color="231F20"/>
              <w:bottom w:val="single" w:sz="4" w:space="0" w:color="231F20"/>
              <w:right w:val="single" w:sz="4" w:space="0" w:color="231F20"/>
            </w:tcBorders>
          </w:tcPr>
          <w:p w14:paraId="1688BBD8"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169B1674" w14:textId="77777777" w:rsidR="00783288" w:rsidRDefault="00E31420">
            <w:pPr>
              <w:pStyle w:val="TableParagraph"/>
              <w:kinsoku w:val="0"/>
              <w:overflowPunct w:val="0"/>
              <w:spacing w:before="37"/>
              <w:ind w:left="106"/>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56B91078" w14:textId="77777777" w:rsidR="00783288" w:rsidRDefault="00E31420">
            <w:pPr>
              <w:pStyle w:val="TableParagraph"/>
              <w:kinsoku w:val="0"/>
              <w:overflowPunct w:val="0"/>
              <w:spacing w:before="37"/>
              <w:ind w:left="106"/>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14B9AB81" w14:textId="77777777" w:rsidR="00783288" w:rsidRDefault="00E31420">
            <w:pPr>
              <w:pStyle w:val="TableParagraph"/>
              <w:kinsoku w:val="0"/>
              <w:overflowPunct w:val="0"/>
              <w:spacing w:before="37"/>
              <w:ind w:left="102"/>
              <w:rPr>
                <w:color w:val="231F20"/>
                <w:sz w:val="18"/>
                <w:szCs w:val="18"/>
              </w:rPr>
            </w:pPr>
            <w:r>
              <w:rPr>
                <w:color w:val="231F20"/>
                <w:sz w:val="18"/>
                <w:szCs w:val="18"/>
              </w:rPr>
              <w:t>3/07/23</w:t>
            </w:r>
          </w:p>
        </w:tc>
      </w:tr>
      <w:tr w:rsidR="00783288" w14:paraId="221B8A2B"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27D2E52C"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60AE8F31" w14:textId="77777777" w:rsidR="00783288" w:rsidRDefault="00E31420">
            <w:pPr>
              <w:pStyle w:val="TableParagraph"/>
              <w:kinsoku w:val="0"/>
              <w:overflowPunct w:val="0"/>
              <w:spacing w:before="37"/>
              <w:ind w:left="105"/>
              <w:rPr>
                <w:color w:val="231F20"/>
                <w:sz w:val="18"/>
                <w:szCs w:val="18"/>
              </w:rPr>
            </w:pPr>
            <w:r>
              <w:rPr>
                <w:color w:val="231F20"/>
                <w:sz w:val="18"/>
                <w:szCs w:val="18"/>
              </w:rPr>
              <w:t>Peter Damouni</w:t>
            </w:r>
          </w:p>
        </w:tc>
        <w:tc>
          <w:tcPr>
            <w:tcW w:w="1819" w:type="dxa"/>
            <w:tcBorders>
              <w:top w:val="single" w:sz="4" w:space="0" w:color="231F20"/>
              <w:left w:val="single" w:sz="4" w:space="0" w:color="231F20"/>
              <w:bottom w:val="single" w:sz="4" w:space="0" w:color="231F20"/>
              <w:right w:val="single" w:sz="4" w:space="0" w:color="231F20"/>
            </w:tcBorders>
          </w:tcPr>
          <w:p w14:paraId="23B82C36" w14:textId="77777777" w:rsidR="00783288" w:rsidRDefault="00E31420">
            <w:pPr>
              <w:pStyle w:val="TableParagraph"/>
              <w:kinsoku w:val="0"/>
              <w:overflowPunct w:val="0"/>
              <w:spacing w:before="37"/>
              <w:ind w:left="107"/>
              <w:rPr>
                <w:color w:val="231F20"/>
                <w:sz w:val="18"/>
                <w:szCs w:val="18"/>
              </w:rPr>
            </w:pPr>
            <w:r>
              <w:rPr>
                <w:color w:val="231F20"/>
                <w:sz w:val="18"/>
                <w:szCs w:val="18"/>
              </w:rPr>
              <w:t>700,000</w:t>
            </w:r>
          </w:p>
        </w:tc>
        <w:tc>
          <w:tcPr>
            <w:tcW w:w="274" w:type="dxa"/>
            <w:tcBorders>
              <w:top w:val="single" w:sz="4" w:space="0" w:color="231F20"/>
              <w:left w:val="single" w:sz="4" w:space="0" w:color="231F20"/>
              <w:bottom w:val="single" w:sz="4" w:space="0" w:color="231F20"/>
              <w:right w:val="single" w:sz="4" w:space="0" w:color="231F20"/>
            </w:tcBorders>
          </w:tcPr>
          <w:p w14:paraId="6B84CC30"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609A2C98" w14:textId="77777777" w:rsidR="00783288" w:rsidRDefault="00E31420">
            <w:pPr>
              <w:pStyle w:val="TableParagraph"/>
              <w:kinsoku w:val="0"/>
              <w:overflowPunct w:val="0"/>
              <w:spacing w:line="206" w:lineRule="exact"/>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15ADB76F"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4462EC99" w14:textId="77777777" w:rsidR="00783288" w:rsidRDefault="00E31420">
            <w:pPr>
              <w:pStyle w:val="TableParagraph"/>
              <w:kinsoku w:val="0"/>
              <w:overflowPunct w:val="0"/>
              <w:spacing w:before="37"/>
              <w:ind w:left="103"/>
              <w:rPr>
                <w:color w:val="231F20"/>
                <w:sz w:val="18"/>
                <w:szCs w:val="18"/>
              </w:rPr>
            </w:pPr>
            <w:r>
              <w:rPr>
                <w:color w:val="231F20"/>
                <w:sz w:val="18"/>
                <w:szCs w:val="18"/>
              </w:rPr>
              <w:t>3/07/23</w:t>
            </w:r>
          </w:p>
        </w:tc>
      </w:tr>
      <w:tr w:rsidR="00783288" w14:paraId="6D70554C"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15904C45"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5BCAB2D4" w14:textId="77777777" w:rsidR="00783288" w:rsidRDefault="00E31420">
            <w:pPr>
              <w:pStyle w:val="TableParagraph"/>
              <w:kinsoku w:val="0"/>
              <w:overflowPunct w:val="0"/>
              <w:spacing w:before="37"/>
              <w:ind w:left="105"/>
              <w:rPr>
                <w:color w:val="231F20"/>
                <w:sz w:val="18"/>
                <w:szCs w:val="18"/>
              </w:rPr>
            </w:pPr>
            <w:r>
              <w:rPr>
                <w:color w:val="231F20"/>
                <w:sz w:val="18"/>
                <w:szCs w:val="18"/>
              </w:rPr>
              <w:t>Martin French</w:t>
            </w:r>
          </w:p>
        </w:tc>
        <w:tc>
          <w:tcPr>
            <w:tcW w:w="1819" w:type="dxa"/>
            <w:tcBorders>
              <w:top w:val="single" w:sz="4" w:space="0" w:color="231F20"/>
              <w:left w:val="single" w:sz="4" w:space="0" w:color="231F20"/>
              <w:bottom w:val="single" w:sz="4" w:space="0" w:color="231F20"/>
              <w:right w:val="single" w:sz="4" w:space="0" w:color="231F20"/>
            </w:tcBorders>
          </w:tcPr>
          <w:p w14:paraId="0A3B5EF6" w14:textId="77777777" w:rsidR="00783288" w:rsidRDefault="00E31420">
            <w:pPr>
              <w:pStyle w:val="TableParagraph"/>
              <w:kinsoku w:val="0"/>
              <w:overflowPunct w:val="0"/>
              <w:spacing w:before="37"/>
              <w:ind w:left="107"/>
              <w:rPr>
                <w:color w:val="231F20"/>
                <w:sz w:val="18"/>
                <w:szCs w:val="18"/>
              </w:rPr>
            </w:pPr>
            <w:r>
              <w:rPr>
                <w:color w:val="231F20"/>
                <w:sz w:val="18"/>
                <w:szCs w:val="18"/>
              </w:rPr>
              <w:t>1,400,000</w:t>
            </w:r>
          </w:p>
        </w:tc>
        <w:tc>
          <w:tcPr>
            <w:tcW w:w="274" w:type="dxa"/>
            <w:tcBorders>
              <w:top w:val="single" w:sz="4" w:space="0" w:color="231F20"/>
              <w:left w:val="single" w:sz="4" w:space="0" w:color="231F20"/>
              <w:bottom w:val="single" w:sz="4" w:space="0" w:color="231F20"/>
              <w:right w:val="single" w:sz="4" w:space="0" w:color="231F20"/>
            </w:tcBorders>
          </w:tcPr>
          <w:p w14:paraId="22B6C515"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58B37591" w14:textId="77777777" w:rsidR="00783288" w:rsidRDefault="00E31420">
            <w:pPr>
              <w:pStyle w:val="TableParagraph"/>
              <w:kinsoku w:val="0"/>
              <w:overflowPunct w:val="0"/>
              <w:spacing w:line="206" w:lineRule="exact"/>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77B22BB1"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09431459" w14:textId="77777777" w:rsidR="00783288" w:rsidRDefault="00E31420">
            <w:pPr>
              <w:pStyle w:val="TableParagraph"/>
              <w:kinsoku w:val="0"/>
              <w:overflowPunct w:val="0"/>
              <w:spacing w:before="37"/>
              <w:ind w:left="103"/>
              <w:rPr>
                <w:color w:val="231F20"/>
                <w:sz w:val="18"/>
                <w:szCs w:val="18"/>
              </w:rPr>
            </w:pPr>
            <w:r>
              <w:rPr>
                <w:color w:val="231F20"/>
                <w:sz w:val="18"/>
                <w:szCs w:val="18"/>
              </w:rPr>
              <w:t>3/07/23</w:t>
            </w:r>
          </w:p>
        </w:tc>
      </w:tr>
      <w:tr w:rsidR="00783288" w14:paraId="5865D49E" w14:textId="77777777">
        <w:trPr>
          <w:trHeight w:val="285"/>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3"/>
          </w:tcPr>
          <w:p w14:paraId="098542F1" w14:textId="77777777" w:rsidR="00783288" w:rsidRDefault="00E31420">
            <w:pPr>
              <w:pStyle w:val="TableParagraph"/>
              <w:kinsoku w:val="0"/>
              <w:overflowPunct w:val="0"/>
              <w:spacing w:before="32"/>
              <w:ind w:left="107"/>
              <w:rPr>
                <w:b/>
                <w:bCs/>
                <w:color w:val="231F20"/>
                <w:sz w:val="18"/>
                <w:szCs w:val="18"/>
              </w:rPr>
            </w:pPr>
            <w:r>
              <w:rPr>
                <w:b/>
                <w:bCs/>
                <w:color w:val="231F20"/>
                <w:sz w:val="18"/>
                <w:szCs w:val="18"/>
              </w:rPr>
              <w:t>5.25p Option Issue in connection with the July 2020 Placing</w:t>
            </w:r>
          </w:p>
        </w:tc>
      </w:tr>
      <w:tr w:rsidR="00783288" w14:paraId="064221D3"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559A8CA9"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25131260" w14:textId="77777777" w:rsidR="00783288" w:rsidRDefault="00E31420">
            <w:pPr>
              <w:pStyle w:val="TableParagraph"/>
              <w:kinsoku w:val="0"/>
              <w:overflowPunct w:val="0"/>
              <w:spacing w:before="37"/>
              <w:ind w:left="105"/>
              <w:rPr>
                <w:color w:val="231F20"/>
                <w:sz w:val="18"/>
                <w:szCs w:val="18"/>
              </w:rPr>
            </w:pPr>
            <w:r>
              <w:rPr>
                <w:color w:val="231F20"/>
                <w:sz w:val="18"/>
                <w:szCs w:val="18"/>
              </w:rPr>
              <w:t>Martin French</w:t>
            </w:r>
          </w:p>
        </w:tc>
        <w:tc>
          <w:tcPr>
            <w:tcW w:w="1819" w:type="dxa"/>
            <w:tcBorders>
              <w:top w:val="single" w:sz="4" w:space="0" w:color="231F20"/>
              <w:left w:val="single" w:sz="4" w:space="0" w:color="231F20"/>
              <w:bottom w:val="single" w:sz="4" w:space="0" w:color="231F20"/>
              <w:right w:val="single" w:sz="4" w:space="0" w:color="231F20"/>
            </w:tcBorders>
          </w:tcPr>
          <w:p w14:paraId="67B4C4B0" w14:textId="77777777" w:rsidR="00783288" w:rsidRDefault="00E31420">
            <w:pPr>
              <w:pStyle w:val="TableParagraph"/>
              <w:kinsoku w:val="0"/>
              <w:overflowPunct w:val="0"/>
              <w:spacing w:before="37"/>
              <w:ind w:left="107"/>
              <w:rPr>
                <w:color w:val="231F20"/>
                <w:sz w:val="18"/>
                <w:szCs w:val="18"/>
              </w:rPr>
            </w:pPr>
            <w:r>
              <w:rPr>
                <w:color w:val="231F20"/>
                <w:sz w:val="18"/>
                <w:szCs w:val="18"/>
              </w:rPr>
              <w:t>500,000</w:t>
            </w:r>
          </w:p>
        </w:tc>
        <w:tc>
          <w:tcPr>
            <w:tcW w:w="274" w:type="dxa"/>
            <w:tcBorders>
              <w:top w:val="single" w:sz="4" w:space="0" w:color="231F20"/>
              <w:left w:val="single" w:sz="4" w:space="0" w:color="231F20"/>
              <w:bottom w:val="single" w:sz="4" w:space="0" w:color="231F20"/>
              <w:right w:val="single" w:sz="4" w:space="0" w:color="231F20"/>
            </w:tcBorders>
          </w:tcPr>
          <w:p w14:paraId="1CEA8FA6"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6D958282" w14:textId="77777777" w:rsidR="00783288" w:rsidRDefault="00E31420">
            <w:pPr>
              <w:pStyle w:val="TableParagraph"/>
              <w:kinsoku w:val="0"/>
              <w:overflowPunct w:val="0"/>
              <w:spacing w:before="27"/>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1BBC9FB4"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2E477437" w14:textId="77777777"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62888189"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321845D7"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683C06B2" w14:textId="77777777" w:rsidR="00783288" w:rsidRDefault="00E31420">
            <w:pPr>
              <w:pStyle w:val="TableParagraph"/>
              <w:kinsoku w:val="0"/>
              <w:overflowPunct w:val="0"/>
              <w:spacing w:before="37"/>
              <w:ind w:left="105"/>
              <w:rPr>
                <w:color w:val="231F20"/>
                <w:sz w:val="18"/>
                <w:szCs w:val="18"/>
              </w:rPr>
            </w:pPr>
            <w:r>
              <w:rPr>
                <w:color w:val="231F20"/>
                <w:sz w:val="18"/>
                <w:szCs w:val="18"/>
              </w:rPr>
              <w:t>Peter Damouni</w:t>
            </w:r>
          </w:p>
        </w:tc>
        <w:tc>
          <w:tcPr>
            <w:tcW w:w="1819" w:type="dxa"/>
            <w:tcBorders>
              <w:top w:val="single" w:sz="4" w:space="0" w:color="231F20"/>
              <w:left w:val="single" w:sz="4" w:space="0" w:color="231F20"/>
              <w:bottom w:val="single" w:sz="4" w:space="0" w:color="231F20"/>
              <w:right w:val="single" w:sz="4" w:space="0" w:color="231F20"/>
            </w:tcBorders>
          </w:tcPr>
          <w:p w14:paraId="61D9C057" w14:textId="77777777" w:rsidR="00783288" w:rsidRDefault="00E31420">
            <w:pPr>
              <w:pStyle w:val="TableParagraph"/>
              <w:kinsoku w:val="0"/>
              <w:overflowPunct w:val="0"/>
              <w:spacing w:before="37"/>
              <w:ind w:left="107"/>
              <w:rPr>
                <w:color w:val="231F20"/>
                <w:sz w:val="18"/>
                <w:szCs w:val="18"/>
              </w:rPr>
            </w:pPr>
            <w:r>
              <w:rPr>
                <w:color w:val="231F20"/>
                <w:sz w:val="18"/>
                <w:szCs w:val="18"/>
              </w:rPr>
              <w:t>500,000</w:t>
            </w:r>
          </w:p>
        </w:tc>
        <w:tc>
          <w:tcPr>
            <w:tcW w:w="274" w:type="dxa"/>
            <w:tcBorders>
              <w:top w:val="single" w:sz="4" w:space="0" w:color="231F20"/>
              <w:left w:val="single" w:sz="4" w:space="0" w:color="231F20"/>
              <w:bottom w:val="single" w:sz="4" w:space="0" w:color="231F20"/>
              <w:right w:val="single" w:sz="4" w:space="0" w:color="231F20"/>
            </w:tcBorders>
          </w:tcPr>
          <w:p w14:paraId="79B4B619"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4BADDE3" w14:textId="77777777" w:rsidR="00783288" w:rsidRDefault="00E31420">
            <w:pPr>
              <w:pStyle w:val="TableParagraph"/>
              <w:kinsoku w:val="0"/>
              <w:overflowPunct w:val="0"/>
              <w:spacing w:before="30"/>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2FDF0A3C"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1A985F30" w14:textId="77777777"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7FF68D72"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29DE6174"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534D5C35" w14:textId="77777777" w:rsidR="00783288" w:rsidRDefault="00E31420">
            <w:pPr>
              <w:pStyle w:val="TableParagraph"/>
              <w:kinsoku w:val="0"/>
              <w:overflowPunct w:val="0"/>
              <w:spacing w:before="37"/>
              <w:ind w:left="105"/>
              <w:rPr>
                <w:color w:val="231F20"/>
                <w:sz w:val="18"/>
                <w:szCs w:val="18"/>
              </w:rPr>
            </w:pPr>
            <w:r>
              <w:rPr>
                <w:color w:val="231F20"/>
                <w:sz w:val="18"/>
                <w:szCs w:val="18"/>
              </w:rPr>
              <w:t>Michael Parker</w:t>
            </w:r>
          </w:p>
        </w:tc>
        <w:tc>
          <w:tcPr>
            <w:tcW w:w="1819" w:type="dxa"/>
            <w:tcBorders>
              <w:top w:val="single" w:sz="4" w:space="0" w:color="231F20"/>
              <w:left w:val="single" w:sz="4" w:space="0" w:color="231F20"/>
              <w:bottom w:val="single" w:sz="4" w:space="0" w:color="231F20"/>
              <w:right w:val="single" w:sz="4" w:space="0" w:color="231F20"/>
            </w:tcBorders>
          </w:tcPr>
          <w:p w14:paraId="59D73884" w14:textId="77777777" w:rsidR="00783288" w:rsidRDefault="00E31420">
            <w:pPr>
              <w:pStyle w:val="TableParagraph"/>
              <w:kinsoku w:val="0"/>
              <w:overflowPunct w:val="0"/>
              <w:spacing w:before="37"/>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30A002EF"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059D62A5" w14:textId="77777777" w:rsidR="00783288" w:rsidRDefault="00E31420">
            <w:pPr>
              <w:pStyle w:val="TableParagraph"/>
              <w:kinsoku w:val="0"/>
              <w:overflowPunct w:val="0"/>
              <w:spacing w:before="27"/>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01DE02ED"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3D22ED4E" w14:textId="4C0F061C"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151F29E8"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309D4387"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1C34684A" w14:textId="77777777" w:rsidR="00783288" w:rsidRDefault="00E31420">
            <w:pPr>
              <w:pStyle w:val="TableParagraph"/>
              <w:kinsoku w:val="0"/>
              <w:overflowPunct w:val="0"/>
              <w:spacing w:before="37"/>
              <w:ind w:left="105"/>
              <w:rPr>
                <w:color w:val="231F20"/>
                <w:sz w:val="18"/>
                <w:szCs w:val="18"/>
              </w:rPr>
            </w:pPr>
            <w:r>
              <w:rPr>
                <w:color w:val="231F20"/>
                <w:sz w:val="18"/>
                <w:szCs w:val="18"/>
              </w:rPr>
              <w:t>Neil O'Brien</w:t>
            </w:r>
          </w:p>
        </w:tc>
        <w:tc>
          <w:tcPr>
            <w:tcW w:w="1819" w:type="dxa"/>
            <w:tcBorders>
              <w:top w:val="single" w:sz="4" w:space="0" w:color="231F20"/>
              <w:left w:val="single" w:sz="4" w:space="0" w:color="231F20"/>
              <w:bottom w:val="single" w:sz="4" w:space="0" w:color="231F20"/>
              <w:right w:val="single" w:sz="4" w:space="0" w:color="231F20"/>
            </w:tcBorders>
          </w:tcPr>
          <w:p w14:paraId="219194FC" w14:textId="77777777" w:rsidR="00783288" w:rsidRDefault="00E31420">
            <w:pPr>
              <w:pStyle w:val="TableParagraph"/>
              <w:kinsoku w:val="0"/>
              <w:overflowPunct w:val="0"/>
              <w:spacing w:before="37"/>
              <w:ind w:left="107"/>
              <w:rPr>
                <w:color w:val="231F20"/>
                <w:sz w:val="18"/>
                <w:szCs w:val="18"/>
              </w:rPr>
            </w:pPr>
            <w:r>
              <w:rPr>
                <w:color w:val="231F20"/>
                <w:sz w:val="18"/>
                <w:szCs w:val="18"/>
              </w:rPr>
              <w:t>500,000</w:t>
            </w:r>
          </w:p>
        </w:tc>
        <w:tc>
          <w:tcPr>
            <w:tcW w:w="274" w:type="dxa"/>
            <w:tcBorders>
              <w:top w:val="single" w:sz="4" w:space="0" w:color="231F20"/>
              <w:left w:val="single" w:sz="4" w:space="0" w:color="231F20"/>
              <w:bottom w:val="single" w:sz="4" w:space="0" w:color="231F20"/>
              <w:right w:val="single" w:sz="4" w:space="0" w:color="231F20"/>
            </w:tcBorders>
          </w:tcPr>
          <w:p w14:paraId="690D4091"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3C72DD48" w14:textId="77777777" w:rsidR="00783288" w:rsidRDefault="00E31420">
            <w:pPr>
              <w:pStyle w:val="TableParagraph"/>
              <w:kinsoku w:val="0"/>
              <w:overflowPunct w:val="0"/>
              <w:spacing w:before="30"/>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1D9FEE7F"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1B8D41B9" w14:textId="77777777"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619C808C" w14:textId="77777777">
        <w:trPr>
          <w:trHeight w:val="282"/>
        </w:trPr>
        <w:tc>
          <w:tcPr>
            <w:tcW w:w="1377" w:type="dxa"/>
            <w:tcBorders>
              <w:top w:val="single" w:sz="4" w:space="0" w:color="231F20"/>
              <w:left w:val="single" w:sz="4" w:space="0" w:color="231F20"/>
              <w:bottom w:val="single" w:sz="4" w:space="0" w:color="231F20"/>
              <w:right w:val="single" w:sz="4" w:space="0" w:color="231F20"/>
            </w:tcBorders>
          </w:tcPr>
          <w:p w14:paraId="679758A2"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34303743" w14:textId="77777777" w:rsidR="00783288" w:rsidRDefault="00E31420">
            <w:pPr>
              <w:pStyle w:val="TableParagraph"/>
              <w:kinsoku w:val="0"/>
              <w:overflowPunct w:val="0"/>
              <w:spacing w:before="37"/>
              <w:ind w:left="105"/>
              <w:rPr>
                <w:color w:val="231F20"/>
                <w:sz w:val="18"/>
                <w:szCs w:val="18"/>
              </w:rPr>
            </w:pPr>
            <w:r>
              <w:rPr>
                <w:color w:val="231F20"/>
                <w:sz w:val="18"/>
                <w:szCs w:val="18"/>
              </w:rPr>
              <w:t>David Charles Cliff</w:t>
            </w:r>
          </w:p>
        </w:tc>
        <w:tc>
          <w:tcPr>
            <w:tcW w:w="1819" w:type="dxa"/>
            <w:tcBorders>
              <w:top w:val="single" w:sz="4" w:space="0" w:color="231F20"/>
              <w:left w:val="single" w:sz="4" w:space="0" w:color="231F20"/>
              <w:bottom w:val="single" w:sz="4" w:space="0" w:color="231F20"/>
              <w:right w:val="single" w:sz="4" w:space="0" w:color="231F20"/>
            </w:tcBorders>
          </w:tcPr>
          <w:p w14:paraId="38C4DB35" w14:textId="77777777" w:rsidR="00783288" w:rsidRDefault="00E31420">
            <w:pPr>
              <w:pStyle w:val="TableParagraph"/>
              <w:kinsoku w:val="0"/>
              <w:overflowPunct w:val="0"/>
              <w:spacing w:before="37"/>
              <w:ind w:left="107"/>
              <w:rPr>
                <w:color w:val="231F20"/>
                <w:sz w:val="18"/>
                <w:szCs w:val="18"/>
              </w:rPr>
            </w:pPr>
            <w:r>
              <w:rPr>
                <w:color w:val="231F20"/>
                <w:sz w:val="18"/>
                <w:szCs w:val="18"/>
              </w:rPr>
              <w:t>185,000</w:t>
            </w:r>
          </w:p>
        </w:tc>
        <w:tc>
          <w:tcPr>
            <w:tcW w:w="274" w:type="dxa"/>
            <w:tcBorders>
              <w:top w:val="single" w:sz="4" w:space="0" w:color="231F20"/>
              <w:left w:val="single" w:sz="4" w:space="0" w:color="231F20"/>
              <w:bottom w:val="single" w:sz="4" w:space="0" w:color="231F20"/>
              <w:right w:val="single" w:sz="4" w:space="0" w:color="231F20"/>
            </w:tcBorders>
          </w:tcPr>
          <w:p w14:paraId="731A603C"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55EAD1C9" w14:textId="77777777" w:rsidR="00783288" w:rsidRDefault="00E31420">
            <w:pPr>
              <w:pStyle w:val="TableParagraph"/>
              <w:kinsoku w:val="0"/>
              <w:overflowPunct w:val="0"/>
              <w:spacing w:before="27"/>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2C7EECC1"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1C4D6EB3" w14:textId="77777777"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65F362A2" w14:textId="77777777">
        <w:trPr>
          <w:trHeight w:val="285"/>
        </w:trPr>
        <w:tc>
          <w:tcPr>
            <w:tcW w:w="1377" w:type="dxa"/>
            <w:tcBorders>
              <w:top w:val="single" w:sz="4" w:space="0" w:color="231F20"/>
              <w:left w:val="single" w:sz="4" w:space="0" w:color="231F20"/>
              <w:bottom w:val="single" w:sz="4" w:space="0" w:color="231F20"/>
              <w:right w:val="single" w:sz="4" w:space="0" w:color="231F20"/>
            </w:tcBorders>
          </w:tcPr>
          <w:p w14:paraId="4BFC6B8D" w14:textId="77777777" w:rsidR="00783288" w:rsidRDefault="00E31420">
            <w:pPr>
              <w:pStyle w:val="TableParagraph"/>
              <w:kinsoku w:val="0"/>
              <w:overflowPunct w:val="0"/>
              <w:spacing w:before="37"/>
              <w:ind w:left="107"/>
              <w:rPr>
                <w:color w:val="231F20"/>
                <w:sz w:val="18"/>
                <w:szCs w:val="18"/>
              </w:rPr>
            </w:pPr>
            <w:r>
              <w:rPr>
                <w:color w:val="231F20"/>
                <w:sz w:val="18"/>
                <w:szCs w:val="18"/>
              </w:rPr>
              <w:t>27/07/2020</w:t>
            </w:r>
          </w:p>
        </w:tc>
        <w:tc>
          <w:tcPr>
            <w:tcW w:w="2246" w:type="dxa"/>
            <w:tcBorders>
              <w:top w:val="single" w:sz="4" w:space="0" w:color="231F20"/>
              <w:left w:val="single" w:sz="4" w:space="0" w:color="231F20"/>
              <w:bottom w:val="single" w:sz="4" w:space="0" w:color="231F20"/>
              <w:right w:val="single" w:sz="4" w:space="0" w:color="231F20"/>
            </w:tcBorders>
          </w:tcPr>
          <w:p w14:paraId="2DB6E142" w14:textId="77777777" w:rsidR="00783288" w:rsidRDefault="00E31420">
            <w:pPr>
              <w:pStyle w:val="TableParagraph"/>
              <w:kinsoku w:val="0"/>
              <w:overflowPunct w:val="0"/>
              <w:spacing w:before="37"/>
              <w:ind w:left="105"/>
              <w:rPr>
                <w:color w:val="231F20"/>
                <w:sz w:val="18"/>
                <w:szCs w:val="18"/>
              </w:rPr>
            </w:pPr>
            <w:r>
              <w:rPr>
                <w:color w:val="231F20"/>
                <w:sz w:val="18"/>
                <w:szCs w:val="18"/>
              </w:rPr>
              <w:t>Rod Whyte</w:t>
            </w:r>
          </w:p>
        </w:tc>
        <w:tc>
          <w:tcPr>
            <w:tcW w:w="1819" w:type="dxa"/>
            <w:tcBorders>
              <w:top w:val="single" w:sz="4" w:space="0" w:color="231F20"/>
              <w:left w:val="single" w:sz="4" w:space="0" w:color="231F20"/>
              <w:bottom w:val="single" w:sz="4" w:space="0" w:color="231F20"/>
              <w:right w:val="single" w:sz="4" w:space="0" w:color="231F20"/>
            </w:tcBorders>
          </w:tcPr>
          <w:p w14:paraId="5BEC5D11" w14:textId="77777777" w:rsidR="00783288" w:rsidRDefault="00E31420">
            <w:pPr>
              <w:pStyle w:val="TableParagraph"/>
              <w:kinsoku w:val="0"/>
              <w:overflowPunct w:val="0"/>
              <w:spacing w:before="37"/>
              <w:ind w:left="107"/>
              <w:rPr>
                <w:color w:val="231F20"/>
                <w:sz w:val="18"/>
                <w:szCs w:val="18"/>
              </w:rPr>
            </w:pPr>
            <w:r>
              <w:rPr>
                <w:color w:val="231F20"/>
                <w:sz w:val="18"/>
                <w:szCs w:val="18"/>
              </w:rPr>
              <w:t>100,000</w:t>
            </w:r>
          </w:p>
        </w:tc>
        <w:tc>
          <w:tcPr>
            <w:tcW w:w="274" w:type="dxa"/>
            <w:tcBorders>
              <w:top w:val="single" w:sz="4" w:space="0" w:color="231F20"/>
              <w:left w:val="single" w:sz="4" w:space="0" w:color="231F20"/>
              <w:bottom w:val="single" w:sz="4" w:space="0" w:color="231F20"/>
              <w:right w:val="single" w:sz="4" w:space="0" w:color="231F20"/>
            </w:tcBorders>
          </w:tcPr>
          <w:p w14:paraId="15BB48F1"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4CEA1161" w14:textId="77777777" w:rsidR="00783288" w:rsidRDefault="00E31420">
            <w:pPr>
              <w:pStyle w:val="TableParagraph"/>
              <w:kinsoku w:val="0"/>
              <w:overflowPunct w:val="0"/>
              <w:spacing w:before="30"/>
              <w:ind w:left="107"/>
              <w:rPr>
                <w:color w:val="231F20"/>
                <w:sz w:val="18"/>
                <w:szCs w:val="18"/>
              </w:rPr>
            </w:pPr>
            <w:r>
              <w:rPr>
                <w:color w:val="231F20"/>
                <w:sz w:val="18"/>
                <w:szCs w:val="18"/>
              </w:rPr>
              <w:t>5.25p</w:t>
            </w:r>
          </w:p>
        </w:tc>
        <w:tc>
          <w:tcPr>
            <w:tcW w:w="1119" w:type="dxa"/>
            <w:tcBorders>
              <w:top w:val="single" w:sz="4" w:space="0" w:color="231F20"/>
              <w:left w:val="single" w:sz="4" w:space="0" w:color="231F20"/>
              <w:bottom w:val="single" w:sz="4" w:space="0" w:color="231F20"/>
              <w:right w:val="single" w:sz="4" w:space="0" w:color="231F20"/>
            </w:tcBorders>
          </w:tcPr>
          <w:p w14:paraId="4AA9892F" w14:textId="77777777" w:rsidR="00783288" w:rsidRDefault="00E31420">
            <w:pPr>
              <w:pStyle w:val="TableParagraph"/>
              <w:kinsoku w:val="0"/>
              <w:overflowPunct w:val="0"/>
              <w:spacing w:before="37"/>
              <w:ind w:left="107"/>
              <w:rPr>
                <w:color w:val="231F20"/>
                <w:sz w:val="18"/>
                <w:szCs w:val="18"/>
              </w:rPr>
            </w:pPr>
            <w:r>
              <w:rPr>
                <w:color w:val="231F20"/>
                <w:sz w:val="18"/>
                <w:szCs w:val="18"/>
              </w:rPr>
              <w:t>27/07/20</w:t>
            </w:r>
          </w:p>
        </w:tc>
        <w:tc>
          <w:tcPr>
            <w:tcW w:w="1009" w:type="dxa"/>
            <w:tcBorders>
              <w:top w:val="single" w:sz="4" w:space="0" w:color="231F20"/>
              <w:left w:val="single" w:sz="4" w:space="0" w:color="231F20"/>
              <w:bottom w:val="single" w:sz="4" w:space="0" w:color="231F20"/>
              <w:right w:val="single" w:sz="4" w:space="0" w:color="231F20"/>
            </w:tcBorders>
          </w:tcPr>
          <w:p w14:paraId="6500ACD5" w14:textId="77777777" w:rsidR="00783288" w:rsidRDefault="00E31420">
            <w:pPr>
              <w:pStyle w:val="TableParagraph"/>
              <w:kinsoku w:val="0"/>
              <w:overflowPunct w:val="0"/>
              <w:spacing w:before="37"/>
              <w:ind w:left="103"/>
              <w:rPr>
                <w:color w:val="231F20"/>
                <w:sz w:val="18"/>
                <w:szCs w:val="18"/>
              </w:rPr>
            </w:pPr>
            <w:r>
              <w:rPr>
                <w:color w:val="231F20"/>
                <w:sz w:val="18"/>
                <w:szCs w:val="18"/>
              </w:rPr>
              <w:t>27/07/25</w:t>
            </w:r>
          </w:p>
        </w:tc>
      </w:tr>
      <w:tr w:rsidR="00783288" w14:paraId="586D9514" w14:textId="77777777">
        <w:trPr>
          <w:trHeight w:val="268"/>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3"/>
          </w:tcPr>
          <w:p w14:paraId="451BD956" w14:textId="491AC88D" w:rsidR="00783288" w:rsidRDefault="00E31420">
            <w:pPr>
              <w:pStyle w:val="TableParagraph"/>
              <w:kinsoku w:val="0"/>
              <w:overflowPunct w:val="0"/>
              <w:spacing w:before="25"/>
              <w:ind w:left="107"/>
              <w:rPr>
                <w:b/>
                <w:bCs/>
                <w:color w:val="231F20"/>
                <w:sz w:val="18"/>
                <w:szCs w:val="18"/>
              </w:rPr>
            </w:pPr>
            <w:r>
              <w:rPr>
                <w:b/>
                <w:bCs/>
                <w:color w:val="231F20"/>
                <w:sz w:val="18"/>
                <w:szCs w:val="18"/>
              </w:rPr>
              <w:t xml:space="preserve">9p Option </w:t>
            </w:r>
            <w:r w:rsidR="005276B5">
              <w:rPr>
                <w:b/>
                <w:bCs/>
                <w:color w:val="231F20"/>
                <w:sz w:val="18"/>
                <w:szCs w:val="18"/>
              </w:rPr>
              <w:t>I</w:t>
            </w:r>
            <w:r>
              <w:rPr>
                <w:b/>
                <w:bCs/>
                <w:color w:val="231F20"/>
                <w:sz w:val="18"/>
                <w:szCs w:val="18"/>
              </w:rPr>
              <w:t xml:space="preserve">ssue in connection with </w:t>
            </w:r>
            <w:r w:rsidR="004E2BB5">
              <w:rPr>
                <w:b/>
                <w:bCs/>
                <w:color w:val="231F20"/>
                <w:sz w:val="18"/>
                <w:szCs w:val="18"/>
              </w:rPr>
              <w:t>December 2020 Fundraise</w:t>
            </w:r>
          </w:p>
        </w:tc>
      </w:tr>
      <w:tr w:rsidR="00783288" w14:paraId="696C8673"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7EFCFC20" w14:textId="77777777" w:rsidR="00783288" w:rsidRDefault="00E31420">
            <w:pPr>
              <w:pStyle w:val="TableParagraph"/>
              <w:kinsoku w:val="0"/>
              <w:overflowPunct w:val="0"/>
              <w:spacing w:before="104"/>
              <w:ind w:left="107"/>
              <w:rPr>
                <w:color w:val="231F20"/>
                <w:sz w:val="18"/>
                <w:szCs w:val="18"/>
              </w:rPr>
            </w:pPr>
            <w:r>
              <w:rPr>
                <w:color w:val="231F20"/>
                <w:sz w:val="18"/>
                <w:szCs w:val="18"/>
              </w:rPr>
              <w:t>26/11/2020</w:t>
            </w:r>
          </w:p>
        </w:tc>
        <w:tc>
          <w:tcPr>
            <w:tcW w:w="2246" w:type="dxa"/>
            <w:tcBorders>
              <w:top w:val="single" w:sz="4" w:space="0" w:color="231F20"/>
              <w:left w:val="single" w:sz="4" w:space="0" w:color="231F20"/>
              <w:bottom w:val="single" w:sz="4" w:space="0" w:color="231F20"/>
              <w:right w:val="single" w:sz="4" w:space="0" w:color="231F20"/>
            </w:tcBorders>
          </w:tcPr>
          <w:p w14:paraId="4A614BFD" w14:textId="238CA43A" w:rsidR="00783288" w:rsidRDefault="00E31420">
            <w:pPr>
              <w:pStyle w:val="TableParagraph"/>
              <w:kinsoku w:val="0"/>
              <w:overflowPunct w:val="0"/>
              <w:spacing w:before="104"/>
              <w:ind w:left="105"/>
              <w:rPr>
                <w:color w:val="231F20"/>
                <w:sz w:val="18"/>
                <w:szCs w:val="18"/>
              </w:rPr>
            </w:pPr>
            <w:r>
              <w:rPr>
                <w:color w:val="231F20"/>
                <w:sz w:val="18"/>
                <w:szCs w:val="18"/>
              </w:rPr>
              <w:t>Martin French</w:t>
            </w:r>
          </w:p>
        </w:tc>
        <w:tc>
          <w:tcPr>
            <w:tcW w:w="1819" w:type="dxa"/>
            <w:tcBorders>
              <w:top w:val="single" w:sz="4" w:space="0" w:color="231F20"/>
              <w:left w:val="single" w:sz="4" w:space="0" w:color="231F20"/>
              <w:bottom w:val="single" w:sz="4" w:space="0" w:color="231F20"/>
              <w:right w:val="single" w:sz="4" w:space="0" w:color="231F20"/>
            </w:tcBorders>
          </w:tcPr>
          <w:p w14:paraId="11AD0633" w14:textId="77777777" w:rsidR="00783288" w:rsidRDefault="00E31420">
            <w:pPr>
              <w:pStyle w:val="TableParagraph"/>
              <w:kinsoku w:val="0"/>
              <w:overflowPunct w:val="0"/>
              <w:spacing w:before="104"/>
              <w:ind w:left="107"/>
              <w:rPr>
                <w:color w:val="231F20"/>
                <w:sz w:val="18"/>
                <w:szCs w:val="18"/>
              </w:rPr>
            </w:pPr>
            <w:r>
              <w:rPr>
                <w:color w:val="231F20"/>
                <w:sz w:val="18"/>
                <w:szCs w:val="18"/>
              </w:rPr>
              <w:t>1,000,000</w:t>
            </w:r>
          </w:p>
        </w:tc>
        <w:tc>
          <w:tcPr>
            <w:tcW w:w="274" w:type="dxa"/>
            <w:tcBorders>
              <w:top w:val="single" w:sz="4" w:space="0" w:color="231F20"/>
              <w:left w:val="single" w:sz="4" w:space="0" w:color="231F20"/>
              <w:bottom w:val="single" w:sz="4" w:space="0" w:color="231F20"/>
              <w:right w:val="single" w:sz="4" w:space="0" w:color="231F20"/>
            </w:tcBorders>
          </w:tcPr>
          <w:p w14:paraId="35D38B79"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0F9A7C99" w14:textId="77777777" w:rsidR="00783288" w:rsidRDefault="00E51307">
            <w:pPr>
              <w:pStyle w:val="TableParagraph"/>
              <w:kinsoku w:val="0"/>
              <w:overflowPunct w:val="0"/>
              <w:spacing w:before="5" w:line="206" w:lineRule="exact"/>
              <w:ind w:left="107" w:right="265"/>
              <w:rPr>
                <w:color w:val="231F20"/>
                <w:sz w:val="18"/>
                <w:szCs w:val="18"/>
              </w:rPr>
            </w:pPr>
            <w:r>
              <w:rPr>
                <w:color w:val="231F20"/>
                <w:sz w:val="18"/>
                <w:szCs w:val="18"/>
              </w:rPr>
              <w:t xml:space="preserve">December 2020 </w:t>
            </w:r>
            <w:r w:rsidR="00E31420">
              <w:rPr>
                <w:color w:val="231F20"/>
                <w:sz w:val="18"/>
                <w:szCs w:val="18"/>
              </w:rPr>
              <w:t>Fundraise Price</w:t>
            </w:r>
          </w:p>
        </w:tc>
        <w:tc>
          <w:tcPr>
            <w:tcW w:w="1119" w:type="dxa"/>
            <w:tcBorders>
              <w:top w:val="single" w:sz="4" w:space="0" w:color="231F20"/>
              <w:left w:val="single" w:sz="4" w:space="0" w:color="231F20"/>
              <w:bottom w:val="single" w:sz="4" w:space="0" w:color="231F20"/>
              <w:right w:val="single" w:sz="4" w:space="0" w:color="231F20"/>
            </w:tcBorders>
          </w:tcPr>
          <w:p w14:paraId="34AAB2AE" w14:textId="77777777" w:rsidR="00783288" w:rsidRDefault="00E31420">
            <w:pPr>
              <w:pStyle w:val="TableParagraph"/>
              <w:kinsoku w:val="0"/>
              <w:overflowPunct w:val="0"/>
              <w:spacing w:before="104"/>
              <w:ind w:left="107"/>
              <w:rPr>
                <w:color w:val="231F20"/>
                <w:sz w:val="18"/>
                <w:szCs w:val="18"/>
              </w:rPr>
            </w:pPr>
            <w:r>
              <w:rPr>
                <w:color w:val="231F20"/>
                <w:sz w:val="18"/>
                <w:szCs w:val="18"/>
              </w:rPr>
              <w:t>26/11/2020</w:t>
            </w:r>
          </w:p>
        </w:tc>
        <w:tc>
          <w:tcPr>
            <w:tcW w:w="1009" w:type="dxa"/>
            <w:tcBorders>
              <w:top w:val="single" w:sz="4" w:space="0" w:color="231F20"/>
              <w:left w:val="single" w:sz="4" w:space="0" w:color="231F20"/>
              <w:bottom w:val="single" w:sz="4" w:space="0" w:color="231F20"/>
              <w:right w:val="single" w:sz="4" w:space="0" w:color="231F20"/>
            </w:tcBorders>
          </w:tcPr>
          <w:p w14:paraId="1395806D" w14:textId="77777777" w:rsidR="00783288" w:rsidRDefault="00E31420">
            <w:pPr>
              <w:pStyle w:val="TableParagraph"/>
              <w:kinsoku w:val="0"/>
              <w:overflowPunct w:val="0"/>
              <w:spacing w:before="104"/>
              <w:ind w:left="103"/>
              <w:rPr>
                <w:color w:val="231F20"/>
                <w:sz w:val="18"/>
                <w:szCs w:val="18"/>
              </w:rPr>
            </w:pPr>
            <w:r>
              <w:rPr>
                <w:color w:val="231F20"/>
                <w:sz w:val="18"/>
                <w:szCs w:val="18"/>
              </w:rPr>
              <w:t>25/11/25</w:t>
            </w:r>
          </w:p>
        </w:tc>
      </w:tr>
      <w:tr w:rsidR="005276B5" w14:paraId="4DCBB99E" w14:textId="77777777" w:rsidTr="00E46626">
        <w:trPr>
          <w:trHeight w:val="414"/>
        </w:trPr>
        <w:tc>
          <w:tcPr>
            <w:tcW w:w="9047" w:type="dxa"/>
            <w:gridSpan w:val="7"/>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14:paraId="036ED41B" w14:textId="35DD86D9" w:rsidR="005276B5" w:rsidRPr="00E46626" w:rsidRDefault="005276B5">
            <w:pPr>
              <w:pStyle w:val="TableParagraph"/>
              <w:kinsoku w:val="0"/>
              <w:overflowPunct w:val="0"/>
              <w:spacing w:before="104"/>
              <w:ind w:left="103"/>
              <w:rPr>
                <w:b/>
                <w:color w:val="231F20"/>
                <w:sz w:val="18"/>
                <w:szCs w:val="18"/>
              </w:rPr>
            </w:pPr>
            <w:r w:rsidRPr="00E46626">
              <w:rPr>
                <w:b/>
                <w:color w:val="231F20"/>
                <w:sz w:val="18"/>
                <w:szCs w:val="18"/>
              </w:rPr>
              <w:t xml:space="preserve">14p </w:t>
            </w:r>
            <w:r w:rsidR="00E03C6C">
              <w:rPr>
                <w:b/>
                <w:color w:val="231F20"/>
                <w:sz w:val="18"/>
                <w:szCs w:val="18"/>
              </w:rPr>
              <w:t>O</w:t>
            </w:r>
            <w:r w:rsidRPr="00E46626">
              <w:rPr>
                <w:b/>
                <w:color w:val="231F20"/>
                <w:sz w:val="18"/>
                <w:szCs w:val="18"/>
              </w:rPr>
              <w:t>ptions issued in January 2021</w:t>
            </w:r>
          </w:p>
        </w:tc>
      </w:tr>
      <w:tr w:rsidR="005276B5" w14:paraId="3C87617D"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1B9CC9E1" w14:textId="358D6057" w:rsidR="005276B5" w:rsidRDefault="006D3716">
            <w:pPr>
              <w:pStyle w:val="TableParagraph"/>
              <w:kinsoku w:val="0"/>
              <w:overflowPunct w:val="0"/>
              <w:spacing w:before="104"/>
              <w:ind w:left="107"/>
              <w:rPr>
                <w:color w:val="231F20"/>
                <w:sz w:val="18"/>
                <w:szCs w:val="18"/>
              </w:rPr>
            </w:pPr>
            <w:r>
              <w:rPr>
                <w:sz w:val="18"/>
                <w:szCs w:val="18"/>
              </w:rPr>
              <w:t>05/01/2021</w:t>
            </w:r>
          </w:p>
        </w:tc>
        <w:tc>
          <w:tcPr>
            <w:tcW w:w="2246" w:type="dxa"/>
            <w:tcBorders>
              <w:top w:val="single" w:sz="4" w:space="0" w:color="231F20"/>
              <w:left w:val="single" w:sz="4" w:space="0" w:color="231F20"/>
              <w:bottom w:val="single" w:sz="4" w:space="0" w:color="231F20"/>
              <w:right w:val="single" w:sz="4" w:space="0" w:color="231F20"/>
            </w:tcBorders>
          </w:tcPr>
          <w:p w14:paraId="68F96A4B" w14:textId="77777777" w:rsidR="005276B5" w:rsidRDefault="004127AA">
            <w:pPr>
              <w:pStyle w:val="TableParagraph"/>
              <w:kinsoku w:val="0"/>
              <w:overflowPunct w:val="0"/>
              <w:spacing w:before="104"/>
              <w:ind w:left="105"/>
              <w:rPr>
                <w:color w:val="231F20"/>
                <w:sz w:val="18"/>
                <w:szCs w:val="18"/>
              </w:rPr>
            </w:pPr>
            <w:r>
              <w:rPr>
                <w:color w:val="231F20"/>
                <w:sz w:val="18"/>
                <w:szCs w:val="18"/>
              </w:rPr>
              <w:t>Neil O’Brien</w:t>
            </w:r>
          </w:p>
        </w:tc>
        <w:tc>
          <w:tcPr>
            <w:tcW w:w="1819" w:type="dxa"/>
            <w:tcBorders>
              <w:top w:val="single" w:sz="4" w:space="0" w:color="231F20"/>
              <w:left w:val="single" w:sz="4" w:space="0" w:color="231F20"/>
              <w:bottom w:val="single" w:sz="4" w:space="0" w:color="231F20"/>
              <w:right w:val="single" w:sz="4" w:space="0" w:color="231F20"/>
            </w:tcBorders>
          </w:tcPr>
          <w:p w14:paraId="436FA9DF" w14:textId="77777777" w:rsidR="005276B5" w:rsidRDefault="004127AA">
            <w:pPr>
              <w:pStyle w:val="TableParagraph"/>
              <w:kinsoku w:val="0"/>
              <w:overflowPunct w:val="0"/>
              <w:spacing w:before="104"/>
              <w:ind w:left="107"/>
              <w:rPr>
                <w:color w:val="231F20"/>
                <w:sz w:val="18"/>
                <w:szCs w:val="18"/>
              </w:rPr>
            </w:pPr>
            <w:r>
              <w:rPr>
                <w:color w:val="231F20"/>
                <w:sz w:val="18"/>
                <w:szCs w:val="18"/>
              </w:rPr>
              <w:t>750,000</w:t>
            </w:r>
          </w:p>
        </w:tc>
        <w:tc>
          <w:tcPr>
            <w:tcW w:w="274" w:type="dxa"/>
            <w:tcBorders>
              <w:top w:val="single" w:sz="4" w:space="0" w:color="231F20"/>
              <w:left w:val="single" w:sz="4" w:space="0" w:color="231F20"/>
              <w:bottom w:val="single" w:sz="4" w:space="0" w:color="231F20"/>
              <w:right w:val="single" w:sz="4" w:space="0" w:color="231F20"/>
            </w:tcBorders>
          </w:tcPr>
          <w:p w14:paraId="2DD495B2" w14:textId="77777777" w:rsidR="005276B5" w:rsidRDefault="005276B5">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4F7FA4A8" w14:textId="77777777" w:rsidR="005276B5" w:rsidRDefault="004127AA">
            <w:pPr>
              <w:pStyle w:val="TableParagraph"/>
              <w:kinsoku w:val="0"/>
              <w:overflowPunct w:val="0"/>
              <w:spacing w:before="5" w:line="206" w:lineRule="exact"/>
              <w:ind w:left="107" w:right="265"/>
              <w:rPr>
                <w:color w:val="231F20"/>
                <w:sz w:val="18"/>
                <w:szCs w:val="18"/>
              </w:rPr>
            </w:pPr>
            <w:r>
              <w:rPr>
                <w:color w:val="231F20"/>
                <w:sz w:val="18"/>
                <w:szCs w:val="18"/>
              </w:rPr>
              <w:t>14p</w:t>
            </w:r>
          </w:p>
        </w:tc>
        <w:tc>
          <w:tcPr>
            <w:tcW w:w="1119" w:type="dxa"/>
            <w:tcBorders>
              <w:top w:val="single" w:sz="4" w:space="0" w:color="231F20"/>
              <w:left w:val="single" w:sz="4" w:space="0" w:color="231F20"/>
              <w:bottom w:val="single" w:sz="4" w:space="0" w:color="231F20"/>
              <w:right w:val="single" w:sz="4" w:space="0" w:color="231F20"/>
            </w:tcBorders>
          </w:tcPr>
          <w:p w14:paraId="6EDC9672" w14:textId="01D4B2E1" w:rsidR="005276B5" w:rsidRDefault="006D3716">
            <w:pPr>
              <w:pStyle w:val="TableParagraph"/>
              <w:kinsoku w:val="0"/>
              <w:overflowPunct w:val="0"/>
              <w:spacing w:before="104"/>
              <w:ind w:left="107"/>
              <w:rPr>
                <w:color w:val="231F20"/>
                <w:sz w:val="18"/>
                <w:szCs w:val="18"/>
              </w:rPr>
            </w:pPr>
            <w:r>
              <w:rPr>
                <w:sz w:val="18"/>
                <w:szCs w:val="18"/>
              </w:rPr>
              <w:t>05/01/21</w:t>
            </w:r>
          </w:p>
        </w:tc>
        <w:tc>
          <w:tcPr>
            <w:tcW w:w="1009" w:type="dxa"/>
            <w:tcBorders>
              <w:top w:val="single" w:sz="4" w:space="0" w:color="231F20"/>
              <w:left w:val="single" w:sz="4" w:space="0" w:color="231F20"/>
              <w:bottom w:val="single" w:sz="4" w:space="0" w:color="231F20"/>
              <w:right w:val="single" w:sz="4" w:space="0" w:color="231F20"/>
            </w:tcBorders>
          </w:tcPr>
          <w:p w14:paraId="1F849651" w14:textId="5B80DE60" w:rsidR="005276B5" w:rsidRDefault="006D3716">
            <w:pPr>
              <w:pStyle w:val="TableParagraph"/>
              <w:kinsoku w:val="0"/>
              <w:overflowPunct w:val="0"/>
              <w:spacing w:before="104"/>
              <w:ind w:left="103"/>
              <w:rPr>
                <w:color w:val="231F20"/>
                <w:sz w:val="18"/>
                <w:szCs w:val="18"/>
              </w:rPr>
            </w:pPr>
            <w:r>
              <w:rPr>
                <w:sz w:val="18"/>
                <w:szCs w:val="18"/>
              </w:rPr>
              <w:t>05/01/26</w:t>
            </w:r>
          </w:p>
        </w:tc>
      </w:tr>
      <w:tr w:rsidR="004127AA" w14:paraId="290FDFBD"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30B3DDDD" w14:textId="27827D84" w:rsidR="004127AA" w:rsidRPr="004127AA" w:rsidRDefault="006D3716">
            <w:pPr>
              <w:pStyle w:val="TableParagraph"/>
              <w:kinsoku w:val="0"/>
              <w:overflowPunct w:val="0"/>
              <w:spacing w:before="104"/>
              <w:ind w:left="107"/>
              <w:rPr>
                <w:sz w:val="18"/>
                <w:szCs w:val="18"/>
              </w:rPr>
            </w:pPr>
            <w:r>
              <w:rPr>
                <w:sz w:val="18"/>
                <w:szCs w:val="18"/>
              </w:rPr>
              <w:t>05/01/2021</w:t>
            </w:r>
          </w:p>
        </w:tc>
        <w:tc>
          <w:tcPr>
            <w:tcW w:w="2246" w:type="dxa"/>
            <w:tcBorders>
              <w:top w:val="single" w:sz="4" w:space="0" w:color="231F20"/>
              <w:left w:val="single" w:sz="4" w:space="0" w:color="231F20"/>
              <w:bottom w:val="single" w:sz="4" w:space="0" w:color="231F20"/>
              <w:right w:val="single" w:sz="4" w:space="0" w:color="231F20"/>
            </w:tcBorders>
          </w:tcPr>
          <w:p w14:paraId="7F533EDF" w14:textId="77777777" w:rsidR="004127AA" w:rsidRDefault="004127AA">
            <w:pPr>
              <w:pStyle w:val="TableParagraph"/>
              <w:kinsoku w:val="0"/>
              <w:overflowPunct w:val="0"/>
              <w:spacing w:before="104"/>
              <w:ind w:left="105"/>
              <w:rPr>
                <w:color w:val="231F20"/>
                <w:sz w:val="18"/>
                <w:szCs w:val="18"/>
              </w:rPr>
            </w:pPr>
            <w:r>
              <w:rPr>
                <w:color w:val="231F20"/>
                <w:sz w:val="18"/>
                <w:szCs w:val="18"/>
              </w:rPr>
              <w:t>George Clegg</w:t>
            </w:r>
          </w:p>
        </w:tc>
        <w:tc>
          <w:tcPr>
            <w:tcW w:w="1819" w:type="dxa"/>
            <w:tcBorders>
              <w:top w:val="single" w:sz="4" w:space="0" w:color="231F20"/>
              <w:left w:val="single" w:sz="4" w:space="0" w:color="231F20"/>
              <w:bottom w:val="single" w:sz="4" w:space="0" w:color="231F20"/>
              <w:right w:val="single" w:sz="4" w:space="0" w:color="231F20"/>
            </w:tcBorders>
          </w:tcPr>
          <w:p w14:paraId="379FFE2D" w14:textId="77777777" w:rsidR="004127AA" w:rsidRDefault="004127AA">
            <w:pPr>
              <w:pStyle w:val="TableParagraph"/>
              <w:kinsoku w:val="0"/>
              <w:overflowPunct w:val="0"/>
              <w:spacing w:before="104"/>
              <w:ind w:left="107"/>
              <w:rPr>
                <w:color w:val="231F20"/>
                <w:sz w:val="18"/>
                <w:szCs w:val="18"/>
              </w:rPr>
            </w:pPr>
            <w:r>
              <w:rPr>
                <w:color w:val="231F20"/>
                <w:sz w:val="18"/>
                <w:szCs w:val="18"/>
              </w:rPr>
              <w:t>200,000</w:t>
            </w:r>
          </w:p>
        </w:tc>
        <w:tc>
          <w:tcPr>
            <w:tcW w:w="274" w:type="dxa"/>
            <w:tcBorders>
              <w:top w:val="single" w:sz="4" w:space="0" w:color="231F20"/>
              <w:left w:val="single" w:sz="4" w:space="0" w:color="231F20"/>
              <w:bottom w:val="single" w:sz="4" w:space="0" w:color="231F20"/>
              <w:right w:val="single" w:sz="4" w:space="0" w:color="231F20"/>
            </w:tcBorders>
          </w:tcPr>
          <w:p w14:paraId="0FE6E648" w14:textId="77777777" w:rsidR="004127AA" w:rsidRDefault="004127AA">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81D1B25" w14:textId="77777777" w:rsidR="004127AA" w:rsidRDefault="004127AA">
            <w:pPr>
              <w:pStyle w:val="TableParagraph"/>
              <w:kinsoku w:val="0"/>
              <w:overflowPunct w:val="0"/>
              <w:spacing w:before="5" w:line="206" w:lineRule="exact"/>
              <w:ind w:left="107" w:right="265"/>
              <w:rPr>
                <w:color w:val="231F20"/>
                <w:sz w:val="18"/>
                <w:szCs w:val="18"/>
              </w:rPr>
            </w:pPr>
            <w:r>
              <w:rPr>
                <w:color w:val="231F20"/>
                <w:sz w:val="18"/>
                <w:szCs w:val="18"/>
              </w:rPr>
              <w:t>14p</w:t>
            </w:r>
          </w:p>
        </w:tc>
        <w:tc>
          <w:tcPr>
            <w:tcW w:w="1119" w:type="dxa"/>
            <w:tcBorders>
              <w:top w:val="single" w:sz="4" w:space="0" w:color="231F20"/>
              <w:left w:val="single" w:sz="4" w:space="0" w:color="231F20"/>
              <w:bottom w:val="single" w:sz="4" w:space="0" w:color="231F20"/>
              <w:right w:val="single" w:sz="4" w:space="0" w:color="231F20"/>
            </w:tcBorders>
          </w:tcPr>
          <w:p w14:paraId="7FA71CC0" w14:textId="68A39C0A" w:rsidR="004127AA" w:rsidRPr="004127AA" w:rsidRDefault="006D3716">
            <w:pPr>
              <w:pStyle w:val="TableParagraph"/>
              <w:kinsoku w:val="0"/>
              <w:overflowPunct w:val="0"/>
              <w:spacing w:before="104"/>
              <w:ind w:left="107"/>
              <w:rPr>
                <w:sz w:val="18"/>
                <w:szCs w:val="18"/>
              </w:rPr>
            </w:pPr>
            <w:r>
              <w:rPr>
                <w:sz w:val="18"/>
                <w:szCs w:val="18"/>
              </w:rPr>
              <w:t>05/01/21</w:t>
            </w:r>
          </w:p>
        </w:tc>
        <w:tc>
          <w:tcPr>
            <w:tcW w:w="1009" w:type="dxa"/>
            <w:tcBorders>
              <w:top w:val="single" w:sz="4" w:space="0" w:color="231F20"/>
              <w:left w:val="single" w:sz="4" w:space="0" w:color="231F20"/>
              <w:bottom w:val="single" w:sz="4" w:space="0" w:color="231F20"/>
              <w:right w:val="single" w:sz="4" w:space="0" w:color="231F20"/>
            </w:tcBorders>
          </w:tcPr>
          <w:p w14:paraId="4906E870" w14:textId="3664D2D8" w:rsidR="004127AA" w:rsidRPr="004127AA" w:rsidRDefault="006D3716">
            <w:pPr>
              <w:pStyle w:val="TableParagraph"/>
              <w:kinsoku w:val="0"/>
              <w:overflowPunct w:val="0"/>
              <w:spacing w:before="104"/>
              <w:ind w:left="103"/>
              <w:rPr>
                <w:sz w:val="18"/>
                <w:szCs w:val="18"/>
              </w:rPr>
            </w:pPr>
            <w:r>
              <w:rPr>
                <w:sz w:val="18"/>
                <w:szCs w:val="18"/>
              </w:rPr>
              <w:t>05/01/26</w:t>
            </w:r>
          </w:p>
        </w:tc>
      </w:tr>
      <w:tr w:rsidR="004127AA" w14:paraId="5C9CE870"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61072156" w14:textId="49ADD5B4" w:rsidR="004127AA" w:rsidRPr="004127AA" w:rsidRDefault="006D3716">
            <w:pPr>
              <w:pStyle w:val="TableParagraph"/>
              <w:kinsoku w:val="0"/>
              <w:overflowPunct w:val="0"/>
              <w:spacing w:before="104"/>
              <w:ind w:left="107"/>
              <w:rPr>
                <w:sz w:val="18"/>
                <w:szCs w:val="18"/>
              </w:rPr>
            </w:pPr>
            <w:r>
              <w:rPr>
                <w:sz w:val="18"/>
                <w:szCs w:val="18"/>
              </w:rPr>
              <w:t>05/01/2021</w:t>
            </w:r>
          </w:p>
        </w:tc>
        <w:tc>
          <w:tcPr>
            <w:tcW w:w="2246" w:type="dxa"/>
            <w:tcBorders>
              <w:top w:val="single" w:sz="4" w:space="0" w:color="231F20"/>
              <w:left w:val="single" w:sz="4" w:space="0" w:color="231F20"/>
              <w:bottom w:val="single" w:sz="4" w:space="0" w:color="231F20"/>
              <w:right w:val="single" w:sz="4" w:space="0" w:color="231F20"/>
            </w:tcBorders>
          </w:tcPr>
          <w:p w14:paraId="6996CB9D" w14:textId="77777777" w:rsidR="004127AA" w:rsidRDefault="004127AA">
            <w:pPr>
              <w:pStyle w:val="TableParagraph"/>
              <w:kinsoku w:val="0"/>
              <w:overflowPunct w:val="0"/>
              <w:spacing w:before="104"/>
              <w:ind w:left="105"/>
              <w:rPr>
                <w:color w:val="231F20"/>
                <w:sz w:val="18"/>
                <w:szCs w:val="18"/>
              </w:rPr>
            </w:pPr>
            <w:r>
              <w:rPr>
                <w:color w:val="231F20"/>
                <w:sz w:val="18"/>
                <w:szCs w:val="18"/>
              </w:rPr>
              <w:t>Ryan Fells</w:t>
            </w:r>
          </w:p>
        </w:tc>
        <w:tc>
          <w:tcPr>
            <w:tcW w:w="1819" w:type="dxa"/>
            <w:tcBorders>
              <w:top w:val="single" w:sz="4" w:space="0" w:color="231F20"/>
              <w:left w:val="single" w:sz="4" w:space="0" w:color="231F20"/>
              <w:bottom w:val="single" w:sz="4" w:space="0" w:color="231F20"/>
              <w:right w:val="single" w:sz="4" w:space="0" w:color="231F20"/>
            </w:tcBorders>
          </w:tcPr>
          <w:p w14:paraId="590E2B0A" w14:textId="77777777" w:rsidR="004127AA" w:rsidRDefault="004127AA">
            <w:pPr>
              <w:pStyle w:val="TableParagraph"/>
              <w:kinsoku w:val="0"/>
              <w:overflowPunct w:val="0"/>
              <w:spacing w:before="104"/>
              <w:ind w:left="107"/>
              <w:rPr>
                <w:color w:val="231F20"/>
                <w:sz w:val="18"/>
                <w:szCs w:val="18"/>
              </w:rPr>
            </w:pPr>
            <w:r>
              <w:rPr>
                <w:color w:val="231F20"/>
                <w:sz w:val="18"/>
                <w:szCs w:val="18"/>
              </w:rPr>
              <w:t>200,000</w:t>
            </w:r>
          </w:p>
        </w:tc>
        <w:tc>
          <w:tcPr>
            <w:tcW w:w="274" w:type="dxa"/>
            <w:tcBorders>
              <w:top w:val="single" w:sz="4" w:space="0" w:color="231F20"/>
              <w:left w:val="single" w:sz="4" w:space="0" w:color="231F20"/>
              <w:bottom w:val="single" w:sz="4" w:space="0" w:color="231F20"/>
              <w:right w:val="single" w:sz="4" w:space="0" w:color="231F20"/>
            </w:tcBorders>
          </w:tcPr>
          <w:p w14:paraId="0F95F2C8" w14:textId="77777777" w:rsidR="004127AA" w:rsidRDefault="004127AA">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068F9576" w14:textId="77777777" w:rsidR="004127AA" w:rsidRDefault="004127AA">
            <w:pPr>
              <w:pStyle w:val="TableParagraph"/>
              <w:kinsoku w:val="0"/>
              <w:overflowPunct w:val="0"/>
              <w:spacing w:before="5" w:line="206" w:lineRule="exact"/>
              <w:ind w:left="107" w:right="265"/>
              <w:rPr>
                <w:color w:val="231F20"/>
                <w:sz w:val="18"/>
                <w:szCs w:val="18"/>
              </w:rPr>
            </w:pPr>
            <w:r>
              <w:rPr>
                <w:color w:val="231F20"/>
                <w:sz w:val="18"/>
                <w:szCs w:val="18"/>
              </w:rPr>
              <w:t>14p</w:t>
            </w:r>
          </w:p>
        </w:tc>
        <w:tc>
          <w:tcPr>
            <w:tcW w:w="1119" w:type="dxa"/>
            <w:tcBorders>
              <w:top w:val="single" w:sz="4" w:space="0" w:color="231F20"/>
              <w:left w:val="single" w:sz="4" w:space="0" w:color="231F20"/>
              <w:bottom w:val="single" w:sz="4" w:space="0" w:color="231F20"/>
              <w:right w:val="single" w:sz="4" w:space="0" w:color="231F20"/>
            </w:tcBorders>
          </w:tcPr>
          <w:p w14:paraId="4D658930" w14:textId="30BB1589" w:rsidR="004127AA" w:rsidRPr="004127AA" w:rsidRDefault="006D3716">
            <w:pPr>
              <w:pStyle w:val="TableParagraph"/>
              <w:kinsoku w:val="0"/>
              <w:overflowPunct w:val="0"/>
              <w:spacing w:before="104"/>
              <w:ind w:left="107"/>
              <w:rPr>
                <w:sz w:val="18"/>
                <w:szCs w:val="18"/>
              </w:rPr>
            </w:pPr>
            <w:r>
              <w:rPr>
                <w:sz w:val="18"/>
                <w:szCs w:val="18"/>
              </w:rPr>
              <w:t>05/01/21</w:t>
            </w:r>
          </w:p>
        </w:tc>
        <w:tc>
          <w:tcPr>
            <w:tcW w:w="1009" w:type="dxa"/>
            <w:tcBorders>
              <w:top w:val="single" w:sz="4" w:space="0" w:color="231F20"/>
              <w:left w:val="single" w:sz="4" w:space="0" w:color="231F20"/>
              <w:bottom w:val="single" w:sz="4" w:space="0" w:color="231F20"/>
              <w:right w:val="single" w:sz="4" w:space="0" w:color="231F20"/>
            </w:tcBorders>
          </w:tcPr>
          <w:p w14:paraId="4B4CCE8E" w14:textId="429D139E" w:rsidR="004127AA" w:rsidRPr="004127AA" w:rsidRDefault="006D3716">
            <w:pPr>
              <w:pStyle w:val="TableParagraph"/>
              <w:kinsoku w:val="0"/>
              <w:overflowPunct w:val="0"/>
              <w:spacing w:before="104"/>
              <w:ind w:left="103"/>
              <w:rPr>
                <w:sz w:val="18"/>
                <w:szCs w:val="18"/>
              </w:rPr>
            </w:pPr>
            <w:r>
              <w:rPr>
                <w:sz w:val="18"/>
                <w:szCs w:val="18"/>
              </w:rPr>
              <w:t>05/01/26</w:t>
            </w:r>
          </w:p>
        </w:tc>
      </w:tr>
      <w:tr w:rsidR="004127AA" w14:paraId="4CD7D069" w14:textId="77777777">
        <w:trPr>
          <w:trHeight w:val="414"/>
        </w:trPr>
        <w:tc>
          <w:tcPr>
            <w:tcW w:w="1377" w:type="dxa"/>
            <w:tcBorders>
              <w:top w:val="single" w:sz="4" w:space="0" w:color="231F20"/>
              <w:left w:val="single" w:sz="4" w:space="0" w:color="231F20"/>
              <w:bottom w:val="single" w:sz="4" w:space="0" w:color="231F20"/>
              <w:right w:val="single" w:sz="4" w:space="0" w:color="231F20"/>
            </w:tcBorders>
          </w:tcPr>
          <w:p w14:paraId="0A8DFC23" w14:textId="1CC6878A" w:rsidR="004127AA" w:rsidRPr="004127AA" w:rsidRDefault="006D3716">
            <w:pPr>
              <w:pStyle w:val="TableParagraph"/>
              <w:kinsoku w:val="0"/>
              <w:overflowPunct w:val="0"/>
              <w:spacing w:before="104"/>
              <w:ind w:left="107"/>
              <w:rPr>
                <w:sz w:val="18"/>
                <w:szCs w:val="18"/>
              </w:rPr>
            </w:pPr>
            <w:r>
              <w:rPr>
                <w:sz w:val="18"/>
                <w:szCs w:val="18"/>
              </w:rPr>
              <w:t>05/01/2021</w:t>
            </w:r>
          </w:p>
        </w:tc>
        <w:tc>
          <w:tcPr>
            <w:tcW w:w="2246" w:type="dxa"/>
            <w:tcBorders>
              <w:top w:val="single" w:sz="4" w:space="0" w:color="231F20"/>
              <w:left w:val="single" w:sz="4" w:space="0" w:color="231F20"/>
              <w:bottom w:val="single" w:sz="4" w:space="0" w:color="231F20"/>
              <w:right w:val="single" w:sz="4" w:space="0" w:color="231F20"/>
            </w:tcBorders>
          </w:tcPr>
          <w:p w14:paraId="040E9054" w14:textId="77777777" w:rsidR="004127AA" w:rsidRDefault="004127AA">
            <w:pPr>
              <w:pStyle w:val="TableParagraph"/>
              <w:kinsoku w:val="0"/>
              <w:overflowPunct w:val="0"/>
              <w:spacing w:before="104"/>
              <w:ind w:left="105"/>
              <w:rPr>
                <w:color w:val="231F20"/>
                <w:sz w:val="18"/>
                <w:szCs w:val="18"/>
              </w:rPr>
            </w:pPr>
            <w:r>
              <w:rPr>
                <w:color w:val="231F20"/>
                <w:sz w:val="18"/>
                <w:szCs w:val="18"/>
              </w:rPr>
              <w:t>Paul Ensor</w:t>
            </w:r>
          </w:p>
        </w:tc>
        <w:tc>
          <w:tcPr>
            <w:tcW w:w="1819" w:type="dxa"/>
            <w:tcBorders>
              <w:top w:val="single" w:sz="4" w:space="0" w:color="231F20"/>
              <w:left w:val="single" w:sz="4" w:space="0" w:color="231F20"/>
              <w:bottom w:val="single" w:sz="4" w:space="0" w:color="231F20"/>
              <w:right w:val="single" w:sz="4" w:space="0" w:color="231F20"/>
            </w:tcBorders>
          </w:tcPr>
          <w:p w14:paraId="3DC3902D" w14:textId="77777777" w:rsidR="004127AA" w:rsidRDefault="004127AA">
            <w:pPr>
              <w:pStyle w:val="TableParagraph"/>
              <w:kinsoku w:val="0"/>
              <w:overflowPunct w:val="0"/>
              <w:spacing w:before="104"/>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127EE7E4" w14:textId="77777777" w:rsidR="004127AA" w:rsidRDefault="004127AA">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2992CBA1" w14:textId="77777777" w:rsidR="004127AA" w:rsidRDefault="004127AA">
            <w:pPr>
              <w:pStyle w:val="TableParagraph"/>
              <w:kinsoku w:val="0"/>
              <w:overflowPunct w:val="0"/>
              <w:spacing w:before="5" w:line="206" w:lineRule="exact"/>
              <w:ind w:left="107" w:right="265"/>
              <w:rPr>
                <w:color w:val="231F20"/>
                <w:sz w:val="18"/>
                <w:szCs w:val="18"/>
              </w:rPr>
            </w:pPr>
            <w:r>
              <w:rPr>
                <w:color w:val="231F20"/>
                <w:sz w:val="18"/>
                <w:szCs w:val="18"/>
              </w:rPr>
              <w:t>14p</w:t>
            </w:r>
          </w:p>
        </w:tc>
        <w:tc>
          <w:tcPr>
            <w:tcW w:w="1119" w:type="dxa"/>
            <w:tcBorders>
              <w:top w:val="single" w:sz="4" w:space="0" w:color="231F20"/>
              <w:left w:val="single" w:sz="4" w:space="0" w:color="231F20"/>
              <w:bottom w:val="single" w:sz="4" w:space="0" w:color="231F20"/>
              <w:right w:val="single" w:sz="4" w:space="0" w:color="231F20"/>
            </w:tcBorders>
          </w:tcPr>
          <w:p w14:paraId="7F9AA2FF" w14:textId="0D32D2FD" w:rsidR="004127AA" w:rsidRPr="004127AA" w:rsidRDefault="006D3716">
            <w:pPr>
              <w:pStyle w:val="TableParagraph"/>
              <w:kinsoku w:val="0"/>
              <w:overflowPunct w:val="0"/>
              <w:spacing w:before="104"/>
              <w:ind w:left="107"/>
              <w:rPr>
                <w:sz w:val="18"/>
                <w:szCs w:val="18"/>
              </w:rPr>
            </w:pPr>
            <w:r>
              <w:rPr>
                <w:sz w:val="18"/>
                <w:szCs w:val="18"/>
              </w:rPr>
              <w:t>05/01/21</w:t>
            </w:r>
          </w:p>
        </w:tc>
        <w:tc>
          <w:tcPr>
            <w:tcW w:w="1009" w:type="dxa"/>
            <w:tcBorders>
              <w:top w:val="single" w:sz="4" w:space="0" w:color="231F20"/>
              <w:left w:val="single" w:sz="4" w:space="0" w:color="231F20"/>
              <w:bottom w:val="single" w:sz="4" w:space="0" w:color="231F20"/>
              <w:right w:val="single" w:sz="4" w:space="0" w:color="231F20"/>
            </w:tcBorders>
          </w:tcPr>
          <w:p w14:paraId="6A6C03B9" w14:textId="3629D4CD" w:rsidR="004127AA" w:rsidRPr="004127AA" w:rsidRDefault="006D3716">
            <w:pPr>
              <w:pStyle w:val="TableParagraph"/>
              <w:kinsoku w:val="0"/>
              <w:overflowPunct w:val="0"/>
              <w:spacing w:before="104"/>
              <w:ind w:left="103"/>
              <w:rPr>
                <w:sz w:val="18"/>
                <w:szCs w:val="18"/>
              </w:rPr>
            </w:pPr>
            <w:r>
              <w:rPr>
                <w:sz w:val="18"/>
                <w:szCs w:val="18"/>
              </w:rPr>
              <w:t>05/01/26</w:t>
            </w:r>
          </w:p>
        </w:tc>
      </w:tr>
      <w:tr w:rsidR="00A133B4" w14:paraId="0B7BB452" w14:textId="77777777" w:rsidTr="00A133B4">
        <w:trPr>
          <w:trHeight w:val="249"/>
        </w:trPr>
        <w:tc>
          <w:tcPr>
            <w:tcW w:w="9047" w:type="dxa"/>
            <w:gridSpan w:val="7"/>
            <w:tcBorders>
              <w:top w:val="single" w:sz="4" w:space="0" w:color="231F20"/>
              <w:left w:val="single" w:sz="4" w:space="0" w:color="231F20"/>
              <w:bottom w:val="single" w:sz="4" w:space="0" w:color="231F20"/>
              <w:right w:val="single" w:sz="4" w:space="0" w:color="231F20"/>
            </w:tcBorders>
          </w:tcPr>
          <w:p w14:paraId="0E631DD2" w14:textId="083EE71B" w:rsidR="00A133B4" w:rsidRPr="00A133B4" w:rsidRDefault="00A133B4">
            <w:pPr>
              <w:pStyle w:val="TableParagraph"/>
              <w:kinsoku w:val="0"/>
              <w:overflowPunct w:val="0"/>
              <w:spacing w:before="104"/>
              <w:ind w:left="103"/>
              <w:rPr>
                <w:b/>
                <w:color w:val="231F20"/>
                <w:sz w:val="18"/>
                <w:szCs w:val="18"/>
              </w:rPr>
            </w:pPr>
            <w:r w:rsidRPr="00A133B4">
              <w:rPr>
                <w:b/>
                <w:color w:val="231F20"/>
                <w:sz w:val="18"/>
                <w:szCs w:val="18"/>
              </w:rPr>
              <w:t xml:space="preserve">12.5p </w:t>
            </w:r>
            <w:r w:rsidR="00E03C6C">
              <w:rPr>
                <w:b/>
                <w:color w:val="231F20"/>
                <w:sz w:val="18"/>
                <w:szCs w:val="18"/>
              </w:rPr>
              <w:t>O</w:t>
            </w:r>
            <w:r w:rsidR="00937AA2">
              <w:rPr>
                <w:b/>
                <w:color w:val="231F20"/>
                <w:sz w:val="18"/>
                <w:szCs w:val="18"/>
              </w:rPr>
              <w:t>ptions issued in February 2021</w:t>
            </w:r>
            <w:r w:rsidR="003C1D36">
              <w:rPr>
                <w:b/>
                <w:color w:val="231F20"/>
                <w:sz w:val="18"/>
                <w:szCs w:val="18"/>
              </w:rPr>
              <w:t xml:space="preserve"> </w:t>
            </w:r>
          </w:p>
        </w:tc>
      </w:tr>
      <w:tr w:rsidR="00A133B4" w14:paraId="095370E8"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23C155A7" w14:textId="77777777" w:rsidR="00A133B4" w:rsidRDefault="002B404F">
            <w:pPr>
              <w:pStyle w:val="TableParagraph"/>
              <w:kinsoku w:val="0"/>
              <w:overflowPunct w:val="0"/>
              <w:spacing w:before="104"/>
              <w:ind w:left="107"/>
              <w:rPr>
                <w:color w:val="231F20"/>
                <w:sz w:val="18"/>
                <w:szCs w:val="18"/>
              </w:rPr>
            </w:pPr>
            <w:r>
              <w:rPr>
                <w:sz w:val="18"/>
                <w:szCs w:val="18"/>
              </w:rPr>
              <w:t>04/02/2021</w:t>
            </w:r>
          </w:p>
        </w:tc>
        <w:tc>
          <w:tcPr>
            <w:tcW w:w="2246" w:type="dxa"/>
            <w:tcBorders>
              <w:top w:val="single" w:sz="4" w:space="0" w:color="231F20"/>
              <w:left w:val="single" w:sz="4" w:space="0" w:color="231F20"/>
              <w:bottom w:val="single" w:sz="4" w:space="0" w:color="231F20"/>
              <w:right w:val="single" w:sz="4" w:space="0" w:color="231F20"/>
            </w:tcBorders>
          </w:tcPr>
          <w:p w14:paraId="4AFFB36C" w14:textId="77777777" w:rsidR="00A133B4" w:rsidRDefault="00A133B4">
            <w:pPr>
              <w:pStyle w:val="TableParagraph"/>
              <w:kinsoku w:val="0"/>
              <w:overflowPunct w:val="0"/>
              <w:spacing w:before="104"/>
              <w:ind w:left="105"/>
              <w:rPr>
                <w:color w:val="231F20"/>
                <w:sz w:val="18"/>
                <w:szCs w:val="18"/>
              </w:rPr>
            </w:pPr>
            <w:r>
              <w:rPr>
                <w:color w:val="231F20"/>
                <w:sz w:val="18"/>
                <w:szCs w:val="18"/>
              </w:rPr>
              <w:t>Ajay Kejriwal</w:t>
            </w:r>
          </w:p>
        </w:tc>
        <w:tc>
          <w:tcPr>
            <w:tcW w:w="1819" w:type="dxa"/>
            <w:tcBorders>
              <w:top w:val="single" w:sz="4" w:space="0" w:color="231F20"/>
              <w:left w:val="single" w:sz="4" w:space="0" w:color="231F20"/>
              <w:bottom w:val="single" w:sz="4" w:space="0" w:color="231F20"/>
              <w:right w:val="single" w:sz="4" w:space="0" w:color="231F20"/>
            </w:tcBorders>
          </w:tcPr>
          <w:p w14:paraId="4E930236" w14:textId="77777777" w:rsidR="00A133B4" w:rsidRDefault="00A133B4">
            <w:pPr>
              <w:pStyle w:val="TableParagraph"/>
              <w:kinsoku w:val="0"/>
              <w:overflowPunct w:val="0"/>
              <w:spacing w:before="104"/>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78C8B27F" w14:textId="77777777" w:rsidR="00A133B4" w:rsidRDefault="00A133B4">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4674AD05" w14:textId="77777777" w:rsidR="00A133B4" w:rsidRDefault="00A133B4">
            <w:pPr>
              <w:pStyle w:val="TableParagraph"/>
              <w:kinsoku w:val="0"/>
              <w:overflowPunct w:val="0"/>
              <w:spacing w:before="5" w:line="206" w:lineRule="exact"/>
              <w:ind w:left="107" w:right="265"/>
              <w:rPr>
                <w:color w:val="231F20"/>
                <w:sz w:val="18"/>
                <w:szCs w:val="18"/>
              </w:rPr>
            </w:pPr>
            <w:r>
              <w:rPr>
                <w:color w:val="231F20"/>
                <w:sz w:val="18"/>
                <w:szCs w:val="18"/>
              </w:rPr>
              <w:t>12.5p</w:t>
            </w:r>
          </w:p>
        </w:tc>
        <w:tc>
          <w:tcPr>
            <w:tcW w:w="1119" w:type="dxa"/>
            <w:tcBorders>
              <w:top w:val="single" w:sz="4" w:space="0" w:color="231F20"/>
              <w:left w:val="single" w:sz="4" w:space="0" w:color="231F20"/>
              <w:bottom w:val="single" w:sz="4" w:space="0" w:color="231F20"/>
              <w:right w:val="single" w:sz="4" w:space="0" w:color="231F20"/>
            </w:tcBorders>
          </w:tcPr>
          <w:p w14:paraId="051E6E77" w14:textId="5553CFC5" w:rsidR="00A133B4" w:rsidRDefault="002B404F">
            <w:pPr>
              <w:pStyle w:val="TableParagraph"/>
              <w:kinsoku w:val="0"/>
              <w:overflowPunct w:val="0"/>
              <w:spacing w:before="104"/>
              <w:ind w:left="107"/>
              <w:rPr>
                <w:color w:val="231F20"/>
                <w:sz w:val="18"/>
                <w:szCs w:val="18"/>
              </w:rPr>
            </w:pPr>
            <w:r>
              <w:rPr>
                <w:sz w:val="18"/>
                <w:szCs w:val="18"/>
              </w:rPr>
              <w:t>04/02/2</w:t>
            </w:r>
            <w:r w:rsidR="006673B0">
              <w:rPr>
                <w:sz w:val="18"/>
                <w:szCs w:val="18"/>
              </w:rPr>
              <w:t>1</w:t>
            </w:r>
          </w:p>
        </w:tc>
        <w:tc>
          <w:tcPr>
            <w:tcW w:w="1009" w:type="dxa"/>
            <w:tcBorders>
              <w:top w:val="single" w:sz="4" w:space="0" w:color="231F20"/>
              <w:left w:val="single" w:sz="4" w:space="0" w:color="231F20"/>
              <w:bottom w:val="single" w:sz="4" w:space="0" w:color="231F20"/>
              <w:right w:val="single" w:sz="4" w:space="0" w:color="231F20"/>
            </w:tcBorders>
          </w:tcPr>
          <w:p w14:paraId="7B806FF1" w14:textId="77777777" w:rsidR="00A133B4" w:rsidRDefault="002B404F">
            <w:pPr>
              <w:pStyle w:val="TableParagraph"/>
              <w:kinsoku w:val="0"/>
              <w:overflowPunct w:val="0"/>
              <w:spacing w:before="104"/>
              <w:ind w:left="103"/>
              <w:rPr>
                <w:color w:val="231F20"/>
                <w:sz w:val="18"/>
                <w:szCs w:val="18"/>
              </w:rPr>
            </w:pPr>
            <w:r>
              <w:rPr>
                <w:sz w:val="18"/>
                <w:szCs w:val="18"/>
              </w:rPr>
              <w:t>04/02/26</w:t>
            </w:r>
          </w:p>
        </w:tc>
      </w:tr>
      <w:tr w:rsidR="006673B0" w14:paraId="35CE1F8F" w14:textId="77777777" w:rsidTr="00C80A99">
        <w:trPr>
          <w:trHeight w:val="414"/>
        </w:trPr>
        <w:tc>
          <w:tcPr>
            <w:tcW w:w="9047" w:type="dxa"/>
            <w:gridSpan w:val="7"/>
            <w:tcBorders>
              <w:top w:val="single" w:sz="4" w:space="0" w:color="231F20"/>
              <w:left w:val="single" w:sz="4" w:space="0" w:color="231F20"/>
              <w:bottom w:val="single" w:sz="4" w:space="0" w:color="231F20"/>
              <w:right w:val="single" w:sz="4" w:space="0" w:color="231F20"/>
            </w:tcBorders>
          </w:tcPr>
          <w:p w14:paraId="6E14FA2A" w14:textId="1282A051" w:rsidR="006673B0" w:rsidRPr="006673B0" w:rsidRDefault="006673B0">
            <w:pPr>
              <w:pStyle w:val="TableParagraph"/>
              <w:kinsoku w:val="0"/>
              <w:overflowPunct w:val="0"/>
              <w:spacing w:before="104"/>
              <w:ind w:left="103"/>
              <w:rPr>
                <w:b/>
                <w:sz w:val="18"/>
                <w:szCs w:val="18"/>
              </w:rPr>
            </w:pPr>
            <w:r w:rsidRPr="006673B0">
              <w:rPr>
                <w:b/>
                <w:sz w:val="18"/>
                <w:szCs w:val="18"/>
              </w:rPr>
              <w:lastRenderedPageBreak/>
              <w:t>12p Options issued in July 2021</w:t>
            </w:r>
          </w:p>
        </w:tc>
      </w:tr>
      <w:tr w:rsidR="006673B0" w14:paraId="56C96317"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2ACB6AB7" w14:textId="7470CC57"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58C9BE0E" w14:textId="40A8B0FB" w:rsidR="006673B0" w:rsidRDefault="006673B0">
            <w:pPr>
              <w:pStyle w:val="TableParagraph"/>
              <w:kinsoku w:val="0"/>
              <w:overflowPunct w:val="0"/>
              <w:spacing w:before="104"/>
              <w:ind w:left="105"/>
              <w:rPr>
                <w:color w:val="231F20"/>
                <w:sz w:val="18"/>
                <w:szCs w:val="18"/>
              </w:rPr>
            </w:pPr>
            <w:r>
              <w:rPr>
                <w:color w:val="231F20"/>
                <w:sz w:val="18"/>
                <w:szCs w:val="18"/>
              </w:rPr>
              <w:t>Neil O’Brien</w:t>
            </w:r>
          </w:p>
        </w:tc>
        <w:tc>
          <w:tcPr>
            <w:tcW w:w="1819" w:type="dxa"/>
            <w:tcBorders>
              <w:top w:val="single" w:sz="4" w:space="0" w:color="231F20"/>
              <w:left w:val="single" w:sz="4" w:space="0" w:color="231F20"/>
              <w:bottom w:val="single" w:sz="4" w:space="0" w:color="231F20"/>
              <w:right w:val="single" w:sz="4" w:space="0" w:color="231F20"/>
            </w:tcBorders>
          </w:tcPr>
          <w:p w14:paraId="4E8CF52E" w14:textId="41266EAC" w:rsidR="006673B0" w:rsidRDefault="006673B0">
            <w:pPr>
              <w:pStyle w:val="TableParagraph"/>
              <w:kinsoku w:val="0"/>
              <w:overflowPunct w:val="0"/>
              <w:spacing w:before="104"/>
              <w:ind w:left="107"/>
              <w:rPr>
                <w:color w:val="231F20"/>
                <w:sz w:val="18"/>
                <w:szCs w:val="18"/>
              </w:rPr>
            </w:pPr>
            <w:r>
              <w:rPr>
                <w:color w:val="231F20"/>
                <w:sz w:val="18"/>
                <w:szCs w:val="18"/>
              </w:rPr>
              <w:t>1,000,000</w:t>
            </w:r>
          </w:p>
        </w:tc>
        <w:tc>
          <w:tcPr>
            <w:tcW w:w="274" w:type="dxa"/>
            <w:tcBorders>
              <w:top w:val="single" w:sz="4" w:space="0" w:color="231F20"/>
              <w:left w:val="single" w:sz="4" w:space="0" w:color="231F20"/>
              <w:bottom w:val="single" w:sz="4" w:space="0" w:color="231F20"/>
              <w:right w:val="single" w:sz="4" w:space="0" w:color="231F20"/>
            </w:tcBorders>
          </w:tcPr>
          <w:p w14:paraId="10A6B43D"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665D496C" w14:textId="388A90B2"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23D69618" w14:textId="3188A24F"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7A48D2BC" w14:textId="12BFD704" w:rsidR="006673B0" w:rsidRDefault="006673B0">
            <w:pPr>
              <w:pStyle w:val="TableParagraph"/>
              <w:kinsoku w:val="0"/>
              <w:overflowPunct w:val="0"/>
              <w:spacing w:before="104"/>
              <w:ind w:left="103"/>
              <w:rPr>
                <w:sz w:val="18"/>
                <w:szCs w:val="18"/>
              </w:rPr>
            </w:pPr>
            <w:r>
              <w:rPr>
                <w:sz w:val="18"/>
                <w:szCs w:val="18"/>
              </w:rPr>
              <w:t>02/07/26</w:t>
            </w:r>
          </w:p>
        </w:tc>
      </w:tr>
      <w:tr w:rsidR="006673B0" w14:paraId="2A478D8D"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55C675B1" w14:textId="6CFCA360"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399DDD8B" w14:textId="5EB8BAC8" w:rsidR="006673B0" w:rsidRDefault="006673B0">
            <w:pPr>
              <w:pStyle w:val="TableParagraph"/>
              <w:kinsoku w:val="0"/>
              <w:overflowPunct w:val="0"/>
              <w:spacing w:before="104"/>
              <w:ind w:left="105"/>
              <w:rPr>
                <w:color w:val="231F20"/>
                <w:sz w:val="18"/>
                <w:szCs w:val="18"/>
              </w:rPr>
            </w:pPr>
            <w:r>
              <w:rPr>
                <w:color w:val="231F20"/>
                <w:sz w:val="18"/>
                <w:szCs w:val="18"/>
              </w:rPr>
              <w:t xml:space="preserve">Ajay </w:t>
            </w:r>
            <w:proofErr w:type="spellStart"/>
            <w:r>
              <w:rPr>
                <w:color w:val="231F20"/>
                <w:sz w:val="18"/>
                <w:szCs w:val="18"/>
              </w:rPr>
              <w:t>Kerjiwal</w:t>
            </w:r>
            <w:proofErr w:type="spellEnd"/>
          </w:p>
        </w:tc>
        <w:tc>
          <w:tcPr>
            <w:tcW w:w="1819" w:type="dxa"/>
            <w:tcBorders>
              <w:top w:val="single" w:sz="4" w:space="0" w:color="231F20"/>
              <w:left w:val="single" w:sz="4" w:space="0" w:color="231F20"/>
              <w:bottom w:val="single" w:sz="4" w:space="0" w:color="231F20"/>
              <w:right w:val="single" w:sz="4" w:space="0" w:color="231F20"/>
            </w:tcBorders>
          </w:tcPr>
          <w:p w14:paraId="7848F9F4" w14:textId="77F548C2" w:rsidR="006673B0" w:rsidRDefault="005D7785">
            <w:pPr>
              <w:pStyle w:val="TableParagraph"/>
              <w:kinsoku w:val="0"/>
              <w:overflowPunct w:val="0"/>
              <w:spacing w:before="104"/>
              <w:ind w:left="107"/>
              <w:rPr>
                <w:color w:val="231F20"/>
                <w:sz w:val="18"/>
                <w:szCs w:val="18"/>
              </w:rPr>
            </w:pPr>
            <w:r>
              <w:rPr>
                <w:color w:val="231F20"/>
                <w:sz w:val="18"/>
                <w:szCs w:val="18"/>
              </w:rPr>
              <w:t>500</w:t>
            </w:r>
            <w:r w:rsidR="006673B0">
              <w:rPr>
                <w:color w:val="231F20"/>
                <w:sz w:val="18"/>
                <w:szCs w:val="18"/>
              </w:rPr>
              <w:t>,000</w:t>
            </w:r>
          </w:p>
        </w:tc>
        <w:tc>
          <w:tcPr>
            <w:tcW w:w="274" w:type="dxa"/>
            <w:tcBorders>
              <w:top w:val="single" w:sz="4" w:space="0" w:color="231F20"/>
              <w:left w:val="single" w:sz="4" w:space="0" w:color="231F20"/>
              <w:bottom w:val="single" w:sz="4" w:space="0" w:color="231F20"/>
              <w:right w:val="single" w:sz="4" w:space="0" w:color="231F20"/>
            </w:tcBorders>
          </w:tcPr>
          <w:p w14:paraId="22AA0B64"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7083B7A5" w14:textId="28AD6153"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08291740" w14:textId="55A8F723"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2B6DB1B7" w14:textId="1D82C6D1" w:rsidR="006673B0" w:rsidRDefault="006673B0">
            <w:pPr>
              <w:pStyle w:val="TableParagraph"/>
              <w:kinsoku w:val="0"/>
              <w:overflowPunct w:val="0"/>
              <w:spacing w:before="104"/>
              <w:ind w:left="103"/>
              <w:rPr>
                <w:sz w:val="18"/>
                <w:szCs w:val="18"/>
              </w:rPr>
            </w:pPr>
            <w:r>
              <w:rPr>
                <w:sz w:val="18"/>
                <w:szCs w:val="18"/>
              </w:rPr>
              <w:t>02/07/26</w:t>
            </w:r>
          </w:p>
        </w:tc>
      </w:tr>
      <w:tr w:rsidR="006673B0" w14:paraId="104F85F0"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50786F14" w14:textId="7999082D"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374A365F" w14:textId="509F6191" w:rsidR="006673B0" w:rsidRDefault="006673B0">
            <w:pPr>
              <w:pStyle w:val="TableParagraph"/>
              <w:kinsoku w:val="0"/>
              <w:overflowPunct w:val="0"/>
              <w:spacing w:before="104"/>
              <w:ind w:left="105"/>
              <w:rPr>
                <w:color w:val="231F20"/>
                <w:sz w:val="18"/>
                <w:szCs w:val="18"/>
              </w:rPr>
            </w:pPr>
            <w:r>
              <w:rPr>
                <w:color w:val="231F20"/>
                <w:sz w:val="18"/>
                <w:szCs w:val="18"/>
              </w:rPr>
              <w:t>Paul Ensor</w:t>
            </w:r>
          </w:p>
        </w:tc>
        <w:tc>
          <w:tcPr>
            <w:tcW w:w="1819" w:type="dxa"/>
            <w:tcBorders>
              <w:top w:val="single" w:sz="4" w:space="0" w:color="231F20"/>
              <w:left w:val="single" w:sz="4" w:space="0" w:color="231F20"/>
              <w:bottom w:val="single" w:sz="4" w:space="0" w:color="231F20"/>
              <w:right w:val="single" w:sz="4" w:space="0" w:color="231F20"/>
            </w:tcBorders>
          </w:tcPr>
          <w:p w14:paraId="3514A7C4" w14:textId="6EA17F7C" w:rsidR="006673B0" w:rsidRDefault="006673B0">
            <w:pPr>
              <w:pStyle w:val="TableParagraph"/>
              <w:kinsoku w:val="0"/>
              <w:overflowPunct w:val="0"/>
              <w:spacing w:before="104"/>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7474C817"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3F2D1BE8" w14:textId="28B8B8D2"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40946F5E" w14:textId="521A1EA4"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19814C0E" w14:textId="483A77C6" w:rsidR="006673B0" w:rsidRDefault="006673B0">
            <w:pPr>
              <w:pStyle w:val="TableParagraph"/>
              <w:kinsoku w:val="0"/>
              <w:overflowPunct w:val="0"/>
              <w:spacing w:before="104"/>
              <w:ind w:left="103"/>
              <w:rPr>
                <w:sz w:val="18"/>
                <w:szCs w:val="18"/>
              </w:rPr>
            </w:pPr>
            <w:r>
              <w:rPr>
                <w:sz w:val="18"/>
                <w:szCs w:val="18"/>
              </w:rPr>
              <w:t>02/07/26</w:t>
            </w:r>
          </w:p>
        </w:tc>
      </w:tr>
      <w:tr w:rsidR="006673B0" w14:paraId="1C571009"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52481E1C" w14:textId="2C968A63"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33B7FC80" w14:textId="38F69D3C" w:rsidR="006673B0" w:rsidRDefault="006673B0">
            <w:pPr>
              <w:pStyle w:val="TableParagraph"/>
              <w:kinsoku w:val="0"/>
              <w:overflowPunct w:val="0"/>
              <w:spacing w:before="104"/>
              <w:ind w:left="105"/>
              <w:rPr>
                <w:color w:val="231F20"/>
                <w:sz w:val="18"/>
                <w:szCs w:val="18"/>
              </w:rPr>
            </w:pPr>
            <w:r>
              <w:rPr>
                <w:color w:val="231F20"/>
                <w:sz w:val="18"/>
                <w:szCs w:val="18"/>
              </w:rPr>
              <w:t>Dave Cliff</w:t>
            </w:r>
          </w:p>
        </w:tc>
        <w:tc>
          <w:tcPr>
            <w:tcW w:w="1819" w:type="dxa"/>
            <w:tcBorders>
              <w:top w:val="single" w:sz="4" w:space="0" w:color="231F20"/>
              <w:left w:val="single" w:sz="4" w:space="0" w:color="231F20"/>
              <w:bottom w:val="single" w:sz="4" w:space="0" w:color="231F20"/>
              <w:right w:val="single" w:sz="4" w:space="0" w:color="231F20"/>
            </w:tcBorders>
          </w:tcPr>
          <w:p w14:paraId="345E9CA8" w14:textId="39027485" w:rsidR="006673B0" w:rsidRDefault="006673B0">
            <w:pPr>
              <w:pStyle w:val="TableParagraph"/>
              <w:kinsoku w:val="0"/>
              <w:overflowPunct w:val="0"/>
              <w:spacing w:before="104"/>
              <w:ind w:left="107"/>
              <w:rPr>
                <w:color w:val="231F20"/>
                <w:sz w:val="18"/>
                <w:szCs w:val="18"/>
              </w:rPr>
            </w:pPr>
            <w:r>
              <w:rPr>
                <w:color w:val="231F20"/>
                <w:sz w:val="18"/>
                <w:szCs w:val="18"/>
              </w:rPr>
              <w:t>250,000</w:t>
            </w:r>
          </w:p>
        </w:tc>
        <w:tc>
          <w:tcPr>
            <w:tcW w:w="274" w:type="dxa"/>
            <w:tcBorders>
              <w:top w:val="single" w:sz="4" w:space="0" w:color="231F20"/>
              <w:left w:val="single" w:sz="4" w:space="0" w:color="231F20"/>
              <w:bottom w:val="single" w:sz="4" w:space="0" w:color="231F20"/>
              <w:right w:val="single" w:sz="4" w:space="0" w:color="231F20"/>
            </w:tcBorders>
          </w:tcPr>
          <w:p w14:paraId="2CACB0EC"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780C2A0B" w14:textId="09EFB24D"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05B5DFCF" w14:textId="3B4DDA8A"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2D57CCC3" w14:textId="361C031B" w:rsidR="006673B0" w:rsidRDefault="006673B0">
            <w:pPr>
              <w:pStyle w:val="TableParagraph"/>
              <w:kinsoku w:val="0"/>
              <w:overflowPunct w:val="0"/>
              <w:spacing w:before="104"/>
              <w:ind w:left="103"/>
              <w:rPr>
                <w:sz w:val="18"/>
                <w:szCs w:val="18"/>
              </w:rPr>
            </w:pPr>
            <w:r>
              <w:rPr>
                <w:sz w:val="18"/>
                <w:szCs w:val="18"/>
              </w:rPr>
              <w:t>02/07/26</w:t>
            </w:r>
          </w:p>
        </w:tc>
      </w:tr>
      <w:tr w:rsidR="006673B0" w14:paraId="5CFC2DB8"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78BA5FCA" w14:textId="4AB27EFC"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20F9BED9" w14:textId="24DF0D98" w:rsidR="006673B0" w:rsidRDefault="006673B0">
            <w:pPr>
              <w:pStyle w:val="TableParagraph"/>
              <w:kinsoku w:val="0"/>
              <w:overflowPunct w:val="0"/>
              <w:spacing w:before="104"/>
              <w:ind w:left="105"/>
              <w:rPr>
                <w:color w:val="231F20"/>
                <w:sz w:val="18"/>
                <w:szCs w:val="18"/>
              </w:rPr>
            </w:pPr>
            <w:r>
              <w:rPr>
                <w:color w:val="231F20"/>
                <w:sz w:val="18"/>
                <w:szCs w:val="18"/>
              </w:rPr>
              <w:t>Ryan Fells</w:t>
            </w:r>
          </w:p>
        </w:tc>
        <w:tc>
          <w:tcPr>
            <w:tcW w:w="1819" w:type="dxa"/>
            <w:tcBorders>
              <w:top w:val="single" w:sz="4" w:space="0" w:color="231F20"/>
              <w:left w:val="single" w:sz="4" w:space="0" w:color="231F20"/>
              <w:bottom w:val="single" w:sz="4" w:space="0" w:color="231F20"/>
              <w:right w:val="single" w:sz="4" w:space="0" w:color="231F20"/>
            </w:tcBorders>
          </w:tcPr>
          <w:p w14:paraId="281B450E" w14:textId="17F52122" w:rsidR="006673B0" w:rsidRDefault="005D7785">
            <w:pPr>
              <w:pStyle w:val="TableParagraph"/>
              <w:kinsoku w:val="0"/>
              <w:overflowPunct w:val="0"/>
              <w:spacing w:before="104"/>
              <w:ind w:left="107"/>
              <w:rPr>
                <w:color w:val="231F20"/>
                <w:sz w:val="18"/>
                <w:szCs w:val="18"/>
              </w:rPr>
            </w:pPr>
            <w:r>
              <w:rPr>
                <w:color w:val="231F20"/>
                <w:sz w:val="18"/>
                <w:szCs w:val="18"/>
              </w:rPr>
              <w:t>2</w:t>
            </w:r>
            <w:r w:rsidR="006673B0">
              <w:rPr>
                <w:color w:val="231F20"/>
                <w:sz w:val="18"/>
                <w:szCs w:val="18"/>
              </w:rPr>
              <w:t>00,000</w:t>
            </w:r>
          </w:p>
        </w:tc>
        <w:tc>
          <w:tcPr>
            <w:tcW w:w="274" w:type="dxa"/>
            <w:tcBorders>
              <w:top w:val="single" w:sz="4" w:space="0" w:color="231F20"/>
              <w:left w:val="single" w:sz="4" w:space="0" w:color="231F20"/>
              <w:bottom w:val="single" w:sz="4" w:space="0" w:color="231F20"/>
              <w:right w:val="single" w:sz="4" w:space="0" w:color="231F20"/>
            </w:tcBorders>
          </w:tcPr>
          <w:p w14:paraId="3934E2BC"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3CEB0610" w14:textId="7EBD2677"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1F545D65" w14:textId="70224B43"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028FAD68" w14:textId="3A565A2C" w:rsidR="006673B0" w:rsidRDefault="006673B0">
            <w:pPr>
              <w:pStyle w:val="TableParagraph"/>
              <w:kinsoku w:val="0"/>
              <w:overflowPunct w:val="0"/>
              <w:spacing w:before="104"/>
              <w:ind w:left="103"/>
              <w:rPr>
                <w:sz w:val="18"/>
                <w:szCs w:val="18"/>
              </w:rPr>
            </w:pPr>
            <w:r>
              <w:rPr>
                <w:sz w:val="18"/>
                <w:szCs w:val="18"/>
              </w:rPr>
              <w:t>02/07/26</w:t>
            </w:r>
          </w:p>
        </w:tc>
      </w:tr>
      <w:tr w:rsidR="006673B0" w14:paraId="3B2B89C7" w14:textId="77777777" w:rsidTr="00E46626">
        <w:trPr>
          <w:trHeight w:val="414"/>
        </w:trPr>
        <w:tc>
          <w:tcPr>
            <w:tcW w:w="1377" w:type="dxa"/>
            <w:tcBorders>
              <w:top w:val="single" w:sz="4" w:space="0" w:color="231F20"/>
              <w:left w:val="single" w:sz="4" w:space="0" w:color="231F20"/>
              <w:bottom w:val="single" w:sz="4" w:space="0" w:color="231F20"/>
              <w:right w:val="single" w:sz="4" w:space="0" w:color="231F20"/>
            </w:tcBorders>
          </w:tcPr>
          <w:p w14:paraId="2D956929" w14:textId="2F7B80F8" w:rsidR="006673B0" w:rsidRDefault="006673B0">
            <w:pPr>
              <w:pStyle w:val="TableParagraph"/>
              <w:kinsoku w:val="0"/>
              <w:overflowPunct w:val="0"/>
              <w:spacing w:before="104"/>
              <w:ind w:left="107"/>
              <w:rPr>
                <w:sz w:val="18"/>
                <w:szCs w:val="18"/>
              </w:rPr>
            </w:pPr>
            <w:r>
              <w:rPr>
                <w:sz w:val="18"/>
                <w:szCs w:val="18"/>
              </w:rPr>
              <w:t>02/07/2021</w:t>
            </w:r>
          </w:p>
        </w:tc>
        <w:tc>
          <w:tcPr>
            <w:tcW w:w="2246" w:type="dxa"/>
            <w:tcBorders>
              <w:top w:val="single" w:sz="4" w:space="0" w:color="231F20"/>
              <w:left w:val="single" w:sz="4" w:space="0" w:color="231F20"/>
              <w:bottom w:val="single" w:sz="4" w:space="0" w:color="231F20"/>
              <w:right w:val="single" w:sz="4" w:space="0" w:color="231F20"/>
            </w:tcBorders>
          </w:tcPr>
          <w:p w14:paraId="57F025C1" w14:textId="6FB5E841" w:rsidR="006673B0" w:rsidRDefault="006673B0">
            <w:pPr>
              <w:pStyle w:val="TableParagraph"/>
              <w:kinsoku w:val="0"/>
              <w:overflowPunct w:val="0"/>
              <w:spacing w:before="104"/>
              <w:ind w:left="105"/>
              <w:rPr>
                <w:color w:val="231F20"/>
                <w:sz w:val="18"/>
                <w:szCs w:val="18"/>
              </w:rPr>
            </w:pPr>
            <w:r>
              <w:rPr>
                <w:color w:val="231F20"/>
                <w:sz w:val="18"/>
                <w:szCs w:val="18"/>
              </w:rPr>
              <w:t>George Clegg</w:t>
            </w:r>
          </w:p>
        </w:tc>
        <w:tc>
          <w:tcPr>
            <w:tcW w:w="1819" w:type="dxa"/>
            <w:tcBorders>
              <w:top w:val="single" w:sz="4" w:space="0" w:color="231F20"/>
              <w:left w:val="single" w:sz="4" w:space="0" w:color="231F20"/>
              <w:bottom w:val="single" w:sz="4" w:space="0" w:color="231F20"/>
              <w:right w:val="single" w:sz="4" w:space="0" w:color="231F20"/>
            </w:tcBorders>
          </w:tcPr>
          <w:p w14:paraId="32E5517A" w14:textId="3204C322" w:rsidR="006673B0" w:rsidRDefault="005D7785">
            <w:pPr>
              <w:pStyle w:val="TableParagraph"/>
              <w:kinsoku w:val="0"/>
              <w:overflowPunct w:val="0"/>
              <w:spacing w:before="104"/>
              <w:ind w:left="107"/>
              <w:rPr>
                <w:color w:val="231F20"/>
                <w:sz w:val="18"/>
                <w:szCs w:val="18"/>
              </w:rPr>
            </w:pPr>
            <w:r>
              <w:rPr>
                <w:color w:val="231F20"/>
                <w:sz w:val="18"/>
                <w:szCs w:val="18"/>
              </w:rPr>
              <w:t>2</w:t>
            </w:r>
            <w:r w:rsidR="006673B0">
              <w:rPr>
                <w:color w:val="231F20"/>
                <w:sz w:val="18"/>
                <w:szCs w:val="18"/>
              </w:rPr>
              <w:t>00,000</w:t>
            </w:r>
          </w:p>
        </w:tc>
        <w:tc>
          <w:tcPr>
            <w:tcW w:w="274" w:type="dxa"/>
            <w:tcBorders>
              <w:top w:val="single" w:sz="4" w:space="0" w:color="231F20"/>
              <w:left w:val="single" w:sz="4" w:space="0" w:color="231F20"/>
              <w:bottom w:val="single" w:sz="4" w:space="0" w:color="231F20"/>
              <w:right w:val="single" w:sz="4" w:space="0" w:color="231F20"/>
            </w:tcBorders>
          </w:tcPr>
          <w:p w14:paraId="22739289" w14:textId="77777777" w:rsidR="006673B0" w:rsidRDefault="006673B0">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vAlign w:val="center"/>
          </w:tcPr>
          <w:p w14:paraId="46C943BF" w14:textId="55A6652C" w:rsidR="006673B0" w:rsidRDefault="006673B0">
            <w:pPr>
              <w:pStyle w:val="TableParagraph"/>
              <w:kinsoku w:val="0"/>
              <w:overflowPunct w:val="0"/>
              <w:spacing w:before="5" w:line="206" w:lineRule="exact"/>
              <w:ind w:left="107" w:right="265"/>
              <w:rPr>
                <w:color w:val="231F20"/>
                <w:sz w:val="18"/>
                <w:szCs w:val="18"/>
              </w:rPr>
            </w:pPr>
            <w:r>
              <w:rPr>
                <w:color w:val="231F20"/>
                <w:sz w:val="18"/>
                <w:szCs w:val="18"/>
              </w:rPr>
              <w:t>12p</w:t>
            </w:r>
          </w:p>
        </w:tc>
        <w:tc>
          <w:tcPr>
            <w:tcW w:w="1119" w:type="dxa"/>
            <w:tcBorders>
              <w:top w:val="single" w:sz="4" w:space="0" w:color="231F20"/>
              <w:left w:val="single" w:sz="4" w:space="0" w:color="231F20"/>
              <w:bottom w:val="single" w:sz="4" w:space="0" w:color="231F20"/>
              <w:right w:val="single" w:sz="4" w:space="0" w:color="231F20"/>
            </w:tcBorders>
          </w:tcPr>
          <w:p w14:paraId="3238D625" w14:textId="54D80E36" w:rsidR="006673B0" w:rsidRDefault="006673B0">
            <w:pPr>
              <w:pStyle w:val="TableParagraph"/>
              <w:kinsoku w:val="0"/>
              <w:overflowPunct w:val="0"/>
              <w:spacing w:before="104"/>
              <w:ind w:left="107"/>
              <w:rPr>
                <w:sz w:val="18"/>
                <w:szCs w:val="18"/>
              </w:rPr>
            </w:pPr>
            <w:r>
              <w:rPr>
                <w:sz w:val="18"/>
                <w:szCs w:val="18"/>
              </w:rPr>
              <w:t>02/07/21</w:t>
            </w:r>
          </w:p>
        </w:tc>
        <w:tc>
          <w:tcPr>
            <w:tcW w:w="1009" w:type="dxa"/>
            <w:tcBorders>
              <w:top w:val="single" w:sz="4" w:space="0" w:color="231F20"/>
              <w:left w:val="single" w:sz="4" w:space="0" w:color="231F20"/>
              <w:bottom w:val="single" w:sz="4" w:space="0" w:color="231F20"/>
              <w:right w:val="single" w:sz="4" w:space="0" w:color="231F20"/>
            </w:tcBorders>
          </w:tcPr>
          <w:p w14:paraId="497C2886" w14:textId="13E4EAD3" w:rsidR="006673B0" w:rsidRDefault="006673B0">
            <w:pPr>
              <w:pStyle w:val="TableParagraph"/>
              <w:kinsoku w:val="0"/>
              <w:overflowPunct w:val="0"/>
              <w:spacing w:before="104"/>
              <w:ind w:left="103"/>
              <w:rPr>
                <w:sz w:val="18"/>
                <w:szCs w:val="18"/>
              </w:rPr>
            </w:pPr>
            <w:r>
              <w:rPr>
                <w:sz w:val="18"/>
                <w:szCs w:val="18"/>
              </w:rPr>
              <w:t>02/07/26</w:t>
            </w:r>
          </w:p>
        </w:tc>
      </w:tr>
      <w:tr w:rsidR="00783288" w14:paraId="2ED07F4B" w14:textId="77777777">
        <w:trPr>
          <w:trHeight w:val="268"/>
        </w:trPr>
        <w:tc>
          <w:tcPr>
            <w:tcW w:w="1377" w:type="dxa"/>
            <w:tcBorders>
              <w:top w:val="single" w:sz="4" w:space="0" w:color="231F20"/>
              <w:left w:val="single" w:sz="4" w:space="0" w:color="231F20"/>
              <w:bottom w:val="single" w:sz="4" w:space="0" w:color="231F20"/>
              <w:right w:val="single" w:sz="4" w:space="0" w:color="231F20"/>
            </w:tcBorders>
          </w:tcPr>
          <w:p w14:paraId="611F2D9A" w14:textId="77777777" w:rsidR="00783288" w:rsidRDefault="00783288">
            <w:pPr>
              <w:pStyle w:val="TableParagraph"/>
              <w:kinsoku w:val="0"/>
              <w:overflowPunct w:val="0"/>
              <w:rPr>
                <w:rFonts w:ascii="Times New Roman" w:hAnsi="Times New Roman" w:cs="Times New Roman"/>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04254511" w14:textId="77777777" w:rsidR="00783288" w:rsidRDefault="00E31420">
            <w:pPr>
              <w:pStyle w:val="TableParagraph"/>
              <w:kinsoku w:val="0"/>
              <w:overflowPunct w:val="0"/>
              <w:spacing w:before="23"/>
              <w:ind w:left="105"/>
              <w:rPr>
                <w:b/>
                <w:bCs/>
                <w:color w:val="231F20"/>
                <w:sz w:val="18"/>
                <w:szCs w:val="18"/>
              </w:rPr>
            </w:pPr>
            <w:r>
              <w:rPr>
                <w:b/>
                <w:bCs/>
                <w:color w:val="231F20"/>
                <w:sz w:val="18"/>
                <w:szCs w:val="18"/>
              </w:rPr>
              <w:t>TOTAL</w:t>
            </w:r>
          </w:p>
        </w:tc>
        <w:tc>
          <w:tcPr>
            <w:tcW w:w="1819" w:type="dxa"/>
            <w:tcBorders>
              <w:top w:val="single" w:sz="4" w:space="0" w:color="231F20"/>
              <w:left w:val="single" w:sz="4" w:space="0" w:color="231F20"/>
              <w:bottom w:val="single" w:sz="4" w:space="0" w:color="231F20"/>
              <w:right w:val="single" w:sz="4" w:space="0" w:color="231F20"/>
            </w:tcBorders>
          </w:tcPr>
          <w:p w14:paraId="24D741AB" w14:textId="770BBBC3" w:rsidR="00783288" w:rsidRDefault="00FA7849">
            <w:pPr>
              <w:pStyle w:val="TableParagraph"/>
              <w:kinsoku w:val="0"/>
              <w:overflowPunct w:val="0"/>
              <w:spacing w:before="23"/>
              <w:ind w:left="108"/>
              <w:rPr>
                <w:b/>
                <w:bCs/>
                <w:color w:val="231F20"/>
                <w:sz w:val="18"/>
                <w:szCs w:val="18"/>
              </w:rPr>
            </w:pPr>
            <w:r>
              <w:rPr>
                <w:b/>
                <w:bCs/>
                <w:color w:val="231F20"/>
                <w:sz w:val="18"/>
                <w:szCs w:val="18"/>
              </w:rPr>
              <w:t>13,755,000</w:t>
            </w:r>
          </w:p>
        </w:tc>
        <w:tc>
          <w:tcPr>
            <w:tcW w:w="274" w:type="dxa"/>
            <w:tcBorders>
              <w:top w:val="single" w:sz="4" w:space="0" w:color="231F20"/>
              <w:left w:val="single" w:sz="4" w:space="0" w:color="231F20"/>
              <w:bottom w:val="single" w:sz="4" w:space="0" w:color="231F20"/>
              <w:right w:val="single" w:sz="4" w:space="0" w:color="231F20"/>
            </w:tcBorders>
          </w:tcPr>
          <w:p w14:paraId="70FF0234" w14:textId="77777777" w:rsidR="00783288" w:rsidRDefault="00783288">
            <w:pPr>
              <w:pStyle w:val="TableParagraph"/>
              <w:kinsoku w:val="0"/>
              <w:overflowPunct w:val="0"/>
              <w:rPr>
                <w:rFonts w:ascii="Times New Roman" w:hAnsi="Times New Roman" w:cs="Times New Roman"/>
                <w:sz w:val="16"/>
                <w:szCs w:val="16"/>
              </w:rPr>
            </w:pPr>
          </w:p>
        </w:tc>
        <w:tc>
          <w:tcPr>
            <w:tcW w:w="1203" w:type="dxa"/>
            <w:tcBorders>
              <w:top w:val="single" w:sz="4" w:space="0" w:color="231F20"/>
              <w:left w:val="single" w:sz="4" w:space="0" w:color="231F20"/>
              <w:bottom w:val="single" w:sz="4" w:space="0" w:color="231F20"/>
              <w:right w:val="single" w:sz="4" w:space="0" w:color="231F20"/>
            </w:tcBorders>
          </w:tcPr>
          <w:p w14:paraId="020470DE" w14:textId="77777777" w:rsidR="00783288" w:rsidRDefault="00783288">
            <w:pPr>
              <w:pStyle w:val="TableParagraph"/>
              <w:kinsoku w:val="0"/>
              <w:overflowPunct w:val="0"/>
              <w:rPr>
                <w:rFonts w:ascii="Times New Roman" w:hAnsi="Times New Roman" w:cs="Times New Roman"/>
                <w:sz w:val="16"/>
                <w:szCs w:val="16"/>
              </w:rPr>
            </w:pPr>
          </w:p>
        </w:tc>
        <w:tc>
          <w:tcPr>
            <w:tcW w:w="1119" w:type="dxa"/>
            <w:tcBorders>
              <w:top w:val="single" w:sz="4" w:space="0" w:color="231F20"/>
              <w:left w:val="single" w:sz="4" w:space="0" w:color="231F20"/>
              <w:bottom w:val="single" w:sz="4" w:space="0" w:color="231F20"/>
              <w:right w:val="single" w:sz="4" w:space="0" w:color="231F20"/>
            </w:tcBorders>
          </w:tcPr>
          <w:p w14:paraId="7F6A9E61" w14:textId="77777777" w:rsidR="00783288" w:rsidRDefault="00783288">
            <w:pPr>
              <w:pStyle w:val="TableParagraph"/>
              <w:kinsoku w:val="0"/>
              <w:overflowPunct w:val="0"/>
              <w:rPr>
                <w:rFonts w:ascii="Times New Roman" w:hAnsi="Times New Roman" w:cs="Times New Roman"/>
                <w:sz w:val="16"/>
                <w:szCs w:val="16"/>
              </w:rPr>
            </w:pPr>
          </w:p>
        </w:tc>
        <w:tc>
          <w:tcPr>
            <w:tcW w:w="1009" w:type="dxa"/>
            <w:tcBorders>
              <w:top w:val="single" w:sz="4" w:space="0" w:color="231F20"/>
              <w:left w:val="single" w:sz="4" w:space="0" w:color="231F20"/>
              <w:bottom w:val="single" w:sz="4" w:space="0" w:color="231F20"/>
              <w:right w:val="single" w:sz="4" w:space="0" w:color="231F20"/>
            </w:tcBorders>
          </w:tcPr>
          <w:p w14:paraId="384AF61D" w14:textId="77777777" w:rsidR="00783288" w:rsidRDefault="00783288">
            <w:pPr>
              <w:pStyle w:val="TableParagraph"/>
              <w:kinsoku w:val="0"/>
              <w:overflowPunct w:val="0"/>
              <w:rPr>
                <w:rFonts w:ascii="Times New Roman" w:hAnsi="Times New Roman" w:cs="Times New Roman"/>
                <w:sz w:val="16"/>
                <w:szCs w:val="16"/>
              </w:rPr>
            </w:pPr>
          </w:p>
        </w:tc>
      </w:tr>
    </w:tbl>
    <w:p w14:paraId="7316792D" w14:textId="77777777" w:rsidR="00783288" w:rsidRDefault="00783288">
      <w:pPr>
        <w:pStyle w:val="BodyText"/>
        <w:kinsoku w:val="0"/>
        <w:overflowPunct w:val="0"/>
        <w:spacing w:before="7"/>
      </w:pPr>
    </w:p>
    <w:p w14:paraId="40339F3F" w14:textId="31B0E1CC" w:rsidR="00783288" w:rsidRDefault="00E31420">
      <w:pPr>
        <w:pStyle w:val="BodyText"/>
        <w:kinsoku w:val="0"/>
        <w:overflowPunct w:val="0"/>
        <w:ind w:left="839" w:right="1036"/>
        <w:jc w:val="both"/>
        <w:rPr>
          <w:color w:val="231F20"/>
        </w:rPr>
      </w:pPr>
      <w:r>
        <w:rPr>
          <w:color w:val="231F20"/>
        </w:rPr>
        <w:t>*</w:t>
      </w:r>
      <w:r>
        <w:rPr>
          <w:color w:val="231F20"/>
          <w:spacing w:val="-16"/>
        </w:rPr>
        <w:t xml:space="preserve"> </w:t>
      </w:r>
      <w:r>
        <w:rPr>
          <w:color w:val="231F20"/>
        </w:rPr>
        <w:t>700,000</w:t>
      </w:r>
      <w:r>
        <w:rPr>
          <w:color w:val="231F20"/>
          <w:spacing w:val="-13"/>
        </w:rPr>
        <w:t xml:space="preserve"> </w:t>
      </w:r>
      <w:r w:rsidR="00E03C6C">
        <w:rPr>
          <w:color w:val="231F20"/>
        </w:rPr>
        <w:t>O</w:t>
      </w:r>
      <w:r>
        <w:rPr>
          <w:color w:val="231F20"/>
        </w:rPr>
        <w:t>ptions</w:t>
      </w:r>
      <w:r>
        <w:rPr>
          <w:color w:val="231F20"/>
          <w:spacing w:val="-14"/>
        </w:rPr>
        <w:t xml:space="preserve"> </w:t>
      </w:r>
      <w:r>
        <w:rPr>
          <w:color w:val="231F20"/>
        </w:rPr>
        <w:t>previously</w:t>
      </w:r>
      <w:r>
        <w:rPr>
          <w:color w:val="231F20"/>
          <w:spacing w:val="-15"/>
        </w:rPr>
        <w:t xml:space="preserve"> </w:t>
      </w:r>
      <w:r>
        <w:rPr>
          <w:color w:val="231F20"/>
        </w:rPr>
        <w:t>granted</w:t>
      </w:r>
      <w:r>
        <w:rPr>
          <w:color w:val="231F20"/>
          <w:spacing w:val="-14"/>
        </w:rPr>
        <w:t xml:space="preserve"> </w:t>
      </w:r>
      <w:r>
        <w:rPr>
          <w:color w:val="231F20"/>
        </w:rPr>
        <w:t>to</w:t>
      </w:r>
      <w:r>
        <w:rPr>
          <w:color w:val="231F20"/>
          <w:spacing w:val="-14"/>
        </w:rPr>
        <w:t xml:space="preserve"> </w:t>
      </w:r>
      <w:r>
        <w:rPr>
          <w:color w:val="231F20"/>
        </w:rPr>
        <w:t>Peter</w:t>
      </w:r>
      <w:r>
        <w:rPr>
          <w:color w:val="231F20"/>
          <w:spacing w:val="-14"/>
        </w:rPr>
        <w:t xml:space="preserve"> </w:t>
      </w:r>
      <w:r>
        <w:rPr>
          <w:color w:val="231F20"/>
        </w:rPr>
        <w:t>Damouni</w:t>
      </w:r>
      <w:r>
        <w:rPr>
          <w:color w:val="231F20"/>
          <w:spacing w:val="-14"/>
        </w:rPr>
        <w:t xml:space="preserve"> </w:t>
      </w:r>
      <w:r>
        <w:rPr>
          <w:color w:val="231F20"/>
        </w:rPr>
        <w:t>at</w:t>
      </w:r>
      <w:r>
        <w:rPr>
          <w:color w:val="231F20"/>
          <w:spacing w:val="-14"/>
        </w:rPr>
        <w:t xml:space="preserve"> </w:t>
      </w:r>
      <w:r>
        <w:rPr>
          <w:color w:val="231F20"/>
        </w:rPr>
        <w:t>an</w:t>
      </w:r>
      <w:r>
        <w:rPr>
          <w:color w:val="231F20"/>
          <w:spacing w:val="-14"/>
        </w:rPr>
        <w:t xml:space="preserve"> </w:t>
      </w:r>
      <w:r>
        <w:rPr>
          <w:color w:val="231F20"/>
        </w:rPr>
        <w:t>exercise</w:t>
      </w:r>
      <w:r>
        <w:rPr>
          <w:color w:val="231F20"/>
          <w:spacing w:val="-13"/>
        </w:rPr>
        <w:t xml:space="preserve"> </w:t>
      </w:r>
      <w:r>
        <w:rPr>
          <w:color w:val="231F20"/>
        </w:rPr>
        <w:t>price</w:t>
      </w:r>
      <w:r>
        <w:rPr>
          <w:color w:val="231F20"/>
          <w:spacing w:val="-14"/>
        </w:rPr>
        <w:t xml:space="preserve"> </w:t>
      </w:r>
      <w:r>
        <w:rPr>
          <w:color w:val="231F20"/>
        </w:rPr>
        <w:t>of</w:t>
      </w:r>
      <w:r>
        <w:rPr>
          <w:color w:val="231F20"/>
          <w:spacing w:val="-14"/>
        </w:rPr>
        <w:t xml:space="preserve"> </w:t>
      </w:r>
      <w:r>
        <w:rPr>
          <w:color w:val="231F20"/>
        </w:rPr>
        <w:t>7.5p,</w:t>
      </w:r>
      <w:r>
        <w:rPr>
          <w:color w:val="231F20"/>
          <w:spacing w:val="-17"/>
        </w:rPr>
        <w:t xml:space="preserve"> </w:t>
      </w:r>
      <w:r>
        <w:rPr>
          <w:color w:val="231F20"/>
        </w:rPr>
        <w:t>465,000</w:t>
      </w:r>
      <w:r>
        <w:rPr>
          <w:color w:val="231F20"/>
          <w:spacing w:val="-13"/>
        </w:rPr>
        <w:t xml:space="preserve"> </w:t>
      </w:r>
      <w:r w:rsidR="00E03C6C">
        <w:rPr>
          <w:color w:val="231F20"/>
        </w:rPr>
        <w:t>O</w:t>
      </w:r>
      <w:r>
        <w:rPr>
          <w:color w:val="231F20"/>
        </w:rPr>
        <w:t>ptions</w:t>
      </w:r>
      <w:r>
        <w:rPr>
          <w:color w:val="231F20"/>
          <w:spacing w:val="-14"/>
        </w:rPr>
        <w:t xml:space="preserve"> </w:t>
      </w:r>
      <w:r>
        <w:rPr>
          <w:color w:val="231F20"/>
        </w:rPr>
        <w:t xml:space="preserve">previously granted to David Cliff at an exercise price of 7.5p and 1,400,000 </w:t>
      </w:r>
      <w:r w:rsidR="00E03C6C">
        <w:rPr>
          <w:color w:val="231F20"/>
        </w:rPr>
        <w:t>O</w:t>
      </w:r>
      <w:r>
        <w:rPr>
          <w:color w:val="231F20"/>
        </w:rPr>
        <w:t>ptions previously granted to Martin French at an exercise price of 11.25p were all repriced on 27 July 2020 to have an exercise price of</w:t>
      </w:r>
      <w:r>
        <w:rPr>
          <w:color w:val="231F20"/>
          <w:spacing w:val="-26"/>
        </w:rPr>
        <w:t xml:space="preserve"> </w:t>
      </w:r>
      <w:r>
        <w:rPr>
          <w:color w:val="231F20"/>
        </w:rPr>
        <w:t>5.25p.</w:t>
      </w:r>
    </w:p>
    <w:p w14:paraId="1770FCF2" w14:textId="77777777" w:rsidR="00783288" w:rsidRDefault="00783288">
      <w:pPr>
        <w:pStyle w:val="BodyText"/>
        <w:kinsoku w:val="0"/>
        <w:overflowPunct w:val="0"/>
        <w:spacing w:before="6"/>
        <w:rPr>
          <w:sz w:val="20"/>
          <w:szCs w:val="20"/>
        </w:rPr>
      </w:pPr>
    </w:p>
    <w:p w14:paraId="64A48736" w14:textId="02D0E839" w:rsidR="00783288" w:rsidRDefault="00E31420" w:rsidP="00512495">
      <w:pPr>
        <w:pStyle w:val="Heading1"/>
        <w:numPr>
          <w:ilvl w:val="0"/>
          <w:numId w:val="13"/>
        </w:numPr>
        <w:tabs>
          <w:tab w:val="left" w:pos="840"/>
        </w:tabs>
        <w:kinsoku w:val="0"/>
        <w:overflowPunct w:val="0"/>
        <w:rPr>
          <w:color w:val="231F20"/>
        </w:rPr>
      </w:pPr>
      <w:r>
        <w:rPr>
          <w:color w:val="231F20"/>
        </w:rPr>
        <w:t>Warrants</w:t>
      </w:r>
    </w:p>
    <w:p w14:paraId="16E3FE68" w14:textId="77777777" w:rsidR="00783288" w:rsidRDefault="00783288">
      <w:pPr>
        <w:pStyle w:val="BodyText"/>
        <w:kinsoku w:val="0"/>
        <w:overflowPunct w:val="0"/>
        <w:spacing w:before="3"/>
        <w:rPr>
          <w:b/>
          <w:bCs/>
          <w:sz w:val="21"/>
          <w:szCs w:val="21"/>
        </w:rPr>
      </w:pPr>
    </w:p>
    <w:p w14:paraId="43A3A2D0" w14:textId="77777777" w:rsidR="00783288" w:rsidRDefault="00E31420" w:rsidP="00512495">
      <w:pPr>
        <w:pStyle w:val="ListParagraph"/>
        <w:numPr>
          <w:ilvl w:val="1"/>
          <w:numId w:val="13"/>
        </w:numPr>
        <w:tabs>
          <w:tab w:val="left" w:pos="840"/>
        </w:tabs>
        <w:kinsoku w:val="0"/>
        <w:overflowPunct w:val="0"/>
        <w:ind w:left="839" w:right="1035"/>
        <w:rPr>
          <w:color w:val="231F20"/>
          <w:sz w:val="18"/>
          <w:szCs w:val="18"/>
        </w:rPr>
      </w:pPr>
      <w:r>
        <w:rPr>
          <w:color w:val="231F20"/>
          <w:sz w:val="18"/>
          <w:szCs w:val="18"/>
        </w:rPr>
        <w:t>The below table shows each of the warrants over Ordinary Shares in the Company currently outstanding, including</w:t>
      </w:r>
      <w:r>
        <w:rPr>
          <w:color w:val="231F20"/>
          <w:spacing w:val="-11"/>
          <w:sz w:val="18"/>
          <w:szCs w:val="18"/>
        </w:rPr>
        <w:t xml:space="preserve"> </w:t>
      </w:r>
      <w:r>
        <w:rPr>
          <w:color w:val="231F20"/>
          <w:sz w:val="18"/>
          <w:szCs w:val="18"/>
        </w:rPr>
        <w:t>the</w:t>
      </w:r>
      <w:r>
        <w:rPr>
          <w:color w:val="231F20"/>
          <w:spacing w:val="-11"/>
          <w:sz w:val="18"/>
          <w:szCs w:val="18"/>
        </w:rPr>
        <w:t xml:space="preserve"> </w:t>
      </w:r>
      <w:r>
        <w:rPr>
          <w:color w:val="231F20"/>
          <w:sz w:val="18"/>
          <w:szCs w:val="18"/>
        </w:rPr>
        <w:t>number</w:t>
      </w:r>
      <w:r>
        <w:rPr>
          <w:color w:val="231F20"/>
          <w:spacing w:val="-11"/>
          <w:sz w:val="18"/>
          <w:szCs w:val="18"/>
        </w:rPr>
        <w:t xml:space="preserve"> </w:t>
      </w:r>
      <w:r>
        <w:rPr>
          <w:color w:val="231F20"/>
          <w:sz w:val="18"/>
          <w:szCs w:val="18"/>
        </w:rPr>
        <w:t>of</w:t>
      </w:r>
      <w:r>
        <w:rPr>
          <w:color w:val="231F20"/>
          <w:spacing w:val="-11"/>
          <w:sz w:val="18"/>
          <w:szCs w:val="18"/>
        </w:rPr>
        <w:t xml:space="preserve"> </w:t>
      </w:r>
      <w:r>
        <w:rPr>
          <w:color w:val="231F20"/>
          <w:sz w:val="18"/>
          <w:szCs w:val="18"/>
        </w:rPr>
        <w:t>shares</w:t>
      </w:r>
      <w:r>
        <w:rPr>
          <w:color w:val="231F20"/>
          <w:spacing w:val="-13"/>
          <w:sz w:val="18"/>
          <w:szCs w:val="18"/>
        </w:rPr>
        <w:t xml:space="preserve"> </w:t>
      </w:r>
      <w:r>
        <w:rPr>
          <w:color w:val="231F20"/>
          <w:sz w:val="18"/>
          <w:szCs w:val="18"/>
        </w:rPr>
        <w:t>subject</w:t>
      </w:r>
      <w:r>
        <w:rPr>
          <w:color w:val="231F20"/>
          <w:spacing w:val="-10"/>
          <w:sz w:val="18"/>
          <w:szCs w:val="18"/>
        </w:rPr>
        <w:t xml:space="preserve"> </w:t>
      </w:r>
      <w:r>
        <w:rPr>
          <w:color w:val="231F20"/>
          <w:sz w:val="18"/>
          <w:szCs w:val="18"/>
        </w:rPr>
        <w:t>to</w:t>
      </w:r>
      <w:r>
        <w:rPr>
          <w:color w:val="231F20"/>
          <w:spacing w:val="-11"/>
          <w:sz w:val="18"/>
          <w:szCs w:val="18"/>
        </w:rPr>
        <w:t xml:space="preserve"> </w:t>
      </w:r>
      <w:r>
        <w:rPr>
          <w:color w:val="231F20"/>
          <w:sz w:val="18"/>
          <w:szCs w:val="18"/>
        </w:rPr>
        <w:t>warrant,</w:t>
      </w:r>
      <w:r>
        <w:rPr>
          <w:color w:val="231F20"/>
          <w:spacing w:val="-10"/>
          <w:sz w:val="18"/>
          <w:szCs w:val="18"/>
        </w:rPr>
        <w:t xml:space="preserve"> </w:t>
      </w:r>
      <w:r>
        <w:rPr>
          <w:color w:val="231F20"/>
          <w:sz w:val="18"/>
          <w:szCs w:val="18"/>
        </w:rPr>
        <w:t>the</w:t>
      </w:r>
      <w:r>
        <w:rPr>
          <w:color w:val="231F20"/>
          <w:spacing w:val="-11"/>
          <w:sz w:val="18"/>
          <w:szCs w:val="18"/>
        </w:rPr>
        <w:t xml:space="preserve"> </w:t>
      </w:r>
      <w:r>
        <w:rPr>
          <w:color w:val="231F20"/>
          <w:sz w:val="18"/>
          <w:szCs w:val="18"/>
        </w:rPr>
        <w:t>exercise</w:t>
      </w:r>
      <w:r>
        <w:rPr>
          <w:color w:val="231F20"/>
          <w:spacing w:val="-10"/>
          <w:sz w:val="18"/>
          <w:szCs w:val="18"/>
        </w:rPr>
        <w:t xml:space="preserve"> </w:t>
      </w:r>
      <w:proofErr w:type="gramStart"/>
      <w:r>
        <w:rPr>
          <w:color w:val="231F20"/>
          <w:sz w:val="18"/>
          <w:szCs w:val="18"/>
        </w:rPr>
        <w:t>period</w:t>
      </w:r>
      <w:proofErr w:type="gramEnd"/>
      <w:r>
        <w:rPr>
          <w:color w:val="231F20"/>
          <w:spacing w:val="-10"/>
          <w:sz w:val="18"/>
          <w:szCs w:val="18"/>
        </w:rPr>
        <w:t xml:space="preserve"> </w:t>
      </w:r>
      <w:r>
        <w:rPr>
          <w:color w:val="231F20"/>
          <w:sz w:val="18"/>
          <w:szCs w:val="18"/>
        </w:rPr>
        <w:t>and</w:t>
      </w:r>
      <w:r>
        <w:rPr>
          <w:color w:val="231F20"/>
          <w:spacing w:val="-11"/>
          <w:sz w:val="18"/>
          <w:szCs w:val="18"/>
        </w:rPr>
        <w:t xml:space="preserve"> </w:t>
      </w:r>
      <w:r>
        <w:rPr>
          <w:color w:val="231F20"/>
          <w:sz w:val="18"/>
          <w:szCs w:val="18"/>
        </w:rPr>
        <w:t>the</w:t>
      </w:r>
      <w:r>
        <w:rPr>
          <w:color w:val="231F20"/>
          <w:spacing w:val="-11"/>
          <w:sz w:val="18"/>
          <w:szCs w:val="18"/>
        </w:rPr>
        <w:t xml:space="preserve"> </w:t>
      </w:r>
      <w:r>
        <w:rPr>
          <w:color w:val="231F20"/>
          <w:sz w:val="18"/>
          <w:szCs w:val="18"/>
        </w:rPr>
        <w:t>exercise</w:t>
      </w:r>
      <w:r>
        <w:rPr>
          <w:color w:val="231F20"/>
          <w:spacing w:val="-10"/>
          <w:sz w:val="18"/>
          <w:szCs w:val="18"/>
        </w:rPr>
        <w:t xml:space="preserve"> </w:t>
      </w:r>
      <w:r>
        <w:rPr>
          <w:color w:val="231F20"/>
          <w:sz w:val="18"/>
          <w:szCs w:val="18"/>
        </w:rPr>
        <w:t>price</w:t>
      </w:r>
      <w:r>
        <w:rPr>
          <w:color w:val="231F20"/>
          <w:spacing w:val="-13"/>
          <w:sz w:val="18"/>
          <w:szCs w:val="18"/>
        </w:rPr>
        <w:t xml:space="preserve"> </w:t>
      </w:r>
      <w:r>
        <w:rPr>
          <w:color w:val="231F20"/>
          <w:sz w:val="18"/>
          <w:szCs w:val="18"/>
        </w:rPr>
        <w:t>of</w:t>
      </w:r>
      <w:r>
        <w:rPr>
          <w:color w:val="231F20"/>
          <w:spacing w:val="-11"/>
          <w:sz w:val="18"/>
          <w:szCs w:val="18"/>
        </w:rPr>
        <w:t xml:space="preserve"> </w:t>
      </w:r>
      <w:r>
        <w:rPr>
          <w:color w:val="231F20"/>
          <w:sz w:val="18"/>
          <w:szCs w:val="18"/>
        </w:rPr>
        <w:t>such</w:t>
      </w:r>
      <w:r>
        <w:rPr>
          <w:color w:val="231F20"/>
          <w:spacing w:val="-10"/>
          <w:sz w:val="18"/>
          <w:szCs w:val="18"/>
        </w:rPr>
        <w:t xml:space="preserve"> </w:t>
      </w:r>
      <w:r>
        <w:rPr>
          <w:color w:val="231F20"/>
          <w:sz w:val="18"/>
          <w:szCs w:val="18"/>
        </w:rPr>
        <w:t>warrants.</w:t>
      </w:r>
    </w:p>
    <w:p w14:paraId="77A9E6E4" w14:textId="77777777" w:rsidR="00783288" w:rsidRDefault="00783288">
      <w:pPr>
        <w:pStyle w:val="BodyText"/>
        <w:kinsoku w:val="0"/>
        <w:overflowPunct w:val="0"/>
        <w:rPr>
          <w:sz w:val="21"/>
          <w:szCs w:val="21"/>
        </w:rPr>
      </w:pPr>
    </w:p>
    <w:tbl>
      <w:tblPr>
        <w:tblW w:w="0" w:type="auto"/>
        <w:tblInd w:w="840" w:type="dxa"/>
        <w:tblLayout w:type="fixed"/>
        <w:tblCellMar>
          <w:left w:w="0" w:type="dxa"/>
          <w:right w:w="0" w:type="dxa"/>
        </w:tblCellMar>
        <w:tblLook w:val="0000" w:firstRow="0" w:lastRow="0" w:firstColumn="0" w:lastColumn="0" w:noHBand="0" w:noVBand="0"/>
      </w:tblPr>
      <w:tblGrid>
        <w:gridCol w:w="1063"/>
        <w:gridCol w:w="894"/>
        <w:gridCol w:w="503"/>
        <w:gridCol w:w="640"/>
        <w:gridCol w:w="407"/>
        <w:gridCol w:w="1017"/>
        <w:gridCol w:w="364"/>
        <w:gridCol w:w="1028"/>
        <w:gridCol w:w="562"/>
        <w:gridCol w:w="864"/>
        <w:gridCol w:w="540"/>
        <w:gridCol w:w="433"/>
      </w:tblGrid>
      <w:tr w:rsidR="00783288" w14:paraId="4CA808C3" w14:textId="77777777">
        <w:trPr>
          <w:trHeight w:val="1067"/>
        </w:trPr>
        <w:tc>
          <w:tcPr>
            <w:tcW w:w="1063" w:type="dxa"/>
            <w:tcBorders>
              <w:top w:val="single" w:sz="4" w:space="0" w:color="231F20"/>
              <w:left w:val="single" w:sz="4" w:space="0" w:color="231F20"/>
              <w:bottom w:val="single" w:sz="4" w:space="0" w:color="231F20"/>
              <w:right w:val="single" w:sz="4" w:space="0" w:color="231F20"/>
            </w:tcBorders>
            <w:shd w:val="clear" w:color="auto" w:fill="F2F2F3"/>
          </w:tcPr>
          <w:p w14:paraId="4C0BB728" w14:textId="77777777" w:rsidR="00783288" w:rsidRDefault="00E31420">
            <w:pPr>
              <w:pStyle w:val="TableParagraph"/>
              <w:kinsoku w:val="0"/>
              <w:overflowPunct w:val="0"/>
              <w:ind w:left="107" w:right="285"/>
              <w:rPr>
                <w:color w:val="231F20"/>
                <w:sz w:val="18"/>
                <w:szCs w:val="18"/>
              </w:rPr>
            </w:pPr>
            <w:r>
              <w:rPr>
                <w:color w:val="231F20"/>
                <w:sz w:val="18"/>
                <w:szCs w:val="18"/>
              </w:rPr>
              <w:t>Warrant Holder</w:t>
            </w:r>
          </w:p>
        </w:tc>
        <w:tc>
          <w:tcPr>
            <w:tcW w:w="1396" w:type="dxa"/>
            <w:gridSpan w:val="2"/>
            <w:tcBorders>
              <w:top w:val="single" w:sz="4" w:space="0" w:color="231F20"/>
              <w:left w:val="single" w:sz="4" w:space="0" w:color="231F20"/>
              <w:bottom w:val="single" w:sz="4" w:space="0" w:color="231F20"/>
              <w:right w:val="single" w:sz="4" w:space="0" w:color="231F20"/>
            </w:tcBorders>
            <w:shd w:val="clear" w:color="auto" w:fill="F2F2F3"/>
          </w:tcPr>
          <w:p w14:paraId="787E5CF5" w14:textId="77777777" w:rsidR="00783288" w:rsidRDefault="00E31420">
            <w:pPr>
              <w:pStyle w:val="TableParagraph"/>
              <w:kinsoku w:val="0"/>
              <w:overflowPunct w:val="0"/>
              <w:ind w:left="105" w:right="410"/>
              <w:rPr>
                <w:color w:val="231F20"/>
                <w:sz w:val="18"/>
                <w:szCs w:val="18"/>
              </w:rPr>
            </w:pPr>
            <w:r>
              <w:rPr>
                <w:color w:val="231F20"/>
                <w:sz w:val="18"/>
                <w:szCs w:val="18"/>
              </w:rPr>
              <w:t>Warrant Instrument</w:t>
            </w:r>
          </w:p>
        </w:tc>
        <w:tc>
          <w:tcPr>
            <w:tcW w:w="640" w:type="dxa"/>
            <w:tcBorders>
              <w:top w:val="single" w:sz="4" w:space="0" w:color="231F20"/>
              <w:left w:val="single" w:sz="4" w:space="0" w:color="231F20"/>
              <w:bottom w:val="single" w:sz="4" w:space="0" w:color="231F20"/>
              <w:right w:val="none" w:sz="6" w:space="0" w:color="auto"/>
            </w:tcBorders>
            <w:shd w:val="clear" w:color="auto" w:fill="F2F2F3"/>
          </w:tcPr>
          <w:p w14:paraId="22C124A2" w14:textId="77777777" w:rsidR="00783288" w:rsidRDefault="00E31420">
            <w:pPr>
              <w:pStyle w:val="TableParagraph"/>
              <w:kinsoku w:val="0"/>
              <w:overflowPunct w:val="0"/>
              <w:ind w:left="108" w:right="76"/>
              <w:rPr>
                <w:color w:val="231F20"/>
                <w:sz w:val="18"/>
                <w:szCs w:val="18"/>
              </w:rPr>
            </w:pPr>
            <w:r>
              <w:rPr>
                <w:color w:val="231F20"/>
                <w:sz w:val="18"/>
                <w:szCs w:val="18"/>
              </w:rPr>
              <w:t>Date Issue</w:t>
            </w:r>
          </w:p>
        </w:tc>
        <w:tc>
          <w:tcPr>
            <w:tcW w:w="406" w:type="dxa"/>
            <w:tcBorders>
              <w:top w:val="single" w:sz="4" w:space="0" w:color="231F20"/>
              <w:left w:val="none" w:sz="6" w:space="0" w:color="auto"/>
              <w:bottom w:val="single" w:sz="4" w:space="0" w:color="231F20"/>
              <w:right w:val="single" w:sz="4" w:space="0" w:color="231F20"/>
            </w:tcBorders>
            <w:shd w:val="clear" w:color="auto" w:fill="F2F2F3"/>
          </w:tcPr>
          <w:p w14:paraId="66A7179E" w14:textId="77777777" w:rsidR="00783288" w:rsidRDefault="00E31420">
            <w:pPr>
              <w:pStyle w:val="TableParagraph"/>
              <w:kinsoku w:val="0"/>
              <w:overflowPunct w:val="0"/>
              <w:spacing w:line="206" w:lineRule="exact"/>
              <w:ind w:left="155"/>
              <w:rPr>
                <w:color w:val="231F20"/>
                <w:sz w:val="18"/>
                <w:szCs w:val="18"/>
              </w:rPr>
            </w:pPr>
            <w:r>
              <w:rPr>
                <w:color w:val="231F20"/>
                <w:sz w:val="18"/>
                <w:szCs w:val="18"/>
              </w:rPr>
              <w:t>of</w:t>
            </w:r>
          </w:p>
        </w:tc>
        <w:tc>
          <w:tcPr>
            <w:tcW w:w="1017" w:type="dxa"/>
            <w:tcBorders>
              <w:top w:val="single" w:sz="4" w:space="0" w:color="231F20"/>
              <w:left w:val="single" w:sz="4" w:space="0" w:color="231F20"/>
              <w:bottom w:val="single" w:sz="4" w:space="0" w:color="231F20"/>
              <w:right w:val="none" w:sz="6" w:space="0" w:color="auto"/>
            </w:tcBorders>
            <w:shd w:val="clear" w:color="auto" w:fill="F2F2F3"/>
          </w:tcPr>
          <w:p w14:paraId="3341EE27" w14:textId="77777777" w:rsidR="00783288" w:rsidRDefault="00E31420">
            <w:pPr>
              <w:pStyle w:val="TableParagraph"/>
              <w:kinsoku w:val="0"/>
              <w:overflowPunct w:val="0"/>
              <w:ind w:left="108" w:right="243"/>
              <w:rPr>
                <w:color w:val="231F20"/>
                <w:sz w:val="18"/>
                <w:szCs w:val="18"/>
              </w:rPr>
            </w:pPr>
            <w:r>
              <w:rPr>
                <w:color w:val="231F20"/>
                <w:sz w:val="18"/>
                <w:szCs w:val="18"/>
              </w:rPr>
              <w:t>Number Shares subject Warrant</w:t>
            </w:r>
          </w:p>
        </w:tc>
        <w:tc>
          <w:tcPr>
            <w:tcW w:w="363" w:type="dxa"/>
            <w:tcBorders>
              <w:top w:val="single" w:sz="4" w:space="0" w:color="231F20"/>
              <w:left w:val="none" w:sz="6" w:space="0" w:color="auto"/>
              <w:bottom w:val="single" w:sz="4" w:space="0" w:color="231F20"/>
              <w:right w:val="single" w:sz="4" w:space="0" w:color="231F20"/>
            </w:tcBorders>
            <w:shd w:val="clear" w:color="auto" w:fill="F2F2F3"/>
          </w:tcPr>
          <w:p w14:paraId="035A1B46" w14:textId="77777777" w:rsidR="00783288" w:rsidRDefault="00E31420">
            <w:pPr>
              <w:pStyle w:val="TableParagraph"/>
              <w:kinsoku w:val="0"/>
              <w:overflowPunct w:val="0"/>
              <w:spacing w:line="477" w:lineRule="auto"/>
              <w:ind w:left="111" w:right="76" w:hanging="1"/>
              <w:rPr>
                <w:color w:val="231F20"/>
                <w:sz w:val="18"/>
                <w:szCs w:val="18"/>
              </w:rPr>
            </w:pPr>
            <w:r>
              <w:rPr>
                <w:color w:val="231F20"/>
                <w:sz w:val="18"/>
                <w:szCs w:val="18"/>
              </w:rPr>
              <w:t>of to</w:t>
            </w:r>
          </w:p>
        </w:tc>
        <w:tc>
          <w:tcPr>
            <w:tcW w:w="1590" w:type="dxa"/>
            <w:gridSpan w:val="2"/>
            <w:tcBorders>
              <w:top w:val="single" w:sz="4" w:space="0" w:color="231F20"/>
              <w:left w:val="single" w:sz="4" w:space="0" w:color="231F20"/>
              <w:bottom w:val="single" w:sz="4" w:space="0" w:color="231F20"/>
              <w:right w:val="single" w:sz="4" w:space="0" w:color="231F20"/>
            </w:tcBorders>
            <w:shd w:val="clear" w:color="auto" w:fill="F2F2F3"/>
          </w:tcPr>
          <w:p w14:paraId="32D4FC63" w14:textId="77777777" w:rsidR="00783288" w:rsidRDefault="00E31420">
            <w:pPr>
              <w:pStyle w:val="TableParagraph"/>
              <w:kinsoku w:val="0"/>
              <w:overflowPunct w:val="0"/>
              <w:spacing w:line="206" w:lineRule="exact"/>
              <w:ind w:left="106"/>
              <w:rPr>
                <w:color w:val="231F20"/>
                <w:sz w:val="18"/>
                <w:szCs w:val="18"/>
              </w:rPr>
            </w:pPr>
            <w:r>
              <w:rPr>
                <w:color w:val="231F20"/>
                <w:sz w:val="18"/>
                <w:szCs w:val="18"/>
              </w:rPr>
              <w:t>Exercise Period</w:t>
            </w:r>
          </w:p>
        </w:tc>
        <w:tc>
          <w:tcPr>
            <w:tcW w:w="864" w:type="dxa"/>
            <w:tcBorders>
              <w:top w:val="single" w:sz="4" w:space="0" w:color="231F20"/>
              <w:left w:val="single" w:sz="4" w:space="0" w:color="231F20"/>
              <w:bottom w:val="single" w:sz="4" w:space="0" w:color="231F20"/>
              <w:right w:val="none" w:sz="6" w:space="0" w:color="auto"/>
            </w:tcBorders>
            <w:shd w:val="clear" w:color="auto" w:fill="F2F2F3"/>
          </w:tcPr>
          <w:p w14:paraId="2FE31F08" w14:textId="77777777" w:rsidR="00783288" w:rsidRDefault="00E31420">
            <w:pPr>
              <w:pStyle w:val="TableParagraph"/>
              <w:kinsoku w:val="0"/>
              <w:overflowPunct w:val="0"/>
              <w:ind w:left="104" w:right="44"/>
              <w:rPr>
                <w:color w:val="231F20"/>
                <w:sz w:val="18"/>
                <w:szCs w:val="18"/>
              </w:rPr>
            </w:pPr>
            <w:r>
              <w:rPr>
                <w:color w:val="231F20"/>
                <w:sz w:val="18"/>
                <w:szCs w:val="18"/>
              </w:rPr>
              <w:t>Exercise share</w:t>
            </w:r>
          </w:p>
        </w:tc>
        <w:tc>
          <w:tcPr>
            <w:tcW w:w="540" w:type="dxa"/>
            <w:tcBorders>
              <w:top w:val="single" w:sz="4" w:space="0" w:color="231F20"/>
              <w:left w:val="none" w:sz="6" w:space="0" w:color="auto"/>
              <w:bottom w:val="single" w:sz="4" w:space="0" w:color="231F20"/>
              <w:right w:val="none" w:sz="6" w:space="0" w:color="auto"/>
            </w:tcBorders>
            <w:shd w:val="clear" w:color="auto" w:fill="F2F2F3"/>
          </w:tcPr>
          <w:p w14:paraId="372A512B" w14:textId="77777777" w:rsidR="00783288" w:rsidRDefault="00E31420">
            <w:pPr>
              <w:pStyle w:val="TableParagraph"/>
              <w:kinsoku w:val="0"/>
              <w:overflowPunct w:val="0"/>
              <w:spacing w:line="206" w:lineRule="exact"/>
              <w:ind w:left="69"/>
              <w:rPr>
                <w:color w:val="231F20"/>
                <w:sz w:val="18"/>
                <w:szCs w:val="18"/>
              </w:rPr>
            </w:pPr>
            <w:r>
              <w:rPr>
                <w:color w:val="231F20"/>
                <w:sz w:val="18"/>
                <w:szCs w:val="18"/>
              </w:rPr>
              <w:t>Price</w:t>
            </w:r>
          </w:p>
        </w:tc>
        <w:tc>
          <w:tcPr>
            <w:tcW w:w="432" w:type="dxa"/>
            <w:tcBorders>
              <w:top w:val="single" w:sz="4" w:space="0" w:color="231F20"/>
              <w:left w:val="none" w:sz="6" w:space="0" w:color="auto"/>
              <w:bottom w:val="single" w:sz="4" w:space="0" w:color="231F20"/>
              <w:right w:val="single" w:sz="4" w:space="0" w:color="231F20"/>
            </w:tcBorders>
            <w:shd w:val="clear" w:color="auto" w:fill="F2F2F3"/>
          </w:tcPr>
          <w:p w14:paraId="6D78C199" w14:textId="77777777" w:rsidR="00783288" w:rsidRDefault="00E31420">
            <w:pPr>
              <w:pStyle w:val="TableParagraph"/>
              <w:kinsoku w:val="0"/>
              <w:overflowPunct w:val="0"/>
              <w:spacing w:line="206" w:lineRule="exact"/>
              <w:ind w:left="68"/>
              <w:rPr>
                <w:color w:val="231F20"/>
                <w:sz w:val="18"/>
                <w:szCs w:val="18"/>
              </w:rPr>
            </w:pPr>
            <w:r>
              <w:rPr>
                <w:color w:val="231F20"/>
                <w:sz w:val="18"/>
                <w:szCs w:val="18"/>
              </w:rPr>
              <w:t>per</w:t>
            </w:r>
          </w:p>
        </w:tc>
      </w:tr>
      <w:tr w:rsidR="00783288" w14:paraId="788B9F88" w14:textId="77777777">
        <w:trPr>
          <w:trHeight w:val="208"/>
        </w:trPr>
        <w:tc>
          <w:tcPr>
            <w:tcW w:w="1063" w:type="dxa"/>
            <w:tcBorders>
              <w:top w:val="single" w:sz="4" w:space="0" w:color="231F20"/>
              <w:left w:val="single" w:sz="4" w:space="0" w:color="231F20"/>
              <w:bottom w:val="none" w:sz="6" w:space="0" w:color="auto"/>
              <w:right w:val="single" w:sz="4" w:space="0" w:color="231F20"/>
            </w:tcBorders>
          </w:tcPr>
          <w:p w14:paraId="6564F62E" w14:textId="77777777" w:rsidR="00783288" w:rsidRDefault="00E31420">
            <w:pPr>
              <w:pStyle w:val="TableParagraph"/>
              <w:kinsoku w:val="0"/>
              <w:overflowPunct w:val="0"/>
              <w:spacing w:line="189" w:lineRule="exact"/>
              <w:ind w:left="107"/>
              <w:rPr>
                <w:color w:val="231F20"/>
                <w:sz w:val="18"/>
                <w:szCs w:val="18"/>
              </w:rPr>
            </w:pPr>
            <w:r>
              <w:rPr>
                <w:color w:val="231F20"/>
                <w:sz w:val="18"/>
                <w:szCs w:val="18"/>
              </w:rPr>
              <w:t>Seed</w:t>
            </w:r>
          </w:p>
        </w:tc>
        <w:tc>
          <w:tcPr>
            <w:tcW w:w="894" w:type="dxa"/>
            <w:tcBorders>
              <w:top w:val="single" w:sz="4" w:space="0" w:color="231F20"/>
              <w:left w:val="single" w:sz="4" w:space="0" w:color="231F20"/>
              <w:bottom w:val="none" w:sz="6" w:space="0" w:color="auto"/>
              <w:right w:val="none" w:sz="6" w:space="0" w:color="auto"/>
            </w:tcBorders>
          </w:tcPr>
          <w:p w14:paraId="6D453EA4" w14:textId="77777777" w:rsidR="00783288" w:rsidRDefault="00E31420">
            <w:pPr>
              <w:pStyle w:val="TableParagraph"/>
              <w:kinsoku w:val="0"/>
              <w:overflowPunct w:val="0"/>
              <w:spacing w:line="189" w:lineRule="exact"/>
              <w:ind w:left="105"/>
              <w:rPr>
                <w:color w:val="231F20"/>
                <w:sz w:val="18"/>
                <w:szCs w:val="18"/>
              </w:rPr>
            </w:pPr>
            <w:r>
              <w:rPr>
                <w:color w:val="231F20"/>
                <w:sz w:val="18"/>
                <w:szCs w:val="18"/>
              </w:rPr>
              <w:t>Series</w:t>
            </w:r>
          </w:p>
        </w:tc>
        <w:tc>
          <w:tcPr>
            <w:tcW w:w="502" w:type="dxa"/>
            <w:tcBorders>
              <w:top w:val="single" w:sz="4" w:space="0" w:color="231F20"/>
              <w:left w:val="none" w:sz="6" w:space="0" w:color="auto"/>
              <w:bottom w:val="none" w:sz="6" w:space="0" w:color="auto"/>
              <w:right w:val="single" w:sz="4" w:space="0" w:color="231F20"/>
            </w:tcBorders>
          </w:tcPr>
          <w:p w14:paraId="1481040E" w14:textId="77777777" w:rsidR="00783288" w:rsidRDefault="00E31420">
            <w:pPr>
              <w:pStyle w:val="TableParagraph"/>
              <w:kinsoku w:val="0"/>
              <w:overflowPunct w:val="0"/>
              <w:spacing w:line="189" w:lineRule="exact"/>
              <w:ind w:left="281"/>
              <w:rPr>
                <w:color w:val="231F20"/>
                <w:w w:val="99"/>
                <w:sz w:val="18"/>
                <w:szCs w:val="18"/>
              </w:rPr>
            </w:pPr>
            <w:r>
              <w:rPr>
                <w:color w:val="231F20"/>
                <w:w w:val="99"/>
                <w:sz w:val="18"/>
                <w:szCs w:val="18"/>
              </w:rPr>
              <w:t>A</w:t>
            </w:r>
          </w:p>
        </w:tc>
        <w:tc>
          <w:tcPr>
            <w:tcW w:w="1046" w:type="dxa"/>
            <w:gridSpan w:val="2"/>
            <w:tcBorders>
              <w:top w:val="single" w:sz="4" w:space="0" w:color="231F20"/>
              <w:left w:val="single" w:sz="4" w:space="0" w:color="231F20"/>
              <w:bottom w:val="none" w:sz="6" w:space="0" w:color="auto"/>
              <w:right w:val="single" w:sz="4" w:space="0" w:color="231F20"/>
            </w:tcBorders>
          </w:tcPr>
          <w:p w14:paraId="348544E9" w14:textId="77777777" w:rsidR="00783288" w:rsidRDefault="00E31420">
            <w:pPr>
              <w:pStyle w:val="TableParagraph"/>
              <w:kinsoku w:val="0"/>
              <w:overflowPunct w:val="0"/>
              <w:spacing w:line="189" w:lineRule="exact"/>
              <w:ind w:left="108"/>
              <w:rPr>
                <w:color w:val="231F20"/>
                <w:sz w:val="18"/>
                <w:szCs w:val="18"/>
              </w:rPr>
            </w:pPr>
            <w:r>
              <w:rPr>
                <w:color w:val="231F20"/>
                <w:sz w:val="18"/>
                <w:szCs w:val="18"/>
              </w:rPr>
              <w:t>1,200,000</w:t>
            </w:r>
          </w:p>
        </w:tc>
        <w:tc>
          <w:tcPr>
            <w:tcW w:w="1380" w:type="dxa"/>
            <w:gridSpan w:val="2"/>
            <w:tcBorders>
              <w:top w:val="single" w:sz="4" w:space="0" w:color="231F20"/>
              <w:left w:val="single" w:sz="4" w:space="0" w:color="231F20"/>
              <w:bottom w:val="none" w:sz="6" w:space="0" w:color="auto"/>
              <w:right w:val="single" w:sz="4" w:space="0" w:color="231F20"/>
            </w:tcBorders>
          </w:tcPr>
          <w:p w14:paraId="77B15E7B" w14:textId="7850B8A7" w:rsidR="00783288" w:rsidRDefault="00E31420">
            <w:pPr>
              <w:pStyle w:val="TableParagraph"/>
              <w:kinsoku w:val="0"/>
              <w:overflowPunct w:val="0"/>
              <w:spacing w:line="189" w:lineRule="exact"/>
              <w:ind w:left="108"/>
              <w:rPr>
                <w:color w:val="231F20"/>
                <w:sz w:val="18"/>
                <w:szCs w:val="18"/>
              </w:rPr>
            </w:pPr>
            <w:r>
              <w:rPr>
                <w:color w:val="231F20"/>
                <w:sz w:val="18"/>
                <w:szCs w:val="18"/>
              </w:rPr>
              <w:t>5,</w:t>
            </w:r>
            <w:r w:rsidR="00FD36FD">
              <w:rPr>
                <w:color w:val="231F20"/>
                <w:sz w:val="18"/>
                <w:szCs w:val="18"/>
              </w:rPr>
              <w:t>000</w:t>
            </w:r>
            <w:r>
              <w:rPr>
                <w:color w:val="231F20"/>
                <w:sz w:val="18"/>
                <w:szCs w:val="18"/>
              </w:rPr>
              <w:t>,000</w:t>
            </w:r>
          </w:p>
        </w:tc>
        <w:tc>
          <w:tcPr>
            <w:tcW w:w="1590" w:type="dxa"/>
            <w:gridSpan w:val="2"/>
            <w:tcBorders>
              <w:top w:val="single" w:sz="4" w:space="0" w:color="231F20"/>
              <w:left w:val="single" w:sz="4" w:space="0" w:color="231F20"/>
              <w:bottom w:val="none" w:sz="6" w:space="0" w:color="auto"/>
              <w:right w:val="single" w:sz="4" w:space="0" w:color="231F20"/>
            </w:tcBorders>
          </w:tcPr>
          <w:p w14:paraId="6A828B98" w14:textId="77777777" w:rsidR="00783288" w:rsidRDefault="00E31420">
            <w:pPr>
              <w:pStyle w:val="TableParagraph"/>
              <w:kinsoku w:val="0"/>
              <w:overflowPunct w:val="0"/>
              <w:spacing w:line="189" w:lineRule="exact"/>
              <w:ind w:left="106"/>
              <w:rPr>
                <w:color w:val="231F20"/>
                <w:sz w:val="18"/>
                <w:szCs w:val="18"/>
              </w:rPr>
            </w:pPr>
            <w:r>
              <w:rPr>
                <w:color w:val="231F20"/>
                <w:sz w:val="18"/>
                <w:szCs w:val="18"/>
              </w:rPr>
              <w:t>Until 29 August</w:t>
            </w:r>
          </w:p>
        </w:tc>
        <w:tc>
          <w:tcPr>
            <w:tcW w:w="1836" w:type="dxa"/>
            <w:gridSpan w:val="3"/>
            <w:tcBorders>
              <w:top w:val="single" w:sz="4" w:space="0" w:color="231F20"/>
              <w:left w:val="single" w:sz="4" w:space="0" w:color="231F20"/>
              <w:bottom w:val="none" w:sz="6" w:space="0" w:color="auto"/>
              <w:right w:val="single" w:sz="4" w:space="0" w:color="231F20"/>
            </w:tcBorders>
          </w:tcPr>
          <w:p w14:paraId="2D322A40" w14:textId="77777777" w:rsidR="00783288" w:rsidRDefault="00E31420">
            <w:pPr>
              <w:pStyle w:val="TableParagraph"/>
              <w:kinsoku w:val="0"/>
              <w:overflowPunct w:val="0"/>
              <w:spacing w:line="189" w:lineRule="exact"/>
              <w:ind w:left="104"/>
              <w:rPr>
                <w:color w:val="231F20"/>
                <w:sz w:val="18"/>
                <w:szCs w:val="18"/>
              </w:rPr>
            </w:pPr>
            <w:r>
              <w:rPr>
                <w:color w:val="231F20"/>
                <w:sz w:val="18"/>
                <w:szCs w:val="18"/>
              </w:rPr>
              <w:t>£0.05</w:t>
            </w:r>
          </w:p>
        </w:tc>
      </w:tr>
      <w:tr w:rsidR="00783288" w14:paraId="50D1BD1B" w14:textId="77777777">
        <w:trPr>
          <w:trHeight w:val="206"/>
        </w:trPr>
        <w:tc>
          <w:tcPr>
            <w:tcW w:w="1063" w:type="dxa"/>
            <w:tcBorders>
              <w:top w:val="none" w:sz="6" w:space="0" w:color="auto"/>
              <w:left w:val="single" w:sz="4" w:space="0" w:color="231F20"/>
              <w:bottom w:val="none" w:sz="6" w:space="0" w:color="auto"/>
              <w:right w:val="single" w:sz="4" w:space="0" w:color="231F20"/>
            </w:tcBorders>
          </w:tcPr>
          <w:p w14:paraId="1F740CC9" w14:textId="77777777" w:rsidR="00783288" w:rsidRDefault="00E31420">
            <w:pPr>
              <w:pStyle w:val="TableParagraph"/>
              <w:kinsoku w:val="0"/>
              <w:overflowPunct w:val="0"/>
              <w:spacing w:line="186" w:lineRule="exact"/>
              <w:ind w:left="107"/>
              <w:rPr>
                <w:color w:val="231F20"/>
                <w:sz w:val="18"/>
                <w:szCs w:val="18"/>
              </w:rPr>
            </w:pPr>
            <w:r>
              <w:rPr>
                <w:color w:val="231F20"/>
                <w:sz w:val="18"/>
                <w:szCs w:val="18"/>
              </w:rPr>
              <w:t>Investors</w:t>
            </w:r>
          </w:p>
        </w:tc>
        <w:tc>
          <w:tcPr>
            <w:tcW w:w="1396" w:type="dxa"/>
            <w:gridSpan w:val="2"/>
            <w:tcBorders>
              <w:top w:val="none" w:sz="6" w:space="0" w:color="auto"/>
              <w:left w:val="single" w:sz="4" w:space="0" w:color="231F20"/>
              <w:bottom w:val="none" w:sz="6" w:space="0" w:color="auto"/>
              <w:right w:val="single" w:sz="4" w:space="0" w:color="231F20"/>
            </w:tcBorders>
          </w:tcPr>
          <w:p w14:paraId="421B2F8B" w14:textId="77777777" w:rsidR="00783288" w:rsidRDefault="00E31420">
            <w:pPr>
              <w:pStyle w:val="TableParagraph"/>
              <w:kinsoku w:val="0"/>
              <w:overflowPunct w:val="0"/>
              <w:spacing w:line="186" w:lineRule="exact"/>
              <w:ind w:left="105"/>
              <w:rPr>
                <w:color w:val="231F20"/>
                <w:sz w:val="18"/>
                <w:szCs w:val="18"/>
              </w:rPr>
            </w:pPr>
            <w:r>
              <w:rPr>
                <w:color w:val="231F20"/>
                <w:sz w:val="18"/>
                <w:szCs w:val="18"/>
              </w:rPr>
              <w:t>Warrant Deed</w:t>
            </w:r>
          </w:p>
        </w:tc>
        <w:tc>
          <w:tcPr>
            <w:tcW w:w="640" w:type="dxa"/>
            <w:tcBorders>
              <w:top w:val="none" w:sz="6" w:space="0" w:color="auto"/>
              <w:left w:val="single" w:sz="4" w:space="0" w:color="231F20"/>
              <w:bottom w:val="none" w:sz="6" w:space="0" w:color="auto"/>
              <w:right w:val="none" w:sz="6" w:space="0" w:color="auto"/>
            </w:tcBorders>
          </w:tcPr>
          <w:p w14:paraId="27FBCE00" w14:textId="77777777" w:rsidR="00783288" w:rsidRDefault="00E31420">
            <w:pPr>
              <w:pStyle w:val="TableParagraph"/>
              <w:kinsoku w:val="0"/>
              <w:overflowPunct w:val="0"/>
              <w:spacing w:line="186" w:lineRule="exact"/>
              <w:ind w:left="108"/>
              <w:rPr>
                <w:color w:val="231F20"/>
                <w:sz w:val="18"/>
                <w:szCs w:val="18"/>
              </w:rPr>
            </w:pPr>
            <w:r>
              <w:rPr>
                <w:color w:val="231F20"/>
                <w:sz w:val="18"/>
                <w:szCs w:val="18"/>
              </w:rPr>
              <w:t>on</w:t>
            </w:r>
          </w:p>
        </w:tc>
        <w:tc>
          <w:tcPr>
            <w:tcW w:w="406" w:type="dxa"/>
            <w:tcBorders>
              <w:top w:val="none" w:sz="6" w:space="0" w:color="auto"/>
              <w:left w:val="none" w:sz="6" w:space="0" w:color="auto"/>
              <w:bottom w:val="none" w:sz="6" w:space="0" w:color="auto"/>
              <w:right w:val="single" w:sz="4" w:space="0" w:color="231F20"/>
            </w:tcBorders>
          </w:tcPr>
          <w:p w14:paraId="021A9C10" w14:textId="77777777" w:rsidR="00783288" w:rsidRDefault="00E31420">
            <w:pPr>
              <w:pStyle w:val="TableParagraph"/>
              <w:kinsoku w:val="0"/>
              <w:overflowPunct w:val="0"/>
              <w:spacing w:line="186" w:lineRule="exact"/>
              <w:ind w:left="106"/>
              <w:rPr>
                <w:color w:val="231F20"/>
                <w:sz w:val="18"/>
                <w:szCs w:val="18"/>
              </w:rPr>
            </w:pPr>
            <w:r>
              <w:rPr>
                <w:color w:val="231F20"/>
                <w:sz w:val="18"/>
                <w:szCs w:val="18"/>
              </w:rPr>
              <w:t>16</w:t>
            </w:r>
          </w:p>
        </w:tc>
        <w:tc>
          <w:tcPr>
            <w:tcW w:w="1380" w:type="dxa"/>
            <w:gridSpan w:val="2"/>
            <w:tcBorders>
              <w:top w:val="none" w:sz="6" w:space="0" w:color="auto"/>
              <w:left w:val="single" w:sz="4" w:space="0" w:color="231F20"/>
              <w:bottom w:val="none" w:sz="6" w:space="0" w:color="auto"/>
              <w:right w:val="single" w:sz="4" w:space="0" w:color="231F20"/>
            </w:tcBorders>
          </w:tcPr>
          <w:p w14:paraId="51E1BEEB" w14:textId="77777777" w:rsidR="00783288" w:rsidRDefault="00783288">
            <w:pPr>
              <w:pStyle w:val="TableParagraph"/>
              <w:kinsoku w:val="0"/>
              <w:overflowPunct w:val="0"/>
              <w:rPr>
                <w:rFonts w:ascii="Times New Roman" w:hAnsi="Times New Roman" w:cs="Times New Roman"/>
                <w:sz w:val="14"/>
                <w:szCs w:val="14"/>
              </w:rPr>
            </w:pPr>
          </w:p>
        </w:tc>
        <w:tc>
          <w:tcPr>
            <w:tcW w:w="1590" w:type="dxa"/>
            <w:gridSpan w:val="2"/>
            <w:tcBorders>
              <w:top w:val="none" w:sz="6" w:space="0" w:color="auto"/>
              <w:left w:val="single" w:sz="4" w:space="0" w:color="231F20"/>
              <w:bottom w:val="none" w:sz="6" w:space="0" w:color="auto"/>
              <w:right w:val="single" w:sz="4" w:space="0" w:color="231F20"/>
            </w:tcBorders>
          </w:tcPr>
          <w:p w14:paraId="5C66248C" w14:textId="77777777" w:rsidR="00783288" w:rsidRDefault="00E31420">
            <w:pPr>
              <w:pStyle w:val="TableParagraph"/>
              <w:kinsoku w:val="0"/>
              <w:overflowPunct w:val="0"/>
              <w:spacing w:line="186" w:lineRule="exact"/>
              <w:ind w:left="106"/>
              <w:rPr>
                <w:color w:val="231F20"/>
                <w:sz w:val="18"/>
                <w:szCs w:val="18"/>
              </w:rPr>
            </w:pPr>
            <w:r>
              <w:rPr>
                <w:color w:val="231F20"/>
                <w:sz w:val="18"/>
                <w:szCs w:val="18"/>
              </w:rPr>
              <w:t>2025</w:t>
            </w:r>
          </w:p>
        </w:tc>
        <w:tc>
          <w:tcPr>
            <w:tcW w:w="1836" w:type="dxa"/>
            <w:gridSpan w:val="3"/>
            <w:tcBorders>
              <w:top w:val="none" w:sz="6" w:space="0" w:color="auto"/>
              <w:left w:val="single" w:sz="4" w:space="0" w:color="231F20"/>
              <w:bottom w:val="none" w:sz="6" w:space="0" w:color="auto"/>
              <w:right w:val="single" w:sz="4" w:space="0" w:color="231F20"/>
            </w:tcBorders>
          </w:tcPr>
          <w:p w14:paraId="55950445" w14:textId="77777777" w:rsidR="00783288" w:rsidRDefault="00783288">
            <w:pPr>
              <w:pStyle w:val="TableParagraph"/>
              <w:kinsoku w:val="0"/>
              <w:overflowPunct w:val="0"/>
              <w:rPr>
                <w:rFonts w:ascii="Times New Roman" w:hAnsi="Times New Roman" w:cs="Times New Roman"/>
                <w:sz w:val="14"/>
                <w:szCs w:val="14"/>
              </w:rPr>
            </w:pPr>
          </w:p>
        </w:tc>
      </w:tr>
      <w:tr w:rsidR="00783288" w14:paraId="7DCD7A99" w14:textId="77777777">
        <w:trPr>
          <w:trHeight w:val="207"/>
        </w:trPr>
        <w:tc>
          <w:tcPr>
            <w:tcW w:w="1063" w:type="dxa"/>
            <w:tcBorders>
              <w:top w:val="none" w:sz="6" w:space="0" w:color="auto"/>
              <w:left w:val="single" w:sz="4" w:space="0" w:color="231F20"/>
              <w:bottom w:val="none" w:sz="6" w:space="0" w:color="auto"/>
              <w:right w:val="single" w:sz="4" w:space="0" w:color="231F20"/>
            </w:tcBorders>
          </w:tcPr>
          <w:p w14:paraId="1950A02F" w14:textId="77777777" w:rsidR="00783288" w:rsidRDefault="00783288">
            <w:pPr>
              <w:pStyle w:val="TableParagraph"/>
              <w:kinsoku w:val="0"/>
              <w:overflowPunct w:val="0"/>
              <w:rPr>
                <w:rFonts w:ascii="Times New Roman" w:hAnsi="Times New Roman" w:cs="Times New Roman"/>
                <w:sz w:val="14"/>
                <w:szCs w:val="14"/>
              </w:rPr>
            </w:pPr>
          </w:p>
        </w:tc>
        <w:tc>
          <w:tcPr>
            <w:tcW w:w="1396" w:type="dxa"/>
            <w:gridSpan w:val="2"/>
            <w:tcBorders>
              <w:top w:val="none" w:sz="6" w:space="0" w:color="auto"/>
              <w:left w:val="single" w:sz="4" w:space="0" w:color="231F20"/>
              <w:bottom w:val="none" w:sz="6" w:space="0" w:color="auto"/>
              <w:right w:val="single" w:sz="4" w:space="0" w:color="231F20"/>
            </w:tcBorders>
          </w:tcPr>
          <w:p w14:paraId="451DE9B7" w14:textId="77777777" w:rsidR="00783288" w:rsidRDefault="00783288">
            <w:pPr>
              <w:pStyle w:val="TableParagraph"/>
              <w:kinsoku w:val="0"/>
              <w:overflowPunct w:val="0"/>
              <w:rPr>
                <w:rFonts w:ascii="Times New Roman" w:hAnsi="Times New Roman" w:cs="Times New Roman"/>
                <w:sz w:val="14"/>
                <w:szCs w:val="14"/>
              </w:rPr>
            </w:pPr>
          </w:p>
        </w:tc>
        <w:tc>
          <w:tcPr>
            <w:tcW w:w="1046" w:type="dxa"/>
            <w:gridSpan w:val="2"/>
            <w:tcBorders>
              <w:top w:val="none" w:sz="6" w:space="0" w:color="auto"/>
              <w:left w:val="single" w:sz="4" w:space="0" w:color="231F20"/>
              <w:bottom w:val="none" w:sz="6" w:space="0" w:color="auto"/>
              <w:right w:val="single" w:sz="4" w:space="0" w:color="231F20"/>
            </w:tcBorders>
          </w:tcPr>
          <w:p w14:paraId="279BE5A0" w14:textId="77777777" w:rsidR="00783288" w:rsidRDefault="00E31420">
            <w:pPr>
              <w:pStyle w:val="TableParagraph"/>
              <w:kinsoku w:val="0"/>
              <w:overflowPunct w:val="0"/>
              <w:spacing w:line="188" w:lineRule="exact"/>
              <w:ind w:left="108"/>
              <w:rPr>
                <w:color w:val="231F20"/>
                <w:sz w:val="18"/>
                <w:szCs w:val="18"/>
              </w:rPr>
            </w:pPr>
            <w:r>
              <w:rPr>
                <w:color w:val="231F20"/>
                <w:sz w:val="18"/>
                <w:szCs w:val="18"/>
              </w:rPr>
              <w:t>March</w:t>
            </w:r>
          </w:p>
        </w:tc>
        <w:tc>
          <w:tcPr>
            <w:tcW w:w="1380" w:type="dxa"/>
            <w:gridSpan w:val="2"/>
            <w:tcBorders>
              <w:top w:val="none" w:sz="6" w:space="0" w:color="auto"/>
              <w:left w:val="single" w:sz="4" w:space="0" w:color="231F20"/>
              <w:bottom w:val="none" w:sz="6" w:space="0" w:color="auto"/>
              <w:right w:val="single" w:sz="4" w:space="0" w:color="231F20"/>
            </w:tcBorders>
          </w:tcPr>
          <w:p w14:paraId="22C5044B" w14:textId="77777777" w:rsidR="00783288" w:rsidRDefault="00783288">
            <w:pPr>
              <w:pStyle w:val="TableParagraph"/>
              <w:kinsoku w:val="0"/>
              <w:overflowPunct w:val="0"/>
              <w:rPr>
                <w:rFonts w:ascii="Times New Roman" w:hAnsi="Times New Roman" w:cs="Times New Roman"/>
                <w:sz w:val="14"/>
                <w:szCs w:val="14"/>
              </w:rPr>
            </w:pPr>
          </w:p>
        </w:tc>
        <w:tc>
          <w:tcPr>
            <w:tcW w:w="1590" w:type="dxa"/>
            <w:gridSpan w:val="2"/>
            <w:tcBorders>
              <w:top w:val="none" w:sz="6" w:space="0" w:color="auto"/>
              <w:left w:val="single" w:sz="4" w:space="0" w:color="231F20"/>
              <w:bottom w:val="none" w:sz="6" w:space="0" w:color="auto"/>
              <w:right w:val="single" w:sz="4" w:space="0" w:color="231F20"/>
            </w:tcBorders>
          </w:tcPr>
          <w:p w14:paraId="7B426A90" w14:textId="77777777" w:rsidR="00783288" w:rsidRDefault="00783288">
            <w:pPr>
              <w:pStyle w:val="TableParagraph"/>
              <w:kinsoku w:val="0"/>
              <w:overflowPunct w:val="0"/>
              <w:rPr>
                <w:rFonts w:ascii="Times New Roman" w:hAnsi="Times New Roman" w:cs="Times New Roman"/>
                <w:sz w:val="14"/>
                <w:szCs w:val="14"/>
              </w:rPr>
            </w:pPr>
          </w:p>
        </w:tc>
        <w:tc>
          <w:tcPr>
            <w:tcW w:w="1836" w:type="dxa"/>
            <w:gridSpan w:val="3"/>
            <w:tcBorders>
              <w:top w:val="none" w:sz="6" w:space="0" w:color="auto"/>
              <w:left w:val="single" w:sz="4" w:space="0" w:color="231F20"/>
              <w:bottom w:val="none" w:sz="6" w:space="0" w:color="auto"/>
              <w:right w:val="single" w:sz="4" w:space="0" w:color="231F20"/>
            </w:tcBorders>
          </w:tcPr>
          <w:p w14:paraId="3DFF14CB" w14:textId="77777777" w:rsidR="00783288" w:rsidRDefault="00783288">
            <w:pPr>
              <w:pStyle w:val="TableParagraph"/>
              <w:kinsoku w:val="0"/>
              <w:overflowPunct w:val="0"/>
              <w:rPr>
                <w:rFonts w:ascii="Times New Roman" w:hAnsi="Times New Roman" w:cs="Times New Roman"/>
                <w:sz w:val="14"/>
                <w:szCs w:val="14"/>
              </w:rPr>
            </w:pPr>
          </w:p>
        </w:tc>
      </w:tr>
      <w:tr w:rsidR="00783288" w14:paraId="56CF2DE7" w14:textId="77777777">
        <w:trPr>
          <w:trHeight w:val="327"/>
        </w:trPr>
        <w:tc>
          <w:tcPr>
            <w:tcW w:w="1063" w:type="dxa"/>
            <w:tcBorders>
              <w:top w:val="none" w:sz="6" w:space="0" w:color="auto"/>
              <w:left w:val="single" w:sz="4" w:space="0" w:color="231F20"/>
              <w:bottom w:val="none" w:sz="6" w:space="0" w:color="auto"/>
              <w:right w:val="single" w:sz="4" w:space="0" w:color="231F20"/>
            </w:tcBorders>
          </w:tcPr>
          <w:p w14:paraId="4EE52B07" w14:textId="77777777" w:rsidR="00783288" w:rsidRDefault="00783288">
            <w:pPr>
              <w:pStyle w:val="TableParagraph"/>
              <w:kinsoku w:val="0"/>
              <w:overflowPunct w:val="0"/>
              <w:rPr>
                <w:rFonts w:ascii="Times New Roman" w:hAnsi="Times New Roman" w:cs="Times New Roman"/>
                <w:sz w:val="16"/>
                <w:szCs w:val="16"/>
              </w:rPr>
            </w:pPr>
          </w:p>
        </w:tc>
        <w:tc>
          <w:tcPr>
            <w:tcW w:w="1396" w:type="dxa"/>
            <w:gridSpan w:val="2"/>
            <w:tcBorders>
              <w:top w:val="none" w:sz="6" w:space="0" w:color="auto"/>
              <w:left w:val="single" w:sz="4" w:space="0" w:color="231F20"/>
              <w:bottom w:val="none" w:sz="6" w:space="0" w:color="auto"/>
              <w:right w:val="single" w:sz="4" w:space="0" w:color="231F20"/>
            </w:tcBorders>
          </w:tcPr>
          <w:p w14:paraId="48B097AA" w14:textId="77777777" w:rsidR="00783288" w:rsidRDefault="00783288">
            <w:pPr>
              <w:pStyle w:val="TableParagraph"/>
              <w:kinsoku w:val="0"/>
              <w:overflowPunct w:val="0"/>
              <w:rPr>
                <w:rFonts w:ascii="Times New Roman" w:hAnsi="Times New Roman" w:cs="Times New Roman"/>
                <w:sz w:val="16"/>
                <w:szCs w:val="16"/>
              </w:rPr>
            </w:pPr>
          </w:p>
        </w:tc>
        <w:tc>
          <w:tcPr>
            <w:tcW w:w="1046" w:type="dxa"/>
            <w:gridSpan w:val="2"/>
            <w:tcBorders>
              <w:top w:val="none" w:sz="6" w:space="0" w:color="auto"/>
              <w:left w:val="single" w:sz="4" w:space="0" w:color="231F20"/>
              <w:bottom w:val="none" w:sz="6" w:space="0" w:color="auto"/>
              <w:right w:val="single" w:sz="4" w:space="0" w:color="231F20"/>
            </w:tcBorders>
          </w:tcPr>
          <w:p w14:paraId="39B732B8" w14:textId="77777777" w:rsidR="00783288" w:rsidRDefault="00E31420">
            <w:pPr>
              <w:pStyle w:val="TableParagraph"/>
              <w:kinsoku w:val="0"/>
              <w:overflowPunct w:val="0"/>
              <w:spacing w:line="205" w:lineRule="exact"/>
              <w:ind w:left="108"/>
              <w:rPr>
                <w:color w:val="231F20"/>
                <w:sz w:val="18"/>
                <w:szCs w:val="18"/>
              </w:rPr>
            </w:pPr>
            <w:r>
              <w:rPr>
                <w:color w:val="231F20"/>
                <w:sz w:val="18"/>
                <w:szCs w:val="18"/>
              </w:rPr>
              <w:t>2017</w:t>
            </w:r>
          </w:p>
        </w:tc>
        <w:tc>
          <w:tcPr>
            <w:tcW w:w="1380" w:type="dxa"/>
            <w:gridSpan w:val="2"/>
            <w:tcBorders>
              <w:top w:val="none" w:sz="6" w:space="0" w:color="auto"/>
              <w:left w:val="single" w:sz="4" w:space="0" w:color="231F20"/>
              <w:bottom w:val="none" w:sz="6" w:space="0" w:color="auto"/>
              <w:right w:val="single" w:sz="4" w:space="0" w:color="231F20"/>
            </w:tcBorders>
          </w:tcPr>
          <w:p w14:paraId="44218E24" w14:textId="77777777" w:rsidR="00783288" w:rsidRDefault="00783288">
            <w:pPr>
              <w:pStyle w:val="TableParagraph"/>
              <w:kinsoku w:val="0"/>
              <w:overflowPunct w:val="0"/>
              <w:rPr>
                <w:rFonts w:ascii="Times New Roman" w:hAnsi="Times New Roman" w:cs="Times New Roman"/>
                <w:sz w:val="16"/>
                <w:szCs w:val="16"/>
              </w:rPr>
            </w:pPr>
          </w:p>
        </w:tc>
        <w:tc>
          <w:tcPr>
            <w:tcW w:w="1590" w:type="dxa"/>
            <w:gridSpan w:val="2"/>
            <w:tcBorders>
              <w:top w:val="none" w:sz="6" w:space="0" w:color="auto"/>
              <w:left w:val="single" w:sz="4" w:space="0" w:color="231F20"/>
              <w:bottom w:val="none" w:sz="6" w:space="0" w:color="auto"/>
              <w:right w:val="single" w:sz="4" w:space="0" w:color="231F20"/>
            </w:tcBorders>
          </w:tcPr>
          <w:p w14:paraId="5656D7FD" w14:textId="77777777" w:rsidR="00783288" w:rsidRDefault="00783288">
            <w:pPr>
              <w:pStyle w:val="TableParagraph"/>
              <w:kinsoku w:val="0"/>
              <w:overflowPunct w:val="0"/>
              <w:rPr>
                <w:rFonts w:ascii="Times New Roman" w:hAnsi="Times New Roman" w:cs="Times New Roman"/>
                <w:sz w:val="16"/>
                <w:szCs w:val="16"/>
              </w:rPr>
            </w:pPr>
          </w:p>
        </w:tc>
        <w:tc>
          <w:tcPr>
            <w:tcW w:w="1836" w:type="dxa"/>
            <w:gridSpan w:val="3"/>
            <w:tcBorders>
              <w:top w:val="none" w:sz="6" w:space="0" w:color="auto"/>
              <w:left w:val="single" w:sz="4" w:space="0" w:color="231F20"/>
              <w:bottom w:val="none" w:sz="6" w:space="0" w:color="auto"/>
              <w:right w:val="single" w:sz="4" w:space="0" w:color="231F20"/>
            </w:tcBorders>
          </w:tcPr>
          <w:p w14:paraId="5CA8E7BD" w14:textId="77777777" w:rsidR="00783288" w:rsidRDefault="00783288">
            <w:pPr>
              <w:pStyle w:val="TableParagraph"/>
              <w:kinsoku w:val="0"/>
              <w:overflowPunct w:val="0"/>
              <w:rPr>
                <w:rFonts w:ascii="Times New Roman" w:hAnsi="Times New Roman" w:cs="Times New Roman"/>
                <w:sz w:val="16"/>
                <w:szCs w:val="16"/>
              </w:rPr>
            </w:pPr>
          </w:p>
        </w:tc>
      </w:tr>
      <w:tr w:rsidR="00783288" w14:paraId="4C7C92EA" w14:textId="77777777">
        <w:trPr>
          <w:trHeight w:val="326"/>
        </w:trPr>
        <w:tc>
          <w:tcPr>
            <w:tcW w:w="1063" w:type="dxa"/>
            <w:tcBorders>
              <w:top w:val="none" w:sz="6" w:space="0" w:color="auto"/>
              <w:left w:val="single" w:sz="4" w:space="0" w:color="231F20"/>
              <w:bottom w:val="none" w:sz="6" w:space="0" w:color="auto"/>
              <w:right w:val="single" w:sz="4" w:space="0" w:color="231F20"/>
            </w:tcBorders>
          </w:tcPr>
          <w:p w14:paraId="6520D480" w14:textId="77777777" w:rsidR="00783288" w:rsidRDefault="00783288">
            <w:pPr>
              <w:pStyle w:val="TableParagraph"/>
              <w:kinsoku w:val="0"/>
              <w:overflowPunct w:val="0"/>
              <w:rPr>
                <w:rFonts w:ascii="Times New Roman" w:hAnsi="Times New Roman" w:cs="Times New Roman"/>
                <w:sz w:val="16"/>
                <w:szCs w:val="16"/>
              </w:rPr>
            </w:pPr>
          </w:p>
        </w:tc>
        <w:tc>
          <w:tcPr>
            <w:tcW w:w="1396" w:type="dxa"/>
            <w:gridSpan w:val="2"/>
            <w:tcBorders>
              <w:top w:val="none" w:sz="6" w:space="0" w:color="auto"/>
              <w:left w:val="single" w:sz="4" w:space="0" w:color="231F20"/>
              <w:bottom w:val="none" w:sz="6" w:space="0" w:color="auto"/>
              <w:right w:val="single" w:sz="4" w:space="0" w:color="231F20"/>
            </w:tcBorders>
          </w:tcPr>
          <w:p w14:paraId="37852DAF" w14:textId="77777777" w:rsidR="00783288" w:rsidRDefault="00783288">
            <w:pPr>
              <w:pStyle w:val="TableParagraph"/>
              <w:kinsoku w:val="0"/>
              <w:overflowPunct w:val="0"/>
              <w:rPr>
                <w:rFonts w:ascii="Times New Roman" w:hAnsi="Times New Roman" w:cs="Times New Roman"/>
                <w:sz w:val="16"/>
                <w:szCs w:val="16"/>
              </w:rPr>
            </w:pPr>
          </w:p>
        </w:tc>
        <w:tc>
          <w:tcPr>
            <w:tcW w:w="1046" w:type="dxa"/>
            <w:gridSpan w:val="2"/>
            <w:tcBorders>
              <w:top w:val="none" w:sz="6" w:space="0" w:color="auto"/>
              <w:left w:val="single" w:sz="4" w:space="0" w:color="231F20"/>
              <w:bottom w:val="none" w:sz="6" w:space="0" w:color="auto"/>
              <w:right w:val="single" w:sz="4" w:space="0" w:color="231F20"/>
            </w:tcBorders>
          </w:tcPr>
          <w:p w14:paraId="0B365DBB" w14:textId="77777777" w:rsidR="00783288" w:rsidRDefault="00E31420">
            <w:pPr>
              <w:pStyle w:val="TableParagraph"/>
              <w:kinsoku w:val="0"/>
              <w:overflowPunct w:val="0"/>
              <w:spacing w:before="116" w:line="190" w:lineRule="exact"/>
              <w:ind w:left="108"/>
              <w:rPr>
                <w:color w:val="231F20"/>
                <w:sz w:val="18"/>
                <w:szCs w:val="18"/>
              </w:rPr>
            </w:pPr>
            <w:r>
              <w:rPr>
                <w:color w:val="231F20"/>
                <w:sz w:val="18"/>
                <w:szCs w:val="18"/>
              </w:rPr>
              <w:t>4,000,000</w:t>
            </w:r>
          </w:p>
        </w:tc>
        <w:tc>
          <w:tcPr>
            <w:tcW w:w="1380" w:type="dxa"/>
            <w:gridSpan w:val="2"/>
            <w:tcBorders>
              <w:top w:val="none" w:sz="6" w:space="0" w:color="auto"/>
              <w:left w:val="single" w:sz="4" w:space="0" w:color="231F20"/>
              <w:bottom w:val="none" w:sz="6" w:space="0" w:color="auto"/>
              <w:right w:val="single" w:sz="4" w:space="0" w:color="231F20"/>
            </w:tcBorders>
          </w:tcPr>
          <w:p w14:paraId="3FB68987" w14:textId="77777777" w:rsidR="00783288" w:rsidRDefault="00783288">
            <w:pPr>
              <w:pStyle w:val="TableParagraph"/>
              <w:kinsoku w:val="0"/>
              <w:overflowPunct w:val="0"/>
              <w:rPr>
                <w:rFonts w:ascii="Times New Roman" w:hAnsi="Times New Roman" w:cs="Times New Roman"/>
                <w:sz w:val="16"/>
                <w:szCs w:val="16"/>
              </w:rPr>
            </w:pPr>
          </w:p>
        </w:tc>
        <w:tc>
          <w:tcPr>
            <w:tcW w:w="1590" w:type="dxa"/>
            <w:gridSpan w:val="2"/>
            <w:tcBorders>
              <w:top w:val="none" w:sz="6" w:space="0" w:color="auto"/>
              <w:left w:val="single" w:sz="4" w:space="0" w:color="231F20"/>
              <w:bottom w:val="none" w:sz="6" w:space="0" w:color="auto"/>
              <w:right w:val="single" w:sz="4" w:space="0" w:color="231F20"/>
            </w:tcBorders>
          </w:tcPr>
          <w:p w14:paraId="58C6DB87" w14:textId="77777777" w:rsidR="00783288" w:rsidRDefault="00783288">
            <w:pPr>
              <w:pStyle w:val="TableParagraph"/>
              <w:kinsoku w:val="0"/>
              <w:overflowPunct w:val="0"/>
              <w:rPr>
                <w:rFonts w:ascii="Times New Roman" w:hAnsi="Times New Roman" w:cs="Times New Roman"/>
                <w:sz w:val="16"/>
                <w:szCs w:val="16"/>
              </w:rPr>
            </w:pPr>
          </w:p>
        </w:tc>
        <w:tc>
          <w:tcPr>
            <w:tcW w:w="1836" w:type="dxa"/>
            <w:gridSpan w:val="3"/>
            <w:tcBorders>
              <w:top w:val="none" w:sz="6" w:space="0" w:color="auto"/>
              <w:left w:val="single" w:sz="4" w:space="0" w:color="231F20"/>
              <w:bottom w:val="none" w:sz="6" w:space="0" w:color="auto"/>
              <w:right w:val="single" w:sz="4" w:space="0" w:color="231F20"/>
            </w:tcBorders>
          </w:tcPr>
          <w:p w14:paraId="5FE0C1ED" w14:textId="77777777" w:rsidR="00783288" w:rsidRDefault="00783288">
            <w:pPr>
              <w:pStyle w:val="TableParagraph"/>
              <w:kinsoku w:val="0"/>
              <w:overflowPunct w:val="0"/>
              <w:rPr>
                <w:rFonts w:ascii="Times New Roman" w:hAnsi="Times New Roman" w:cs="Times New Roman"/>
                <w:sz w:val="16"/>
                <w:szCs w:val="16"/>
              </w:rPr>
            </w:pPr>
          </w:p>
        </w:tc>
      </w:tr>
      <w:tr w:rsidR="00783288" w14:paraId="519DD4AB" w14:textId="77777777">
        <w:trPr>
          <w:trHeight w:val="206"/>
        </w:trPr>
        <w:tc>
          <w:tcPr>
            <w:tcW w:w="1063" w:type="dxa"/>
            <w:tcBorders>
              <w:top w:val="none" w:sz="6" w:space="0" w:color="auto"/>
              <w:left w:val="single" w:sz="4" w:space="0" w:color="231F20"/>
              <w:bottom w:val="none" w:sz="6" w:space="0" w:color="auto"/>
              <w:right w:val="single" w:sz="4" w:space="0" w:color="231F20"/>
            </w:tcBorders>
          </w:tcPr>
          <w:p w14:paraId="621CF179" w14:textId="77777777" w:rsidR="00783288" w:rsidRDefault="00783288">
            <w:pPr>
              <w:pStyle w:val="TableParagraph"/>
              <w:kinsoku w:val="0"/>
              <w:overflowPunct w:val="0"/>
              <w:rPr>
                <w:rFonts w:ascii="Times New Roman" w:hAnsi="Times New Roman" w:cs="Times New Roman"/>
                <w:sz w:val="14"/>
                <w:szCs w:val="14"/>
              </w:rPr>
            </w:pPr>
          </w:p>
        </w:tc>
        <w:tc>
          <w:tcPr>
            <w:tcW w:w="1396" w:type="dxa"/>
            <w:gridSpan w:val="2"/>
            <w:tcBorders>
              <w:top w:val="none" w:sz="6" w:space="0" w:color="auto"/>
              <w:left w:val="single" w:sz="4" w:space="0" w:color="231F20"/>
              <w:bottom w:val="none" w:sz="6" w:space="0" w:color="auto"/>
              <w:right w:val="single" w:sz="4" w:space="0" w:color="231F20"/>
            </w:tcBorders>
          </w:tcPr>
          <w:p w14:paraId="0B68A054" w14:textId="77777777" w:rsidR="00783288" w:rsidRDefault="00783288">
            <w:pPr>
              <w:pStyle w:val="TableParagraph"/>
              <w:kinsoku w:val="0"/>
              <w:overflowPunct w:val="0"/>
              <w:rPr>
                <w:rFonts w:ascii="Times New Roman" w:hAnsi="Times New Roman" w:cs="Times New Roman"/>
                <w:sz w:val="14"/>
                <w:szCs w:val="14"/>
              </w:rPr>
            </w:pPr>
          </w:p>
        </w:tc>
        <w:tc>
          <w:tcPr>
            <w:tcW w:w="640" w:type="dxa"/>
            <w:tcBorders>
              <w:top w:val="none" w:sz="6" w:space="0" w:color="auto"/>
              <w:left w:val="single" w:sz="4" w:space="0" w:color="231F20"/>
              <w:bottom w:val="none" w:sz="6" w:space="0" w:color="auto"/>
              <w:right w:val="none" w:sz="6" w:space="0" w:color="auto"/>
            </w:tcBorders>
          </w:tcPr>
          <w:p w14:paraId="47DB632C" w14:textId="77777777" w:rsidR="00783288" w:rsidRDefault="00E31420">
            <w:pPr>
              <w:pStyle w:val="TableParagraph"/>
              <w:kinsoku w:val="0"/>
              <w:overflowPunct w:val="0"/>
              <w:spacing w:line="186" w:lineRule="exact"/>
              <w:ind w:left="108"/>
              <w:rPr>
                <w:color w:val="231F20"/>
                <w:sz w:val="18"/>
                <w:szCs w:val="18"/>
              </w:rPr>
            </w:pPr>
            <w:r>
              <w:rPr>
                <w:color w:val="231F20"/>
                <w:sz w:val="18"/>
                <w:szCs w:val="18"/>
              </w:rPr>
              <w:t>on</w:t>
            </w:r>
          </w:p>
        </w:tc>
        <w:tc>
          <w:tcPr>
            <w:tcW w:w="406" w:type="dxa"/>
            <w:tcBorders>
              <w:top w:val="none" w:sz="6" w:space="0" w:color="auto"/>
              <w:left w:val="none" w:sz="6" w:space="0" w:color="auto"/>
              <w:bottom w:val="none" w:sz="6" w:space="0" w:color="auto"/>
              <w:right w:val="single" w:sz="4" w:space="0" w:color="231F20"/>
            </w:tcBorders>
          </w:tcPr>
          <w:p w14:paraId="467872B7" w14:textId="77777777" w:rsidR="00783288" w:rsidRDefault="00E31420">
            <w:pPr>
              <w:pStyle w:val="TableParagraph"/>
              <w:kinsoku w:val="0"/>
              <w:overflowPunct w:val="0"/>
              <w:spacing w:line="186" w:lineRule="exact"/>
              <w:ind w:left="106"/>
              <w:rPr>
                <w:color w:val="231F20"/>
                <w:sz w:val="18"/>
                <w:szCs w:val="18"/>
              </w:rPr>
            </w:pPr>
            <w:r>
              <w:rPr>
                <w:color w:val="231F20"/>
                <w:sz w:val="18"/>
                <w:szCs w:val="18"/>
              </w:rPr>
              <w:t>24</w:t>
            </w:r>
          </w:p>
        </w:tc>
        <w:tc>
          <w:tcPr>
            <w:tcW w:w="1380" w:type="dxa"/>
            <w:gridSpan w:val="2"/>
            <w:tcBorders>
              <w:top w:val="none" w:sz="6" w:space="0" w:color="auto"/>
              <w:left w:val="single" w:sz="4" w:space="0" w:color="231F20"/>
              <w:bottom w:val="none" w:sz="6" w:space="0" w:color="auto"/>
              <w:right w:val="single" w:sz="4" w:space="0" w:color="231F20"/>
            </w:tcBorders>
          </w:tcPr>
          <w:p w14:paraId="15D5A742" w14:textId="77777777" w:rsidR="00783288" w:rsidRDefault="00783288">
            <w:pPr>
              <w:pStyle w:val="TableParagraph"/>
              <w:kinsoku w:val="0"/>
              <w:overflowPunct w:val="0"/>
              <w:rPr>
                <w:rFonts w:ascii="Times New Roman" w:hAnsi="Times New Roman" w:cs="Times New Roman"/>
                <w:sz w:val="14"/>
                <w:szCs w:val="14"/>
              </w:rPr>
            </w:pPr>
          </w:p>
        </w:tc>
        <w:tc>
          <w:tcPr>
            <w:tcW w:w="1590" w:type="dxa"/>
            <w:gridSpan w:val="2"/>
            <w:tcBorders>
              <w:top w:val="none" w:sz="6" w:space="0" w:color="auto"/>
              <w:left w:val="single" w:sz="4" w:space="0" w:color="231F20"/>
              <w:bottom w:val="none" w:sz="6" w:space="0" w:color="auto"/>
              <w:right w:val="single" w:sz="4" w:space="0" w:color="231F20"/>
            </w:tcBorders>
          </w:tcPr>
          <w:p w14:paraId="407E3B1C" w14:textId="77777777" w:rsidR="00783288" w:rsidRDefault="00783288">
            <w:pPr>
              <w:pStyle w:val="TableParagraph"/>
              <w:kinsoku w:val="0"/>
              <w:overflowPunct w:val="0"/>
              <w:rPr>
                <w:rFonts w:ascii="Times New Roman" w:hAnsi="Times New Roman" w:cs="Times New Roman"/>
                <w:sz w:val="14"/>
                <w:szCs w:val="14"/>
              </w:rPr>
            </w:pPr>
          </w:p>
        </w:tc>
        <w:tc>
          <w:tcPr>
            <w:tcW w:w="1836" w:type="dxa"/>
            <w:gridSpan w:val="3"/>
            <w:tcBorders>
              <w:top w:val="none" w:sz="6" w:space="0" w:color="auto"/>
              <w:left w:val="single" w:sz="4" w:space="0" w:color="231F20"/>
              <w:bottom w:val="none" w:sz="6" w:space="0" w:color="auto"/>
              <w:right w:val="single" w:sz="4" w:space="0" w:color="231F20"/>
            </w:tcBorders>
          </w:tcPr>
          <w:p w14:paraId="45AE7A7D" w14:textId="77777777" w:rsidR="00783288" w:rsidRDefault="00783288">
            <w:pPr>
              <w:pStyle w:val="TableParagraph"/>
              <w:kinsoku w:val="0"/>
              <w:overflowPunct w:val="0"/>
              <w:rPr>
                <w:rFonts w:ascii="Times New Roman" w:hAnsi="Times New Roman" w:cs="Times New Roman"/>
                <w:sz w:val="14"/>
                <w:szCs w:val="14"/>
              </w:rPr>
            </w:pPr>
          </w:p>
        </w:tc>
      </w:tr>
      <w:tr w:rsidR="00783288" w14:paraId="6F1160B9" w14:textId="77777777">
        <w:trPr>
          <w:trHeight w:val="446"/>
        </w:trPr>
        <w:tc>
          <w:tcPr>
            <w:tcW w:w="1063" w:type="dxa"/>
            <w:tcBorders>
              <w:top w:val="none" w:sz="6" w:space="0" w:color="auto"/>
              <w:left w:val="single" w:sz="4" w:space="0" w:color="231F20"/>
              <w:bottom w:val="single" w:sz="4" w:space="0" w:color="231F20"/>
              <w:right w:val="single" w:sz="4" w:space="0" w:color="231F20"/>
            </w:tcBorders>
          </w:tcPr>
          <w:p w14:paraId="2EF473FF" w14:textId="77777777" w:rsidR="00783288" w:rsidRDefault="00783288">
            <w:pPr>
              <w:pStyle w:val="TableParagraph"/>
              <w:kinsoku w:val="0"/>
              <w:overflowPunct w:val="0"/>
              <w:rPr>
                <w:rFonts w:ascii="Times New Roman" w:hAnsi="Times New Roman" w:cs="Times New Roman"/>
                <w:sz w:val="16"/>
                <w:szCs w:val="16"/>
              </w:rPr>
            </w:pPr>
          </w:p>
        </w:tc>
        <w:tc>
          <w:tcPr>
            <w:tcW w:w="1396" w:type="dxa"/>
            <w:gridSpan w:val="2"/>
            <w:tcBorders>
              <w:top w:val="none" w:sz="6" w:space="0" w:color="auto"/>
              <w:left w:val="single" w:sz="4" w:space="0" w:color="231F20"/>
              <w:bottom w:val="single" w:sz="4" w:space="0" w:color="231F20"/>
              <w:right w:val="single" w:sz="4" w:space="0" w:color="231F20"/>
            </w:tcBorders>
          </w:tcPr>
          <w:p w14:paraId="7312C93D" w14:textId="77777777" w:rsidR="00783288" w:rsidRDefault="00783288">
            <w:pPr>
              <w:pStyle w:val="TableParagraph"/>
              <w:kinsoku w:val="0"/>
              <w:overflowPunct w:val="0"/>
              <w:rPr>
                <w:rFonts w:ascii="Times New Roman" w:hAnsi="Times New Roman" w:cs="Times New Roman"/>
                <w:sz w:val="16"/>
                <w:szCs w:val="16"/>
              </w:rPr>
            </w:pPr>
          </w:p>
        </w:tc>
        <w:tc>
          <w:tcPr>
            <w:tcW w:w="1046" w:type="dxa"/>
            <w:gridSpan w:val="2"/>
            <w:tcBorders>
              <w:top w:val="none" w:sz="6" w:space="0" w:color="auto"/>
              <w:left w:val="single" w:sz="4" w:space="0" w:color="231F20"/>
              <w:bottom w:val="single" w:sz="4" w:space="0" w:color="231F20"/>
              <w:right w:val="single" w:sz="4" w:space="0" w:color="231F20"/>
            </w:tcBorders>
          </w:tcPr>
          <w:p w14:paraId="32BF0D91" w14:textId="77777777" w:rsidR="00783288" w:rsidRDefault="00E31420">
            <w:pPr>
              <w:pStyle w:val="TableParagraph"/>
              <w:kinsoku w:val="0"/>
              <w:overflowPunct w:val="0"/>
              <w:spacing w:line="204" w:lineRule="exact"/>
              <w:ind w:left="108"/>
              <w:rPr>
                <w:color w:val="231F20"/>
                <w:sz w:val="18"/>
                <w:szCs w:val="18"/>
              </w:rPr>
            </w:pPr>
            <w:r>
              <w:rPr>
                <w:color w:val="231F20"/>
                <w:sz w:val="18"/>
                <w:szCs w:val="18"/>
              </w:rPr>
              <w:t>April 2017</w:t>
            </w:r>
          </w:p>
        </w:tc>
        <w:tc>
          <w:tcPr>
            <w:tcW w:w="1380" w:type="dxa"/>
            <w:gridSpan w:val="2"/>
            <w:tcBorders>
              <w:top w:val="none" w:sz="6" w:space="0" w:color="auto"/>
              <w:left w:val="single" w:sz="4" w:space="0" w:color="231F20"/>
              <w:bottom w:val="single" w:sz="4" w:space="0" w:color="231F20"/>
              <w:right w:val="single" w:sz="4" w:space="0" w:color="231F20"/>
            </w:tcBorders>
          </w:tcPr>
          <w:p w14:paraId="6678366F" w14:textId="77777777" w:rsidR="00783288" w:rsidRDefault="00783288">
            <w:pPr>
              <w:pStyle w:val="TableParagraph"/>
              <w:kinsoku w:val="0"/>
              <w:overflowPunct w:val="0"/>
              <w:rPr>
                <w:rFonts w:ascii="Times New Roman" w:hAnsi="Times New Roman" w:cs="Times New Roman"/>
                <w:sz w:val="16"/>
                <w:szCs w:val="16"/>
              </w:rPr>
            </w:pPr>
          </w:p>
        </w:tc>
        <w:tc>
          <w:tcPr>
            <w:tcW w:w="1590" w:type="dxa"/>
            <w:gridSpan w:val="2"/>
            <w:tcBorders>
              <w:top w:val="none" w:sz="6" w:space="0" w:color="auto"/>
              <w:left w:val="single" w:sz="4" w:space="0" w:color="231F20"/>
              <w:bottom w:val="single" w:sz="4" w:space="0" w:color="231F20"/>
              <w:right w:val="single" w:sz="4" w:space="0" w:color="231F20"/>
            </w:tcBorders>
          </w:tcPr>
          <w:p w14:paraId="2CCD3A75" w14:textId="77777777" w:rsidR="00783288" w:rsidRDefault="00783288">
            <w:pPr>
              <w:pStyle w:val="TableParagraph"/>
              <w:kinsoku w:val="0"/>
              <w:overflowPunct w:val="0"/>
              <w:rPr>
                <w:rFonts w:ascii="Times New Roman" w:hAnsi="Times New Roman" w:cs="Times New Roman"/>
                <w:sz w:val="16"/>
                <w:szCs w:val="16"/>
              </w:rPr>
            </w:pPr>
          </w:p>
        </w:tc>
        <w:tc>
          <w:tcPr>
            <w:tcW w:w="1836" w:type="dxa"/>
            <w:gridSpan w:val="3"/>
            <w:tcBorders>
              <w:top w:val="none" w:sz="6" w:space="0" w:color="auto"/>
              <w:left w:val="single" w:sz="4" w:space="0" w:color="231F20"/>
              <w:bottom w:val="single" w:sz="4" w:space="0" w:color="231F20"/>
              <w:right w:val="single" w:sz="4" w:space="0" w:color="231F20"/>
            </w:tcBorders>
          </w:tcPr>
          <w:p w14:paraId="58487730" w14:textId="77777777" w:rsidR="00783288" w:rsidRDefault="00783288">
            <w:pPr>
              <w:pStyle w:val="TableParagraph"/>
              <w:kinsoku w:val="0"/>
              <w:overflowPunct w:val="0"/>
              <w:rPr>
                <w:rFonts w:ascii="Times New Roman" w:hAnsi="Times New Roman" w:cs="Times New Roman"/>
                <w:sz w:val="16"/>
                <w:szCs w:val="16"/>
              </w:rPr>
            </w:pPr>
          </w:p>
        </w:tc>
      </w:tr>
      <w:tr w:rsidR="00783288" w14:paraId="71C123EC" w14:textId="77777777">
        <w:trPr>
          <w:trHeight w:val="858"/>
        </w:trPr>
        <w:tc>
          <w:tcPr>
            <w:tcW w:w="1063" w:type="dxa"/>
            <w:tcBorders>
              <w:top w:val="single" w:sz="4" w:space="0" w:color="231F20"/>
              <w:left w:val="single" w:sz="4" w:space="0" w:color="231F20"/>
              <w:bottom w:val="single" w:sz="4" w:space="0" w:color="231F20"/>
              <w:right w:val="single" w:sz="4" w:space="0" w:color="231F20"/>
            </w:tcBorders>
          </w:tcPr>
          <w:p w14:paraId="08B895D1" w14:textId="77777777" w:rsidR="00783288" w:rsidRDefault="00E31420">
            <w:pPr>
              <w:pStyle w:val="TableParagraph"/>
              <w:kinsoku w:val="0"/>
              <w:overflowPunct w:val="0"/>
              <w:ind w:left="107" w:right="375"/>
              <w:rPr>
                <w:color w:val="231F20"/>
                <w:sz w:val="18"/>
                <w:szCs w:val="18"/>
              </w:rPr>
            </w:pPr>
            <w:r>
              <w:rPr>
                <w:color w:val="231F20"/>
                <w:sz w:val="18"/>
                <w:szCs w:val="18"/>
              </w:rPr>
              <w:t>Fox Davies</w:t>
            </w:r>
          </w:p>
        </w:tc>
        <w:tc>
          <w:tcPr>
            <w:tcW w:w="1396" w:type="dxa"/>
            <w:gridSpan w:val="2"/>
            <w:tcBorders>
              <w:top w:val="single" w:sz="4" w:space="0" w:color="231F20"/>
              <w:left w:val="single" w:sz="4" w:space="0" w:color="231F20"/>
              <w:bottom w:val="single" w:sz="4" w:space="0" w:color="231F20"/>
              <w:right w:val="single" w:sz="4" w:space="0" w:color="231F20"/>
            </w:tcBorders>
          </w:tcPr>
          <w:p w14:paraId="2C58291A" w14:textId="77777777" w:rsidR="00783288" w:rsidRDefault="00E31420">
            <w:pPr>
              <w:pStyle w:val="TableParagraph"/>
              <w:kinsoku w:val="0"/>
              <w:overflowPunct w:val="0"/>
              <w:ind w:left="105" w:right="410"/>
              <w:rPr>
                <w:color w:val="231F20"/>
                <w:sz w:val="18"/>
                <w:szCs w:val="18"/>
              </w:rPr>
            </w:pPr>
            <w:r>
              <w:rPr>
                <w:color w:val="231F20"/>
                <w:sz w:val="18"/>
                <w:szCs w:val="18"/>
              </w:rPr>
              <w:t>Broker Warrant Instrument</w:t>
            </w:r>
          </w:p>
        </w:tc>
        <w:tc>
          <w:tcPr>
            <w:tcW w:w="1046" w:type="dxa"/>
            <w:gridSpan w:val="2"/>
            <w:tcBorders>
              <w:top w:val="single" w:sz="4" w:space="0" w:color="231F20"/>
              <w:left w:val="single" w:sz="4" w:space="0" w:color="231F20"/>
              <w:bottom w:val="single" w:sz="4" w:space="0" w:color="231F20"/>
              <w:right w:val="single" w:sz="4" w:space="0" w:color="231F20"/>
            </w:tcBorders>
          </w:tcPr>
          <w:p w14:paraId="4D2D8A6F" w14:textId="77777777" w:rsidR="00783288" w:rsidRDefault="00E31420">
            <w:pPr>
              <w:pStyle w:val="TableParagraph"/>
              <w:kinsoku w:val="0"/>
              <w:overflowPunct w:val="0"/>
              <w:spacing w:line="206" w:lineRule="exact"/>
              <w:ind w:left="108"/>
              <w:rPr>
                <w:color w:val="231F20"/>
                <w:sz w:val="18"/>
                <w:szCs w:val="18"/>
              </w:rPr>
            </w:pPr>
            <w:r>
              <w:rPr>
                <w:color w:val="231F20"/>
                <w:sz w:val="18"/>
                <w:szCs w:val="18"/>
              </w:rPr>
              <w:t>13 August</w:t>
            </w:r>
          </w:p>
          <w:p w14:paraId="6724A2CF" w14:textId="77777777" w:rsidR="00783288" w:rsidRDefault="00E31420">
            <w:pPr>
              <w:pStyle w:val="TableParagraph"/>
              <w:kinsoku w:val="0"/>
              <w:overflowPunct w:val="0"/>
              <w:spacing w:line="207" w:lineRule="exact"/>
              <w:ind w:left="108"/>
              <w:rPr>
                <w:color w:val="231F20"/>
                <w:sz w:val="18"/>
                <w:szCs w:val="18"/>
              </w:rPr>
            </w:pPr>
            <w:r>
              <w:rPr>
                <w:color w:val="231F20"/>
                <w:sz w:val="18"/>
                <w:szCs w:val="18"/>
              </w:rPr>
              <w:t>2020</w:t>
            </w:r>
          </w:p>
        </w:tc>
        <w:tc>
          <w:tcPr>
            <w:tcW w:w="1380" w:type="dxa"/>
            <w:gridSpan w:val="2"/>
            <w:tcBorders>
              <w:top w:val="single" w:sz="4" w:space="0" w:color="231F20"/>
              <w:left w:val="single" w:sz="4" w:space="0" w:color="231F20"/>
              <w:bottom w:val="single" w:sz="4" w:space="0" w:color="231F20"/>
              <w:right w:val="single" w:sz="4" w:space="0" w:color="231F20"/>
            </w:tcBorders>
          </w:tcPr>
          <w:p w14:paraId="0386BAEA" w14:textId="77777777" w:rsidR="00783288" w:rsidRDefault="00E31420">
            <w:pPr>
              <w:pStyle w:val="TableParagraph"/>
              <w:kinsoku w:val="0"/>
              <w:overflowPunct w:val="0"/>
              <w:spacing w:line="206" w:lineRule="exact"/>
              <w:ind w:left="108"/>
              <w:rPr>
                <w:color w:val="231F20"/>
                <w:sz w:val="18"/>
                <w:szCs w:val="18"/>
              </w:rPr>
            </w:pPr>
            <w:r>
              <w:rPr>
                <w:color w:val="231F20"/>
                <w:sz w:val="18"/>
                <w:szCs w:val="18"/>
              </w:rPr>
              <w:t>390,000</w:t>
            </w:r>
          </w:p>
        </w:tc>
        <w:tc>
          <w:tcPr>
            <w:tcW w:w="1028" w:type="dxa"/>
            <w:tcBorders>
              <w:top w:val="single" w:sz="4" w:space="0" w:color="231F20"/>
              <w:left w:val="single" w:sz="4" w:space="0" w:color="231F20"/>
              <w:bottom w:val="single" w:sz="4" w:space="0" w:color="231F20"/>
              <w:right w:val="none" w:sz="6" w:space="0" w:color="auto"/>
            </w:tcBorders>
          </w:tcPr>
          <w:p w14:paraId="62BD6312" w14:textId="77777777" w:rsidR="00783288" w:rsidRDefault="00E31420">
            <w:pPr>
              <w:pStyle w:val="TableParagraph"/>
              <w:tabs>
                <w:tab w:val="left" w:pos="712"/>
              </w:tabs>
              <w:kinsoku w:val="0"/>
              <w:overflowPunct w:val="0"/>
              <w:spacing w:line="206" w:lineRule="exact"/>
              <w:ind w:left="106"/>
              <w:rPr>
                <w:color w:val="231F20"/>
                <w:sz w:val="18"/>
                <w:szCs w:val="18"/>
              </w:rPr>
            </w:pPr>
            <w:r>
              <w:rPr>
                <w:color w:val="231F20"/>
                <w:sz w:val="18"/>
                <w:szCs w:val="18"/>
              </w:rPr>
              <w:t>Until</w:t>
            </w:r>
            <w:r>
              <w:rPr>
                <w:color w:val="231F20"/>
                <w:sz w:val="18"/>
                <w:szCs w:val="18"/>
              </w:rPr>
              <w:tab/>
              <w:t>31</w:t>
            </w:r>
          </w:p>
          <w:p w14:paraId="168E8EFF" w14:textId="77777777" w:rsidR="00783288" w:rsidRDefault="00E31420">
            <w:pPr>
              <w:pStyle w:val="TableParagraph"/>
              <w:kinsoku w:val="0"/>
              <w:overflowPunct w:val="0"/>
              <w:spacing w:line="207" w:lineRule="exact"/>
              <w:ind w:left="106"/>
              <w:rPr>
                <w:color w:val="231F20"/>
                <w:sz w:val="18"/>
                <w:szCs w:val="18"/>
              </w:rPr>
            </w:pPr>
            <w:r>
              <w:rPr>
                <w:color w:val="231F20"/>
                <w:sz w:val="18"/>
                <w:szCs w:val="18"/>
              </w:rPr>
              <w:t>2025</w:t>
            </w:r>
          </w:p>
        </w:tc>
        <w:tc>
          <w:tcPr>
            <w:tcW w:w="562" w:type="dxa"/>
            <w:tcBorders>
              <w:top w:val="single" w:sz="4" w:space="0" w:color="231F20"/>
              <w:left w:val="none" w:sz="6" w:space="0" w:color="auto"/>
              <w:bottom w:val="single" w:sz="4" w:space="0" w:color="231F20"/>
              <w:right w:val="single" w:sz="4" w:space="0" w:color="231F20"/>
            </w:tcBorders>
          </w:tcPr>
          <w:p w14:paraId="76107DDD" w14:textId="77777777" w:rsidR="00783288" w:rsidRDefault="00E31420">
            <w:pPr>
              <w:pStyle w:val="TableParagraph"/>
              <w:kinsoku w:val="0"/>
              <w:overflowPunct w:val="0"/>
              <w:spacing w:line="206" w:lineRule="exact"/>
              <w:ind w:left="136"/>
              <w:rPr>
                <w:color w:val="231F20"/>
                <w:sz w:val="18"/>
                <w:szCs w:val="18"/>
              </w:rPr>
            </w:pPr>
            <w:r>
              <w:rPr>
                <w:color w:val="231F20"/>
                <w:sz w:val="18"/>
                <w:szCs w:val="18"/>
              </w:rPr>
              <w:t>July</w:t>
            </w:r>
          </w:p>
        </w:tc>
        <w:tc>
          <w:tcPr>
            <w:tcW w:w="1836" w:type="dxa"/>
            <w:gridSpan w:val="3"/>
            <w:tcBorders>
              <w:top w:val="single" w:sz="4" w:space="0" w:color="231F20"/>
              <w:left w:val="single" w:sz="4" w:space="0" w:color="231F20"/>
              <w:bottom w:val="single" w:sz="4" w:space="0" w:color="231F20"/>
              <w:right w:val="single" w:sz="4" w:space="0" w:color="231F20"/>
            </w:tcBorders>
          </w:tcPr>
          <w:p w14:paraId="71B96E16" w14:textId="77777777" w:rsidR="00783288" w:rsidRDefault="00E31420">
            <w:pPr>
              <w:pStyle w:val="TableParagraph"/>
              <w:kinsoku w:val="0"/>
              <w:overflowPunct w:val="0"/>
              <w:spacing w:line="206" w:lineRule="exact"/>
              <w:ind w:left="104"/>
              <w:rPr>
                <w:color w:val="231F20"/>
                <w:sz w:val="18"/>
                <w:szCs w:val="18"/>
              </w:rPr>
            </w:pPr>
            <w:r>
              <w:rPr>
                <w:color w:val="231F20"/>
                <w:sz w:val="18"/>
                <w:szCs w:val="18"/>
              </w:rPr>
              <w:t>£0.0525</w:t>
            </w:r>
          </w:p>
        </w:tc>
      </w:tr>
      <w:tr w:rsidR="00783288" w14:paraId="6D5B5C9F" w14:textId="77777777">
        <w:trPr>
          <w:trHeight w:val="861"/>
        </w:trPr>
        <w:tc>
          <w:tcPr>
            <w:tcW w:w="1063" w:type="dxa"/>
            <w:tcBorders>
              <w:top w:val="single" w:sz="4" w:space="0" w:color="231F20"/>
              <w:left w:val="single" w:sz="4" w:space="0" w:color="231F20"/>
              <w:bottom w:val="single" w:sz="4" w:space="0" w:color="231F20"/>
              <w:right w:val="single" w:sz="4" w:space="0" w:color="231F20"/>
            </w:tcBorders>
          </w:tcPr>
          <w:p w14:paraId="198BFE29" w14:textId="77777777" w:rsidR="00783288" w:rsidRDefault="00E31420">
            <w:pPr>
              <w:pStyle w:val="TableParagraph"/>
              <w:kinsoku w:val="0"/>
              <w:overflowPunct w:val="0"/>
              <w:spacing w:before="1"/>
              <w:ind w:left="107" w:right="375"/>
              <w:rPr>
                <w:color w:val="231F20"/>
                <w:sz w:val="18"/>
                <w:szCs w:val="18"/>
              </w:rPr>
            </w:pPr>
            <w:r>
              <w:rPr>
                <w:color w:val="231F20"/>
                <w:sz w:val="18"/>
                <w:szCs w:val="18"/>
              </w:rPr>
              <w:t>Fox Davies</w:t>
            </w:r>
          </w:p>
        </w:tc>
        <w:tc>
          <w:tcPr>
            <w:tcW w:w="1396" w:type="dxa"/>
            <w:gridSpan w:val="2"/>
            <w:tcBorders>
              <w:top w:val="single" w:sz="4" w:space="0" w:color="231F20"/>
              <w:left w:val="single" w:sz="4" w:space="0" w:color="231F20"/>
              <w:bottom w:val="single" w:sz="4" w:space="0" w:color="231F20"/>
              <w:right w:val="single" w:sz="4" w:space="0" w:color="231F20"/>
            </w:tcBorders>
          </w:tcPr>
          <w:p w14:paraId="2AA23440" w14:textId="77777777" w:rsidR="00783288" w:rsidRDefault="00E31420">
            <w:pPr>
              <w:pStyle w:val="TableParagraph"/>
              <w:kinsoku w:val="0"/>
              <w:overflowPunct w:val="0"/>
              <w:spacing w:before="1"/>
              <w:ind w:left="105" w:right="410"/>
              <w:rPr>
                <w:color w:val="231F20"/>
                <w:sz w:val="18"/>
                <w:szCs w:val="18"/>
              </w:rPr>
            </w:pPr>
            <w:r>
              <w:rPr>
                <w:color w:val="231F20"/>
                <w:sz w:val="18"/>
                <w:szCs w:val="18"/>
              </w:rPr>
              <w:t>Broker Warrant Instrument</w:t>
            </w:r>
          </w:p>
        </w:tc>
        <w:tc>
          <w:tcPr>
            <w:tcW w:w="1046" w:type="dxa"/>
            <w:gridSpan w:val="2"/>
            <w:tcBorders>
              <w:top w:val="single" w:sz="4" w:space="0" w:color="231F20"/>
              <w:left w:val="single" w:sz="4" w:space="0" w:color="231F20"/>
              <w:bottom w:val="single" w:sz="4" w:space="0" w:color="231F20"/>
              <w:right w:val="single" w:sz="4" w:space="0" w:color="231F20"/>
            </w:tcBorders>
          </w:tcPr>
          <w:p w14:paraId="2BBB4E6C" w14:textId="77777777" w:rsidR="00783288" w:rsidRDefault="00E31420">
            <w:pPr>
              <w:pStyle w:val="TableParagraph"/>
              <w:kinsoku w:val="0"/>
              <w:overflowPunct w:val="0"/>
              <w:spacing w:before="1" w:line="207" w:lineRule="exact"/>
              <w:ind w:left="108"/>
              <w:rPr>
                <w:color w:val="231F20"/>
                <w:sz w:val="18"/>
                <w:szCs w:val="18"/>
              </w:rPr>
            </w:pPr>
            <w:r>
              <w:rPr>
                <w:color w:val="231F20"/>
                <w:sz w:val="18"/>
                <w:szCs w:val="18"/>
              </w:rPr>
              <w:t>14 August</w:t>
            </w:r>
          </w:p>
          <w:p w14:paraId="4BBC5089" w14:textId="77777777" w:rsidR="00783288" w:rsidRDefault="00E31420">
            <w:pPr>
              <w:pStyle w:val="TableParagraph"/>
              <w:kinsoku w:val="0"/>
              <w:overflowPunct w:val="0"/>
              <w:spacing w:line="207" w:lineRule="exact"/>
              <w:ind w:left="108"/>
              <w:rPr>
                <w:color w:val="231F20"/>
                <w:sz w:val="18"/>
                <w:szCs w:val="18"/>
              </w:rPr>
            </w:pPr>
            <w:r>
              <w:rPr>
                <w:color w:val="231F20"/>
                <w:sz w:val="18"/>
                <w:szCs w:val="18"/>
              </w:rPr>
              <w:t>2020</w:t>
            </w:r>
          </w:p>
        </w:tc>
        <w:tc>
          <w:tcPr>
            <w:tcW w:w="1380" w:type="dxa"/>
            <w:gridSpan w:val="2"/>
            <w:tcBorders>
              <w:top w:val="single" w:sz="4" w:space="0" w:color="231F20"/>
              <w:left w:val="single" w:sz="4" w:space="0" w:color="231F20"/>
              <w:bottom w:val="single" w:sz="4" w:space="0" w:color="231F20"/>
              <w:right w:val="single" w:sz="4" w:space="0" w:color="231F20"/>
            </w:tcBorders>
          </w:tcPr>
          <w:p w14:paraId="126A86AB" w14:textId="77777777" w:rsidR="00783288" w:rsidRDefault="00E31420">
            <w:pPr>
              <w:pStyle w:val="TableParagraph"/>
              <w:kinsoku w:val="0"/>
              <w:overflowPunct w:val="0"/>
              <w:spacing w:before="1"/>
              <w:ind w:left="108"/>
              <w:rPr>
                <w:color w:val="231F20"/>
                <w:sz w:val="18"/>
                <w:szCs w:val="18"/>
              </w:rPr>
            </w:pPr>
            <w:r>
              <w:rPr>
                <w:color w:val="231F20"/>
                <w:sz w:val="18"/>
                <w:szCs w:val="18"/>
              </w:rPr>
              <w:t>619,333</w:t>
            </w:r>
          </w:p>
        </w:tc>
        <w:tc>
          <w:tcPr>
            <w:tcW w:w="1590" w:type="dxa"/>
            <w:gridSpan w:val="2"/>
            <w:tcBorders>
              <w:top w:val="single" w:sz="4" w:space="0" w:color="231F20"/>
              <w:left w:val="single" w:sz="4" w:space="0" w:color="231F20"/>
              <w:bottom w:val="single" w:sz="4" w:space="0" w:color="231F20"/>
              <w:right w:val="single" w:sz="4" w:space="0" w:color="231F20"/>
            </w:tcBorders>
          </w:tcPr>
          <w:p w14:paraId="1BBCFB01" w14:textId="77777777" w:rsidR="00783288" w:rsidRDefault="00E31420">
            <w:pPr>
              <w:pStyle w:val="TableParagraph"/>
              <w:kinsoku w:val="0"/>
              <w:overflowPunct w:val="0"/>
              <w:spacing w:before="1"/>
              <w:ind w:left="106"/>
              <w:rPr>
                <w:color w:val="231F20"/>
                <w:sz w:val="18"/>
                <w:szCs w:val="18"/>
              </w:rPr>
            </w:pPr>
            <w:r>
              <w:rPr>
                <w:color w:val="231F20"/>
                <w:sz w:val="18"/>
                <w:szCs w:val="18"/>
              </w:rPr>
              <w:t>until 16 July 2025</w:t>
            </w:r>
          </w:p>
        </w:tc>
        <w:tc>
          <w:tcPr>
            <w:tcW w:w="1836" w:type="dxa"/>
            <w:gridSpan w:val="3"/>
            <w:tcBorders>
              <w:top w:val="single" w:sz="4" w:space="0" w:color="231F20"/>
              <w:left w:val="single" w:sz="4" w:space="0" w:color="231F20"/>
              <w:bottom w:val="single" w:sz="4" w:space="0" w:color="231F20"/>
              <w:right w:val="single" w:sz="4" w:space="0" w:color="231F20"/>
            </w:tcBorders>
          </w:tcPr>
          <w:p w14:paraId="3BF627A3" w14:textId="77777777" w:rsidR="00783288" w:rsidRDefault="00E31420">
            <w:pPr>
              <w:pStyle w:val="TableParagraph"/>
              <w:kinsoku w:val="0"/>
              <w:overflowPunct w:val="0"/>
              <w:spacing w:before="1"/>
              <w:ind w:left="104"/>
              <w:rPr>
                <w:color w:val="231F20"/>
                <w:sz w:val="18"/>
                <w:szCs w:val="18"/>
              </w:rPr>
            </w:pPr>
            <w:r>
              <w:rPr>
                <w:color w:val="231F20"/>
                <w:sz w:val="18"/>
                <w:szCs w:val="18"/>
              </w:rPr>
              <w:t>£0.10</w:t>
            </w:r>
          </w:p>
        </w:tc>
      </w:tr>
      <w:tr w:rsidR="00783288" w14:paraId="7DE174EB" w14:textId="77777777">
        <w:trPr>
          <w:trHeight w:val="861"/>
        </w:trPr>
        <w:tc>
          <w:tcPr>
            <w:tcW w:w="1063" w:type="dxa"/>
            <w:tcBorders>
              <w:top w:val="single" w:sz="4" w:space="0" w:color="231F20"/>
              <w:left w:val="single" w:sz="4" w:space="0" w:color="231F20"/>
              <w:bottom w:val="single" w:sz="4" w:space="0" w:color="231F20"/>
              <w:right w:val="single" w:sz="4" w:space="0" w:color="231F20"/>
            </w:tcBorders>
          </w:tcPr>
          <w:p w14:paraId="64FD39BE" w14:textId="77777777" w:rsidR="00783288" w:rsidRDefault="00E31420">
            <w:pPr>
              <w:pStyle w:val="TableParagraph"/>
              <w:kinsoku w:val="0"/>
              <w:overflowPunct w:val="0"/>
              <w:ind w:left="107" w:right="375"/>
              <w:rPr>
                <w:color w:val="231F20"/>
                <w:sz w:val="18"/>
                <w:szCs w:val="18"/>
              </w:rPr>
            </w:pPr>
            <w:r>
              <w:rPr>
                <w:color w:val="231F20"/>
                <w:sz w:val="18"/>
                <w:szCs w:val="18"/>
              </w:rPr>
              <w:t>Fox Davies</w:t>
            </w:r>
          </w:p>
        </w:tc>
        <w:tc>
          <w:tcPr>
            <w:tcW w:w="1396" w:type="dxa"/>
            <w:gridSpan w:val="2"/>
            <w:tcBorders>
              <w:top w:val="single" w:sz="4" w:space="0" w:color="231F20"/>
              <w:left w:val="single" w:sz="4" w:space="0" w:color="231F20"/>
              <w:bottom w:val="single" w:sz="4" w:space="0" w:color="231F20"/>
              <w:right w:val="single" w:sz="4" w:space="0" w:color="231F20"/>
            </w:tcBorders>
          </w:tcPr>
          <w:p w14:paraId="619D2322" w14:textId="77777777" w:rsidR="00783288" w:rsidRDefault="00E31420">
            <w:pPr>
              <w:pStyle w:val="TableParagraph"/>
              <w:kinsoku w:val="0"/>
              <w:overflowPunct w:val="0"/>
              <w:ind w:left="105" w:right="410"/>
              <w:rPr>
                <w:color w:val="231F20"/>
                <w:sz w:val="18"/>
                <w:szCs w:val="18"/>
              </w:rPr>
            </w:pPr>
            <w:r>
              <w:rPr>
                <w:color w:val="231F20"/>
                <w:sz w:val="18"/>
                <w:szCs w:val="18"/>
              </w:rPr>
              <w:t>Broker Warrant Instrument</w:t>
            </w:r>
          </w:p>
        </w:tc>
        <w:tc>
          <w:tcPr>
            <w:tcW w:w="1046" w:type="dxa"/>
            <w:gridSpan w:val="2"/>
            <w:tcBorders>
              <w:top w:val="single" w:sz="4" w:space="0" w:color="231F20"/>
              <w:left w:val="single" w:sz="4" w:space="0" w:color="231F20"/>
              <w:bottom w:val="single" w:sz="4" w:space="0" w:color="231F20"/>
              <w:right w:val="single" w:sz="4" w:space="0" w:color="231F20"/>
            </w:tcBorders>
          </w:tcPr>
          <w:p w14:paraId="6459CBE1" w14:textId="4BC8D61A" w:rsidR="00783288" w:rsidRDefault="00C325F0">
            <w:pPr>
              <w:pStyle w:val="TableParagraph"/>
              <w:kinsoku w:val="0"/>
              <w:overflowPunct w:val="0"/>
              <w:spacing w:line="206" w:lineRule="exact"/>
              <w:ind w:left="108"/>
              <w:rPr>
                <w:color w:val="231F20"/>
                <w:sz w:val="18"/>
                <w:szCs w:val="18"/>
              </w:rPr>
            </w:pPr>
            <w:r>
              <w:rPr>
                <w:color w:val="231F20"/>
                <w:sz w:val="18"/>
                <w:szCs w:val="18"/>
              </w:rPr>
              <w:t>11 December 2020</w:t>
            </w:r>
          </w:p>
        </w:tc>
        <w:tc>
          <w:tcPr>
            <w:tcW w:w="1380" w:type="dxa"/>
            <w:gridSpan w:val="2"/>
            <w:tcBorders>
              <w:top w:val="single" w:sz="4" w:space="0" w:color="231F20"/>
              <w:left w:val="single" w:sz="4" w:space="0" w:color="231F20"/>
              <w:bottom w:val="single" w:sz="4" w:space="0" w:color="231F20"/>
              <w:right w:val="single" w:sz="4" w:space="0" w:color="231F20"/>
            </w:tcBorders>
          </w:tcPr>
          <w:p w14:paraId="63EF7298" w14:textId="77777777" w:rsidR="00783288" w:rsidRDefault="00E31420">
            <w:pPr>
              <w:pStyle w:val="TableParagraph"/>
              <w:kinsoku w:val="0"/>
              <w:overflowPunct w:val="0"/>
              <w:spacing w:line="206" w:lineRule="exact"/>
              <w:ind w:left="108"/>
              <w:rPr>
                <w:color w:val="231F20"/>
                <w:sz w:val="18"/>
                <w:szCs w:val="18"/>
              </w:rPr>
            </w:pPr>
            <w:r>
              <w:rPr>
                <w:color w:val="231F20"/>
                <w:sz w:val="18"/>
                <w:szCs w:val="18"/>
              </w:rPr>
              <w:t>55,556</w:t>
            </w:r>
          </w:p>
        </w:tc>
        <w:tc>
          <w:tcPr>
            <w:tcW w:w="1028" w:type="dxa"/>
            <w:tcBorders>
              <w:top w:val="single" w:sz="4" w:space="0" w:color="231F20"/>
              <w:left w:val="single" w:sz="4" w:space="0" w:color="231F20"/>
              <w:bottom w:val="single" w:sz="4" w:space="0" w:color="231F20"/>
              <w:right w:val="none" w:sz="6" w:space="0" w:color="auto"/>
            </w:tcBorders>
          </w:tcPr>
          <w:p w14:paraId="740C14B8" w14:textId="72CA91F6" w:rsidR="00783288" w:rsidRDefault="00E31420">
            <w:pPr>
              <w:pStyle w:val="TableParagraph"/>
              <w:tabs>
                <w:tab w:val="left" w:pos="441"/>
              </w:tabs>
              <w:kinsoku w:val="0"/>
              <w:overflowPunct w:val="0"/>
              <w:ind w:left="106" w:right="82" w:hanging="1"/>
              <w:rPr>
                <w:color w:val="231F20"/>
                <w:sz w:val="18"/>
                <w:szCs w:val="18"/>
              </w:rPr>
            </w:pPr>
            <w:r>
              <w:rPr>
                <w:color w:val="231F20"/>
                <w:sz w:val="18"/>
                <w:szCs w:val="18"/>
              </w:rPr>
              <w:t>5</w:t>
            </w:r>
            <w:r>
              <w:rPr>
                <w:color w:val="231F20"/>
                <w:sz w:val="18"/>
                <w:szCs w:val="18"/>
              </w:rPr>
              <w:tab/>
              <w:t xml:space="preserve">years </w:t>
            </w:r>
            <w:r w:rsidR="00C325F0">
              <w:rPr>
                <w:color w:val="231F20"/>
                <w:sz w:val="18"/>
                <w:szCs w:val="18"/>
              </w:rPr>
              <w:t>11 December 2020</w:t>
            </w:r>
          </w:p>
        </w:tc>
        <w:tc>
          <w:tcPr>
            <w:tcW w:w="562" w:type="dxa"/>
            <w:tcBorders>
              <w:top w:val="single" w:sz="4" w:space="0" w:color="231F20"/>
              <w:left w:val="none" w:sz="6" w:space="0" w:color="auto"/>
              <w:bottom w:val="single" w:sz="4" w:space="0" w:color="231F20"/>
              <w:right w:val="single" w:sz="4" w:space="0" w:color="231F20"/>
            </w:tcBorders>
          </w:tcPr>
          <w:p w14:paraId="0E83DF71" w14:textId="77777777" w:rsidR="00783288" w:rsidRDefault="00E31420">
            <w:pPr>
              <w:pStyle w:val="TableParagraph"/>
              <w:kinsoku w:val="0"/>
              <w:overflowPunct w:val="0"/>
              <w:spacing w:line="206" w:lineRule="exact"/>
              <w:ind w:left="95"/>
              <w:rPr>
                <w:color w:val="231F20"/>
                <w:sz w:val="18"/>
                <w:szCs w:val="18"/>
              </w:rPr>
            </w:pPr>
            <w:r>
              <w:rPr>
                <w:color w:val="231F20"/>
                <w:sz w:val="18"/>
                <w:szCs w:val="18"/>
              </w:rPr>
              <w:t>from</w:t>
            </w:r>
          </w:p>
        </w:tc>
        <w:tc>
          <w:tcPr>
            <w:tcW w:w="1836" w:type="dxa"/>
            <w:gridSpan w:val="3"/>
            <w:tcBorders>
              <w:top w:val="single" w:sz="4" w:space="0" w:color="231F20"/>
              <w:left w:val="single" w:sz="4" w:space="0" w:color="231F20"/>
              <w:bottom w:val="single" w:sz="4" w:space="0" w:color="231F20"/>
              <w:right w:val="single" w:sz="4" w:space="0" w:color="231F20"/>
            </w:tcBorders>
          </w:tcPr>
          <w:p w14:paraId="741FAA9E" w14:textId="77777777" w:rsidR="00783288" w:rsidRDefault="00E51307">
            <w:pPr>
              <w:pStyle w:val="TableParagraph"/>
              <w:kinsoku w:val="0"/>
              <w:overflowPunct w:val="0"/>
              <w:spacing w:line="206" w:lineRule="exact"/>
              <w:ind w:left="104"/>
              <w:rPr>
                <w:color w:val="231F20"/>
                <w:sz w:val="18"/>
                <w:szCs w:val="18"/>
              </w:rPr>
            </w:pPr>
            <w:r>
              <w:rPr>
                <w:color w:val="231F20"/>
                <w:sz w:val="18"/>
                <w:szCs w:val="18"/>
              </w:rPr>
              <w:t xml:space="preserve">December 2020 </w:t>
            </w:r>
            <w:r w:rsidR="00E31420">
              <w:rPr>
                <w:color w:val="231F20"/>
                <w:sz w:val="18"/>
                <w:szCs w:val="18"/>
              </w:rPr>
              <w:t>Fundraise Price</w:t>
            </w:r>
          </w:p>
        </w:tc>
      </w:tr>
      <w:tr w:rsidR="00005C4E" w14:paraId="2CB6C283" w14:textId="77777777">
        <w:trPr>
          <w:trHeight w:val="861"/>
        </w:trPr>
        <w:tc>
          <w:tcPr>
            <w:tcW w:w="1063" w:type="dxa"/>
            <w:tcBorders>
              <w:top w:val="single" w:sz="4" w:space="0" w:color="231F20"/>
              <w:left w:val="single" w:sz="4" w:space="0" w:color="231F20"/>
              <w:bottom w:val="single" w:sz="4" w:space="0" w:color="231F20"/>
              <w:right w:val="single" w:sz="4" w:space="0" w:color="231F20"/>
            </w:tcBorders>
          </w:tcPr>
          <w:p w14:paraId="03307134" w14:textId="19A982B3" w:rsidR="00005C4E" w:rsidRDefault="00005C4E">
            <w:pPr>
              <w:pStyle w:val="TableParagraph"/>
              <w:kinsoku w:val="0"/>
              <w:overflowPunct w:val="0"/>
              <w:ind w:left="107" w:right="375"/>
              <w:rPr>
                <w:color w:val="231F20"/>
                <w:sz w:val="18"/>
                <w:szCs w:val="18"/>
              </w:rPr>
            </w:pPr>
            <w:r>
              <w:rPr>
                <w:color w:val="231F20"/>
                <w:sz w:val="18"/>
                <w:szCs w:val="18"/>
              </w:rPr>
              <w:t xml:space="preserve">Altius </w:t>
            </w:r>
          </w:p>
        </w:tc>
        <w:tc>
          <w:tcPr>
            <w:tcW w:w="1396" w:type="dxa"/>
            <w:gridSpan w:val="2"/>
            <w:tcBorders>
              <w:top w:val="single" w:sz="4" w:space="0" w:color="231F20"/>
              <w:left w:val="single" w:sz="4" w:space="0" w:color="231F20"/>
              <w:bottom w:val="single" w:sz="4" w:space="0" w:color="231F20"/>
              <w:right w:val="single" w:sz="4" w:space="0" w:color="231F20"/>
            </w:tcBorders>
          </w:tcPr>
          <w:p w14:paraId="74739B19" w14:textId="2E9F6DD7" w:rsidR="00005C4E" w:rsidRDefault="00005C4E">
            <w:pPr>
              <w:pStyle w:val="TableParagraph"/>
              <w:kinsoku w:val="0"/>
              <w:overflowPunct w:val="0"/>
              <w:ind w:left="105" w:right="410"/>
              <w:rPr>
                <w:color w:val="231F20"/>
                <w:sz w:val="18"/>
                <w:szCs w:val="18"/>
              </w:rPr>
            </w:pPr>
            <w:r>
              <w:rPr>
                <w:color w:val="231F20"/>
                <w:sz w:val="18"/>
                <w:szCs w:val="18"/>
              </w:rPr>
              <w:t xml:space="preserve">Altius Warrant Instrument </w:t>
            </w:r>
          </w:p>
        </w:tc>
        <w:tc>
          <w:tcPr>
            <w:tcW w:w="1046" w:type="dxa"/>
            <w:gridSpan w:val="2"/>
            <w:tcBorders>
              <w:top w:val="single" w:sz="4" w:space="0" w:color="231F20"/>
              <w:left w:val="single" w:sz="4" w:space="0" w:color="231F20"/>
              <w:bottom w:val="single" w:sz="4" w:space="0" w:color="231F20"/>
              <w:right w:val="single" w:sz="4" w:space="0" w:color="231F20"/>
            </w:tcBorders>
          </w:tcPr>
          <w:p w14:paraId="12120BAB" w14:textId="3748D7F0" w:rsidR="00005C4E" w:rsidDel="00C325F0" w:rsidRDefault="002D53F1">
            <w:pPr>
              <w:pStyle w:val="TableParagraph"/>
              <w:kinsoku w:val="0"/>
              <w:overflowPunct w:val="0"/>
              <w:spacing w:line="206" w:lineRule="exact"/>
              <w:ind w:left="108"/>
              <w:rPr>
                <w:color w:val="231F20"/>
                <w:sz w:val="18"/>
                <w:szCs w:val="18"/>
              </w:rPr>
            </w:pPr>
            <w:r>
              <w:rPr>
                <w:sz w:val="18"/>
                <w:szCs w:val="18"/>
              </w:rPr>
              <w:t xml:space="preserve">To be entered into on completion of </w:t>
            </w:r>
            <w:r w:rsidR="00C51139">
              <w:rPr>
                <w:sz w:val="18"/>
                <w:szCs w:val="18"/>
              </w:rPr>
              <w:t xml:space="preserve">the </w:t>
            </w:r>
            <w:r>
              <w:rPr>
                <w:sz w:val="18"/>
                <w:szCs w:val="18"/>
              </w:rPr>
              <w:t>Labrador Acquisition</w:t>
            </w:r>
          </w:p>
        </w:tc>
        <w:tc>
          <w:tcPr>
            <w:tcW w:w="1380" w:type="dxa"/>
            <w:gridSpan w:val="2"/>
            <w:tcBorders>
              <w:top w:val="single" w:sz="4" w:space="0" w:color="231F20"/>
              <w:left w:val="single" w:sz="4" w:space="0" w:color="231F20"/>
              <w:bottom w:val="single" w:sz="4" w:space="0" w:color="231F20"/>
              <w:right w:val="single" w:sz="4" w:space="0" w:color="231F20"/>
            </w:tcBorders>
          </w:tcPr>
          <w:p w14:paraId="595653CB" w14:textId="6B58EEA8" w:rsidR="00005C4E" w:rsidRDefault="00005C4E">
            <w:pPr>
              <w:pStyle w:val="TableParagraph"/>
              <w:kinsoku w:val="0"/>
              <w:overflowPunct w:val="0"/>
              <w:spacing w:line="206" w:lineRule="exact"/>
              <w:ind w:left="108"/>
              <w:rPr>
                <w:color w:val="231F20"/>
                <w:sz w:val="18"/>
                <w:szCs w:val="18"/>
              </w:rPr>
            </w:pPr>
            <w:r>
              <w:rPr>
                <w:color w:val="231F20"/>
                <w:sz w:val="18"/>
                <w:szCs w:val="18"/>
              </w:rPr>
              <w:t>11,100,000</w:t>
            </w:r>
          </w:p>
        </w:tc>
        <w:tc>
          <w:tcPr>
            <w:tcW w:w="1028" w:type="dxa"/>
            <w:tcBorders>
              <w:top w:val="single" w:sz="4" w:space="0" w:color="231F20"/>
              <w:left w:val="single" w:sz="4" w:space="0" w:color="231F20"/>
              <w:bottom w:val="single" w:sz="4" w:space="0" w:color="231F20"/>
              <w:right w:val="none" w:sz="6" w:space="0" w:color="auto"/>
            </w:tcBorders>
          </w:tcPr>
          <w:p w14:paraId="5FD9872F" w14:textId="2E647F07" w:rsidR="00005C4E" w:rsidRDefault="002D53F1">
            <w:pPr>
              <w:pStyle w:val="TableParagraph"/>
              <w:tabs>
                <w:tab w:val="left" w:pos="441"/>
              </w:tabs>
              <w:kinsoku w:val="0"/>
              <w:overflowPunct w:val="0"/>
              <w:ind w:left="106" w:right="82" w:hanging="1"/>
              <w:rPr>
                <w:color w:val="231F20"/>
                <w:sz w:val="18"/>
                <w:szCs w:val="18"/>
              </w:rPr>
            </w:pPr>
            <w:r>
              <w:rPr>
                <w:color w:val="231F20"/>
                <w:sz w:val="18"/>
                <w:szCs w:val="18"/>
              </w:rPr>
              <w:t xml:space="preserve">3 years </w:t>
            </w:r>
            <w:proofErr w:type="gramStart"/>
            <w:r>
              <w:rPr>
                <w:color w:val="231F20"/>
                <w:sz w:val="18"/>
                <w:szCs w:val="18"/>
              </w:rPr>
              <w:t xml:space="preserve">from </w:t>
            </w:r>
            <w:r>
              <w:rPr>
                <w:sz w:val="18"/>
                <w:szCs w:val="18"/>
              </w:rPr>
              <w:t xml:space="preserve"> Admission</w:t>
            </w:r>
            <w:proofErr w:type="gramEnd"/>
          </w:p>
        </w:tc>
        <w:tc>
          <w:tcPr>
            <w:tcW w:w="562" w:type="dxa"/>
            <w:tcBorders>
              <w:top w:val="single" w:sz="4" w:space="0" w:color="231F20"/>
              <w:left w:val="none" w:sz="6" w:space="0" w:color="auto"/>
              <w:bottom w:val="single" w:sz="4" w:space="0" w:color="231F20"/>
              <w:right w:val="single" w:sz="4" w:space="0" w:color="231F20"/>
            </w:tcBorders>
          </w:tcPr>
          <w:p w14:paraId="3723FA41" w14:textId="77777777" w:rsidR="00005C4E" w:rsidRDefault="00005C4E">
            <w:pPr>
              <w:pStyle w:val="TableParagraph"/>
              <w:kinsoku w:val="0"/>
              <w:overflowPunct w:val="0"/>
              <w:spacing w:line="206" w:lineRule="exact"/>
              <w:ind w:left="95"/>
              <w:rPr>
                <w:color w:val="231F20"/>
                <w:sz w:val="18"/>
                <w:szCs w:val="18"/>
              </w:rPr>
            </w:pPr>
          </w:p>
        </w:tc>
        <w:tc>
          <w:tcPr>
            <w:tcW w:w="1836" w:type="dxa"/>
            <w:gridSpan w:val="3"/>
            <w:tcBorders>
              <w:top w:val="single" w:sz="4" w:space="0" w:color="231F20"/>
              <w:left w:val="single" w:sz="4" w:space="0" w:color="231F20"/>
              <w:bottom w:val="single" w:sz="4" w:space="0" w:color="231F20"/>
              <w:right w:val="single" w:sz="4" w:space="0" w:color="231F20"/>
            </w:tcBorders>
          </w:tcPr>
          <w:p w14:paraId="7A4463D4" w14:textId="411B218A" w:rsidR="00005C4E" w:rsidRDefault="00005C4E">
            <w:pPr>
              <w:pStyle w:val="TableParagraph"/>
              <w:kinsoku w:val="0"/>
              <w:overflowPunct w:val="0"/>
              <w:spacing w:line="206" w:lineRule="exact"/>
              <w:ind w:left="104"/>
              <w:rPr>
                <w:color w:val="231F20"/>
                <w:sz w:val="18"/>
                <w:szCs w:val="18"/>
              </w:rPr>
            </w:pPr>
            <w:r>
              <w:rPr>
                <w:color w:val="231F20"/>
                <w:sz w:val="18"/>
                <w:szCs w:val="18"/>
              </w:rPr>
              <w:t>£0.20</w:t>
            </w:r>
          </w:p>
        </w:tc>
      </w:tr>
      <w:tr w:rsidR="00783288" w14:paraId="21BF68AA" w14:textId="77777777">
        <w:trPr>
          <w:trHeight w:val="448"/>
        </w:trPr>
        <w:tc>
          <w:tcPr>
            <w:tcW w:w="1063" w:type="dxa"/>
            <w:tcBorders>
              <w:top w:val="single" w:sz="4" w:space="0" w:color="231F20"/>
              <w:left w:val="single" w:sz="4" w:space="0" w:color="231F20"/>
              <w:bottom w:val="single" w:sz="4" w:space="0" w:color="231F20"/>
              <w:right w:val="single" w:sz="4" w:space="0" w:color="231F20"/>
            </w:tcBorders>
          </w:tcPr>
          <w:p w14:paraId="76ACFCD7" w14:textId="77777777" w:rsidR="00783288" w:rsidRDefault="00783288">
            <w:pPr>
              <w:pStyle w:val="TableParagraph"/>
              <w:kinsoku w:val="0"/>
              <w:overflowPunct w:val="0"/>
              <w:rPr>
                <w:rFonts w:ascii="Times New Roman" w:hAnsi="Times New Roman" w:cs="Times New Roman"/>
                <w:sz w:val="16"/>
                <w:szCs w:val="16"/>
              </w:rPr>
            </w:pPr>
          </w:p>
        </w:tc>
        <w:tc>
          <w:tcPr>
            <w:tcW w:w="1397" w:type="dxa"/>
            <w:gridSpan w:val="2"/>
            <w:tcBorders>
              <w:top w:val="single" w:sz="4" w:space="0" w:color="231F20"/>
              <w:left w:val="single" w:sz="4" w:space="0" w:color="231F20"/>
              <w:bottom w:val="single" w:sz="4" w:space="0" w:color="231F20"/>
              <w:right w:val="single" w:sz="4" w:space="0" w:color="231F20"/>
            </w:tcBorders>
          </w:tcPr>
          <w:p w14:paraId="656CABA8" w14:textId="77777777" w:rsidR="00783288" w:rsidRDefault="00783288">
            <w:pPr>
              <w:pStyle w:val="TableParagraph"/>
              <w:kinsoku w:val="0"/>
              <w:overflowPunct w:val="0"/>
              <w:rPr>
                <w:rFonts w:ascii="Times New Roman" w:hAnsi="Times New Roman" w:cs="Times New Roman"/>
                <w:sz w:val="16"/>
                <w:szCs w:val="16"/>
              </w:rPr>
            </w:pPr>
          </w:p>
        </w:tc>
        <w:tc>
          <w:tcPr>
            <w:tcW w:w="1047" w:type="dxa"/>
            <w:gridSpan w:val="2"/>
            <w:tcBorders>
              <w:top w:val="single" w:sz="4" w:space="0" w:color="231F20"/>
              <w:left w:val="single" w:sz="4" w:space="0" w:color="231F20"/>
              <w:bottom w:val="single" w:sz="4" w:space="0" w:color="231F20"/>
              <w:right w:val="single" w:sz="4" w:space="0" w:color="231F20"/>
            </w:tcBorders>
          </w:tcPr>
          <w:p w14:paraId="15022712" w14:textId="77777777" w:rsidR="00783288" w:rsidRDefault="00E31420">
            <w:pPr>
              <w:pStyle w:val="TableParagraph"/>
              <w:kinsoku w:val="0"/>
              <w:overflowPunct w:val="0"/>
              <w:spacing w:line="201" w:lineRule="exact"/>
              <w:ind w:left="107"/>
              <w:rPr>
                <w:b/>
                <w:bCs/>
                <w:color w:val="231F20"/>
                <w:sz w:val="18"/>
                <w:szCs w:val="18"/>
              </w:rPr>
            </w:pPr>
            <w:r>
              <w:rPr>
                <w:b/>
                <w:bCs/>
                <w:color w:val="231F20"/>
                <w:sz w:val="18"/>
                <w:szCs w:val="18"/>
              </w:rPr>
              <w:t>TOTAL</w:t>
            </w:r>
          </w:p>
        </w:tc>
        <w:tc>
          <w:tcPr>
            <w:tcW w:w="1381" w:type="dxa"/>
            <w:gridSpan w:val="2"/>
            <w:tcBorders>
              <w:top w:val="single" w:sz="4" w:space="0" w:color="231F20"/>
              <w:left w:val="single" w:sz="4" w:space="0" w:color="231F20"/>
              <w:bottom w:val="single" w:sz="4" w:space="0" w:color="231F20"/>
              <w:right w:val="single" w:sz="4" w:space="0" w:color="231F20"/>
            </w:tcBorders>
          </w:tcPr>
          <w:p w14:paraId="0EA1AB9E" w14:textId="30F02DAD" w:rsidR="00783288" w:rsidRDefault="00005C4E">
            <w:pPr>
              <w:pStyle w:val="TableParagraph"/>
              <w:kinsoku w:val="0"/>
              <w:overflowPunct w:val="0"/>
              <w:spacing w:line="201" w:lineRule="exact"/>
              <w:ind w:left="106"/>
              <w:rPr>
                <w:b/>
                <w:bCs/>
                <w:color w:val="231F20"/>
                <w:sz w:val="18"/>
                <w:szCs w:val="18"/>
              </w:rPr>
            </w:pPr>
            <w:r>
              <w:rPr>
                <w:b/>
                <w:bCs/>
                <w:color w:val="231F20"/>
                <w:sz w:val="18"/>
                <w:szCs w:val="18"/>
              </w:rPr>
              <w:t>17,</w:t>
            </w:r>
            <w:r w:rsidR="00176F97">
              <w:rPr>
                <w:b/>
                <w:bCs/>
                <w:color w:val="231F20"/>
                <w:sz w:val="18"/>
                <w:szCs w:val="18"/>
              </w:rPr>
              <w:t>1</w:t>
            </w:r>
            <w:r>
              <w:rPr>
                <w:b/>
                <w:bCs/>
                <w:color w:val="231F20"/>
                <w:sz w:val="18"/>
                <w:szCs w:val="18"/>
              </w:rPr>
              <w:t>64,889</w:t>
            </w:r>
          </w:p>
        </w:tc>
        <w:tc>
          <w:tcPr>
            <w:tcW w:w="1590" w:type="dxa"/>
            <w:gridSpan w:val="2"/>
            <w:tcBorders>
              <w:top w:val="single" w:sz="4" w:space="0" w:color="231F20"/>
              <w:left w:val="single" w:sz="4" w:space="0" w:color="231F20"/>
              <w:bottom w:val="single" w:sz="4" w:space="0" w:color="231F20"/>
              <w:right w:val="single" w:sz="4" w:space="0" w:color="231F20"/>
            </w:tcBorders>
          </w:tcPr>
          <w:p w14:paraId="6B418A36" w14:textId="77777777" w:rsidR="00783288" w:rsidRDefault="00783288">
            <w:pPr>
              <w:pStyle w:val="TableParagraph"/>
              <w:kinsoku w:val="0"/>
              <w:overflowPunct w:val="0"/>
              <w:rPr>
                <w:rFonts w:ascii="Times New Roman" w:hAnsi="Times New Roman" w:cs="Times New Roman"/>
                <w:sz w:val="16"/>
                <w:szCs w:val="16"/>
              </w:rPr>
            </w:pPr>
          </w:p>
        </w:tc>
        <w:tc>
          <w:tcPr>
            <w:tcW w:w="1837" w:type="dxa"/>
            <w:gridSpan w:val="3"/>
            <w:tcBorders>
              <w:top w:val="single" w:sz="4" w:space="0" w:color="231F20"/>
              <w:left w:val="single" w:sz="4" w:space="0" w:color="231F20"/>
              <w:bottom w:val="single" w:sz="4" w:space="0" w:color="231F20"/>
              <w:right w:val="single" w:sz="4" w:space="0" w:color="231F20"/>
            </w:tcBorders>
          </w:tcPr>
          <w:p w14:paraId="4C603433" w14:textId="77777777" w:rsidR="00783288" w:rsidRDefault="00783288">
            <w:pPr>
              <w:pStyle w:val="TableParagraph"/>
              <w:kinsoku w:val="0"/>
              <w:overflowPunct w:val="0"/>
              <w:rPr>
                <w:rFonts w:ascii="Times New Roman" w:hAnsi="Times New Roman" w:cs="Times New Roman"/>
                <w:sz w:val="16"/>
                <w:szCs w:val="16"/>
              </w:rPr>
            </w:pPr>
          </w:p>
        </w:tc>
      </w:tr>
    </w:tbl>
    <w:p w14:paraId="66AED129" w14:textId="77777777" w:rsidR="00734E27" w:rsidRDefault="00734E27">
      <w:pPr>
        <w:pStyle w:val="BodyText"/>
        <w:kinsoku w:val="0"/>
        <w:overflowPunct w:val="0"/>
        <w:ind w:left="839" w:right="1035"/>
        <w:jc w:val="both"/>
        <w:rPr>
          <w:color w:val="231F20"/>
        </w:rPr>
      </w:pPr>
    </w:p>
    <w:p w14:paraId="25AE1A70" w14:textId="1468EFFD" w:rsidR="00783288" w:rsidRDefault="00E31420" w:rsidP="00005C4E">
      <w:pPr>
        <w:pStyle w:val="BodyText"/>
        <w:kinsoku w:val="0"/>
        <w:overflowPunct w:val="0"/>
        <w:ind w:left="839" w:right="1035"/>
        <w:jc w:val="both"/>
        <w:rPr>
          <w:color w:val="231F20"/>
        </w:rPr>
      </w:pPr>
      <w:r>
        <w:rPr>
          <w:color w:val="231F20"/>
        </w:rPr>
        <w:t>On</w:t>
      </w:r>
      <w:r>
        <w:rPr>
          <w:color w:val="231F20"/>
          <w:spacing w:val="-7"/>
        </w:rPr>
        <w:t xml:space="preserve"> </w:t>
      </w:r>
      <w:r w:rsidR="00E51307">
        <w:rPr>
          <w:color w:val="231F20"/>
        </w:rPr>
        <w:t>11 December 2020</w:t>
      </w:r>
      <w:r>
        <w:rPr>
          <w:color w:val="231F20"/>
        </w:rPr>
        <w:t>,</w:t>
      </w:r>
      <w:r>
        <w:rPr>
          <w:color w:val="231F20"/>
          <w:spacing w:val="-6"/>
        </w:rPr>
        <w:t xml:space="preserve"> </w:t>
      </w:r>
      <w:r>
        <w:rPr>
          <w:color w:val="231F20"/>
        </w:rPr>
        <w:t>the</w:t>
      </w:r>
      <w:r>
        <w:rPr>
          <w:color w:val="231F20"/>
          <w:spacing w:val="-6"/>
        </w:rPr>
        <w:t xml:space="preserve"> </w:t>
      </w:r>
      <w:r>
        <w:rPr>
          <w:color w:val="231F20"/>
        </w:rPr>
        <w:t>Company</w:t>
      </w:r>
      <w:r>
        <w:rPr>
          <w:color w:val="231F20"/>
          <w:spacing w:val="-8"/>
        </w:rPr>
        <w:t xml:space="preserve"> </w:t>
      </w:r>
      <w:r>
        <w:rPr>
          <w:color w:val="231F20"/>
        </w:rPr>
        <w:t>issued</w:t>
      </w:r>
      <w:r>
        <w:rPr>
          <w:color w:val="231F20"/>
          <w:spacing w:val="-6"/>
        </w:rPr>
        <w:t xml:space="preserve"> </w:t>
      </w:r>
      <w:r>
        <w:rPr>
          <w:color w:val="231F20"/>
        </w:rPr>
        <w:t>55,556</w:t>
      </w:r>
      <w:r>
        <w:rPr>
          <w:color w:val="231F20"/>
          <w:spacing w:val="-7"/>
        </w:rPr>
        <w:t xml:space="preserve"> </w:t>
      </w:r>
      <w:r>
        <w:rPr>
          <w:color w:val="231F20"/>
        </w:rPr>
        <w:t>warrants</w:t>
      </w:r>
      <w:r>
        <w:rPr>
          <w:color w:val="231F20"/>
          <w:spacing w:val="-6"/>
        </w:rPr>
        <w:t xml:space="preserve"> </w:t>
      </w:r>
      <w:r>
        <w:rPr>
          <w:color w:val="231F20"/>
        </w:rPr>
        <w:t>(constituting</w:t>
      </w:r>
      <w:r>
        <w:rPr>
          <w:color w:val="231F20"/>
          <w:spacing w:val="-5"/>
        </w:rPr>
        <w:t xml:space="preserve"> </w:t>
      </w:r>
      <w:r>
        <w:rPr>
          <w:color w:val="231F20"/>
        </w:rPr>
        <w:t>5%</w:t>
      </w:r>
      <w:r>
        <w:rPr>
          <w:color w:val="231F20"/>
          <w:spacing w:val="-8"/>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funds</w:t>
      </w:r>
      <w:r>
        <w:rPr>
          <w:color w:val="231F20"/>
          <w:spacing w:val="-6"/>
        </w:rPr>
        <w:t xml:space="preserve"> </w:t>
      </w:r>
      <w:r>
        <w:rPr>
          <w:color w:val="231F20"/>
        </w:rPr>
        <w:t>raised</w:t>
      </w:r>
      <w:r>
        <w:rPr>
          <w:color w:val="231F20"/>
          <w:spacing w:val="-6"/>
        </w:rPr>
        <w:t xml:space="preserve"> </w:t>
      </w:r>
      <w:r>
        <w:rPr>
          <w:color w:val="231F20"/>
        </w:rPr>
        <w:t>by</w:t>
      </w:r>
      <w:r>
        <w:rPr>
          <w:color w:val="231F20"/>
          <w:spacing w:val="-8"/>
        </w:rPr>
        <w:t xml:space="preserve"> </w:t>
      </w:r>
      <w:r>
        <w:rPr>
          <w:color w:val="231F20"/>
        </w:rPr>
        <w:t>them</w:t>
      </w:r>
      <w:r>
        <w:rPr>
          <w:color w:val="231F20"/>
          <w:spacing w:val="-7"/>
        </w:rPr>
        <w:t xml:space="preserve"> </w:t>
      </w:r>
      <w:r>
        <w:rPr>
          <w:color w:val="231F20"/>
        </w:rPr>
        <w:t>pursuant</w:t>
      </w:r>
      <w:r>
        <w:rPr>
          <w:color w:val="231F20"/>
          <w:spacing w:val="-6"/>
        </w:rPr>
        <w:t xml:space="preserve"> </w:t>
      </w:r>
      <w:r>
        <w:rPr>
          <w:color w:val="231F20"/>
        </w:rPr>
        <w:t>to the</w:t>
      </w:r>
      <w:r>
        <w:rPr>
          <w:color w:val="231F20"/>
          <w:spacing w:val="-5"/>
        </w:rPr>
        <w:t xml:space="preserve"> </w:t>
      </w:r>
      <w:r w:rsidR="00E51307">
        <w:rPr>
          <w:color w:val="231F20"/>
          <w:spacing w:val="-5"/>
        </w:rPr>
        <w:t xml:space="preserve">December 2020 </w:t>
      </w:r>
      <w:r>
        <w:rPr>
          <w:color w:val="231F20"/>
        </w:rPr>
        <w:t>Fundraise)</w:t>
      </w:r>
      <w:r>
        <w:rPr>
          <w:color w:val="231F20"/>
          <w:spacing w:val="-4"/>
        </w:rPr>
        <w:t xml:space="preserve"> </w:t>
      </w:r>
      <w:r>
        <w:rPr>
          <w:color w:val="231F20"/>
        </w:rPr>
        <w:t>to</w:t>
      </w:r>
      <w:r>
        <w:rPr>
          <w:color w:val="231F20"/>
          <w:spacing w:val="-5"/>
        </w:rPr>
        <w:t xml:space="preserve"> </w:t>
      </w:r>
      <w:r>
        <w:rPr>
          <w:color w:val="231F20"/>
        </w:rPr>
        <w:t>Fox</w:t>
      </w:r>
      <w:r>
        <w:rPr>
          <w:color w:val="231F20"/>
          <w:spacing w:val="-8"/>
        </w:rPr>
        <w:t xml:space="preserve"> </w:t>
      </w:r>
      <w:r>
        <w:rPr>
          <w:color w:val="231F20"/>
        </w:rPr>
        <w:t>Davies,</w:t>
      </w:r>
      <w:r>
        <w:rPr>
          <w:color w:val="231F20"/>
          <w:spacing w:val="-4"/>
        </w:rPr>
        <w:t xml:space="preserve"> </w:t>
      </w:r>
      <w:r>
        <w:rPr>
          <w:color w:val="231F20"/>
        </w:rPr>
        <w:t>pursuant</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terms</w:t>
      </w:r>
      <w:r>
        <w:rPr>
          <w:color w:val="231F20"/>
          <w:spacing w:val="-3"/>
        </w:rPr>
        <w:t xml:space="preserve"> </w:t>
      </w:r>
      <w:r>
        <w:rPr>
          <w:color w:val="231F20"/>
        </w:rPr>
        <w:t>of</w:t>
      </w:r>
      <w:r>
        <w:rPr>
          <w:color w:val="231F20"/>
          <w:spacing w:val="-5"/>
        </w:rPr>
        <w:t xml:space="preserve"> </w:t>
      </w:r>
      <w:r>
        <w:rPr>
          <w:color w:val="231F20"/>
        </w:rPr>
        <w:t>the</w:t>
      </w:r>
      <w:r>
        <w:rPr>
          <w:color w:val="231F20"/>
          <w:spacing w:val="-4"/>
        </w:rPr>
        <w:t xml:space="preserve"> </w:t>
      </w:r>
      <w:r w:rsidR="00FD36FD">
        <w:rPr>
          <w:color w:val="231F20"/>
          <w:spacing w:val="-4"/>
        </w:rPr>
        <w:t xml:space="preserve">December 2020 </w:t>
      </w:r>
      <w:r>
        <w:rPr>
          <w:color w:val="231F20"/>
        </w:rPr>
        <w:t>Placing</w:t>
      </w:r>
      <w:r>
        <w:rPr>
          <w:color w:val="231F20"/>
          <w:spacing w:val="-4"/>
        </w:rPr>
        <w:t xml:space="preserve"> </w:t>
      </w:r>
      <w:r>
        <w:rPr>
          <w:color w:val="231F20"/>
        </w:rPr>
        <w:t>Agreement</w:t>
      </w:r>
      <w:r>
        <w:rPr>
          <w:color w:val="231F20"/>
          <w:spacing w:val="-5"/>
        </w:rPr>
        <w:t xml:space="preserve"> </w:t>
      </w:r>
      <w:r>
        <w:rPr>
          <w:color w:val="231F20"/>
        </w:rPr>
        <w:t>and</w:t>
      </w:r>
      <w:r>
        <w:rPr>
          <w:color w:val="231F20"/>
          <w:spacing w:val="-4"/>
        </w:rPr>
        <w:t xml:space="preserve"> </w:t>
      </w:r>
      <w:r>
        <w:rPr>
          <w:color w:val="231F20"/>
        </w:rPr>
        <w:t>their</w:t>
      </w:r>
      <w:r>
        <w:rPr>
          <w:color w:val="231F20"/>
          <w:spacing w:val="-5"/>
        </w:rPr>
        <w:t xml:space="preserve"> </w:t>
      </w:r>
      <w:r>
        <w:rPr>
          <w:color w:val="231F20"/>
        </w:rPr>
        <w:t>engagement</w:t>
      </w:r>
      <w:r>
        <w:rPr>
          <w:color w:val="231F20"/>
          <w:spacing w:val="-4"/>
        </w:rPr>
        <w:t xml:space="preserve"> </w:t>
      </w:r>
      <w:r>
        <w:rPr>
          <w:color w:val="231F20"/>
        </w:rPr>
        <w:t>letter,</w:t>
      </w:r>
      <w:r>
        <w:rPr>
          <w:color w:val="231F20"/>
          <w:spacing w:val="-4"/>
        </w:rPr>
        <w:t xml:space="preserve"> </w:t>
      </w:r>
      <w:r>
        <w:rPr>
          <w:color w:val="231F20"/>
        </w:rPr>
        <w:t xml:space="preserve">in connection with the </w:t>
      </w:r>
      <w:r w:rsidR="00FD36FD">
        <w:rPr>
          <w:color w:val="231F20"/>
        </w:rPr>
        <w:t xml:space="preserve">December 2020 </w:t>
      </w:r>
      <w:r>
        <w:rPr>
          <w:color w:val="231F20"/>
        </w:rPr>
        <w:t xml:space="preserve">Fundraise. Such warrants have the particulars set out in the above </w:t>
      </w:r>
      <w:proofErr w:type="gramStart"/>
      <w:r>
        <w:rPr>
          <w:color w:val="231F20"/>
        </w:rPr>
        <w:t>table, and</w:t>
      </w:r>
      <w:proofErr w:type="gramEnd"/>
      <w:r>
        <w:rPr>
          <w:color w:val="231F20"/>
        </w:rPr>
        <w:t xml:space="preserve"> are made subject to substantially identical terms as the Broker Warrant Instrument, as summarised at</w:t>
      </w:r>
      <w:r>
        <w:rPr>
          <w:color w:val="231F20"/>
          <w:spacing w:val="-25"/>
        </w:rPr>
        <w:t xml:space="preserve"> </w:t>
      </w:r>
      <w:r>
        <w:rPr>
          <w:color w:val="231F20"/>
        </w:rPr>
        <w:t>paragraph14.</w:t>
      </w:r>
      <w:r w:rsidR="007F0D26">
        <w:rPr>
          <w:color w:val="231F20"/>
        </w:rPr>
        <w:t>5</w:t>
      </w:r>
      <w:r>
        <w:rPr>
          <w:color w:val="231F20"/>
        </w:rPr>
        <w:t xml:space="preserve"> of Part VII below.</w:t>
      </w:r>
    </w:p>
    <w:p w14:paraId="6BA1FDA7" w14:textId="77777777" w:rsidR="00176F97" w:rsidRDefault="00176F97" w:rsidP="00C06762">
      <w:pPr>
        <w:pStyle w:val="BodyText"/>
        <w:kinsoku w:val="0"/>
        <w:overflowPunct w:val="0"/>
        <w:ind w:left="839" w:right="1035"/>
        <w:jc w:val="both"/>
        <w:rPr>
          <w:color w:val="231F20"/>
        </w:rPr>
      </w:pPr>
    </w:p>
    <w:p w14:paraId="520C033B" w14:textId="52F7C8C7" w:rsidR="00005C4E" w:rsidRDefault="007344D7" w:rsidP="00C06762">
      <w:pPr>
        <w:pStyle w:val="BodyText"/>
        <w:kinsoku w:val="0"/>
        <w:overflowPunct w:val="0"/>
        <w:ind w:left="839" w:right="1035"/>
        <w:jc w:val="both"/>
        <w:rPr>
          <w:color w:val="231F20"/>
        </w:rPr>
      </w:pPr>
      <w:r>
        <w:rPr>
          <w:color w:val="231F20"/>
        </w:rPr>
        <w:t xml:space="preserve">On </w:t>
      </w:r>
      <w:r w:rsidR="00176F97">
        <w:rPr>
          <w:color w:val="231F20"/>
        </w:rPr>
        <w:t>completion of the Labrador Acquisition, the Company shall issue</w:t>
      </w:r>
      <w:r w:rsidR="00005C4E">
        <w:rPr>
          <w:color w:val="231F20"/>
        </w:rPr>
        <w:t xml:space="preserve"> 11,100,000 warrants to Altius, pursuant to the terms of the Share Purchase Agreement </w:t>
      </w:r>
      <w:r w:rsidR="00A52F6A">
        <w:rPr>
          <w:color w:val="231F20"/>
        </w:rPr>
        <w:t xml:space="preserve">and </w:t>
      </w:r>
      <w:r w:rsidR="00005C4E">
        <w:rPr>
          <w:color w:val="231F20"/>
        </w:rPr>
        <w:t xml:space="preserve">in connection with the Labrador Acquisition. Such warrants have the particulars set out in the above table and </w:t>
      </w:r>
      <w:r w:rsidR="00A31EDC">
        <w:rPr>
          <w:color w:val="231F20"/>
        </w:rPr>
        <w:t xml:space="preserve">are made subject to the terms </w:t>
      </w:r>
      <w:r w:rsidR="00446689">
        <w:rPr>
          <w:color w:val="231F20"/>
        </w:rPr>
        <w:t>of the Altius Warrant Instrument, as</w:t>
      </w:r>
      <w:r w:rsidR="00005C4E">
        <w:rPr>
          <w:color w:val="231F20"/>
        </w:rPr>
        <w:t xml:space="preserve"> further summarised at paragraph 14.1 of Part VII below. </w:t>
      </w:r>
    </w:p>
    <w:p w14:paraId="2339022C" w14:textId="77777777" w:rsidR="00783288" w:rsidRDefault="00783288">
      <w:pPr>
        <w:pStyle w:val="BodyText"/>
        <w:kinsoku w:val="0"/>
        <w:overflowPunct w:val="0"/>
        <w:spacing w:before="5"/>
        <w:rPr>
          <w:sz w:val="20"/>
          <w:szCs w:val="20"/>
        </w:rPr>
      </w:pPr>
    </w:p>
    <w:p w14:paraId="5D151066"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Dividend</w:t>
      </w:r>
      <w:r>
        <w:rPr>
          <w:color w:val="231F20"/>
          <w:spacing w:val="1"/>
        </w:rPr>
        <w:t xml:space="preserve"> </w:t>
      </w:r>
      <w:r>
        <w:rPr>
          <w:color w:val="231F20"/>
        </w:rPr>
        <w:t>Policy</w:t>
      </w:r>
    </w:p>
    <w:p w14:paraId="0C22FEA9" w14:textId="77777777" w:rsidR="00783288" w:rsidRDefault="00783288">
      <w:pPr>
        <w:pStyle w:val="BodyText"/>
        <w:kinsoku w:val="0"/>
        <w:overflowPunct w:val="0"/>
        <w:spacing w:before="2"/>
        <w:rPr>
          <w:b/>
          <w:bCs/>
          <w:sz w:val="21"/>
          <w:szCs w:val="21"/>
        </w:rPr>
      </w:pPr>
    </w:p>
    <w:p w14:paraId="3590588F" w14:textId="77777777" w:rsidR="00783288" w:rsidRDefault="00E31420">
      <w:pPr>
        <w:pStyle w:val="BodyText"/>
        <w:kinsoku w:val="0"/>
        <w:overflowPunct w:val="0"/>
        <w:spacing w:before="1"/>
        <w:ind w:left="839" w:right="1037"/>
        <w:jc w:val="both"/>
        <w:rPr>
          <w:color w:val="232224"/>
        </w:rPr>
      </w:pPr>
      <w:r>
        <w:rPr>
          <w:color w:val="0C0D0D"/>
        </w:rPr>
        <w:t>Th</w:t>
      </w:r>
      <w:r>
        <w:rPr>
          <w:color w:val="232224"/>
        </w:rPr>
        <w:t xml:space="preserve">e </w:t>
      </w:r>
      <w:r>
        <w:rPr>
          <w:color w:val="0C0D0D"/>
        </w:rPr>
        <w:t>Directors’ curr</w:t>
      </w:r>
      <w:r>
        <w:rPr>
          <w:color w:val="232224"/>
        </w:rPr>
        <w:t>e</w:t>
      </w:r>
      <w:r>
        <w:rPr>
          <w:color w:val="0C0D0D"/>
        </w:rPr>
        <w:t>nt intention i</w:t>
      </w:r>
      <w:r>
        <w:rPr>
          <w:color w:val="232224"/>
        </w:rPr>
        <w:t>s t</w:t>
      </w:r>
      <w:r>
        <w:rPr>
          <w:color w:val="0C0D0D"/>
        </w:rPr>
        <w:t>o r</w:t>
      </w:r>
      <w:r>
        <w:rPr>
          <w:color w:val="232224"/>
        </w:rPr>
        <w:t>eta</w:t>
      </w:r>
      <w:r>
        <w:rPr>
          <w:color w:val="0C0D0D"/>
        </w:rPr>
        <w:t xml:space="preserve">in </w:t>
      </w:r>
      <w:r>
        <w:rPr>
          <w:color w:val="232224"/>
        </w:rPr>
        <w:t>a</w:t>
      </w:r>
      <w:r>
        <w:rPr>
          <w:color w:val="0C0D0D"/>
        </w:rPr>
        <w:t>n</w:t>
      </w:r>
      <w:r>
        <w:rPr>
          <w:color w:val="232224"/>
        </w:rPr>
        <w:t xml:space="preserve">y </w:t>
      </w:r>
      <w:r>
        <w:rPr>
          <w:color w:val="0C0D0D"/>
        </w:rPr>
        <w:t>earnin</w:t>
      </w:r>
      <w:r>
        <w:rPr>
          <w:color w:val="232224"/>
        </w:rPr>
        <w:t xml:space="preserve">gs </w:t>
      </w:r>
      <w:r>
        <w:rPr>
          <w:color w:val="0C0D0D"/>
        </w:rPr>
        <w:t>f</w:t>
      </w:r>
      <w:r>
        <w:rPr>
          <w:color w:val="232224"/>
        </w:rPr>
        <w:t>o</w:t>
      </w:r>
      <w:r>
        <w:rPr>
          <w:color w:val="0C0D0D"/>
        </w:rPr>
        <w:t xml:space="preserve">r </w:t>
      </w:r>
      <w:r>
        <w:rPr>
          <w:color w:val="232224"/>
        </w:rPr>
        <w:t xml:space="preserve">use </w:t>
      </w:r>
      <w:r>
        <w:rPr>
          <w:color w:val="0C0D0D"/>
        </w:rPr>
        <w:t xml:space="preserve">in </w:t>
      </w:r>
      <w:r>
        <w:rPr>
          <w:color w:val="232224"/>
        </w:rPr>
        <w:t>the Group’s o</w:t>
      </w:r>
      <w:r>
        <w:rPr>
          <w:color w:val="0C0D0D"/>
        </w:rPr>
        <w:t>p</w:t>
      </w:r>
      <w:r>
        <w:rPr>
          <w:color w:val="232224"/>
        </w:rPr>
        <w:t>e</w:t>
      </w:r>
      <w:r>
        <w:rPr>
          <w:color w:val="0C0D0D"/>
        </w:rPr>
        <w:t>r</w:t>
      </w:r>
      <w:r>
        <w:rPr>
          <w:color w:val="232224"/>
        </w:rPr>
        <w:t>a</w:t>
      </w:r>
      <w:r>
        <w:rPr>
          <w:color w:val="0C0D0D"/>
        </w:rPr>
        <w:t>ti</w:t>
      </w:r>
      <w:r>
        <w:rPr>
          <w:color w:val="232224"/>
        </w:rPr>
        <w:t>o</w:t>
      </w:r>
      <w:r>
        <w:rPr>
          <w:color w:val="0C0D0D"/>
        </w:rPr>
        <w:t>n</w:t>
      </w:r>
      <w:r>
        <w:rPr>
          <w:color w:val="232224"/>
        </w:rPr>
        <w:t>s a</w:t>
      </w:r>
      <w:r>
        <w:rPr>
          <w:color w:val="0C0D0D"/>
        </w:rPr>
        <w:t>nd th</w:t>
      </w:r>
      <w:r>
        <w:rPr>
          <w:color w:val="232224"/>
        </w:rPr>
        <w:t xml:space="preserve">e Directors </w:t>
      </w:r>
      <w:r>
        <w:rPr>
          <w:color w:val="0C0D0D"/>
        </w:rPr>
        <w:t>d</w:t>
      </w:r>
      <w:r>
        <w:rPr>
          <w:color w:val="232224"/>
        </w:rPr>
        <w:t xml:space="preserve">o </w:t>
      </w:r>
      <w:r>
        <w:rPr>
          <w:color w:val="0C0D0D"/>
        </w:rPr>
        <w:t>n</w:t>
      </w:r>
      <w:r>
        <w:rPr>
          <w:color w:val="232224"/>
        </w:rPr>
        <w:t>ot a</w:t>
      </w:r>
      <w:r>
        <w:rPr>
          <w:color w:val="0C0D0D"/>
        </w:rPr>
        <w:t>nti</w:t>
      </w:r>
      <w:r>
        <w:rPr>
          <w:color w:val="232224"/>
        </w:rPr>
        <w:t>ci</w:t>
      </w:r>
      <w:r>
        <w:rPr>
          <w:color w:val="0C0D0D"/>
        </w:rPr>
        <w:t>p</w:t>
      </w:r>
      <w:r>
        <w:rPr>
          <w:color w:val="232224"/>
        </w:rPr>
        <w:t xml:space="preserve">ate </w:t>
      </w:r>
      <w:r>
        <w:rPr>
          <w:color w:val="0C0D0D"/>
        </w:rPr>
        <w:t>d</w:t>
      </w:r>
      <w:r>
        <w:rPr>
          <w:color w:val="232224"/>
        </w:rPr>
        <w:t>ec</w:t>
      </w:r>
      <w:r>
        <w:rPr>
          <w:color w:val="0C0D0D"/>
        </w:rPr>
        <w:t>l</w:t>
      </w:r>
      <w:r>
        <w:rPr>
          <w:color w:val="232224"/>
        </w:rPr>
        <w:t>a</w:t>
      </w:r>
      <w:r>
        <w:rPr>
          <w:color w:val="0C0D0D"/>
        </w:rPr>
        <w:t xml:space="preserve">ring </w:t>
      </w:r>
      <w:r>
        <w:rPr>
          <w:color w:val="232224"/>
        </w:rPr>
        <w:t>a</w:t>
      </w:r>
      <w:r>
        <w:rPr>
          <w:color w:val="0C0D0D"/>
        </w:rPr>
        <w:t>n</w:t>
      </w:r>
      <w:r>
        <w:rPr>
          <w:color w:val="232224"/>
        </w:rPr>
        <w:t xml:space="preserve">y </w:t>
      </w:r>
      <w:r>
        <w:rPr>
          <w:color w:val="0C0D0D"/>
        </w:rPr>
        <w:t>d</w:t>
      </w:r>
      <w:r>
        <w:rPr>
          <w:color w:val="232224"/>
        </w:rPr>
        <w:t>i</w:t>
      </w:r>
      <w:r>
        <w:rPr>
          <w:color w:val="0C0D0D"/>
        </w:rPr>
        <w:t>vid</w:t>
      </w:r>
      <w:r>
        <w:rPr>
          <w:color w:val="232224"/>
        </w:rPr>
        <w:t>en</w:t>
      </w:r>
      <w:r>
        <w:rPr>
          <w:color w:val="0C0D0D"/>
        </w:rPr>
        <w:t>d</w:t>
      </w:r>
      <w:r>
        <w:rPr>
          <w:color w:val="232224"/>
        </w:rPr>
        <w:t xml:space="preserve">s </w:t>
      </w:r>
      <w:r>
        <w:rPr>
          <w:color w:val="0C0D0D"/>
        </w:rPr>
        <w:t>i</w:t>
      </w:r>
      <w:r>
        <w:rPr>
          <w:color w:val="232224"/>
        </w:rPr>
        <w:t xml:space="preserve">n </w:t>
      </w:r>
      <w:r>
        <w:rPr>
          <w:color w:val="0C0D0D"/>
        </w:rPr>
        <w:t>th</w:t>
      </w:r>
      <w:r>
        <w:rPr>
          <w:color w:val="232224"/>
        </w:rPr>
        <w:t xml:space="preserve">e </w:t>
      </w:r>
      <w:r>
        <w:rPr>
          <w:color w:val="0C0D0D"/>
        </w:rPr>
        <w:t>f</w:t>
      </w:r>
      <w:r>
        <w:rPr>
          <w:color w:val="232224"/>
        </w:rPr>
        <w:t>o</w:t>
      </w:r>
      <w:r>
        <w:rPr>
          <w:color w:val="0C0D0D"/>
        </w:rPr>
        <w:t>r</w:t>
      </w:r>
      <w:r>
        <w:rPr>
          <w:color w:val="232224"/>
        </w:rPr>
        <w:t>eseea</w:t>
      </w:r>
      <w:r>
        <w:rPr>
          <w:color w:val="0C0D0D"/>
        </w:rPr>
        <w:t>bl</w:t>
      </w:r>
      <w:r>
        <w:rPr>
          <w:color w:val="232224"/>
        </w:rPr>
        <w:t xml:space="preserve">e </w:t>
      </w:r>
      <w:r>
        <w:rPr>
          <w:color w:val="0C0D0D"/>
        </w:rPr>
        <w:t>futur</w:t>
      </w:r>
      <w:r>
        <w:rPr>
          <w:color w:val="232224"/>
        </w:rPr>
        <w:t>e</w:t>
      </w:r>
      <w:r>
        <w:rPr>
          <w:color w:val="414143"/>
        </w:rPr>
        <w:t xml:space="preserve">. </w:t>
      </w:r>
      <w:r>
        <w:rPr>
          <w:color w:val="0C0D0D"/>
        </w:rPr>
        <w:t>Th</w:t>
      </w:r>
      <w:r>
        <w:rPr>
          <w:color w:val="232224"/>
        </w:rPr>
        <w:t xml:space="preserve">e </w:t>
      </w:r>
      <w:r>
        <w:rPr>
          <w:color w:val="0C0D0D"/>
        </w:rPr>
        <w:t>C</w:t>
      </w:r>
      <w:r>
        <w:rPr>
          <w:color w:val="232224"/>
        </w:rPr>
        <w:t>o</w:t>
      </w:r>
      <w:r>
        <w:rPr>
          <w:color w:val="0C0D0D"/>
        </w:rPr>
        <w:t>m</w:t>
      </w:r>
      <w:r>
        <w:rPr>
          <w:color w:val="232224"/>
        </w:rPr>
        <w:t>pa</w:t>
      </w:r>
      <w:r>
        <w:rPr>
          <w:color w:val="0C0D0D"/>
        </w:rPr>
        <w:t>n</w:t>
      </w:r>
      <w:r>
        <w:rPr>
          <w:color w:val="232224"/>
        </w:rPr>
        <w:t>y w</w:t>
      </w:r>
      <w:r>
        <w:rPr>
          <w:color w:val="0C0D0D"/>
        </w:rPr>
        <w:t xml:space="preserve">ill </w:t>
      </w:r>
      <w:r>
        <w:rPr>
          <w:color w:val="232224"/>
        </w:rPr>
        <w:t>o</w:t>
      </w:r>
      <w:r>
        <w:rPr>
          <w:color w:val="0C0D0D"/>
        </w:rPr>
        <w:t>nl</w:t>
      </w:r>
      <w:r>
        <w:rPr>
          <w:color w:val="232224"/>
        </w:rPr>
        <w:t xml:space="preserve">y </w:t>
      </w:r>
      <w:r>
        <w:rPr>
          <w:color w:val="0C0D0D"/>
        </w:rPr>
        <w:t>pa</w:t>
      </w:r>
      <w:r>
        <w:rPr>
          <w:color w:val="232224"/>
        </w:rPr>
        <w:t xml:space="preserve">y </w:t>
      </w:r>
      <w:r>
        <w:rPr>
          <w:color w:val="0C0D0D"/>
        </w:rPr>
        <w:t>di</w:t>
      </w:r>
      <w:r>
        <w:rPr>
          <w:color w:val="232224"/>
        </w:rPr>
        <w:t>v</w:t>
      </w:r>
      <w:r>
        <w:rPr>
          <w:color w:val="0C0D0D"/>
        </w:rPr>
        <w:t>i</w:t>
      </w:r>
      <w:r>
        <w:rPr>
          <w:color w:val="232224"/>
        </w:rPr>
        <w:t>de</w:t>
      </w:r>
      <w:r>
        <w:rPr>
          <w:color w:val="0C0D0D"/>
        </w:rPr>
        <w:t>nd</w:t>
      </w:r>
      <w:r>
        <w:rPr>
          <w:color w:val="232224"/>
        </w:rPr>
        <w:t>s a</w:t>
      </w:r>
      <w:r>
        <w:rPr>
          <w:color w:val="0C0D0D"/>
        </w:rPr>
        <w:t xml:space="preserve">t </w:t>
      </w:r>
      <w:r>
        <w:rPr>
          <w:color w:val="232224"/>
        </w:rPr>
        <w:t>s</w:t>
      </w:r>
      <w:r>
        <w:rPr>
          <w:color w:val="0C0D0D"/>
        </w:rPr>
        <w:t>u</w:t>
      </w:r>
      <w:r>
        <w:rPr>
          <w:color w:val="232224"/>
        </w:rPr>
        <w:t>c</w:t>
      </w:r>
      <w:r>
        <w:rPr>
          <w:color w:val="0C0D0D"/>
        </w:rPr>
        <w:t>h</w:t>
      </w:r>
      <w:r>
        <w:rPr>
          <w:color w:val="0C0D0D"/>
          <w:spacing w:val="-4"/>
        </w:rPr>
        <w:t xml:space="preserve"> </w:t>
      </w:r>
      <w:r>
        <w:rPr>
          <w:color w:val="0C0D0D"/>
        </w:rPr>
        <w:t>t</w:t>
      </w:r>
      <w:r>
        <w:rPr>
          <w:color w:val="232224"/>
        </w:rPr>
        <w:t>i</w:t>
      </w:r>
      <w:r>
        <w:rPr>
          <w:color w:val="0C0D0D"/>
        </w:rPr>
        <w:t>m</w:t>
      </w:r>
      <w:r>
        <w:rPr>
          <w:color w:val="232224"/>
        </w:rPr>
        <w:t>es</w:t>
      </w:r>
      <w:r>
        <w:rPr>
          <w:color w:val="232224"/>
          <w:spacing w:val="-6"/>
        </w:rPr>
        <w:t xml:space="preserve"> </w:t>
      </w:r>
      <w:r>
        <w:rPr>
          <w:color w:val="0C0D0D"/>
        </w:rPr>
        <w:t>(if</w:t>
      </w:r>
      <w:r>
        <w:rPr>
          <w:color w:val="0C0D0D"/>
          <w:spacing w:val="-4"/>
        </w:rPr>
        <w:t xml:space="preserve"> </w:t>
      </w:r>
      <w:r>
        <w:rPr>
          <w:color w:val="232224"/>
        </w:rPr>
        <w:t>a</w:t>
      </w:r>
      <w:r>
        <w:rPr>
          <w:color w:val="0C0D0D"/>
        </w:rPr>
        <w:t>n</w:t>
      </w:r>
      <w:r>
        <w:rPr>
          <w:color w:val="232224"/>
        </w:rPr>
        <w:t>y)</w:t>
      </w:r>
      <w:r>
        <w:rPr>
          <w:color w:val="232224"/>
          <w:spacing w:val="-4"/>
        </w:rPr>
        <w:t xml:space="preserve"> </w:t>
      </w:r>
      <w:r>
        <w:rPr>
          <w:color w:val="232224"/>
        </w:rPr>
        <w:t>a</w:t>
      </w:r>
      <w:r>
        <w:rPr>
          <w:color w:val="0C0D0D"/>
        </w:rPr>
        <w:t>nd</w:t>
      </w:r>
      <w:r>
        <w:rPr>
          <w:color w:val="0C0D0D"/>
          <w:spacing w:val="-6"/>
        </w:rPr>
        <w:t xml:space="preserve"> </w:t>
      </w:r>
      <w:r>
        <w:rPr>
          <w:color w:val="232224"/>
        </w:rPr>
        <w:t>i</w:t>
      </w:r>
      <w:r>
        <w:rPr>
          <w:color w:val="0C0D0D"/>
        </w:rPr>
        <w:t>n</w:t>
      </w:r>
      <w:r>
        <w:rPr>
          <w:color w:val="0C0D0D"/>
          <w:spacing w:val="-4"/>
        </w:rPr>
        <w:t xml:space="preserve"> </w:t>
      </w:r>
      <w:r>
        <w:rPr>
          <w:color w:val="232224"/>
        </w:rPr>
        <w:t>s</w:t>
      </w:r>
      <w:r>
        <w:rPr>
          <w:color w:val="0C0D0D"/>
        </w:rPr>
        <w:t>u</w:t>
      </w:r>
      <w:r>
        <w:rPr>
          <w:color w:val="232224"/>
        </w:rPr>
        <w:t>c</w:t>
      </w:r>
      <w:r>
        <w:rPr>
          <w:color w:val="0C0D0D"/>
        </w:rPr>
        <w:t>h</w:t>
      </w:r>
      <w:r>
        <w:rPr>
          <w:color w:val="0C0D0D"/>
          <w:spacing w:val="-6"/>
        </w:rPr>
        <w:t xml:space="preserve"> </w:t>
      </w:r>
      <w:r>
        <w:rPr>
          <w:color w:val="232224"/>
        </w:rPr>
        <w:t>a</w:t>
      </w:r>
      <w:r>
        <w:rPr>
          <w:color w:val="0C0D0D"/>
        </w:rPr>
        <w:t>m</w:t>
      </w:r>
      <w:r>
        <w:rPr>
          <w:color w:val="232224"/>
        </w:rPr>
        <w:t>o</w:t>
      </w:r>
      <w:r>
        <w:rPr>
          <w:color w:val="0C0D0D"/>
        </w:rPr>
        <w:t>unt</w:t>
      </w:r>
      <w:r>
        <w:rPr>
          <w:color w:val="232224"/>
        </w:rPr>
        <w:t>s</w:t>
      </w:r>
      <w:r>
        <w:rPr>
          <w:color w:val="232224"/>
          <w:spacing w:val="-3"/>
        </w:rPr>
        <w:t xml:space="preserve"> </w:t>
      </w:r>
      <w:r>
        <w:rPr>
          <w:color w:val="0C0D0D"/>
        </w:rPr>
        <w:t>(if</w:t>
      </w:r>
      <w:r>
        <w:rPr>
          <w:color w:val="0C0D0D"/>
          <w:spacing w:val="-4"/>
        </w:rPr>
        <w:t xml:space="preserve"> </w:t>
      </w:r>
      <w:r>
        <w:rPr>
          <w:color w:val="232224"/>
        </w:rPr>
        <w:t>any</w:t>
      </w:r>
      <w:r>
        <w:rPr>
          <w:color w:val="0C0D0D"/>
        </w:rPr>
        <w:t>)</w:t>
      </w:r>
      <w:r>
        <w:rPr>
          <w:color w:val="0C0D0D"/>
          <w:spacing w:val="-4"/>
        </w:rPr>
        <w:t xml:space="preserve"> </w:t>
      </w:r>
      <w:r>
        <w:rPr>
          <w:color w:val="414143"/>
        </w:rPr>
        <w:t>a</w:t>
      </w:r>
      <w:r>
        <w:rPr>
          <w:color w:val="232224"/>
        </w:rPr>
        <w:t>s</w:t>
      </w:r>
      <w:r>
        <w:rPr>
          <w:color w:val="232224"/>
          <w:spacing w:val="-3"/>
        </w:rPr>
        <w:t xml:space="preserve"> </w:t>
      </w:r>
      <w:r>
        <w:rPr>
          <w:color w:val="0C0D0D"/>
        </w:rPr>
        <w:t>th</w:t>
      </w:r>
      <w:r>
        <w:rPr>
          <w:color w:val="232224"/>
        </w:rPr>
        <w:t>e</w:t>
      </w:r>
      <w:r>
        <w:rPr>
          <w:color w:val="232224"/>
          <w:spacing w:val="-4"/>
        </w:rPr>
        <w:t xml:space="preserve"> </w:t>
      </w:r>
      <w:r>
        <w:rPr>
          <w:color w:val="0C0D0D"/>
        </w:rPr>
        <w:t>B</w:t>
      </w:r>
      <w:r>
        <w:rPr>
          <w:color w:val="232224"/>
        </w:rPr>
        <w:t>oa</w:t>
      </w:r>
      <w:r>
        <w:rPr>
          <w:color w:val="0C0D0D"/>
        </w:rPr>
        <w:t>rd</w:t>
      </w:r>
      <w:r>
        <w:rPr>
          <w:color w:val="0C0D0D"/>
          <w:spacing w:val="-6"/>
        </w:rPr>
        <w:t xml:space="preserve"> </w:t>
      </w:r>
      <w:r>
        <w:rPr>
          <w:color w:val="0C0D0D"/>
        </w:rPr>
        <w:t>dete</w:t>
      </w:r>
      <w:r>
        <w:rPr>
          <w:color w:val="232224"/>
        </w:rPr>
        <w:t>r</w:t>
      </w:r>
      <w:r>
        <w:rPr>
          <w:color w:val="0C0D0D"/>
        </w:rPr>
        <w:t>min</w:t>
      </w:r>
      <w:r>
        <w:rPr>
          <w:color w:val="232224"/>
        </w:rPr>
        <w:t>es</w:t>
      </w:r>
      <w:r>
        <w:rPr>
          <w:color w:val="232224"/>
          <w:spacing w:val="-3"/>
        </w:rPr>
        <w:t xml:space="preserve"> </w:t>
      </w:r>
      <w:r>
        <w:rPr>
          <w:color w:val="232224"/>
        </w:rPr>
        <w:t>a</w:t>
      </w:r>
      <w:r>
        <w:rPr>
          <w:color w:val="0C0D0D"/>
        </w:rPr>
        <w:t>ppropri</w:t>
      </w:r>
      <w:r>
        <w:rPr>
          <w:color w:val="232224"/>
        </w:rPr>
        <w:t>a</w:t>
      </w:r>
      <w:r>
        <w:rPr>
          <w:color w:val="0C0D0D"/>
        </w:rPr>
        <w:t>te</w:t>
      </w:r>
      <w:r>
        <w:rPr>
          <w:color w:val="0C0D0D"/>
          <w:spacing w:val="-4"/>
        </w:rPr>
        <w:t xml:space="preserve"> </w:t>
      </w:r>
      <w:r>
        <w:rPr>
          <w:color w:val="0C0D0D"/>
        </w:rPr>
        <w:t>and</w:t>
      </w:r>
      <w:r>
        <w:rPr>
          <w:color w:val="0C0D0D"/>
          <w:spacing w:val="-4"/>
        </w:rPr>
        <w:t xml:space="preserve"> </w:t>
      </w:r>
      <w:r>
        <w:rPr>
          <w:color w:val="0C0D0D"/>
        </w:rPr>
        <w:t>to</w:t>
      </w:r>
      <w:r>
        <w:rPr>
          <w:color w:val="0C0D0D"/>
          <w:spacing w:val="-6"/>
        </w:rPr>
        <w:t xml:space="preserve"> </w:t>
      </w:r>
      <w:r>
        <w:rPr>
          <w:color w:val="0C0D0D"/>
        </w:rPr>
        <w:t>th</w:t>
      </w:r>
      <w:r>
        <w:rPr>
          <w:color w:val="232224"/>
        </w:rPr>
        <w:t>e</w:t>
      </w:r>
      <w:r>
        <w:rPr>
          <w:color w:val="232224"/>
          <w:spacing w:val="-4"/>
        </w:rPr>
        <w:t xml:space="preserve"> </w:t>
      </w:r>
      <w:r>
        <w:rPr>
          <w:color w:val="232224"/>
        </w:rPr>
        <w:t>e</w:t>
      </w:r>
      <w:r>
        <w:rPr>
          <w:color w:val="414143"/>
        </w:rPr>
        <w:t>x</w:t>
      </w:r>
      <w:r>
        <w:rPr>
          <w:color w:val="232224"/>
        </w:rPr>
        <w:t>te</w:t>
      </w:r>
      <w:r>
        <w:rPr>
          <w:color w:val="0C0D0D"/>
        </w:rPr>
        <w:t>nt</w:t>
      </w:r>
      <w:r>
        <w:rPr>
          <w:color w:val="0C0D0D"/>
          <w:spacing w:val="-4"/>
        </w:rPr>
        <w:t xml:space="preserve"> </w:t>
      </w:r>
      <w:r>
        <w:rPr>
          <w:color w:val="0C0D0D"/>
        </w:rPr>
        <w:t>th</w:t>
      </w:r>
      <w:r>
        <w:rPr>
          <w:color w:val="232224"/>
        </w:rPr>
        <w:t>at</w:t>
      </w:r>
      <w:r>
        <w:rPr>
          <w:color w:val="232224"/>
          <w:spacing w:val="-6"/>
        </w:rPr>
        <w:t xml:space="preserve"> </w:t>
      </w:r>
      <w:r>
        <w:rPr>
          <w:color w:val="0C0D0D"/>
        </w:rPr>
        <w:t>t</w:t>
      </w:r>
      <w:r>
        <w:rPr>
          <w:color w:val="232224"/>
        </w:rPr>
        <w:t xml:space="preserve">o </w:t>
      </w:r>
      <w:r>
        <w:rPr>
          <w:color w:val="0C0D0D"/>
        </w:rPr>
        <w:t>d</w:t>
      </w:r>
      <w:r>
        <w:rPr>
          <w:color w:val="232224"/>
        </w:rPr>
        <w:t xml:space="preserve">o so </w:t>
      </w:r>
      <w:r>
        <w:rPr>
          <w:color w:val="0C0D0D"/>
        </w:rPr>
        <w:t>is in a</w:t>
      </w:r>
      <w:r>
        <w:rPr>
          <w:color w:val="232224"/>
        </w:rPr>
        <w:t>cc</w:t>
      </w:r>
      <w:r>
        <w:rPr>
          <w:color w:val="0C0D0D"/>
        </w:rPr>
        <w:t>ordan</w:t>
      </w:r>
      <w:r>
        <w:rPr>
          <w:color w:val="232224"/>
        </w:rPr>
        <w:t>ce w</w:t>
      </w:r>
      <w:r>
        <w:rPr>
          <w:color w:val="0C0D0D"/>
        </w:rPr>
        <w:t xml:space="preserve">ith </w:t>
      </w:r>
      <w:r>
        <w:rPr>
          <w:color w:val="232224"/>
        </w:rPr>
        <w:t>a</w:t>
      </w:r>
      <w:r>
        <w:rPr>
          <w:color w:val="0C0D0D"/>
        </w:rPr>
        <w:t>ll applic</w:t>
      </w:r>
      <w:r>
        <w:rPr>
          <w:color w:val="232224"/>
        </w:rPr>
        <w:t>a</w:t>
      </w:r>
      <w:r>
        <w:rPr>
          <w:color w:val="0C0D0D"/>
        </w:rPr>
        <w:t>bl</w:t>
      </w:r>
      <w:r>
        <w:rPr>
          <w:color w:val="232224"/>
        </w:rPr>
        <w:t>e</w:t>
      </w:r>
      <w:r>
        <w:rPr>
          <w:color w:val="232224"/>
          <w:spacing w:val="-3"/>
        </w:rPr>
        <w:t xml:space="preserve"> </w:t>
      </w:r>
      <w:r>
        <w:rPr>
          <w:color w:val="0C0D0D"/>
        </w:rPr>
        <w:t>l</w:t>
      </w:r>
      <w:r>
        <w:rPr>
          <w:color w:val="232224"/>
        </w:rPr>
        <w:t>aws.</w:t>
      </w:r>
    </w:p>
    <w:p w14:paraId="7DA24481" w14:textId="77777777" w:rsidR="00783288" w:rsidRDefault="00783288">
      <w:pPr>
        <w:pStyle w:val="BodyText"/>
        <w:kinsoku w:val="0"/>
        <w:overflowPunct w:val="0"/>
        <w:spacing w:before="8"/>
        <w:rPr>
          <w:sz w:val="17"/>
          <w:szCs w:val="17"/>
        </w:rPr>
      </w:pPr>
    </w:p>
    <w:p w14:paraId="552B11E8" w14:textId="77777777" w:rsidR="00783288" w:rsidRDefault="00E31420" w:rsidP="00512495">
      <w:pPr>
        <w:pStyle w:val="Heading1"/>
        <w:keepNext/>
        <w:keepLines/>
        <w:numPr>
          <w:ilvl w:val="0"/>
          <w:numId w:val="13"/>
        </w:numPr>
        <w:tabs>
          <w:tab w:val="left" w:pos="840"/>
        </w:tabs>
        <w:kinsoku w:val="0"/>
        <w:overflowPunct w:val="0"/>
        <w:rPr>
          <w:color w:val="231F20"/>
        </w:rPr>
      </w:pPr>
      <w:r>
        <w:rPr>
          <w:color w:val="231F20"/>
        </w:rPr>
        <w:t>Regulatory</w:t>
      </w:r>
      <w:r>
        <w:rPr>
          <w:color w:val="231F20"/>
          <w:spacing w:val="-8"/>
        </w:rPr>
        <w:t xml:space="preserve"> </w:t>
      </w:r>
      <w:r>
        <w:rPr>
          <w:color w:val="231F20"/>
        </w:rPr>
        <w:t>Disclosures</w:t>
      </w:r>
    </w:p>
    <w:p w14:paraId="705AD3A9" w14:textId="77777777" w:rsidR="00783288" w:rsidRDefault="00783288" w:rsidP="001A7287">
      <w:pPr>
        <w:pStyle w:val="BodyText"/>
        <w:keepNext/>
        <w:keepLines/>
        <w:kinsoku w:val="0"/>
        <w:overflowPunct w:val="0"/>
        <w:spacing w:before="3"/>
        <w:rPr>
          <w:b/>
          <w:bCs/>
          <w:sz w:val="21"/>
          <w:szCs w:val="21"/>
        </w:rPr>
      </w:pPr>
    </w:p>
    <w:p w14:paraId="6776E730" w14:textId="0127A40A" w:rsidR="00783288" w:rsidRDefault="00E31420" w:rsidP="00512495">
      <w:pPr>
        <w:pStyle w:val="ListParagraph"/>
        <w:keepNext/>
        <w:keepLines/>
        <w:numPr>
          <w:ilvl w:val="1"/>
          <w:numId w:val="13"/>
        </w:numPr>
        <w:tabs>
          <w:tab w:val="left" w:pos="840"/>
        </w:tabs>
        <w:kinsoku w:val="0"/>
        <w:overflowPunct w:val="0"/>
        <w:ind w:left="839" w:right="1037"/>
        <w:jc w:val="both"/>
        <w:rPr>
          <w:color w:val="231F20"/>
          <w:sz w:val="18"/>
          <w:szCs w:val="18"/>
        </w:rPr>
      </w:pPr>
      <w:r>
        <w:rPr>
          <w:color w:val="231F20"/>
          <w:sz w:val="18"/>
          <w:szCs w:val="18"/>
        </w:rPr>
        <w:t>Summaries</w:t>
      </w:r>
      <w:r>
        <w:rPr>
          <w:color w:val="231F20"/>
          <w:spacing w:val="-4"/>
          <w:sz w:val="18"/>
          <w:szCs w:val="18"/>
        </w:rPr>
        <w:t xml:space="preserve"> </w:t>
      </w:r>
      <w:r>
        <w:rPr>
          <w:color w:val="231F20"/>
          <w:sz w:val="18"/>
          <w:szCs w:val="18"/>
        </w:rPr>
        <w:t>of</w:t>
      </w:r>
      <w:r>
        <w:rPr>
          <w:color w:val="231F20"/>
          <w:spacing w:val="-4"/>
          <w:sz w:val="18"/>
          <w:szCs w:val="18"/>
        </w:rPr>
        <w:t xml:space="preserve"> </w:t>
      </w:r>
      <w:r>
        <w:rPr>
          <w:color w:val="231F20"/>
          <w:sz w:val="18"/>
          <w:szCs w:val="18"/>
        </w:rPr>
        <w:t>the</w:t>
      </w:r>
      <w:r>
        <w:rPr>
          <w:color w:val="231F20"/>
          <w:spacing w:val="-4"/>
          <w:sz w:val="18"/>
          <w:szCs w:val="18"/>
        </w:rPr>
        <w:t xml:space="preserve"> </w:t>
      </w:r>
      <w:r>
        <w:rPr>
          <w:color w:val="231F20"/>
          <w:sz w:val="18"/>
          <w:szCs w:val="18"/>
        </w:rPr>
        <w:t>announcements</w:t>
      </w:r>
      <w:r>
        <w:rPr>
          <w:color w:val="231F20"/>
          <w:spacing w:val="-6"/>
          <w:sz w:val="18"/>
          <w:szCs w:val="18"/>
        </w:rPr>
        <w:t xml:space="preserve"> </w:t>
      </w:r>
      <w:r>
        <w:rPr>
          <w:color w:val="231F20"/>
          <w:sz w:val="18"/>
          <w:szCs w:val="18"/>
        </w:rPr>
        <w:t>made</w:t>
      </w:r>
      <w:r>
        <w:rPr>
          <w:color w:val="231F20"/>
          <w:spacing w:val="-6"/>
          <w:sz w:val="18"/>
          <w:szCs w:val="18"/>
        </w:rPr>
        <w:t xml:space="preserve"> </w:t>
      </w:r>
      <w:r>
        <w:rPr>
          <w:color w:val="231F20"/>
          <w:sz w:val="18"/>
          <w:szCs w:val="18"/>
        </w:rPr>
        <w:t>by</w:t>
      </w:r>
      <w:r>
        <w:rPr>
          <w:color w:val="231F20"/>
          <w:spacing w:val="-6"/>
          <w:sz w:val="18"/>
          <w:szCs w:val="18"/>
        </w:rPr>
        <w:t xml:space="preserve"> </w:t>
      </w:r>
      <w:r>
        <w:rPr>
          <w:color w:val="231F20"/>
          <w:sz w:val="18"/>
          <w:szCs w:val="18"/>
        </w:rPr>
        <w:t>the</w:t>
      </w:r>
      <w:r>
        <w:rPr>
          <w:color w:val="231F20"/>
          <w:spacing w:val="-4"/>
          <w:sz w:val="18"/>
          <w:szCs w:val="18"/>
        </w:rPr>
        <w:t xml:space="preserve"> </w:t>
      </w:r>
      <w:r>
        <w:rPr>
          <w:color w:val="231F20"/>
          <w:sz w:val="18"/>
          <w:szCs w:val="18"/>
        </w:rPr>
        <w:t>Company</w:t>
      </w:r>
      <w:r>
        <w:rPr>
          <w:color w:val="231F20"/>
          <w:spacing w:val="-7"/>
          <w:sz w:val="18"/>
          <w:szCs w:val="18"/>
        </w:rPr>
        <w:t xml:space="preserve"> </w:t>
      </w:r>
      <w:r>
        <w:rPr>
          <w:color w:val="231F20"/>
          <w:sz w:val="18"/>
          <w:szCs w:val="18"/>
        </w:rPr>
        <w:t>pursuant</w:t>
      </w:r>
      <w:r>
        <w:rPr>
          <w:color w:val="231F20"/>
          <w:spacing w:val="-4"/>
          <w:sz w:val="18"/>
          <w:szCs w:val="18"/>
        </w:rPr>
        <w:t xml:space="preserve"> </w:t>
      </w:r>
      <w:r>
        <w:rPr>
          <w:color w:val="231F20"/>
          <w:sz w:val="18"/>
          <w:szCs w:val="18"/>
        </w:rPr>
        <w:t>to</w:t>
      </w:r>
      <w:r>
        <w:rPr>
          <w:color w:val="231F20"/>
          <w:spacing w:val="-4"/>
          <w:sz w:val="18"/>
          <w:szCs w:val="18"/>
        </w:rPr>
        <w:t xml:space="preserve"> </w:t>
      </w:r>
      <w:r>
        <w:rPr>
          <w:color w:val="231F20"/>
          <w:sz w:val="18"/>
          <w:szCs w:val="18"/>
        </w:rPr>
        <w:t>its</w:t>
      </w:r>
      <w:r>
        <w:rPr>
          <w:color w:val="231F20"/>
          <w:spacing w:val="-3"/>
          <w:sz w:val="18"/>
          <w:szCs w:val="18"/>
        </w:rPr>
        <w:t xml:space="preserve"> </w:t>
      </w:r>
      <w:r>
        <w:rPr>
          <w:color w:val="231F20"/>
          <w:sz w:val="18"/>
          <w:szCs w:val="18"/>
        </w:rPr>
        <w:t>obligations</w:t>
      </w:r>
      <w:r>
        <w:rPr>
          <w:color w:val="231F20"/>
          <w:spacing w:val="-3"/>
          <w:sz w:val="18"/>
          <w:szCs w:val="18"/>
        </w:rPr>
        <w:t xml:space="preserve"> </w:t>
      </w:r>
      <w:r>
        <w:rPr>
          <w:color w:val="231F20"/>
          <w:sz w:val="18"/>
          <w:szCs w:val="18"/>
        </w:rPr>
        <w:t>under</w:t>
      </w:r>
      <w:r>
        <w:rPr>
          <w:color w:val="231F20"/>
          <w:spacing w:val="-5"/>
          <w:sz w:val="18"/>
          <w:szCs w:val="18"/>
        </w:rPr>
        <w:t xml:space="preserve"> </w:t>
      </w:r>
      <w:r>
        <w:rPr>
          <w:color w:val="231F20"/>
          <w:sz w:val="18"/>
          <w:szCs w:val="18"/>
        </w:rPr>
        <w:t>the</w:t>
      </w:r>
      <w:r>
        <w:rPr>
          <w:color w:val="231F20"/>
          <w:spacing w:val="-4"/>
          <w:sz w:val="18"/>
          <w:szCs w:val="18"/>
        </w:rPr>
        <w:t xml:space="preserve"> </w:t>
      </w:r>
      <w:r>
        <w:rPr>
          <w:color w:val="231F20"/>
          <w:sz w:val="18"/>
          <w:szCs w:val="18"/>
        </w:rPr>
        <w:t>Market</w:t>
      </w:r>
      <w:r>
        <w:rPr>
          <w:color w:val="231F20"/>
          <w:spacing w:val="-4"/>
          <w:sz w:val="18"/>
          <w:szCs w:val="18"/>
        </w:rPr>
        <w:t xml:space="preserve"> </w:t>
      </w:r>
      <w:r>
        <w:rPr>
          <w:color w:val="231F20"/>
          <w:sz w:val="18"/>
          <w:szCs w:val="18"/>
        </w:rPr>
        <w:t>Abuse Regulations</w:t>
      </w:r>
      <w:r>
        <w:rPr>
          <w:color w:val="231F20"/>
          <w:spacing w:val="-7"/>
          <w:sz w:val="18"/>
          <w:szCs w:val="18"/>
        </w:rPr>
        <w:t xml:space="preserve"> </w:t>
      </w:r>
      <w:r>
        <w:rPr>
          <w:color w:val="231F20"/>
          <w:sz w:val="18"/>
          <w:szCs w:val="18"/>
        </w:rPr>
        <w:t>in</w:t>
      </w:r>
      <w:r>
        <w:rPr>
          <w:color w:val="231F20"/>
          <w:spacing w:val="-4"/>
          <w:sz w:val="18"/>
          <w:szCs w:val="18"/>
        </w:rPr>
        <w:t xml:space="preserve"> </w:t>
      </w:r>
      <w:r>
        <w:rPr>
          <w:color w:val="231F20"/>
          <w:sz w:val="18"/>
          <w:szCs w:val="18"/>
        </w:rPr>
        <w:t>the</w:t>
      </w:r>
      <w:r>
        <w:rPr>
          <w:color w:val="231F20"/>
          <w:spacing w:val="-6"/>
          <w:sz w:val="18"/>
          <w:szCs w:val="18"/>
        </w:rPr>
        <w:t xml:space="preserve"> </w:t>
      </w:r>
      <w:r>
        <w:rPr>
          <w:color w:val="231F20"/>
          <w:sz w:val="18"/>
          <w:szCs w:val="18"/>
        </w:rPr>
        <w:t>twelve</w:t>
      </w:r>
      <w:r>
        <w:rPr>
          <w:color w:val="231F20"/>
          <w:spacing w:val="-4"/>
          <w:sz w:val="18"/>
          <w:szCs w:val="18"/>
        </w:rPr>
        <w:t xml:space="preserve"> </w:t>
      </w:r>
      <w:r>
        <w:rPr>
          <w:color w:val="231F20"/>
          <w:sz w:val="18"/>
          <w:szCs w:val="18"/>
        </w:rPr>
        <w:t>months</w:t>
      </w:r>
      <w:r>
        <w:rPr>
          <w:color w:val="231F20"/>
          <w:spacing w:val="-3"/>
          <w:sz w:val="18"/>
          <w:szCs w:val="18"/>
        </w:rPr>
        <w:t xml:space="preserve"> </w:t>
      </w:r>
      <w:r>
        <w:rPr>
          <w:color w:val="231F20"/>
          <w:sz w:val="18"/>
          <w:szCs w:val="18"/>
        </w:rPr>
        <w:t>preceding</w:t>
      </w:r>
      <w:r>
        <w:rPr>
          <w:color w:val="231F20"/>
          <w:spacing w:val="-4"/>
          <w:sz w:val="18"/>
          <w:szCs w:val="18"/>
        </w:rPr>
        <w:t xml:space="preserve"> </w:t>
      </w:r>
      <w:r>
        <w:rPr>
          <w:color w:val="231F20"/>
          <w:sz w:val="18"/>
          <w:szCs w:val="18"/>
        </w:rPr>
        <w:t>the</w:t>
      </w:r>
      <w:r>
        <w:rPr>
          <w:color w:val="231F20"/>
          <w:spacing w:val="-7"/>
          <w:sz w:val="18"/>
          <w:szCs w:val="18"/>
        </w:rPr>
        <w:t xml:space="preserve"> </w:t>
      </w:r>
      <w:r>
        <w:rPr>
          <w:color w:val="231F20"/>
          <w:sz w:val="18"/>
          <w:szCs w:val="18"/>
        </w:rPr>
        <w:t>date</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this</w:t>
      </w:r>
      <w:r>
        <w:rPr>
          <w:color w:val="231F20"/>
          <w:spacing w:val="-3"/>
          <w:sz w:val="18"/>
          <w:szCs w:val="18"/>
        </w:rPr>
        <w:t xml:space="preserve"> </w:t>
      </w:r>
      <w:r w:rsidRPr="00EB2E04">
        <w:rPr>
          <w:color w:val="231F20"/>
          <w:sz w:val="18"/>
          <w:szCs w:val="18"/>
        </w:rPr>
        <w:t>Document</w:t>
      </w:r>
      <w:r w:rsidRPr="00EB2E04">
        <w:rPr>
          <w:color w:val="231F20"/>
          <w:spacing w:val="-6"/>
          <w:sz w:val="18"/>
          <w:szCs w:val="18"/>
        </w:rPr>
        <w:t xml:space="preserve"> </w:t>
      </w:r>
      <w:r w:rsidRPr="00EB2E04">
        <w:rPr>
          <w:color w:val="231F20"/>
          <w:sz w:val="18"/>
          <w:szCs w:val="18"/>
        </w:rPr>
        <w:t>are</w:t>
      </w:r>
      <w:r>
        <w:rPr>
          <w:color w:val="231F20"/>
          <w:spacing w:val="-6"/>
          <w:sz w:val="18"/>
          <w:szCs w:val="18"/>
        </w:rPr>
        <w:t xml:space="preserve"> </w:t>
      </w:r>
      <w:r>
        <w:rPr>
          <w:color w:val="231F20"/>
          <w:sz w:val="18"/>
          <w:szCs w:val="18"/>
        </w:rPr>
        <w:t>set out</w:t>
      </w:r>
      <w:r>
        <w:rPr>
          <w:color w:val="231F20"/>
          <w:spacing w:val="-1"/>
          <w:sz w:val="18"/>
          <w:szCs w:val="18"/>
        </w:rPr>
        <w:t xml:space="preserve"> </w:t>
      </w:r>
      <w:r>
        <w:rPr>
          <w:color w:val="231F20"/>
          <w:sz w:val="18"/>
          <w:szCs w:val="18"/>
        </w:rPr>
        <w:t>below:</w:t>
      </w:r>
    </w:p>
    <w:p w14:paraId="579012C0" w14:textId="77777777" w:rsidR="00783288" w:rsidRDefault="00783288">
      <w:pPr>
        <w:pStyle w:val="BodyText"/>
        <w:kinsoku w:val="0"/>
        <w:overflowPunct w:val="0"/>
        <w:rPr>
          <w:sz w:val="21"/>
          <w:szCs w:val="21"/>
        </w:rPr>
      </w:pPr>
    </w:p>
    <w:tbl>
      <w:tblPr>
        <w:tblW w:w="0" w:type="auto"/>
        <w:tblInd w:w="840" w:type="dxa"/>
        <w:tblLayout w:type="fixed"/>
        <w:tblCellMar>
          <w:left w:w="0" w:type="dxa"/>
          <w:right w:w="0" w:type="dxa"/>
        </w:tblCellMar>
        <w:tblLook w:val="0000" w:firstRow="0" w:lastRow="0" w:firstColumn="0" w:lastColumn="0" w:noHBand="0" w:noVBand="0"/>
      </w:tblPr>
      <w:tblGrid>
        <w:gridCol w:w="1118"/>
        <w:gridCol w:w="7535"/>
      </w:tblGrid>
      <w:tr w:rsidR="001A7287" w14:paraId="74129FE1" w14:textId="77777777" w:rsidTr="001A7287">
        <w:trPr>
          <w:trHeight w:val="445"/>
        </w:trPr>
        <w:tc>
          <w:tcPr>
            <w:tcW w:w="1118" w:type="dxa"/>
            <w:tcBorders>
              <w:top w:val="single" w:sz="4" w:space="0" w:color="231F20"/>
              <w:left w:val="single" w:sz="4" w:space="0" w:color="231F20"/>
              <w:bottom w:val="single" w:sz="4" w:space="0" w:color="231F20"/>
              <w:right w:val="single" w:sz="4" w:space="0" w:color="231F20"/>
            </w:tcBorders>
            <w:shd w:val="clear" w:color="auto" w:fill="D9DADB"/>
          </w:tcPr>
          <w:p w14:paraId="4D2C2252" w14:textId="77777777" w:rsidR="001A7287" w:rsidRDefault="001A7287">
            <w:pPr>
              <w:pStyle w:val="TableParagraph"/>
              <w:kinsoku w:val="0"/>
              <w:overflowPunct w:val="0"/>
              <w:spacing w:line="204" w:lineRule="exact"/>
              <w:ind w:left="107"/>
              <w:rPr>
                <w:b/>
                <w:bCs/>
                <w:i/>
                <w:iCs/>
                <w:color w:val="231F20"/>
                <w:sz w:val="18"/>
                <w:szCs w:val="18"/>
              </w:rPr>
            </w:pPr>
            <w:r>
              <w:rPr>
                <w:b/>
                <w:bCs/>
                <w:i/>
                <w:iCs/>
                <w:color w:val="231F20"/>
                <w:sz w:val="18"/>
                <w:szCs w:val="18"/>
              </w:rPr>
              <w:t>Date</w:t>
            </w:r>
          </w:p>
        </w:tc>
        <w:tc>
          <w:tcPr>
            <w:tcW w:w="7535" w:type="dxa"/>
            <w:tcBorders>
              <w:top w:val="single" w:sz="4" w:space="0" w:color="231F20"/>
              <w:left w:val="single" w:sz="4" w:space="0" w:color="231F20"/>
              <w:bottom w:val="single" w:sz="4" w:space="0" w:color="231F20"/>
              <w:right w:val="single" w:sz="4" w:space="0" w:color="231F20"/>
            </w:tcBorders>
            <w:shd w:val="clear" w:color="auto" w:fill="D9DADB"/>
          </w:tcPr>
          <w:p w14:paraId="3A30900A" w14:textId="77777777" w:rsidR="001A7287" w:rsidRDefault="001A7287">
            <w:pPr>
              <w:pStyle w:val="TableParagraph"/>
              <w:kinsoku w:val="0"/>
              <w:overflowPunct w:val="0"/>
              <w:spacing w:line="204" w:lineRule="exact"/>
              <w:ind w:left="108"/>
              <w:rPr>
                <w:b/>
                <w:bCs/>
                <w:i/>
                <w:iCs/>
                <w:color w:val="231F20"/>
                <w:sz w:val="18"/>
                <w:szCs w:val="18"/>
              </w:rPr>
            </w:pPr>
            <w:r>
              <w:rPr>
                <w:b/>
                <w:bCs/>
                <w:i/>
                <w:iCs/>
                <w:color w:val="231F20"/>
                <w:sz w:val="18"/>
                <w:szCs w:val="18"/>
              </w:rPr>
              <w:t>Key aspects of regulatory disclosure</w:t>
            </w:r>
          </w:p>
        </w:tc>
      </w:tr>
      <w:tr w:rsidR="007F06A2" w14:paraId="0F0CEBF0"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7FDBB63A" w14:textId="0FA022B9" w:rsidR="007F06A2" w:rsidRDefault="007F06A2">
            <w:pPr>
              <w:pStyle w:val="TableParagraph"/>
              <w:kinsoku w:val="0"/>
              <w:overflowPunct w:val="0"/>
              <w:spacing w:line="206" w:lineRule="exact"/>
              <w:ind w:left="107"/>
              <w:rPr>
                <w:sz w:val="18"/>
                <w:szCs w:val="18"/>
              </w:rPr>
            </w:pPr>
            <w:r>
              <w:rPr>
                <w:sz w:val="18"/>
                <w:szCs w:val="18"/>
              </w:rPr>
              <w:t>02.07.21</w:t>
            </w:r>
          </w:p>
        </w:tc>
        <w:tc>
          <w:tcPr>
            <w:tcW w:w="7535" w:type="dxa"/>
            <w:tcBorders>
              <w:top w:val="single" w:sz="4" w:space="0" w:color="231F20"/>
              <w:left w:val="single" w:sz="4" w:space="0" w:color="231F20"/>
              <w:bottom w:val="single" w:sz="4" w:space="0" w:color="231F20"/>
              <w:right w:val="single" w:sz="4" w:space="0" w:color="231F20"/>
            </w:tcBorders>
          </w:tcPr>
          <w:p w14:paraId="2AEADC29" w14:textId="43F794A3" w:rsidR="007F06A2" w:rsidRDefault="007F06A2" w:rsidP="00512495">
            <w:pPr>
              <w:pStyle w:val="TableParagraph"/>
              <w:numPr>
                <w:ilvl w:val="0"/>
                <w:numId w:val="27"/>
              </w:numPr>
              <w:kinsoku w:val="0"/>
              <w:overflowPunct w:val="0"/>
              <w:ind w:right="91"/>
              <w:jc w:val="both"/>
              <w:rPr>
                <w:color w:val="231F20"/>
                <w:sz w:val="18"/>
                <w:szCs w:val="18"/>
              </w:rPr>
            </w:pPr>
            <w:r>
              <w:rPr>
                <w:color w:val="231F20"/>
                <w:sz w:val="18"/>
                <w:szCs w:val="18"/>
              </w:rPr>
              <w:t>Details of the management incentive options over a total of 2,400,000 Ordinary Shares with an exercise price of 12p issued to certain Directors and key personnel, details of which are set out at paragraph 10 of Part VII above.</w:t>
            </w:r>
          </w:p>
        </w:tc>
      </w:tr>
      <w:tr w:rsidR="00864ACC" w14:paraId="63A4E9C1"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5981A92A" w14:textId="72AED69C" w:rsidR="00864ACC" w:rsidRDefault="00C53B41">
            <w:pPr>
              <w:pStyle w:val="TableParagraph"/>
              <w:kinsoku w:val="0"/>
              <w:overflowPunct w:val="0"/>
              <w:spacing w:line="206" w:lineRule="exact"/>
              <w:ind w:left="107"/>
              <w:rPr>
                <w:sz w:val="18"/>
                <w:szCs w:val="18"/>
              </w:rPr>
            </w:pPr>
            <w:r>
              <w:rPr>
                <w:sz w:val="18"/>
                <w:szCs w:val="18"/>
              </w:rPr>
              <w:t>02.07.21</w:t>
            </w:r>
          </w:p>
        </w:tc>
        <w:tc>
          <w:tcPr>
            <w:tcW w:w="7535" w:type="dxa"/>
            <w:tcBorders>
              <w:top w:val="single" w:sz="4" w:space="0" w:color="231F20"/>
              <w:left w:val="single" w:sz="4" w:space="0" w:color="231F20"/>
              <w:bottom w:val="single" w:sz="4" w:space="0" w:color="231F20"/>
              <w:right w:val="single" w:sz="4" w:space="0" w:color="231F20"/>
            </w:tcBorders>
          </w:tcPr>
          <w:p w14:paraId="7E05E237" w14:textId="77777777" w:rsidR="00864ACC" w:rsidRDefault="00C53B41"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successful completion of the placing announced on 1 July 2021, which raised £800,000, upsized from the original £750,000 previously announced. </w:t>
            </w:r>
          </w:p>
          <w:p w14:paraId="5E43A1D9" w14:textId="35A45D80" w:rsidR="00C53B41" w:rsidRDefault="00C53B41"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A total of 8,000,000 Placing Shares have been placed with new and existing investors at a placing price of 10 pence per Placing Share. </w:t>
            </w:r>
          </w:p>
        </w:tc>
      </w:tr>
      <w:tr w:rsidR="001071CA" w14:paraId="45CB9E7C"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6E1472AB" w14:textId="450FEB86" w:rsidR="001071CA" w:rsidRDefault="001071CA">
            <w:pPr>
              <w:pStyle w:val="TableParagraph"/>
              <w:kinsoku w:val="0"/>
              <w:overflowPunct w:val="0"/>
              <w:spacing w:line="206" w:lineRule="exact"/>
              <w:ind w:left="107"/>
              <w:rPr>
                <w:sz w:val="18"/>
                <w:szCs w:val="18"/>
              </w:rPr>
            </w:pPr>
            <w:r>
              <w:rPr>
                <w:sz w:val="18"/>
                <w:szCs w:val="18"/>
              </w:rPr>
              <w:t>01.07.21</w:t>
            </w:r>
          </w:p>
        </w:tc>
        <w:tc>
          <w:tcPr>
            <w:tcW w:w="7535" w:type="dxa"/>
            <w:tcBorders>
              <w:top w:val="single" w:sz="4" w:space="0" w:color="231F20"/>
              <w:left w:val="single" w:sz="4" w:space="0" w:color="231F20"/>
              <w:bottom w:val="single" w:sz="4" w:space="0" w:color="231F20"/>
              <w:right w:val="single" w:sz="4" w:space="0" w:color="231F20"/>
            </w:tcBorders>
          </w:tcPr>
          <w:p w14:paraId="217FFAF7" w14:textId="2F5DD3DF" w:rsidR="001071CA" w:rsidRDefault="001071CA"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announcement of a proposed placing of up to £750,000 at a price of 10p per ordinary share, with Panmure Gordon acting as sole bookrunner in relation to the </w:t>
            </w:r>
            <w:r w:rsidR="00520F27">
              <w:rPr>
                <w:color w:val="231F20"/>
                <w:sz w:val="18"/>
                <w:szCs w:val="18"/>
              </w:rPr>
              <w:t xml:space="preserve">Placing. </w:t>
            </w:r>
          </w:p>
        </w:tc>
      </w:tr>
      <w:tr w:rsidR="00EB2E04" w14:paraId="3433E97B"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04F2F9EE" w14:textId="103AA508" w:rsidR="00EB2E04" w:rsidRDefault="00EB2E04">
            <w:pPr>
              <w:pStyle w:val="TableParagraph"/>
              <w:kinsoku w:val="0"/>
              <w:overflowPunct w:val="0"/>
              <w:spacing w:line="206" w:lineRule="exact"/>
              <w:ind w:left="107"/>
              <w:rPr>
                <w:sz w:val="18"/>
                <w:szCs w:val="18"/>
              </w:rPr>
            </w:pPr>
            <w:r>
              <w:rPr>
                <w:sz w:val="18"/>
                <w:szCs w:val="18"/>
              </w:rPr>
              <w:t>30.06.21</w:t>
            </w:r>
          </w:p>
        </w:tc>
        <w:tc>
          <w:tcPr>
            <w:tcW w:w="7535" w:type="dxa"/>
            <w:tcBorders>
              <w:top w:val="single" w:sz="4" w:space="0" w:color="231F20"/>
              <w:left w:val="single" w:sz="4" w:space="0" w:color="231F20"/>
              <w:bottom w:val="single" w:sz="4" w:space="0" w:color="231F20"/>
              <w:right w:val="single" w:sz="4" w:space="0" w:color="231F20"/>
            </w:tcBorders>
          </w:tcPr>
          <w:p w14:paraId="786ACC7E" w14:textId="3E331AF3" w:rsidR="00EB2E04" w:rsidRDefault="00EB2E04"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announcement that, following the Company’s Annual General Meeting held on 30 June 2021, all resolutions were duly passed. </w:t>
            </w:r>
          </w:p>
        </w:tc>
      </w:tr>
      <w:tr w:rsidR="00152F1E" w14:paraId="5B199684"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100F25B8" w14:textId="2F5D1420" w:rsidR="00152F1E" w:rsidRDefault="00152F1E">
            <w:pPr>
              <w:pStyle w:val="TableParagraph"/>
              <w:kinsoku w:val="0"/>
              <w:overflowPunct w:val="0"/>
              <w:spacing w:line="206" w:lineRule="exact"/>
              <w:ind w:left="107"/>
              <w:rPr>
                <w:sz w:val="18"/>
                <w:szCs w:val="18"/>
              </w:rPr>
            </w:pPr>
            <w:r>
              <w:rPr>
                <w:sz w:val="18"/>
                <w:szCs w:val="18"/>
              </w:rPr>
              <w:t>28.06.21</w:t>
            </w:r>
          </w:p>
        </w:tc>
        <w:tc>
          <w:tcPr>
            <w:tcW w:w="7535" w:type="dxa"/>
            <w:tcBorders>
              <w:top w:val="single" w:sz="4" w:space="0" w:color="231F20"/>
              <w:left w:val="single" w:sz="4" w:space="0" w:color="231F20"/>
              <w:bottom w:val="single" w:sz="4" w:space="0" w:color="231F20"/>
              <w:right w:val="single" w:sz="4" w:space="0" w:color="231F20"/>
            </w:tcBorders>
          </w:tcPr>
          <w:p w14:paraId="7398ABBD" w14:textId="77777777" w:rsidR="00152F1E" w:rsidRDefault="00152F1E"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commencement of the diamond drilling programme in Cyprus, exploring for copper, together with good credits in gold, </w:t>
            </w:r>
            <w:proofErr w:type="gramStart"/>
            <w:r>
              <w:rPr>
                <w:color w:val="231F20"/>
                <w:sz w:val="18"/>
                <w:szCs w:val="18"/>
              </w:rPr>
              <w:t>silver</w:t>
            </w:r>
            <w:proofErr w:type="gramEnd"/>
            <w:r>
              <w:rPr>
                <w:color w:val="231F20"/>
                <w:sz w:val="18"/>
                <w:szCs w:val="18"/>
              </w:rPr>
              <w:t xml:space="preserve"> and zinc. </w:t>
            </w:r>
          </w:p>
          <w:p w14:paraId="3026C9D4" w14:textId="703DA4FB" w:rsidR="00152F1E" w:rsidRDefault="00152F1E"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programme is expected to cover approximately 2,000m of drilling. </w:t>
            </w:r>
          </w:p>
        </w:tc>
      </w:tr>
      <w:tr w:rsidR="006C4BB6" w14:paraId="62F59F2E"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2B5E9291" w14:textId="2FBC3734" w:rsidR="006C4BB6" w:rsidRDefault="006C4BB6">
            <w:pPr>
              <w:pStyle w:val="TableParagraph"/>
              <w:kinsoku w:val="0"/>
              <w:overflowPunct w:val="0"/>
              <w:spacing w:line="206" w:lineRule="exact"/>
              <w:ind w:left="107"/>
              <w:rPr>
                <w:sz w:val="18"/>
                <w:szCs w:val="18"/>
              </w:rPr>
            </w:pPr>
            <w:r>
              <w:rPr>
                <w:sz w:val="18"/>
                <w:szCs w:val="18"/>
              </w:rPr>
              <w:t>16.06.21</w:t>
            </w:r>
          </w:p>
        </w:tc>
        <w:tc>
          <w:tcPr>
            <w:tcW w:w="7535" w:type="dxa"/>
            <w:tcBorders>
              <w:top w:val="single" w:sz="4" w:space="0" w:color="231F20"/>
              <w:left w:val="single" w:sz="4" w:space="0" w:color="231F20"/>
              <w:bottom w:val="single" w:sz="4" w:space="0" w:color="231F20"/>
              <w:right w:val="single" w:sz="4" w:space="0" w:color="231F20"/>
            </w:tcBorders>
          </w:tcPr>
          <w:p w14:paraId="02E62E4E" w14:textId="77777777" w:rsidR="006C4BB6" w:rsidRDefault="006C4BB6"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exercise of the right to acquire a considerable number of new mineral licences to more than double the size of the Adeline Copper Project. The licences will be acquired when the Company completes the Labrador Acquisition. </w:t>
            </w:r>
          </w:p>
          <w:p w14:paraId="5A7263E2" w14:textId="4FB9ED98" w:rsidR="006C4BB6" w:rsidRDefault="006C4BB6"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total licence area of the Adeline Copper Project to be extended to nearly 300 </w:t>
            </w:r>
            <w:r>
              <w:rPr>
                <w:rFonts w:ascii="Calibri" w:hAnsi="Calibri" w:cs="Calibri"/>
                <w:color w:val="000000"/>
                <w:sz w:val="22"/>
                <w:szCs w:val="22"/>
              </w:rPr>
              <w:t>KM</w:t>
            </w:r>
            <w:proofErr w:type="gramStart"/>
            <w:r>
              <w:rPr>
                <w:rFonts w:ascii="Calibri" w:hAnsi="Calibri" w:cs="Calibri"/>
                <w:color w:val="000000"/>
                <w:sz w:val="18"/>
                <w:szCs w:val="18"/>
                <w:vertAlign w:val="superscript"/>
              </w:rPr>
              <w:t xml:space="preserve">2 </w:t>
            </w:r>
            <w:r>
              <w:rPr>
                <w:color w:val="231F20"/>
                <w:sz w:val="18"/>
                <w:szCs w:val="18"/>
              </w:rPr>
              <w:t>,</w:t>
            </w:r>
            <w:proofErr w:type="gramEnd"/>
            <w:r>
              <w:rPr>
                <w:color w:val="231F20"/>
                <w:sz w:val="18"/>
                <w:szCs w:val="18"/>
              </w:rPr>
              <w:t xml:space="preserve"> in one continuous block. </w:t>
            </w:r>
          </w:p>
          <w:p w14:paraId="66298C3B" w14:textId="27E6931F" w:rsidR="006C4BB6" w:rsidRDefault="006C4BB6" w:rsidP="00512495">
            <w:pPr>
              <w:pStyle w:val="TableParagraph"/>
              <w:numPr>
                <w:ilvl w:val="0"/>
                <w:numId w:val="27"/>
              </w:numPr>
              <w:kinsoku w:val="0"/>
              <w:overflowPunct w:val="0"/>
              <w:ind w:right="91"/>
              <w:jc w:val="both"/>
              <w:rPr>
                <w:color w:val="231F20"/>
                <w:sz w:val="18"/>
                <w:szCs w:val="18"/>
              </w:rPr>
            </w:pPr>
            <w:r>
              <w:rPr>
                <w:color w:val="231F20"/>
                <w:sz w:val="18"/>
                <w:szCs w:val="18"/>
              </w:rPr>
              <w:t>Details of the commencement of exploration programmes on the Adeline Copper Project.</w:t>
            </w:r>
          </w:p>
        </w:tc>
      </w:tr>
      <w:tr w:rsidR="001A7287" w14:paraId="34147A27"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356D7DCF" w14:textId="0895AEF4" w:rsidR="001A7287" w:rsidRDefault="001A7287">
            <w:pPr>
              <w:pStyle w:val="TableParagraph"/>
              <w:kinsoku w:val="0"/>
              <w:overflowPunct w:val="0"/>
              <w:spacing w:line="206" w:lineRule="exact"/>
              <w:ind w:left="107"/>
              <w:rPr>
                <w:sz w:val="18"/>
                <w:szCs w:val="18"/>
              </w:rPr>
            </w:pPr>
            <w:r>
              <w:rPr>
                <w:sz w:val="18"/>
                <w:szCs w:val="18"/>
              </w:rPr>
              <w:t>08.06.21</w:t>
            </w:r>
          </w:p>
        </w:tc>
        <w:tc>
          <w:tcPr>
            <w:tcW w:w="7535" w:type="dxa"/>
            <w:tcBorders>
              <w:top w:val="single" w:sz="4" w:space="0" w:color="231F20"/>
              <w:left w:val="single" w:sz="4" w:space="0" w:color="231F20"/>
              <w:bottom w:val="single" w:sz="4" w:space="0" w:color="231F20"/>
              <w:right w:val="single" w:sz="4" w:space="0" w:color="231F20"/>
            </w:tcBorders>
          </w:tcPr>
          <w:p w14:paraId="3C32A5F5"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posting of a new presentation on the Company’s website to introduce the Labrador Acquisition. </w:t>
            </w:r>
          </w:p>
          <w:p w14:paraId="04B52336" w14:textId="7C66A37C"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Further operational updates of the copper exploration programmes in Cyprus and Labrador to be provided soon. </w:t>
            </w:r>
          </w:p>
        </w:tc>
      </w:tr>
      <w:tr w:rsidR="001A7287" w14:paraId="73889993"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1DD86556" w14:textId="6A648C80" w:rsidR="001A7287" w:rsidRDefault="001A7287">
            <w:pPr>
              <w:pStyle w:val="TableParagraph"/>
              <w:kinsoku w:val="0"/>
              <w:overflowPunct w:val="0"/>
              <w:spacing w:line="206" w:lineRule="exact"/>
              <w:ind w:left="107"/>
              <w:rPr>
                <w:sz w:val="18"/>
                <w:szCs w:val="18"/>
              </w:rPr>
            </w:pPr>
            <w:r>
              <w:rPr>
                <w:sz w:val="18"/>
                <w:szCs w:val="18"/>
              </w:rPr>
              <w:t>04.06.21</w:t>
            </w:r>
          </w:p>
        </w:tc>
        <w:tc>
          <w:tcPr>
            <w:tcW w:w="7535" w:type="dxa"/>
            <w:tcBorders>
              <w:top w:val="single" w:sz="4" w:space="0" w:color="231F20"/>
              <w:left w:val="single" w:sz="4" w:space="0" w:color="231F20"/>
              <w:bottom w:val="single" w:sz="4" w:space="0" w:color="231F20"/>
              <w:right w:val="single" w:sz="4" w:space="0" w:color="231F20"/>
            </w:tcBorders>
          </w:tcPr>
          <w:p w14:paraId="2EF5C571" w14:textId="39A23EB4"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Notice that the Company’s annual general meeting will be held on 30 June 2021 at 11am at the Company’s registered office. </w:t>
            </w:r>
          </w:p>
          <w:p w14:paraId="4C444E9C" w14:textId="32DA8C52"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Copies of the notice of annual general meeting, together with the form of proxy and the annual report to be posted to shareholders and available to view on the Company’s website. </w:t>
            </w:r>
          </w:p>
        </w:tc>
      </w:tr>
      <w:tr w:rsidR="001A7287" w14:paraId="13E9BFDD"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103C9AE8" w14:textId="27ACF0D9" w:rsidR="001A7287" w:rsidRDefault="001A7287">
            <w:pPr>
              <w:pStyle w:val="TableParagraph"/>
              <w:kinsoku w:val="0"/>
              <w:overflowPunct w:val="0"/>
              <w:spacing w:line="206" w:lineRule="exact"/>
              <w:ind w:left="107"/>
              <w:rPr>
                <w:sz w:val="18"/>
                <w:szCs w:val="18"/>
              </w:rPr>
            </w:pPr>
            <w:r>
              <w:rPr>
                <w:sz w:val="18"/>
                <w:szCs w:val="18"/>
              </w:rPr>
              <w:t>19.05.21</w:t>
            </w:r>
          </w:p>
        </w:tc>
        <w:tc>
          <w:tcPr>
            <w:tcW w:w="7535" w:type="dxa"/>
            <w:tcBorders>
              <w:top w:val="single" w:sz="4" w:space="0" w:color="231F20"/>
              <w:left w:val="single" w:sz="4" w:space="0" w:color="231F20"/>
              <w:bottom w:val="single" w:sz="4" w:space="0" w:color="231F20"/>
              <w:right w:val="single" w:sz="4" w:space="0" w:color="231F20"/>
            </w:tcBorders>
          </w:tcPr>
          <w:p w14:paraId="571CBAF7"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acquisition of the Adeline Copper Project in the Labrador region of eastern Canada. </w:t>
            </w:r>
          </w:p>
          <w:p w14:paraId="6C6FB117" w14:textId="575652D1"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Altius to become a strategic partner to the Company and help manage the Adeline Copper Project. </w:t>
            </w:r>
          </w:p>
        </w:tc>
      </w:tr>
      <w:tr w:rsidR="001A7287" w14:paraId="401A9976"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3238C7CF" w14:textId="1F14BFD4" w:rsidR="001A7287" w:rsidRDefault="001A7287">
            <w:pPr>
              <w:pStyle w:val="TableParagraph"/>
              <w:kinsoku w:val="0"/>
              <w:overflowPunct w:val="0"/>
              <w:spacing w:line="206" w:lineRule="exact"/>
              <w:ind w:left="107"/>
              <w:rPr>
                <w:sz w:val="18"/>
                <w:szCs w:val="18"/>
              </w:rPr>
            </w:pPr>
            <w:r>
              <w:rPr>
                <w:sz w:val="18"/>
                <w:szCs w:val="18"/>
              </w:rPr>
              <w:t>06.05.21</w:t>
            </w:r>
          </w:p>
        </w:tc>
        <w:tc>
          <w:tcPr>
            <w:tcW w:w="7535" w:type="dxa"/>
            <w:tcBorders>
              <w:top w:val="single" w:sz="4" w:space="0" w:color="231F20"/>
              <w:left w:val="single" w:sz="4" w:space="0" w:color="231F20"/>
              <w:bottom w:val="single" w:sz="4" w:space="0" w:color="231F20"/>
              <w:right w:val="single" w:sz="4" w:space="0" w:color="231F20"/>
            </w:tcBorders>
          </w:tcPr>
          <w:p w14:paraId="6C2818E6"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report of good progress on percussion drilling and geophysics campaigns. </w:t>
            </w:r>
          </w:p>
          <w:p w14:paraId="2FE20612"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discovery of a compelling large new anomaly, which is now confirmed as a high-priority drill target. </w:t>
            </w:r>
          </w:p>
          <w:p w14:paraId="63BB7B5A"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Details of a down hole EM (electro-magnetic) campaign to commence imminently. </w:t>
            </w:r>
          </w:p>
          <w:p w14:paraId="4F4FB68A" w14:textId="67B4FCC3" w:rsidR="001A7287" w:rsidRPr="00E237C3"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Details of an additional new geophysics campaign commissioned and </w:t>
            </w:r>
            <w:r w:rsidRPr="002C1743">
              <w:rPr>
                <w:color w:val="231F20"/>
                <w:sz w:val="18"/>
                <w:szCs w:val="18"/>
              </w:rPr>
              <w:t>Di</w:t>
            </w:r>
            <w:r w:rsidRPr="00E237C3">
              <w:rPr>
                <w:color w:val="231F20"/>
                <w:sz w:val="18"/>
                <w:szCs w:val="18"/>
              </w:rPr>
              <w:t xml:space="preserve">amond </w:t>
            </w:r>
            <w:r>
              <w:rPr>
                <w:color w:val="231F20"/>
                <w:sz w:val="18"/>
                <w:szCs w:val="18"/>
              </w:rPr>
              <w:t>D</w:t>
            </w:r>
            <w:r w:rsidRPr="002C1743">
              <w:rPr>
                <w:color w:val="231F20"/>
                <w:sz w:val="18"/>
                <w:szCs w:val="18"/>
              </w:rPr>
              <w:t xml:space="preserve">rilling to start within weeks. </w:t>
            </w:r>
          </w:p>
        </w:tc>
      </w:tr>
      <w:tr w:rsidR="001A7287" w14:paraId="5A3E00CD"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0AABAE3A" w14:textId="0EB213BC" w:rsidR="001A7287" w:rsidRDefault="001A7287">
            <w:pPr>
              <w:pStyle w:val="TableParagraph"/>
              <w:kinsoku w:val="0"/>
              <w:overflowPunct w:val="0"/>
              <w:spacing w:line="206" w:lineRule="exact"/>
              <w:ind w:left="107"/>
              <w:rPr>
                <w:sz w:val="18"/>
                <w:szCs w:val="18"/>
              </w:rPr>
            </w:pPr>
            <w:r>
              <w:rPr>
                <w:sz w:val="18"/>
                <w:szCs w:val="18"/>
              </w:rPr>
              <w:t>30.04.21</w:t>
            </w:r>
          </w:p>
        </w:tc>
        <w:tc>
          <w:tcPr>
            <w:tcW w:w="7535" w:type="dxa"/>
            <w:tcBorders>
              <w:top w:val="single" w:sz="4" w:space="0" w:color="231F20"/>
              <w:left w:val="single" w:sz="4" w:space="0" w:color="231F20"/>
              <w:bottom w:val="single" w:sz="4" w:space="0" w:color="231F20"/>
              <w:right w:val="single" w:sz="4" w:space="0" w:color="231F20"/>
            </w:tcBorders>
          </w:tcPr>
          <w:p w14:paraId="14173AF8" w14:textId="28E164E6"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publication of the </w:t>
            </w:r>
            <w:proofErr w:type="gramStart"/>
            <w:r>
              <w:rPr>
                <w:color w:val="231F20"/>
                <w:sz w:val="18"/>
                <w:szCs w:val="18"/>
              </w:rPr>
              <w:t>final results</w:t>
            </w:r>
            <w:proofErr w:type="gramEnd"/>
            <w:r>
              <w:rPr>
                <w:color w:val="231F20"/>
                <w:sz w:val="18"/>
                <w:szCs w:val="18"/>
              </w:rPr>
              <w:t xml:space="preserve"> for the year ended 31 December 2020 and the annual report. The annual report is to be posted to shareholders and notice provided of the annual general meeting. </w:t>
            </w:r>
          </w:p>
        </w:tc>
      </w:tr>
      <w:tr w:rsidR="001A7287" w14:paraId="1CD3DE3A"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486B915F" w14:textId="33E011C3" w:rsidR="001A7287" w:rsidRDefault="001A7287">
            <w:pPr>
              <w:pStyle w:val="TableParagraph"/>
              <w:kinsoku w:val="0"/>
              <w:overflowPunct w:val="0"/>
              <w:spacing w:line="206" w:lineRule="exact"/>
              <w:ind w:left="107"/>
              <w:rPr>
                <w:sz w:val="18"/>
                <w:szCs w:val="18"/>
              </w:rPr>
            </w:pPr>
            <w:r>
              <w:rPr>
                <w:sz w:val="18"/>
                <w:szCs w:val="18"/>
              </w:rPr>
              <w:t>20.04.21</w:t>
            </w:r>
          </w:p>
        </w:tc>
        <w:tc>
          <w:tcPr>
            <w:tcW w:w="7535" w:type="dxa"/>
            <w:tcBorders>
              <w:top w:val="single" w:sz="4" w:space="0" w:color="231F20"/>
              <w:left w:val="single" w:sz="4" w:space="0" w:color="231F20"/>
              <w:bottom w:val="single" w:sz="4" w:space="0" w:color="231F20"/>
              <w:right w:val="single" w:sz="4" w:space="0" w:color="231F20"/>
            </w:tcBorders>
          </w:tcPr>
          <w:p w14:paraId="6E21AC17" w14:textId="14C682BC"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hosting of a webinar on Thursday, April 22 at 1pm to talk investors through the new presentation “Growth through Exploration and Acquisition” posted on the </w:t>
            </w:r>
            <w:r>
              <w:rPr>
                <w:color w:val="231F20"/>
                <w:sz w:val="18"/>
                <w:szCs w:val="18"/>
              </w:rPr>
              <w:lastRenderedPageBreak/>
              <w:t xml:space="preserve">company website and answer questions. </w:t>
            </w:r>
          </w:p>
        </w:tc>
      </w:tr>
      <w:tr w:rsidR="001A7287" w14:paraId="41A6D0B2"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3EAE9FF1" w14:textId="30D46C7D" w:rsidR="001A7287" w:rsidRDefault="001A7287">
            <w:pPr>
              <w:pStyle w:val="TableParagraph"/>
              <w:kinsoku w:val="0"/>
              <w:overflowPunct w:val="0"/>
              <w:spacing w:line="206" w:lineRule="exact"/>
              <w:ind w:left="107"/>
              <w:rPr>
                <w:sz w:val="18"/>
                <w:szCs w:val="18"/>
              </w:rPr>
            </w:pPr>
            <w:r>
              <w:rPr>
                <w:sz w:val="18"/>
                <w:szCs w:val="18"/>
              </w:rPr>
              <w:lastRenderedPageBreak/>
              <w:t>15.04.21</w:t>
            </w:r>
          </w:p>
        </w:tc>
        <w:tc>
          <w:tcPr>
            <w:tcW w:w="7535" w:type="dxa"/>
            <w:tcBorders>
              <w:top w:val="single" w:sz="4" w:space="0" w:color="231F20"/>
              <w:left w:val="single" w:sz="4" w:space="0" w:color="231F20"/>
              <w:bottom w:val="single" w:sz="4" w:space="0" w:color="231F20"/>
              <w:right w:val="single" w:sz="4" w:space="0" w:color="231F20"/>
            </w:tcBorders>
          </w:tcPr>
          <w:p w14:paraId="3C677634"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commencement of the programme of percussion drilling as part of the 2021 exploration programme in Cyprus and the exploration for further copper, gold, </w:t>
            </w:r>
            <w:proofErr w:type="gramStart"/>
            <w:r>
              <w:rPr>
                <w:color w:val="231F20"/>
                <w:sz w:val="18"/>
                <w:szCs w:val="18"/>
              </w:rPr>
              <w:t>zinc</w:t>
            </w:r>
            <w:proofErr w:type="gramEnd"/>
            <w:r>
              <w:rPr>
                <w:color w:val="231F20"/>
                <w:sz w:val="18"/>
                <w:szCs w:val="18"/>
              </w:rPr>
              <w:t xml:space="preserve"> and silver, after a successful diamond drill programme of late 2020. </w:t>
            </w:r>
          </w:p>
          <w:p w14:paraId="027AF21C" w14:textId="5B538B83"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Details of 15 percussion drill holes planned during April and May to test target zones for presence of blind sulphide mineralisation and to provide boreholes for downhole EM (electro-magnetic) survey. </w:t>
            </w:r>
          </w:p>
        </w:tc>
      </w:tr>
      <w:tr w:rsidR="001A7287" w14:paraId="6DD8A199"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384A3968" w14:textId="61802CD2" w:rsidR="001A7287" w:rsidRDefault="001A7287">
            <w:pPr>
              <w:pStyle w:val="TableParagraph"/>
              <w:kinsoku w:val="0"/>
              <w:overflowPunct w:val="0"/>
              <w:spacing w:line="206" w:lineRule="exact"/>
              <w:ind w:left="107"/>
              <w:rPr>
                <w:sz w:val="18"/>
                <w:szCs w:val="18"/>
              </w:rPr>
            </w:pPr>
            <w:r>
              <w:rPr>
                <w:sz w:val="18"/>
                <w:szCs w:val="18"/>
              </w:rPr>
              <w:t>12.04.21</w:t>
            </w:r>
          </w:p>
        </w:tc>
        <w:tc>
          <w:tcPr>
            <w:tcW w:w="7535" w:type="dxa"/>
            <w:tcBorders>
              <w:top w:val="single" w:sz="4" w:space="0" w:color="231F20"/>
              <w:left w:val="single" w:sz="4" w:space="0" w:color="231F20"/>
              <w:bottom w:val="single" w:sz="4" w:space="0" w:color="231F20"/>
              <w:right w:val="single" w:sz="4" w:space="0" w:color="231F20"/>
            </w:tcBorders>
          </w:tcPr>
          <w:p w14:paraId="53B8674A"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The commencement of the 2021 mineral exploration campaign in Cyprus to search for additional tonnage of copper, gold, </w:t>
            </w:r>
            <w:proofErr w:type="gramStart"/>
            <w:r>
              <w:rPr>
                <w:color w:val="231F20"/>
                <w:sz w:val="18"/>
                <w:szCs w:val="18"/>
              </w:rPr>
              <w:t>silver</w:t>
            </w:r>
            <w:proofErr w:type="gramEnd"/>
            <w:r>
              <w:rPr>
                <w:color w:val="231F20"/>
                <w:sz w:val="18"/>
                <w:szCs w:val="18"/>
              </w:rPr>
              <w:t xml:space="preserve"> and zinc after high grade intercepts were assayed in February. </w:t>
            </w:r>
          </w:p>
          <w:p w14:paraId="61020719" w14:textId="783B6D12" w:rsidR="001A7287" w:rsidRPr="00D75D80" w:rsidRDefault="001A7287" w:rsidP="00512495">
            <w:pPr>
              <w:pStyle w:val="TableParagraph"/>
              <w:numPr>
                <w:ilvl w:val="0"/>
                <w:numId w:val="27"/>
              </w:numPr>
              <w:kinsoku w:val="0"/>
              <w:overflowPunct w:val="0"/>
              <w:ind w:right="91"/>
              <w:jc w:val="both"/>
              <w:rPr>
                <w:color w:val="231F20"/>
                <w:sz w:val="18"/>
                <w:szCs w:val="18"/>
              </w:rPr>
            </w:pPr>
            <w:r w:rsidRPr="00D75D80">
              <w:rPr>
                <w:color w:val="231F20"/>
                <w:sz w:val="18"/>
                <w:szCs w:val="18"/>
              </w:rPr>
              <w:t>Details of gravity survey commencement on five main target areas, with approximately 800 survey points planned over 5km</w:t>
            </w:r>
            <w:r>
              <w:rPr>
                <w:rStyle w:val="hgkelc"/>
                <w:color w:val="202124"/>
                <w:sz w:val="21"/>
                <w:szCs w:val="21"/>
              </w:rPr>
              <w:t>²</w:t>
            </w:r>
          </w:p>
          <w:p w14:paraId="3199A195" w14:textId="7B73179D"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Details of AMT survey commencement on three main target areas, with approximately 250 survey points planned over 2.25km</w:t>
            </w:r>
            <w:r>
              <w:rPr>
                <w:rStyle w:val="hgkelc"/>
                <w:color w:val="202124"/>
                <w:sz w:val="21"/>
                <w:szCs w:val="21"/>
              </w:rPr>
              <w:t>²</w:t>
            </w:r>
          </w:p>
        </w:tc>
      </w:tr>
      <w:tr w:rsidR="001A7287" w14:paraId="5D747489"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2B24A386" w14:textId="64C03BAB" w:rsidR="001A7287" w:rsidRDefault="001A7287">
            <w:pPr>
              <w:pStyle w:val="TableParagraph"/>
              <w:kinsoku w:val="0"/>
              <w:overflowPunct w:val="0"/>
              <w:spacing w:line="206" w:lineRule="exact"/>
              <w:ind w:left="107"/>
              <w:rPr>
                <w:sz w:val="18"/>
                <w:szCs w:val="18"/>
              </w:rPr>
            </w:pPr>
            <w:r>
              <w:rPr>
                <w:sz w:val="18"/>
                <w:szCs w:val="18"/>
              </w:rPr>
              <w:t>05.03.21</w:t>
            </w:r>
          </w:p>
        </w:tc>
        <w:tc>
          <w:tcPr>
            <w:tcW w:w="7535" w:type="dxa"/>
            <w:tcBorders>
              <w:top w:val="single" w:sz="4" w:space="0" w:color="231F20"/>
              <w:left w:val="single" w:sz="4" w:space="0" w:color="231F20"/>
              <w:bottom w:val="single" w:sz="4" w:space="0" w:color="231F20"/>
              <w:right w:val="single" w:sz="4" w:space="0" w:color="231F20"/>
            </w:tcBorders>
          </w:tcPr>
          <w:p w14:paraId="355FEF71"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Peter Damouni purchased 50,000 Ordinary Shares at an aggregate price of 9.23 pence per Ordinary Share. Following this transaction, Mr </w:t>
            </w:r>
            <w:proofErr w:type="spellStart"/>
            <w:r>
              <w:rPr>
                <w:color w:val="231F20"/>
                <w:sz w:val="18"/>
                <w:szCs w:val="18"/>
              </w:rPr>
              <w:t>Damouni’s</w:t>
            </w:r>
            <w:proofErr w:type="spellEnd"/>
            <w:r>
              <w:rPr>
                <w:color w:val="231F20"/>
                <w:sz w:val="18"/>
                <w:szCs w:val="18"/>
              </w:rPr>
              <w:t xml:space="preserve"> total interest in the Company is now 1,583,000 Ordinary Shares, representing 1.5% of the total voting rights of the Company.</w:t>
            </w:r>
          </w:p>
          <w:p w14:paraId="53847311"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Martin French purchased 175,000 Ordinary Shares at an aggregate price of 9.17 pence per Ordinary Share. Following this transaction, Mr French’s total interest in the Company is now 3,175,000 Ordinary Shares, representing 3.1% of the total voting rights of the Company.</w:t>
            </w:r>
          </w:p>
          <w:p w14:paraId="5F1C584D" w14:textId="4E216B42" w:rsidR="001A7287" w:rsidRPr="00340BD0"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Ajay Kejriwal purchased 150,000 Ordinary Shares at an aggregate price of 150,000 Ordinary Shares at an aggregate price of 9.3 pence per Ordinary Share. Following this transaction, Mr Kejriwal’s total interest in the Company is now 150,000 Ordinary Shares representing 0.1% of the total voting rights of the Company.</w:t>
            </w:r>
          </w:p>
        </w:tc>
      </w:tr>
      <w:tr w:rsidR="001A7287" w14:paraId="41BA7362" w14:textId="77777777" w:rsidTr="001A7287">
        <w:trPr>
          <w:trHeight w:val="274"/>
        </w:trPr>
        <w:tc>
          <w:tcPr>
            <w:tcW w:w="1118" w:type="dxa"/>
            <w:tcBorders>
              <w:top w:val="single" w:sz="4" w:space="0" w:color="231F20"/>
              <w:left w:val="single" w:sz="4" w:space="0" w:color="231F20"/>
              <w:bottom w:val="single" w:sz="4" w:space="0" w:color="231F20"/>
              <w:right w:val="single" w:sz="4" w:space="0" w:color="231F20"/>
            </w:tcBorders>
          </w:tcPr>
          <w:p w14:paraId="157C139B" w14:textId="2AE375AB" w:rsidR="001A7287" w:rsidRPr="009E04C8" w:rsidRDefault="001A7287">
            <w:pPr>
              <w:pStyle w:val="TableParagraph"/>
              <w:kinsoku w:val="0"/>
              <w:overflowPunct w:val="0"/>
              <w:spacing w:line="206" w:lineRule="exact"/>
              <w:ind w:left="107"/>
              <w:rPr>
                <w:sz w:val="18"/>
                <w:szCs w:val="18"/>
              </w:rPr>
            </w:pPr>
            <w:r>
              <w:rPr>
                <w:sz w:val="18"/>
                <w:szCs w:val="18"/>
              </w:rPr>
              <w:t>05.03.21</w:t>
            </w:r>
          </w:p>
        </w:tc>
        <w:tc>
          <w:tcPr>
            <w:tcW w:w="7535" w:type="dxa"/>
            <w:tcBorders>
              <w:top w:val="single" w:sz="4" w:space="0" w:color="231F20"/>
              <w:left w:val="single" w:sz="4" w:space="0" w:color="231F20"/>
              <w:bottom w:val="single" w:sz="4" w:space="0" w:color="231F20"/>
              <w:right w:val="single" w:sz="4" w:space="0" w:color="231F20"/>
            </w:tcBorders>
          </w:tcPr>
          <w:p w14:paraId="72B26ADC" w14:textId="51FE89CC"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Paul Ensor purchased 154,853 Ordinary Shares at an aggregate price of 8.7 pence per Ordinary Share. Following this transaction, Mr Ensor’s total interest in the Company is now 172,841 Ordinary Shares, representing 0.001% of the total voting rights of the Company. </w:t>
            </w:r>
          </w:p>
        </w:tc>
      </w:tr>
      <w:tr w:rsidR="001A7287" w14:paraId="068D0BB6" w14:textId="77777777" w:rsidTr="001A7287">
        <w:trPr>
          <w:trHeight w:val="588"/>
        </w:trPr>
        <w:tc>
          <w:tcPr>
            <w:tcW w:w="1118" w:type="dxa"/>
            <w:tcBorders>
              <w:top w:val="single" w:sz="4" w:space="0" w:color="231F20"/>
              <w:left w:val="single" w:sz="4" w:space="0" w:color="231F20"/>
              <w:bottom w:val="single" w:sz="4" w:space="0" w:color="231F20"/>
              <w:right w:val="single" w:sz="4" w:space="0" w:color="231F20"/>
            </w:tcBorders>
          </w:tcPr>
          <w:p w14:paraId="43CCE268" w14:textId="440A89B0" w:rsidR="001A7287" w:rsidRDefault="001A7287">
            <w:pPr>
              <w:pStyle w:val="TableParagraph"/>
              <w:kinsoku w:val="0"/>
              <w:overflowPunct w:val="0"/>
              <w:spacing w:line="206" w:lineRule="exact"/>
              <w:ind w:left="107"/>
              <w:rPr>
                <w:color w:val="231F20"/>
                <w:sz w:val="18"/>
                <w:szCs w:val="18"/>
              </w:rPr>
            </w:pPr>
            <w:r w:rsidRPr="009E04C8">
              <w:rPr>
                <w:sz w:val="18"/>
                <w:szCs w:val="18"/>
              </w:rPr>
              <w:t>24.02.21</w:t>
            </w:r>
          </w:p>
        </w:tc>
        <w:tc>
          <w:tcPr>
            <w:tcW w:w="7535" w:type="dxa"/>
            <w:tcBorders>
              <w:top w:val="single" w:sz="4" w:space="0" w:color="231F20"/>
              <w:left w:val="single" w:sz="4" w:space="0" w:color="231F20"/>
              <w:bottom w:val="single" w:sz="4" w:space="0" w:color="231F20"/>
              <w:right w:val="single" w:sz="4" w:space="0" w:color="231F20"/>
            </w:tcBorders>
          </w:tcPr>
          <w:p w14:paraId="7938AF27" w14:textId="77777777"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Details of results for the Company’s recent Diamond Drilling programme on its copper, gold, </w:t>
            </w:r>
            <w:proofErr w:type="gramStart"/>
            <w:r>
              <w:rPr>
                <w:color w:val="231F20"/>
                <w:sz w:val="18"/>
                <w:szCs w:val="18"/>
              </w:rPr>
              <w:t>zinc</w:t>
            </w:r>
            <w:proofErr w:type="gramEnd"/>
            <w:r>
              <w:rPr>
                <w:color w:val="231F20"/>
                <w:sz w:val="18"/>
                <w:szCs w:val="18"/>
              </w:rPr>
              <w:t xml:space="preserve"> and silver exploration project in Cyprus. </w:t>
            </w:r>
          </w:p>
          <w:p w14:paraId="483A7AFD" w14:textId="76AAA935" w:rsidR="001A7287" w:rsidRDefault="001A7287" w:rsidP="00512495">
            <w:pPr>
              <w:pStyle w:val="TableParagraph"/>
              <w:numPr>
                <w:ilvl w:val="0"/>
                <w:numId w:val="27"/>
              </w:numPr>
              <w:kinsoku w:val="0"/>
              <w:overflowPunct w:val="0"/>
              <w:ind w:right="91"/>
              <w:jc w:val="both"/>
              <w:rPr>
                <w:color w:val="231F20"/>
                <w:sz w:val="18"/>
                <w:szCs w:val="18"/>
              </w:rPr>
            </w:pPr>
            <w:r>
              <w:rPr>
                <w:color w:val="231F20"/>
                <w:sz w:val="18"/>
                <w:szCs w:val="18"/>
              </w:rPr>
              <w:t xml:space="preserve">Details of the Company’s integrated exploration programme for the 2021 season. </w:t>
            </w:r>
          </w:p>
        </w:tc>
      </w:tr>
      <w:tr w:rsidR="001A7287" w14:paraId="5475E380" w14:textId="77777777" w:rsidTr="001A7287">
        <w:trPr>
          <w:trHeight w:val="588"/>
        </w:trPr>
        <w:tc>
          <w:tcPr>
            <w:tcW w:w="1118" w:type="dxa"/>
            <w:tcBorders>
              <w:top w:val="single" w:sz="4" w:space="0" w:color="231F20"/>
              <w:left w:val="single" w:sz="4" w:space="0" w:color="231F20"/>
              <w:bottom w:val="single" w:sz="4" w:space="0" w:color="231F20"/>
              <w:right w:val="single" w:sz="4" w:space="0" w:color="231F20"/>
            </w:tcBorders>
          </w:tcPr>
          <w:p w14:paraId="6C0709C0"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05.02.21</w:t>
            </w:r>
          </w:p>
        </w:tc>
        <w:tc>
          <w:tcPr>
            <w:tcW w:w="7535" w:type="dxa"/>
            <w:tcBorders>
              <w:top w:val="single" w:sz="4" w:space="0" w:color="231F20"/>
              <w:left w:val="single" w:sz="4" w:space="0" w:color="231F20"/>
              <w:bottom w:val="single" w:sz="4" w:space="0" w:color="231F20"/>
              <w:right w:val="single" w:sz="4" w:space="0" w:color="231F20"/>
            </w:tcBorders>
          </w:tcPr>
          <w:p w14:paraId="633AAD41" w14:textId="77777777" w:rsidR="001A7287" w:rsidRDefault="001A7287" w:rsidP="00512495">
            <w:pPr>
              <w:pStyle w:val="TableParagraph"/>
              <w:numPr>
                <w:ilvl w:val="0"/>
                <w:numId w:val="25"/>
              </w:numPr>
              <w:kinsoku w:val="0"/>
              <w:overflowPunct w:val="0"/>
              <w:ind w:left="737" w:right="91"/>
              <w:jc w:val="both"/>
              <w:rPr>
                <w:color w:val="231F20"/>
                <w:sz w:val="18"/>
                <w:szCs w:val="18"/>
              </w:rPr>
            </w:pPr>
            <w:r>
              <w:rPr>
                <w:color w:val="231F20"/>
                <w:sz w:val="18"/>
                <w:szCs w:val="18"/>
              </w:rPr>
              <w:t xml:space="preserve">The appointment of Ajay Kejriwal as executive director and Chief Financial Officer of the Company and Paul Ensor as non-executive director of the Company. </w:t>
            </w:r>
          </w:p>
          <w:p w14:paraId="5D1574DF" w14:textId="64158DDC" w:rsidR="001A7287" w:rsidRDefault="001A7287" w:rsidP="00512495">
            <w:pPr>
              <w:pStyle w:val="TableParagraph"/>
              <w:numPr>
                <w:ilvl w:val="0"/>
                <w:numId w:val="25"/>
              </w:numPr>
              <w:kinsoku w:val="0"/>
              <w:overflowPunct w:val="0"/>
              <w:ind w:left="737" w:right="91"/>
              <w:jc w:val="both"/>
              <w:rPr>
                <w:color w:val="231F20"/>
                <w:sz w:val="18"/>
                <w:szCs w:val="18"/>
              </w:rPr>
            </w:pPr>
            <w:r>
              <w:rPr>
                <w:color w:val="231F20"/>
                <w:sz w:val="18"/>
                <w:szCs w:val="18"/>
              </w:rPr>
              <w:t xml:space="preserve">Operational update details of assay results from the Diamond Drilling programme of late 2020 and plans for the Company’s 2021 exploration programme. </w:t>
            </w:r>
          </w:p>
          <w:p w14:paraId="1B317C2F" w14:textId="77777777" w:rsidR="001A7287" w:rsidRDefault="001A7287" w:rsidP="00512495">
            <w:pPr>
              <w:pStyle w:val="TableParagraph"/>
              <w:numPr>
                <w:ilvl w:val="0"/>
                <w:numId w:val="25"/>
              </w:numPr>
              <w:kinsoku w:val="0"/>
              <w:overflowPunct w:val="0"/>
              <w:ind w:left="737" w:right="91"/>
              <w:jc w:val="both"/>
              <w:rPr>
                <w:color w:val="231F20"/>
                <w:sz w:val="18"/>
                <w:szCs w:val="18"/>
              </w:rPr>
            </w:pPr>
            <w:r>
              <w:rPr>
                <w:color w:val="231F20"/>
                <w:sz w:val="18"/>
                <w:szCs w:val="18"/>
              </w:rPr>
              <w:t xml:space="preserve">Details of the Options over a total of 250,000 Ordinary Shares in the Company issued to Ajay Kejriwal which will vest immediately and expire five years from the date of issue with an exercise price of 12.5p, details of which are set out at paragraph 10 of Part VII above. </w:t>
            </w:r>
          </w:p>
        </w:tc>
      </w:tr>
      <w:tr w:rsidR="001A7287" w14:paraId="68558CC2" w14:textId="77777777" w:rsidTr="001A7287">
        <w:trPr>
          <w:trHeight w:val="588"/>
        </w:trPr>
        <w:tc>
          <w:tcPr>
            <w:tcW w:w="1118" w:type="dxa"/>
            <w:tcBorders>
              <w:top w:val="single" w:sz="4" w:space="0" w:color="231F20"/>
              <w:left w:val="single" w:sz="4" w:space="0" w:color="231F20"/>
              <w:bottom w:val="single" w:sz="4" w:space="0" w:color="231F20"/>
              <w:right w:val="single" w:sz="4" w:space="0" w:color="231F20"/>
            </w:tcBorders>
          </w:tcPr>
          <w:p w14:paraId="49A589D4"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14.01.21</w:t>
            </w:r>
          </w:p>
        </w:tc>
        <w:tc>
          <w:tcPr>
            <w:tcW w:w="7535" w:type="dxa"/>
            <w:tcBorders>
              <w:top w:val="single" w:sz="4" w:space="0" w:color="231F20"/>
              <w:left w:val="single" w:sz="4" w:space="0" w:color="231F20"/>
              <w:bottom w:val="single" w:sz="4" w:space="0" w:color="231F20"/>
              <w:right w:val="single" w:sz="4" w:space="0" w:color="231F20"/>
            </w:tcBorders>
          </w:tcPr>
          <w:p w14:paraId="5B33ABE0"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Details of the notifications from holders of the Warrants to exercise Warrants over 200,000 new Ordinary Shares in the Company at a price of 5p per Ordinary Share and the issuance of the 200,000 new Ordinary Shares for an aggregate cash value of £10,000.</w:t>
            </w:r>
          </w:p>
        </w:tc>
      </w:tr>
      <w:tr w:rsidR="001A7287" w14:paraId="2482E126" w14:textId="77777777" w:rsidTr="001A7287">
        <w:trPr>
          <w:trHeight w:val="413"/>
        </w:trPr>
        <w:tc>
          <w:tcPr>
            <w:tcW w:w="1118" w:type="dxa"/>
            <w:tcBorders>
              <w:top w:val="single" w:sz="4" w:space="0" w:color="231F20"/>
              <w:left w:val="single" w:sz="4" w:space="0" w:color="231F20"/>
              <w:bottom w:val="single" w:sz="4" w:space="0" w:color="231F20"/>
              <w:right w:val="single" w:sz="4" w:space="0" w:color="231F20"/>
            </w:tcBorders>
          </w:tcPr>
          <w:p w14:paraId="3505ED42"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13.01.2021</w:t>
            </w:r>
          </w:p>
        </w:tc>
        <w:tc>
          <w:tcPr>
            <w:tcW w:w="7535" w:type="dxa"/>
            <w:tcBorders>
              <w:top w:val="single" w:sz="4" w:space="0" w:color="231F20"/>
              <w:left w:val="single" w:sz="4" w:space="0" w:color="231F20"/>
              <w:bottom w:val="single" w:sz="4" w:space="0" w:color="231F20"/>
              <w:right w:val="single" w:sz="4" w:space="0" w:color="231F20"/>
            </w:tcBorders>
          </w:tcPr>
          <w:p w14:paraId="234B8D92"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 xml:space="preserve">The appointment of </w:t>
            </w:r>
            <w:proofErr w:type="spellStart"/>
            <w:r>
              <w:rPr>
                <w:color w:val="231F20"/>
                <w:sz w:val="18"/>
                <w:szCs w:val="18"/>
              </w:rPr>
              <w:t>Evgeny</w:t>
            </w:r>
            <w:proofErr w:type="spellEnd"/>
            <w:r>
              <w:rPr>
                <w:color w:val="231F20"/>
                <w:sz w:val="18"/>
                <w:szCs w:val="18"/>
              </w:rPr>
              <w:t xml:space="preserve"> </w:t>
            </w:r>
            <w:proofErr w:type="spellStart"/>
            <w:r>
              <w:rPr>
                <w:color w:val="231F20"/>
                <w:sz w:val="18"/>
                <w:szCs w:val="18"/>
              </w:rPr>
              <w:t>Vrublevskiy</w:t>
            </w:r>
            <w:proofErr w:type="spellEnd"/>
            <w:r>
              <w:rPr>
                <w:color w:val="231F20"/>
                <w:sz w:val="18"/>
                <w:szCs w:val="18"/>
              </w:rPr>
              <w:t xml:space="preserve"> as a director of the Company. </w:t>
            </w:r>
            <w:proofErr w:type="spellStart"/>
            <w:r>
              <w:rPr>
                <w:color w:val="231F20"/>
                <w:sz w:val="18"/>
                <w:szCs w:val="18"/>
              </w:rPr>
              <w:t>Evgeny</w:t>
            </w:r>
            <w:proofErr w:type="spellEnd"/>
            <w:r>
              <w:rPr>
                <w:color w:val="231F20"/>
                <w:sz w:val="18"/>
                <w:szCs w:val="18"/>
              </w:rPr>
              <w:t xml:space="preserve"> is the nominated director of </w:t>
            </w:r>
            <w:proofErr w:type="spellStart"/>
            <w:r>
              <w:rPr>
                <w:color w:val="231F20"/>
                <w:sz w:val="18"/>
                <w:szCs w:val="18"/>
              </w:rPr>
              <w:t>Polymetal</w:t>
            </w:r>
            <w:proofErr w:type="spellEnd"/>
            <w:r>
              <w:rPr>
                <w:color w:val="231F20"/>
                <w:sz w:val="18"/>
                <w:szCs w:val="18"/>
              </w:rPr>
              <w:t xml:space="preserve">.  </w:t>
            </w:r>
          </w:p>
        </w:tc>
      </w:tr>
      <w:tr w:rsidR="001A7287" w14:paraId="05C1A1B3" w14:textId="77777777" w:rsidTr="001A7287">
        <w:trPr>
          <w:trHeight w:val="588"/>
        </w:trPr>
        <w:tc>
          <w:tcPr>
            <w:tcW w:w="1118" w:type="dxa"/>
            <w:tcBorders>
              <w:top w:val="single" w:sz="4" w:space="0" w:color="231F20"/>
              <w:left w:val="single" w:sz="4" w:space="0" w:color="231F20"/>
              <w:bottom w:val="single" w:sz="4" w:space="0" w:color="231F20"/>
              <w:right w:val="single" w:sz="4" w:space="0" w:color="231F20"/>
            </w:tcBorders>
          </w:tcPr>
          <w:p w14:paraId="4C0430BE"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05.01.2021</w:t>
            </w:r>
          </w:p>
        </w:tc>
        <w:tc>
          <w:tcPr>
            <w:tcW w:w="7535" w:type="dxa"/>
            <w:tcBorders>
              <w:top w:val="single" w:sz="4" w:space="0" w:color="231F20"/>
              <w:left w:val="single" w:sz="4" w:space="0" w:color="231F20"/>
              <w:bottom w:val="single" w:sz="4" w:space="0" w:color="231F20"/>
              <w:right w:val="single" w:sz="4" w:space="0" w:color="231F20"/>
            </w:tcBorders>
          </w:tcPr>
          <w:p w14:paraId="3130744E" w14:textId="77777777" w:rsidR="001A7287" w:rsidRDefault="001A7287" w:rsidP="00512495">
            <w:pPr>
              <w:pStyle w:val="TableParagraph"/>
              <w:numPr>
                <w:ilvl w:val="0"/>
                <w:numId w:val="26"/>
              </w:numPr>
              <w:kinsoku w:val="0"/>
              <w:overflowPunct w:val="0"/>
              <w:ind w:right="91"/>
              <w:jc w:val="both"/>
              <w:rPr>
                <w:color w:val="231F20"/>
                <w:sz w:val="18"/>
                <w:szCs w:val="18"/>
              </w:rPr>
            </w:pPr>
            <w:r>
              <w:rPr>
                <w:color w:val="231F20"/>
                <w:sz w:val="18"/>
                <w:szCs w:val="18"/>
              </w:rPr>
              <w:t xml:space="preserve">The appointment of Neil O’Brien as Director of Exploration and of George Clegg and Ryan Fells as Exploration Geologists. </w:t>
            </w:r>
          </w:p>
          <w:p w14:paraId="2AEA9E24" w14:textId="182F2400" w:rsidR="001A7287" w:rsidRDefault="001A7287" w:rsidP="00512495">
            <w:pPr>
              <w:pStyle w:val="TableParagraph"/>
              <w:numPr>
                <w:ilvl w:val="0"/>
                <w:numId w:val="26"/>
              </w:numPr>
              <w:kinsoku w:val="0"/>
              <w:overflowPunct w:val="0"/>
              <w:ind w:right="91"/>
              <w:jc w:val="both"/>
              <w:rPr>
                <w:color w:val="231F20"/>
                <w:sz w:val="18"/>
                <w:szCs w:val="18"/>
              </w:rPr>
            </w:pPr>
            <w:r>
              <w:rPr>
                <w:color w:val="231F20"/>
                <w:sz w:val="18"/>
                <w:szCs w:val="18"/>
              </w:rPr>
              <w:t xml:space="preserve">Details of the management incentive </w:t>
            </w:r>
            <w:r w:rsidR="007F06A2">
              <w:rPr>
                <w:color w:val="231F20"/>
                <w:sz w:val="18"/>
                <w:szCs w:val="18"/>
              </w:rPr>
              <w:t>O</w:t>
            </w:r>
            <w:r>
              <w:rPr>
                <w:color w:val="231F20"/>
                <w:sz w:val="18"/>
                <w:szCs w:val="18"/>
              </w:rPr>
              <w:t xml:space="preserve">ptions over a total of 1,400,000 Ordinary Shares with an exercise price of 14p issued to Neil O’Brien, George Clegg, Ryan Fells and Paul Ensor. </w:t>
            </w:r>
          </w:p>
        </w:tc>
      </w:tr>
      <w:tr w:rsidR="001A7287" w14:paraId="3AA81281" w14:textId="77777777" w:rsidTr="001A7287">
        <w:trPr>
          <w:trHeight w:val="588"/>
        </w:trPr>
        <w:tc>
          <w:tcPr>
            <w:tcW w:w="1118" w:type="dxa"/>
            <w:tcBorders>
              <w:top w:val="single" w:sz="4" w:space="0" w:color="231F20"/>
              <w:left w:val="single" w:sz="4" w:space="0" w:color="231F20"/>
              <w:bottom w:val="single" w:sz="4" w:space="0" w:color="231F20"/>
              <w:right w:val="single" w:sz="4" w:space="0" w:color="231F20"/>
            </w:tcBorders>
          </w:tcPr>
          <w:p w14:paraId="7065029A"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22.12.2020</w:t>
            </w:r>
          </w:p>
        </w:tc>
        <w:tc>
          <w:tcPr>
            <w:tcW w:w="7535" w:type="dxa"/>
            <w:tcBorders>
              <w:top w:val="single" w:sz="4" w:space="0" w:color="231F20"/>
              <w:left w:val="single" w:sz="4" w:space="0" w:color="231F20"/>
              <w:bottom w:val="single" w:sz="4" w:space="0" w:color="231F20"/>
              <w:right w:val="single" w:sz="4" w:space="0" w:color="231F20"/>
            </w:tcBorders>
          </w:tcPr>
          <w:p w14:paraId="1FAC93A0"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 xml:space="preserve">TR1 notifying that </w:t>
            </w:r>
            <w:proofErr w:type="spellStart"/>
            <w:r>
              <w:rPr>
                <w:color w:val="231F20"/>
                <w:sz w:val="18"/>
                <w:szCs w:val="18"/>
              </w:rPr>
              <w:t>Polymetal</w:t>
            </w:r>
            <w:proofErr w:type="spellEnd"/>
            <w:r>
              <w:rPr>
                <w:color w:val="231F20"/>
                <w:sz w:val="18"/>
                <w:szCs w:val="18"/>
              </w:rPr>
              <w:t xml:space="preserve"> holds 23,333,334 Ordinary Shares in the Company which represents 22.94% of the Ordinary Share Capital </w:t>
            </w:r>
          </w:p>
        </w:tc>
      </w:tr>
      <w:tr w:rsidR="001A7287" w14:paraId="3A7F8818" w14:textId="77777777" w:rsidTr="001A7287">
        <w:trPr>
          <w:trHeight w:val="305"/>
        </w:trPr>
        <w:tc>
          <w:tcPr>
            <w:tcW w:w="1118" w:type="dxa"/>
            <w:tcBorders>
              <w:top w:val="single" w:sz="4" w:space="0" w:color="231F20"/>
              <w:left w:val="single" w:sz="4" w:space="0" w:color="231F20"/>
              <w:bottom w:val="single" w:sz="4" w:space="0" w:color="231F20"/>
              <w:right w:val="single" w:sz="4" w:space="0" w:color="231F20"/>
            </w:tcBorders>
          </w:tcPr>
          <w:p w14:paraId="5CDAAD3D"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14.12.2020</w:t>
            </w:r>
          </w:p>
        </w:tc>
        <w:tc>
          <w:tcPr>
            <w:tcW w:w="7535" w:type="dxa"/>
            <w:tcBorders>
              <w:top w:val="single" w:sz="4" w:space="0" w:color="231F20"/>
              <w:left w:val="single" w:sz="4" w:space="0" w:color="231F20"/>
              <w:bottom w:val="single" w:sz="4" w:space="0" w:color="231F20"/>
              <w:right w:val="single" w:sz="4" w:space="0" w:color="231F20"/>
            </w:tcBorders>
          </w:tcPr>
          <w:p w14:paraId="22232CEF"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 xml:space="preserve">The appointment of Panmure Gordon as joint broker. </w:t>
            </w:r>
          </w:p>
        </w:tc>
      </w:tr>
      <w:tr w:rsidR="001A7287" w14:paraId="488286F0" w14:textId="77777777" w:rsidTr="001A7287">
        <w:trPr>
          <w:trHeight w:val="730"/>
        </w:trPr>
        <w:tc>
          <w:tcPr>
            <w:tcW w:w="1118" w:type="dxa"/>
            <w:tcBorders>
              <w:top w:val="single" w:sz="4" w:space="0" w:color="231F20"/>
              <w:left w:val="single" w:sz="4" w:space="0" w:color="231F20"/>
              <w:bottom w:val="single" w:sz="4" w:space="0" w:color="231F20"/>
              <w:right w:val="single" w:sz="4" w:space="0" w:color="231F20"/>
            </w:tcBorders>
          </w:tcPr>
          <w:p w14:paraId="4994CE32"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08.12.2020</w:t>
            </w:r>
          </w:p>
        </w:tc>
        <w:tc>
          <w:tcPr>
            <w:tcW w:w="7535" w:type="dxa"/>
            <w:tcBorders>
              <w:top w:val="single" w:sz="4" w:space="0" w:color="231F20"/>
              <w:left w:val="single" w:sz="4" w:space="0" w:color="231F20"/>
              <w:bottom w:val="single" w:sz="4" w:space="0" w:color="231F20"/>
              <w:right w:val="single" w:sz="4" w:space="0" w:color="231F20"/>
            </w:tcBorders>
          </w:tcPr>
          <w:p w14:paraId="495E7A31"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 xml:space="preserve">Details of gross proceeds of £2,500,000 from the conditional issue and allotment of 27,777,778 Ordinary Shares at the December 2020 Fundraise Price and the publication of a prospectus in connection with the December 2020 Fundraise. </w:t>
            </w:r>
          </w:p>
        </w:tc>
      </w:tr>
      <w:tr w:rsidR="001A7287" w14:paraId="1FFDC7D4" w14:textId="77777777" w:rsidTr="001A7287">
        <w:trPr>
          <w:trHeight w:val="1689"/>
        </w:trPr>
        <w:tc>
          <w:tcPr>
            <w:tcW w:w="1118" w:type="dxa"/>
            <w:tcBorders>
              <w:top w:val="single" w:sz="4" w:space="0" w:color="231F20"/>
              <w:left w:val="single" w:sz="4" w:space="0" w:color="231F20"/>
              <w:bottom w:val="single" w:sz="4" w:space="0" w:color="231F20"/>
              <w:right w:val="single" w:sz="4" w:space="0" w:color="231F20"/>
            </w:tcBorders>
          </w:tcPr>
          <w:p w14:paraId="527F768F"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lastRenderedPageBreak/>
              <w:t>26.11.2020</w:t>
            </w:r>
          </w:p>
        </w:tc>
        <w:tc>
          <w:tcPr>
            <w:tcW w:w="7535" w:type="dxa"/>
            <w:tcBorders>
              <w:top w:val="single" w:sz="4" w:space="0" w:color="231F20"/>
              <w:left w:val="single" w:sz="4" w:space="0" w:color="231F20"/>
              <w:bottom w:val="single" w:sz="4" w:space="0" w:color="231F20"/>
              <w:right w:val="single" w:sz="4" w:space="0" w:color="231F20"/>
            </w:tcBorders>
          </w:tcPr>
          <w:p w14:paraId="78DBB6B9" w14:textId="0F910E6C" w:rsidR="001A7287" w:rsidRDefault="001A7287">
            <w:pPr>
              <w:pStyle w:val="TableParagraph"/>
              <w:kinsoku w:val="0"/>
              <w:overflowPunct w:val="0"/>
              <w:ind w:left="108" w:right="91" w:hanging="1"/>
              <w:jc w:val="both"/>
              <w:rPr>
                <w:color w:val="231F20"/>
                <w:sz w:val="18"/>
                <w:szCs w:val="18"/>
              </w:rPr>
            </w:pPr>
            <w:proofErr w:type="spellStart"/>
            <w:r>
              <w:rPr>
                <w:color w:val="231F20"/>
                <w:sz w:val="18"/>
                <w:szCs w:val="18"/>
              </w:rPr>
              <w:t>Polymetal’s</w:t>
            </w:r>
            <w:proofErr w:type="spellEnd"/>
            <w:r>
              <w:rPr>
                <w:color w:val="231F20"/>
                <w:sz w:val="18"/>
                <w:szCs w:val="18"/>
              </w:rPr>
              <w:t xml:space="preserve"> agreement to invest £2,100,000 in the Company, by subscribing for 23,333,334 Ordinary Shares at the December 2020 Fundraise Price and the proposed entry into a relationship agreement between the Company and </w:t>
            </w:r>
            <w:proofErr w:type="spellStart"/>
            <w:r>
              <w:rPr>
                <w:color w:val="231F20"/>
                <w:sz w:val="18"/>
                <w:szCs w:val="18"/>
              </w:rPr>
              <w:t>Polymetal</w:t>
            </w:r>
            <w:proofErr w:type="spellEnd"/>
            <w:r>
              <w:rPr>
                <w:color w:val="231F20"/>
                <w:sz w:val="18"/>
                <w:szCs w:val="18"/>
              </w:rPr>
              <w:t>. The Company is planning geophysics surveys over the winter, with a renewed campaign of Diamond Drilling in the second quarter of 2021. The Company also announced the grant of 1,000,000 Options to Martin French, details of which are set out in paragraph 10 of this Part VII.</w:t>
            </w:r>
          </w:p>
        </w:tc>
      </w:tr>
      <w:tr w:rsidR="001A7287" w14:paraId="7A79BDDE" w14:textId="77777777" w:rsidTr="001A7287">
        <w:trPr>
          <w:trHeight w:val="654"/>
        </w:trPr>
        <w:tc>
          <w:tcPr>
            <w:tcW w:w="1118" w:type="dxa"/>
            <w:tcBorders>
              <w:top w:val="single" w:sz="4" w:space="0" w:color="231F20"/>
              <w:left w:val="single" w:sz="4" w:space="0" w:color="231F20"/>
              <w:bottom w:val="single" w:sz="4" w:space="0" w:color="231F20"/>
              <w:right w:val="single" w:sz="4" w:space="0" w:color="231F20"/>
            </w:tcBorders>
          </w:tcPr>
          <w:p w14:paraId="65E7C3CA"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17.11.2020</w:t>
            </w:r>
          </w:p>
        </w:tc>
        <w:tc>
          <w:tcPr>
            <w:tcW w:w="7535" w:type="dxa"/>
            <w:tcBorders>
              <w:top w:val="single" w:sz="4" w:space="0" w:color="231F20"/>
              <w:left w:val="single" w:sz="4" w:space="0" w:color="231F20"/>
              <w:bottom w:val="single" w:sz="4" w:space="0" w:color="231F20"/>
              <w:right w:val="single" w:sz="4" w:space="0" w:color="231F20"/>
            </w:tcBorders>
          </w:tcPr>
          <w:p w14:paraId="7E3CB85D" w14:textId="77777777" w:rsidR="001A7287" w:rsidRDefault="001A7287">
            <w:pPr>
              <w:pStyle w:val="TableParagraph"/>
              <w:kinsoku w:val="0"/>
              <w:overflowPunct w:val="0"/>
              <w:ind w:left="108" w:hanging="1"/>
              <w:rPr>
                <w:color w:val="231F20"/>
                <w:sz w:val="18"/>
                <w:szCs w:val="18"/>
              </w:rPr>
            </w:pPr>
            <w:r>
              <w:rPr>
                <w:color w:val="231F20"/>
                <w:sz w:val="18"/>
                <w:szCs w:val="18"/>
              </w:rPr>
              <w:t>TR1 notifying that Robert McFadden holds 2,232,937 Ordinary Shares in the Company which represents 3.02% of the Ordinary Share capital.</w:t>
            </w:r>
          </w:p>
        </w:tc>
      </w:tr>
      <w:tr w:rsidR="001A7287" w14:paraId="42CC3653" w14:textId="77777777" w:rsidTr="001A7287">
        <w:trPr>
          <w:trHeight w:val="1480"/>
        </w:trPr>
        <w:tc>
          <w:tcPr>
            <w:tcW w:w="1118" w:type="dxa"/>
            <w:tcBorders>
              <w:top w:val="single" w:sz="4" w:space="0" w:color="231F20"/>
              <w:left w:val="single" w:sz="4" w:space="0" w:color="231F20"/>
              <w:bottom w:val="single" w:sz="4" w:space="0" w:color="231F20"/>
              <w:right w:val="single" w:sz="4" w:space="0" w:color="231F20"/>
            </w:tcBorders>
          </w:tcPr>
          <w:p w14:paraId="2B75F80B"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13.11.2020</w:t>
            </w:r>
          </w:p>
        </w:tc>
        <w:tc>
          <w:tcPr>
            <w:tcW w:w="7535" w:type="dxa"/>
            <w:tcBorders>
              <w:top w:val="single" w:sz="4" w:space="0" w:color="231F20"/>
              <w:left w:val="single" w:sz="4" w:space="0" w:color="231F20"/>
              <w:bottom w:val="single" w:sz="4" w:space="0" w:color="231F20"/>
              <w:right w:val="single" w:sz="4" w:space="0" w:color="231F20"/>
            </w:tcBorders>
          </w:tcPr>
          <w:p w14:paraId="5317600A" w14:textId="5B32E04E" w:rsidR="001A7287" w:rsidRDefault="001A7287">
            <w:pPr>
              <w:pStyle w:val="TableParagraph"/>
              <w:kinsoku w:val="0"/>
              <w:overflowPunct w:val="0"/>
              <w:ind w:left="108" w:right="92" w:hanging="1"/>
              <w:jc w:val="both"/>
              <w:rPr>
                <w:color w:val="231F20"/>
                <w:sz w:val="18"/>
                <w:szCs w:val="18"/>
              </w:rPr>
            </w:pPr>
            <w:r>
              <w:rPr>
                <w:color w:val="231F20"/>
                <w:sz w:val="18"/>
                <w:szCs w:val="18"/>
              </w:rPr>
              <w:t xml:space="preserve">Details in relation to the preliminary results from the Company’s AMT Geophysics survey at Troodos West. The AMT survey correctly identified known deposits and current Diamond Drilling has successfully encountered fresh mineralisation in several holes vectored by the AMT survey. The strong results led the AMT survey being extended to Troodos North. The AMT survey has provided strong indications of potential extensions to a high-grade historic mine at </w:t>
            </w:r>
            <w:proofErr w:type="spellStart"/>
            <w:r>
              <w:rPr>
                <w:color w:val="231F20"/>
                <w:sz w:val="18"/>
                <w:szCs w:val="18"/>
              </w:rPr>
              <w:t>Agrokipia</w:t>
            </w:r>
            <w:proofErr w:type="spellEnd"/>
            <w:r>
              <w:rPr>
                <w:color w:val="231F20"/>
                <w:sz w:val="18"/>
                <w:szCs w:val="18"/>
              </w:rPr>
              <w:t>.</w:t>
            </w:r>
          </w:p>
        </w:tc>
      </w:tr>
      <w:tr w:rsidR="001A7287" w14:paraId="016B93FD" w14:textId="77777777" w:rsidTr="001A7287">
        <w:trPr>
          <w:trHeight w:val="1067"/>
        </w:trPr>
        <w:tc>
          <w:tcPr>
            <w:tcW w:w="1118" w:type="dxa"/>
            <w:tcBorders>
              <w:top w:val="single" w:sz="4" w:space="0" w:color="231F20"/>
              <w:left w:val="single" w:sz="4" w:space="0" w:color="231F20"/>
              <w:bottom w:val="single" w:sz="4" w:space="0" w:color="231F20"/>
              <w:right w:val="single" w:sz="4" w:space="0" w:color="231F20"/>
            </w:tcBorders>
          </w:tcPr>
          <w:p w14:paraId="2F4CEE10"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13.10.2020</w:t>
            </w:r>
          </w:p>
        </w:tc>
        <w:tc>
          <w:tcPr>
            <w:tcW w:w="7535" w:type="dxa"/>
            <w:tcBorders>
              <w:top w:val="single" w:sz="4" w:space="0" w:color="231F20"/>
              <w:left w:val="single" w:sz="4" w:space="0" w:color="231F20"/>
              <w:bottom w:val="single" w:sz="4" w:space="0" w:color="231F20"/>
              <w:right w:val="single" w:sz="4" w:space="0" w:color="231F20"/>
            </w:tcBorders>
          </w:tcPr>
          <w:p w14:paraId="3146BA73" w14:textId="77777777" w:rsidR="001A7287" w:rsidRDefault="001A7287">
            <w:pPr>
              <w:pStyle w:val="TableParagraph"/>
              <w:kinsoku w:val="0"/>
              <w:overflowPunct w:val="0"/>
              <w:ind w:left="108" w:right="93" w:hanging="1"/>
              <w:jc w:val="both"/>
              <w:rPr>
                <w:color w:val="231F20"/>
                <w:sz w:val="18"/>
                <w:szCs w:val="18"/>
              </w:rPr>
            </w:pPr>
            <w:r>
              <w:rPr>
                <w:color w:val="231F20"/>
                <w:sz w:val="18"/>
                <w:szCs w:val="18"/>
              </w:rPr>
              <w:t>The expansion of the Portfolio at Troodos West through the application for two new Prospecting</w:t>
            </w:r>
            <w:r>
              <w:rPr>
                <w:color w:val="231F20"/>
                <w:spacing w:val="-6"/>
                <w:sz w:val="18"/>
                <w:szCs w:val="18"/>
              </w:rPr>
              <w:t xml:space="preserve"> </w:t>
            </w:r>
            <w:r>
              <w:rPr>
                <w:color w:val="231F20"/>
                <w:sz w:val="18"/>
                <w:szCs w:val="18"/>
              </w:rPr>
              <w:t>Permits</w:t>
            </w:r>
            <w:r>
              <w:rPr>
                <w:color w:val="231F20"/>
                <w:spacing w:val="-6"/>
                <w:sz w:val="18"/>
                <w:szCs w:val="18"/>
              </w:rPr>
              <w:t xml:space="preserve"> </w:t>
            </w:r>
            <w:r>
              <w:rPr>
                <w:color w:val="231F20"/>
                <w:sz w:val="18"/>
                <w:szCs w:val="18"/>
              </w:rPr>
              <w:t>and</w:t>
            </w:r>
            <w:r>
              <w:rPr>
                <w:color w:val="231F20"/>
                <w:spacing w:val="-6"/>
                <w:sz w:val="18"/>
                <w:szCs w:val="18"/>
              </w:rPr>
              <w:t xml:space="preserve"> </w:t>
            </w:r>
            <w:r>
              <w:rPr>
                <w:color w:val="231F20"/>
                <w:sz w:val="18"/>
                <w:szCs w:val="18"/>
              </w:rPr>
              <w:t>the</w:t>
            </w:r>
            <w:r>
              <w:rPr>
                <w:color w:val="231F20"/>
                <w:spacing w:val="-9"/>
                <w:sz w:val="18"/>
                <w:szCs w:val="18"/>
              </w:rPr>
              <w:t xml:space="preserve"> </w:t>
            </w:r>
            <w:r>
              <w:rPr>
                <w:color w:val="231F20"/>
                <w:sz w:val="18"/>
                <w:szCs w:val="18"/>
              </w:rPr>
              <w:t>concession</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land</w:t>
            </w:r>
            <w:r>
              <w:rPr>
                <w:color w:val="231F20"/>
                <w:spacing w:val="-5"/>
                <w:sz w:val="18"/>
                <w:szCs w:val="18"/>
              </w:rPr>
              <w:t xml:space="preserve"> </w:t>
            </w:r>
            <w:r>
              <w:rPr>
                <w:color w:val="231F20"/>
                <w:sz w:val="18"/>
                <w:szCs w:val="18"/>
              </w:rPr>
              <w:t>at</w:t>
            </w:r>
            <w:r>
              <w:rPr>
                <w:color w:val="231F20"/>
                <w:spacing w:val="-6"/>
                <w:sz w:val="18"/>
                <w:szCs w:val="18"/>
              </w:rPr>
              <w:t xml:space="preserve"> </w:t>
            </w:r>
            <w:r>
              <w:rPr>
                <w:color w:val="231F20"/>
                <w:sz w:val="18"/>
                <w:szCs w:val="18"/>
              </w:rPr>
              <w:t>Troodos</w:t>
            </w:r>
            <w:r>
              <w:rPr>
                <w:color w:val="231F20"/>
                <w:spacing w:val="-8"/>
                <w:sz w:val="18"/>
                <w:szCs w:val="18"/>
              </w:rPr>
              <w:t xml:space="preserve"> </w:t>
            </w:r>
            <w:r>
              <w:rPr>
                <w:color w:val="231F20"/>
                <w:sz w:val="18"/>
                <w:szCs w:val="18"/>
              </w:rPr>
              <w:t>East</w:t>
            </w:r>
            <w:r>
              <w:rPr>
                <w:color w:val="231F20"/>
                <w:spacing w:val="-5"/>
                <w:sz w:val="18"/>
                <w:szCs w:val="18"/>
              </w:rPr>
              <w:t xml:space="preserve"> </w:t>
            </w:r>
            <w:r>
              <w:rPr>
                <w:color w:val="231F20"/>
                <w:sz w:val="18"/>
                <w:szCs w:val="18"/>
              </w:rPr>
              <w:t>and</w:t>
            </w:r>
            <w:r>
              <w:rPr>
                <w:color w:val="231F20"/>
                <w:spacing w:val="-6"/>
                <w:sz w:val="18"/>
                <w:szCs w:val="18"/>
              </w:rPr>
              <w:t xml:space="preserve"> </w:t>
            </w:r>
            <w:r>
              <w:rPr>
                <w:color w:val="231F20"/>
                <w:sz w:val="18"/>
                <w:szCs w:val="18"/>
              </w:rPr>
              <w:t>Troodos</w:t>
            </w:r>
            <w:r>
              <w:rPr>
                <w:color w:val="231F20"/>
                <w:spacing w:val="-6"/>
                <w:sz w:val="18"/>
                <w:szCs w:val="18"/>
              </w:rPr>
              <w:t xml:space="preserve"> </w:t>
            </w:r>
            <w:r>
              <w:rPr>
                <w:color w:val="231F20"/>
                <w:sz w:val="18"/>
                <w:szCs w:val="18"/>
              </w:rPr>
              <w:t>North. The Company also announced that Michael Parker is transitioning to be a part time consultant for the Company rather than managing</w:t>
            </w:r>
            <w:r>
              <w:rPr>
                <w:color w:val="231F20"/>
                <w:spacing w:val="-5"/>
                <w:sz w:val="18"/>
                <w:szCs w:val="18"/>
              </w:rPr>
              <w:t xml:space="preserve"> </w:t>
            </w:r>
            <w:r>
              <w:rPr>
                <w:color w:val="231F20"/>
                <w:sz w:val="18"/>
                <w:szCs w:val="18"/>
              </w:rPr>
              <w:t>director.</w:t>
            </w:r>
          </w:p>
        </w:tc>
      </w:tr>
      <w:tr w:rsidR="001A7287" w14:paraId="65858A1F" w14:textId="77777777" w:rsidTr="001A7287">
        <w:trPr>
          <w:trHeight w:val="1276"/>
        </w:trPr>
        <w:tc>
          <w:tcPr>
            <w:tcW w:w="1118" w:type="dxa"/>
            <w:tcBorders>
              <w:top w:val="single" w:sz="4" w:space="0" w:color="231F20"/>
              <w:left w:val="single" w:sz="4" w:space="0" w:color="231F20"/>
              <w:bottom w:val="single" w:sz="4" w:space="0" w:color="231F20"/>
              <w:right w:val="single" w:sz="4" w:space="0" w:color="231F20"/>
            </w:tcBorders>
          </w:tcPr>
          <w:p w14:paraId="17190BF5"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30.09.2020</w:t>
            </w:r>
          </w:p>
        </w:tc>
        <w:tc>
          <w:tcPr>
            <w:tcW w:w="7535" w:type="dxa"/>
            <w:tcBorders>
              <w:top w:val="single" w:sz="4" w:space="0" w:color="231F20"/>
              <w:left w:val="single" w:sz="4" w:space="0" w:color="231F20"/>
              <w:bottom w:val="single" w:sz="4" w:space="0" w:color="231F20"/>
              <w:right w:val="single" w:sz="4" w:space="0" w:color="231F20"/>
            </w:tcBorders>
          </w:tcPr>
          <w:p w14:paraId="275AE811" w14:textId="77777777" w:rsidR="001A7287" w:rsidRDefault="001A7287">
            <w:pPr>
              <w:pStyle w:val="TableParagraph"/>
              <w:kinsoku w:val="0"/>
              <w:overflowPunct w:val="0"/>
              <w:ind w:left="108" w:right="90" w:hanging="1"/>
              <w:jc w:val="both"/>
              <w:rPr>
                <w:color w:val="231F20"/>
                <w:sz w:val="18"/>
                <w:szCs w:val="18"/>
              </w:rPr>
            </w:pPr>
            <w:r>
              <w:rPr>
                <w:color w:val="231F20"/>
                <w:sz w:val="18"/>
                <w:szCs w:val="18"/>
              </w:rPr>
              <w:t xml:space="preserve">The Chairman’s review of 2020 to date including updates regarding the impact of COVID19 on the Group (including the four month delay to and subsequent recommencement of its drill programme at Troodos West), a positive assessment of the copper and gold prices and an update on the Audio </w:t>
            </w:r>
            <w:proofErr w:type="spellStart"/>
            <w:r>
              <w:rPr>
                <w:color w:val="231F20"/>
                <w:sz w:val="18"/>
                <w:szCs w:val="18"/>
              </w:rPr>
              <w:t>Magnetotellurics</w:t>
            </w:r>
            <w:proofErr w:type="spellEnd"/>
            <w:r>
              <w:rPr>
                <w:color w:val="231F20"/>
                <w:sz w:val="18"/>
                <w:szCs w:val="18"/>
              </w:rPr>
              <w:t xml:space="preserve"> (AMT) Geophysics Survey</w:t>
            </w:r>
          </w:p>
        </w:tc>
      </w:tr>
      <w:tr w:rsidR="001A7287" w14:paraId="07080238" w14:textId="77777777" w:rsidTr="001A7287">
        <w:trPr>
          <w:trHeight w:val="861"/>
        </w:trPr>
        <w:tc>
          <w:tcPr>
            <w:tcW w:w="1118" w:type="dxa"/>
            <w:tcBorders>
              <w:top w:val="single" w:sz="4" w:space="0" w:color="231F20"/>
              <w:left w:val="single" w:sz="4" w:space="0" w:color="231F20"/>
              <w:bottom w:val="single" w:sz="4" w:space="0" w:color="231F20"/>
              <w:right w:val="single" w:sz="4" w:space="0" w:color="231F20"/>
            </w:tcBorders>
          </w:tcPr>
          <w:p w14:paraId="4F10BF12"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15/09/2020</w:t>
            </w:r>
          </w:p>
        </w:tc>
        <w:tc>
          <w:tcPr>
            <w:tcW w:w="7535" w:type="dxa"/>
            <w:tcBorders>
              <w:top w:val="single" w:sz="4" w:space="0" w:color="231F20"/>
              <w:left w:val="single" w:sz="4" w:space="0" w:color="231F20"/>
              <w:bottom w:val="single" w:sz="4" w:space="0" w:color="231F20"/>
              <w:right w:val="single" w:sz="4" w:space="0" w:color="231F20"/>
            </w:tcBorders>
          </w:tcPr>
          <w:p w14:paraId="333EB08E" w14:textId="62DCB132" w:rsidR="001A7287" w:rsidRDefault="001A7287">
            <w:pPr>
              <w:pStyle w:val="TableParagraph"/>
              <w:kinsoku w:val="0"/>
              <w:overflowPunct w:val="0"/>
              <w:ind w:left="108" w:right="94" w:hanging="1"/>
              <w:jc w:val="both"/>
              <w:rPr>
                <w:color w:val="231F20"/>
                <w:sz w:val="18"/>
                <w:szCs w:val="18"/>
              </w:rPr>
            </w:pPr>
            <w:r>
              <w:rPr>
                <w:color w:val="231F20"/>
                <w:sz w:val="18"/>
                <w:szCs w:val="18"/>
              </w:rPr>
              <w:t xml:space="preserve">The commencement of a </w:t>
            </w:r>
            <w:proofErr w:type="gramStart"/>
            <w:r>
              <w:rPr>
                <w:color w:val="231F20"/>
                <w:sz w:val="18"/>
                <w:szCs w:val="18"/>
              </w:rPr>
              <w:t>2,000 metre</w:t>
            </w:r>
            <w:proofErr w:type="gramEnd"/>
            <w:r>
              <w:rPr>
                <w:color w:val="231F20"/>
                <w:sz w:val="18"/>
                <w:szCs w:val="18"/>
              </w:rPr>
              <w:t xml:space="preserve"> diamond drill programme on the Company’s Troodos West copper and gold exploration licences in Cyprus, alongside which the Company will carry out Percussion Drilling and an AMT geophysics survey.</w:t>
            </w:r>
          </w:p>
        </w:tc>
      </w:tr>
      <w:tr w:rsidR="001A7287" w14:paraId="77829BDA" w14:textId="77777777" w:rsidTr="001A7287">
        <w:trPr>
          <w:trHeight w:val="858"/>
        </w:trPr>
        <w:tc>
          <w:tcPr>
            <w:tcW w:w="1118" w:type="dxa"/>
            <w:tcBorders>
              <w:top w:val="single" w:sz="4" w:space="0" w:color="231F20"/>
              <w:left w:val="single" w:sz="4" w:space="0" w:color="231F20"/>
              <w:bottom w:val="single" w:sz="4" w:space="0" w:color="231F20"/>
              <w:right w:val="single" w:sz="4" w:space="0" w:color="231F20"/>
            </w:tcBorders>
          </w:tcPr>
          <w:p w14:paraId="5949CE85"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01/09/2020</w:t>
            </w:r>
          </w:p>
        </w:tc>
        <w:tc>
          <w:tcPr>
            <w:tcW w:w="7535" w:type="dxa"/>
            <w:tcBorders>
              <w:top w:val="single" w:sz="4" w:space="0" w:color="231F20"/>
              <w:left w:val="single" w:sz="4" w:space="0" w:color="231F20"/>
              <w:bottom w:val="single" w:sz="4" w:space="0" w:color="231F20"/>
              <w:right w:val="single" w:sz="4" w:space="0" w:color="231F20"/>
            </w:tcBorders>
          </w:tcPr>
          <w:p w14:paraId="22462192" w14:textId="77777777" w:rsidR="001A7287" w:rsidRDefault="001A7287">
            <w:pPr>
              <w:pStyle w:val="TableParagraph"/>
              <w:kinsoku w:val="0"/>
              <w:overflowPunct w:val="0"/>
              <w:ind w:left="108" w:right="91" w:hanging="1"/>
              <w:jc w:val="both"/>
              <w:rPr>
                <w:color w:val="231F20"/>
                <w:sz w:val="18"/>
                <w:szCs w:val="18"/>
              </w:rPr>
            </w:pPr>
            <w:r>
              <w:rPr>
                <w:color w:val="231F20"/>
                <w:sz w:val="18"/>
                <w:szCs w:val="18"/>
              </w:rPr>
              <w:t>The commissioning of an AMT geophysics survey for the Group’s Troodos West licence area in Cyprus, which will assist in the exploration for copper and gold mineralisation.</w:t>
            </w:r>
          </w:p>
        </w:tc>
      </w:tr>
      <w:tr w:rsidR="001A7287" w14:paraId="1FAD5063" w14:textId="77777777" w:rsidTr="001A7287">
        <w:trPr>
          <w:trHeight w:val="426"/>
        </w:trPr>
        <w:tc>
          <w:tcPr>
            <w:tcW w:w="1118" w:type="dxa"/>
            <w:tcBorders>
              <w:top w:val="single" w:sz="4" w:space="0" w:color="231F20"/>
              <w:left w:val="single" w:sz="4" w:space="0" w:color="231F20"/>
              <w:bottom w:val="single" w:sz="4" w:space="0" w:color="231F20"/>
              <w:right w:val="single" w:sz="4" w:space="0" w:color="231F20"/>
            </w:tcBorders>
          </w:tcPr>
          <w:p w14:paraId="68A1F4C7" w14:textId="77777777" w:rsidR="001A7287" w:rsidRDefault="001A7287">
            <w:pPr>
              <w:pStyle w:val="TableParagraph"/>
              <w:kinsoku w:val="0"/>
              <w:overflowPunct w:val="0"/>
              <w:spacing w:before="1"/>
              <w:ind w:left="107"/>
              <w:rPr>
                <w:color w:val="231F20"/>
                <w:sz w:val="18"/>
                <w:szCs w:val="18"/>
              </w:rPr>
            </w:pPr>
            <w:r>
              <w:rPr>
                <w:color w:val="231F20"/>
                <w:sz w:val="18"/>
                <w:szCs w:val="18"/>
              </w:rPr>
              <w:t>20/08/2020</w:t>
            </w:r>
          </w:p>
        </w:tc>
        <w:tc>
          <w:tcPr>
            <w:tcW w:w="7535" w:type="dxa"/>
            <w:tcBorders>
              <w:top w:val="single" w:sz="4" w:space="0" w:color="231F20"/>
              <w:left w:val="single" w:sz="4" w:space="0" w:color="231F20"/>
              <w:bottom w:val="single" w:sz="4" w:space="0" w:color="231F20"/>
              <w:right w:val="single" w:sz="4" w:space="0" w:color="231F20"/>
            </w:tcBorders>
          </w:tcPr>
          <w:p w14:paraId="391F4E53" w14:textId="16C20304" w:rsidR="001A7287" w:rsidRDefault="001A7287" w:rsidP="00512495">
            <w:pPr>
              <w:pStyle w:val="TableParagraph"/>
              <w:numPr>
                <w:ilvl w:val="0"/>
                <w:numId w:val="28"/>
              </w:numPr>
              <w:kinsoku w:val="0"/>
              <w:overflowPunct w:val="0"/>
              <w:rPr>
                <w:color w:val="231F20"/>
                <w:sz w:val="18"/>
                <w:szCs w:val="18"/>
              </w:rPr>
            </w:pPr>
            <w:r>
              <w:rPr>
                <w:color w:val="231F20"/>
                <w:sz w:val="18"/>
                <w:szCs w:val="18"/>
              </w:rPr>
              <w:t>The</w:t>
            </w:r>
            <w:r>
              <w:rPr>
                <w:color w:val="231F20"/>
                <w:spacing w:val="-7"/>
                <w:sz w:val="18"/>
                <w:szCs w:val="18"/>
              </w:rPr>
              <w:t xml:space="preserve"> </w:t>
            </w:r>
            <w:r>
              <w:rPr>
                <w:color w:val="231F20"/>
                <w:sz w:val="18"/>
                <w:szCs w:val="18"/>
              </w:rPr>
              <w:t>Company’s</w:t>
            </w:r>
            <w:r>
              <w:rPr>
                <w:color w:val="231F20"/>
                <w:spacing w:val="-8"/>
                <w:sz w:val="18"/>
                <w:szCs w:val="18"/>
              </w:rPr>
              <w:t xml:space="preserve"> </w:t>
            </w:r>
            <w:r>
              <w:rPr>
                <w:color w:val="231F20"/>
                <w:sz w:val="18"/>
                <w:szCs w:val="18"/>
              </w:rPr>
              <w:t>intention</w:t>
            </w:r>
            <w:r>
              <w:rPr>
                <w:color w:val="231F20"/>
                <w:spacing w:val="-9"/>
                <w:sz w:val="18"/>
                <w:szCs w:val="18"/>
              </w:rPr>
              <w:t xml:space="preserve"> </w:t>
            </w:r>
            <w:r>
              <w:rPr>
                <w:color w:val="231F20"/>
                <w:sz w:val="18"/>
                <w:szCs w:val="18"/>
              </w:rPr>
              <w:t>to</w:t>
            </w:r>
            <w:r>
              <w:rPr>
                <w:color w:val="231F20"/>
                <w:spacing w:val="-9"/>
                <w:sz w:val="18"/>
                <w:szCs w:val="18"/>
              </w:rPr>
              <w:t xml:space="preserve"> </w:t>
            </w:r>
            <w:r>
              <w:rPr>
                <w:color w:val="231F20"/>
                <w:sz w:val="18"/>
                <w:szCs w:val="18"/>
              </w:rPr>
              <w:t>carry</w:t>
            </w:r>
            <w:r>
              <w:rPr>
                <w:color w:val="231F20"/>
                <w:spacing w:val="-8"/>
                <w:sz w:val="18"/>
                <w:szCs w:val="18"/>
              </w:rPr>
              <w:t xml:space="preserve"> </w:t>
            </w:r>
            <w:r>
              <w:rPr>
                <w:color w:val="231F20"/>
                <w:sz w:val="18"/>
                <w:szCs w:val="18"/>
              </w:rPr>
              <w:t>out</w:t>
            </w:r>
            <w:r>
              <w:rPr>
                <w:color w:val="231F20"/>
                <w:spacing w:val="-9"/>
                <w:sz w:val="18"/>
                <w:szCs w:val="18"/>
              </w:rPr>
              <w:t xml:space="preserve"> </w:t>
            </w:r>
            <w:r>
              <w:rPr>
                <w:color w:val="231F20"/>
                <w:sz w:val="18"/>
                <w:szCs w:val="18"/>
              </w:rPr>
              <w:t>a</w:t>
            </w:r>
            <w:r>
              <w:rPr>
                <w:color w:val="231F20"/>
                <w:spacing w:val="-9"/>
                <w:sz w:val="18"/>
                <w:szCs w:val="18"/>
              </w:rPr>
              <w:t xml:space="preserve"> </w:t>
            </w:r>
            <w:r>
              <w:rPr>
                <w:color w:val="231F20"/>
                <w:sz w:val="18"/>
                <w:szCs w:val="18"/>
              </w:rPr>
              <w:t>2,000</w:t>
            </w:r>
            <w:r>
              <w:rPr>
                <w:color w:val="231F20"/>
                <w:spacing w:val="-9"/>
                <w:sz w:val="18"/>
                <w:szCs w:val="18"/>
              </w:rPr>
              <w:t xml:space="preserve"> </w:t>
            </w:r>
            <w:r>
              <w:rPr>
                <w:color w:val="231F20"/>
                <w:sz w:val="18"/>
                <w:szCs w:val="18"/>
              </w:rPr>
              <w:t>metre</w:t>
            </w:r>
            <w:r>
              <w:rPr>
                <w:color w:val="231F20"/>
                <w:spacing w:val="-9"/>
                <w:sz w:val="18"/>
                <w:szCs w:val="18"/>
              </w:rPr>
              <w:t xml:space="preserve"> </w:t>
            </w:r>
            <w:r>
              <w:rPr>
                <w:color w:val="231F20"/>
                <w:sz w:val="18"/>
                <w:szCs w:val="18"/>
              </w:rPr>
              <w:t>Diamond</w:t>
            </w:r>
            <w:r>
              <w:rPr>
                <w:color w:val="231F20"/>
                <w:spacing w:val="-11"/>
                <w:sz w:val="18"/>
                <w:szCs w:val="18"/>
              </w:rPr>
              <w:t xml:space="preserve"> </w:t>
            </w:r>
            <w:r>
              <w:rPr>
                <w:color w:val="231F20"/>
                <w:sz w:val="18"/>
                <w:szCs w:val="18"/>
              </w:rPr>
              <w:t>Drilling</w:t>
            </w:r>
            <w:r>
              <w:rPr>
                <w:color w:val="231F20"/>
                <w:spacing w:val="-9"/>
                <w:sz w:val="18"/>
                <w:szCs w:val="18"/>
              </w:rPr>
              <w:t xml:space="preserve"> </w:t>
            </w:r>
            <w:r>
              <w:rPr>
                <w:color w:val="231F20"/>
                <w:sz w:val="18"/>
                <w:szCs w:val="18"/>
              </w:rPr>
              <w:t xml:space="preserve">programme in September 2020 at Troodos West. The Company announced that the </w:t>
            </w:r>
            <w:proofErr w:type="gramStart"/>
            <w:r>
              <w:rPr>
                <w:color w:val="231F20"/>
                <w:sz w:val="18"/>
                <w:szCs w:val="18"/>
              </w:rPr>
              <w:t>first</w:t>
            </w:r>
            <w:r>
              <w:rPr>
                <w:color w:val="231F20"/>
                <w:spacing w:val="-32"/>
                <w:sz w:val="18"/>
                <w:szCs w:val="18"/>
              </w:rPr>
              <w:t xml:space="preserve">  </w:t>
            </w:r>
            <w:r>
              <w:rPr>
                <w:color w:val="231F20"/>
                <w:sz w:val="18"/>
                <w:szCs w:val="18"/>
              </w:rPr>
              <w:t>six</w:t>
            </w:r>
            <w:proofErr w:type="gramEnd"/>
            <w:r>
              <w:rPr>
                <w:color w:val="231F20"/>
                <w:sz w:val="18"/>
                <w:szCs w:val="18"/>
              </w:rPr>
              <w:t xml:space="preserve"> drill holes comprising approximately 1,000, have been identified and are drill ready with access infrastructure already established.</w:t>
            </w:r>
          </w:p>
          <w:p w14:paraId="23974222" w14:textId="77777777" w:rsidR="001A7287" w:rsidRDefault="001A7287" w:rsidP="00734E27">
            <w:pPr>
              <w:pStyle w:val="TableParagraph"/>
              <w:tabs>
                <w:tab w:val="left" w:pos="469"/>
              </w:tabs>
              <w:kinsoku w:val="0"/>
              <w:overflowPunct w:val="0"/>
              <w:spacing w:before="17" w:line="206" w:lineRule="exact"/>
              <w:ind w:left="468" w:right="91"/>
              <w:rPr>
                <w:color w:val="231F20"/>
                <w:sz w:val="18"/>
                <w:szCs w:val="18"/>
              </w:rPr>
            </w:pPr>
          </w:p>
          <w:p w14:paraId="14586F2A" w14:textId="7CD0DEB3" w:rsidR="001A7287" w:rsidRDefault="001A7287" w:rsidP="00512495">
            <w:pPr>
              <w:pStyle w:val="TableParagraph"/>
              <w:numPr>
                <w:ilvl w:val="0"/>
                <w:numId w:val="28"/>
              </w:numPr>
              <w:tabs>
                <w:tab w:val="left" w:pos="469"/>
              </w:tabs>
              <w:kinsoku w:val="0"/>
              <w:overflowPunct w:val="0"/>
              <w:spacing w:before="17" w:line="206" w:lineRule="exact"/>
              <w:ind w:right="91"/>
              <w:rPr>
                <w:color w:val="231F20"/>
                <w:sz w:val="18"/>
                <w:szCs w:val="18"/>
              </w:rPr>
            </w:pPr>
            <w:r>
              <w:rPr>
                <w:color w:val="231F20"/>
                <w:sz w:val="18"/>
                <w:szCs w:val="18"/>
              </w:rPr>
              <w:t>That</w:t>
            </w:r>
            <w:r>
              <w:rPr>
                <w:color w:val="231F20"/>
                <w:spacing w:val="-15"/>
                <w:sz w:val="18"/>
                <w:szCs w:val="18"/>
              </w:rPr>
              <w:t xml:space="preserve"> </w:t>
            </w:r>
            <w:r>
              <w:rPr>
                <w:color w:val="231F20"/>
                <w:sz w:val="18"/>
                <w:szCs w:val="18"/>
              </w:rPr>
              <w:t>7</w:t>
            </w:r>
            <w:r>
              <w:rPr>
                <w:color w:val="231F20"/>
                <w:spacing w:val="-13"/>
                <w:sz w:val="18"/>
                <w:szCs w:val="18"/>
              </w:rPr>
              <w:t xml:space="preserve"> </w:t>
            </w:r>
            <w:r>
              <w:rPr>
                <w:color w:val="231F20"/>
                <w:sz w:val="18"/>
                <w:szCs w:val="18"/>
              </w:rPr>
              <w:t>percussion</w:t>
            </w:r>
            <w:r>
              <w:rPr>
                <w:color w:val="231F20"/>
                <w:spacing w:val="-13"/>
                <w:sz w:val="18"/>
                <w:szCs w:val="18"/>
              </w:rPr>
              <w:t xml:space="preserve"> </w:t>
            </w:r>
            <w:r>
              <w:rPr>
                <w:color w:val="231F20"/>
                <w:sz w:val="18"/>
                <w:szCs w:val="18"/>
              </w:rPr>
              <w:t>holes</w:t>
            </w:r>
            <w:r>
              <w:rPr>
                <w:color w:val="231F20"/>
                <w:spacing w:val="-13"/>
                <w:sz w:val="18"/>
                <w:szCs w:val="18"/>
              </w:rPr>
              <w:t xml:space="preserve"> </w:t>
            </w:r>
            <w:r>
              <w:rPr>
                <w:color w:val="231F20"/>
                <w:sz w:val="18"/>
                <w:szCs w:val="18"/>
              </w:rPr>
              <w:t>had</w:t>
            </w:r>
            <w:r>
              <w:rPr>
                <w:color w:val="231F20"/>
                <w:spacing w:val="-13"/>
                <w:sz w:val="18"/>
                <w:szCs w:val="18"/>
              </w:rPr>
              <w:t xml:space="preserve"> </w:t>
            </w:r>
            <w:r>
              <w:rPr>
                <w:color w:val="231F20"/>
                <w:sz w:val="18"/>
                <w:szCs w:val="18"/>
              </w:rPr>
              <w:t>recently</w:t>
            </w:r>
            <w:r>
              <w:rPr>
                <w:color w:val="231F20"/>
                <w:spacing w:val="-15"/>
                <w:sz w:val="18"/>
                <w:szCs w:val="18"/>
              </w:rPr>
              <w:t xml:space="preserve"> </w:t>
            </w:r>
            <w:r>
              <w:rPr>
                <w:color w:val="231F20"/>
                <w:sz w:val="18"/>
                <w:szCs w:val="18"/>
              </w:rPr>
              <w:t>been</w:t>
            </w:r>
            <w:r>
              <w:rPr>
                <w:color w:val="231F20"/>
                <w:spacing w:val="-16"/>
                <w:sz w:val="18"/>
                <w:szCs w:val="18"/>
              </w:rPr>
              <w:t xml:space="preserve"> </w:t>
            </w:r>
            <w:r>
              <w:rPr>
                <w:color w:val="231F20"/>
                <w:sz w:val="18"/>
                <w:szCs w:val="18"/>
              </w:rPr>
              <w:t>drilled</w:t>
            </w:r>
            <w:r>
              <w:rPr>
                <w:color w:val="231F20"/>
                <w:spacing w:val="-16"/>
                <w:sz w:val="18"/>
                <w:szCs w:val="18"/>
              </w:rPr>
              <w:t xml:space="preserve"> </w:t>
            </w:r>
            <w:r>
              <w:rPr>
                <w:color w:val="231F20"/>
                <w:sz w:val="18"/>
                <w:szCs w:val="18"/>
              </w:rPr>
              <w:t>on</w:t>
            </w:r>
            <w:r>
              <w:rPr>
                <w:color w:val="231F20"/>
                <w:spacing w:val="-16"/>
                <w:sz w:val="18"/>
                <w:szCs w:val="18"/>
              </w:rPr>
              <w:t xml:space="preserve"> </w:t>
            </w:r>
            <w:r>
              <w:rPr>
                <w:color w:val="231F20"/>
                <w:sz w:val="18"/>
                <w:szCs w:val="18"/>
              </w:rPr>
              <w:t>three</w:t>
            </w:r>
            <w:r>
              <w:rPr>
                <w:color w:val="231F20"/>
                <w:spacing w:val="-16"/>
                <w:sz w:val="18"/>
                <w:szCs w:val="18"/>
              </w:rPr>
              <w:t xml:space="preserve"> </w:t>
            </w:r>
            <w:r>
              <w:rPr>
                <w:color w:val="231F20"/>
                <w:sz w:val="18"/>
                <w:szCs w:val="18"/>
              </w:rPr>
              <w:t>targets,</w:t>
            </w:r>
            <w:r>
              <w:rPr>
                <w:color w:val="231F20"/>
                <w:spacing w:val="-16"/>
                <w:sz w:val="18"/>
                <w:szCs w:val="18"/>
              </w:rPr>
              <w:t xml:space="preserve"> </w:t>
            </w:r>
            <w:r>
              <w:rPr>
                <w:color w:val="231F20"/>
                <w:sz w:val="18"/>
                <w:szCs w:val="18"/>
              </w:rPr>
              <w:t>namely</w:t>
            </w:r>
            <w:r>
              <w:rPr>
                <w:color w:val="231F20"/>
                <w:spacing w:val="-15"/>
                <w:sz w:val="18"/>
                <w:szCs w:val="18"/>
              </w:rPr>
              <w:t xml:space="preserve"> </w:t>
            </w:r>
            <w:r>
              <w:rPr>
                <w:color w:val="231F20"/>
                <w:sz w:val="18"/>
                <w:szCs w:val="18"/>
              </w:rPr>
              <w:t>Sliver, Copse West and Reef Cover. The sediments in Sliver and Reef Cover proved much thicker than expected and presented challenging conditions and as such these</w:t>
            </w:r>
            <w:r>
              <w:rPr>
                <w:color w:val="231F20"/>
                <w:spacing w:val="-5"/>
                <w:sz w:val="18"/>
                <w:szCs w:val="18"/>
              </w:rPr>
              <w:t xml:space="preserve"> </w:t>
            </w:r>
            <w:r>
              <w:rPr>
                <w:color w:val="231F20"/>
                <w:sz w:val="18"/>
                <w:szCs w:val="18"/>
              </w:rPr>
              <w:t>targets</w:t>
            </w:r>
            <w:r>
              <w:rPr>
                <w:color w:val="231F20"/>
                <w:spacing w:val="-3"/>
                <w:sz w:val="18"/>
                <w:szCs w:val="18"/>
              </w:rPr>
              <w:t xml:space="preserve"> </w:t>
            </w:r>
            <w:r>
              <w:rPr>
                <w:color w:val="231F20"/>
                <w:sz w:val="18"/>
                <w:szCs w:val="18"/>
              </w:rPr>
              <w:t>remain</w:t>
            </w:r>
            <w:r>
              <w:rPr>
                <w:color w:val="231F20"/>
                <w:spacing w:val="-5"/>
                <w:sz w:val="18"/>
                <w:szCs w:val="18"/>
              </w:rPr>
              <w:t xml:space="preserve"> </w:t>
            </w:r>
            <w:r>
              <w:rPr>
                <w:color w:val="231F20"/>
                <w:sz w:val="18"/>
                <w:szCs w:val="18"/>
              </w:rPr>
              <w:t>untested</w:t>
            </w:r>
            <w:r>
              <w:rPr>
                <w:color w:val="231F20"/>
                <w:spacing w:val="-9"/>
                <w:sz w:val="18"/>
                <w:szCs w:val="18"/>
              </w:rPr>
              <w:t xml:space="preserve"> </w:t>
            </w:r>
            <w:r>
              <w:rPr>
                <w:color w:val="231F20"/>
                <w:sz w:val="18"/>
                <w:szCs w:val="18"/>
              </w:rPr>
              <w:t>and</w:t>
            </w:r>
            <w:r>
              <w:rPr>
                <w:color w:val="231F20"/>
                <w:spacing w:val="-4"/>
                <w:sz w:val="18"/>
                <w:szCs w:val="18"/>
              </w:rPr>
              <w:t xml:space="preserve"> </w:t>
            </w:r>
            <w:r>
              <w:rPr>
                <w:color w:val="231F20"/>
                <w:sz w:val="18"/>
                <w:szCs w:val="18"/>
              </w:rPr>
              <w:t>the</w:t>
            </w:r>
            <w:r>
              <w:rPr>
                <w:color w:val="231F20"/>
                <w:spacing w:val="-7"/>
                <w:sz w:val="18"/>
                <w:szCs w:val="18"/>
              </w:rPr>
              <w:t xml:space="preserve"> </w:t>
            </w:r>
            <w:r>
              <w:rPr>
                <w:color w:val="231F20"/>
                <w:sz w:val="18"/>
                <w:szCs w:val="18"/>
              </w:rPr>
              <w:t>holes</w:t>
            </w:r>
            <w:r>
              <w:rPr>
                <w:color w:val="231F20"/>
                <w:spacing w:val="-6"/>
                <w:sz w:val="18"/>
                <w:szCs w:val="18"/>
              </w:rPr>
              <w:t xml:space="preserve"> </w:t>
            </w:r>
            <w:r>
              <w:rPr>
                <w:color w:val="231F20"/>
                <w:sz w:val="18"/>
                <w:szCs w:val="18"/>
              </w:rPr>
              <w:t>have</w:t>
            </w:r>
            <w:r>
              <w:rPr>
                <w:color w:val="231F20"/>
                <w:spacing w:val="-6"/>
                <w:sz w:val="18"/>
                <w:szCs w:val="18"/>
              </w:rPr>
              <w:t xml:space="preserve"> </w:t>
            </w:r>
            <w:r>
              <w:rPr>
                <w:color w:val="231F20"/>
                <w:sz w:val="18"/>
                <w:szCs w:val="18"/>
              </w:rPr>
              <w:t>been</w:t>
            </w:r>
            <w:r>
              <w:rPr>
                <w:color w:val="231F20"/>
                <w:spacing w:val="-7"/>
                <w:sz w:val="18"/>
                <w:szCs w:val="18"/>
              </w:rPr>
              <w:t xml:space="preserve"> </w:t>
            </w:r>
            <w:r>
              <w:rPr>
                <w:color w:val="231F20"/>
                <w:sz w:val="18"/>
                <w:szCs w:val="18"/>
              </w:rPr>
              <w:t>abandoned.</w:t>
            </w:r>
            <w:r>
              <w:rPr>
                <w:color w:val="231F20"/>
                <w:spacing w:val="-4"/>
                <w:sz w:val="18"/>
                <w:szCs w:val="18"/>
              </w:rPr>
              <w:t xml:space="preserve"> </w:t>
            </w:r>
            <w:r>
              <w:rPr>
                <w:color w:val="231F20"/>
                <w:sz w:val="18"/>
                <w:szCs w:val="18"/>
              </w:rPr>
              <w:t>The</w:t>
            </w:r>
            <w:r>
              <w:rPr>
                <w:color w:val="231F20"/>
                <w:spacing w:val="-5"/>
                <w:sz w:val="18"/>
                <w:szCs w:val="18"/>
              </w:rPr>
              <w:t xml:space="preserve"> </w:t>
            </w:r>
            <w:r>
              <w:rPr>
                <w:color w:val="231F20"/>
                <w:sz w:val="18"/>
                <w:szCs w:val="18"/>
              </w:rPr>
              <w:t>hole</w:t>
            </w:r>
            <w:r>
              <w:rPr>
                <w:color w:val="231F20"/>
                <w:spacing w:val="-6"/>
                <w:sz w:val="18"/>
                <w:szCs w:val="18"/>
              </w:rPr>
              <w:t xml:space="preserve"> </w:t>
            </w:r>
            <w:r>
              <w:rPr>
                <w:color w:val="231F20"/>
                <w:sz w:val="18"/>
                <w:szCs w:val="18"/>
              </w:rPr>
              <w:t>at Copse</w:t>
            </w:r>
            <w:r>
              <w:rPr>
                <w:color w:val="231F20"/>
                <w:spacing w:val="-11"/>
                <w:sz w:val="18"/>
                <w:szCs w:val="18"/>
              </w:rPr>
              <w:t xml:space="preserve"> </w:t>
            </w:r>
            <w:r>
              <w:rPr>
                <w:color w:val="231F20"/>
                <w:sz w:val="18"/>
                <w:szCs w:val="18"/>
              </w:rPr>
              <w:t>West</w:t>
            </w:r>
            <w:r>
              <w:rPr>
                <w:color w:val="231F20"/>
                <w:spacing w:val="-7"/>
                <w:sz w:val="18"/>
                <w:szCs w:val="18"/>
              </w:rPr>
              <w:t xml:space="preserve"> </w:t>
            </w:r>
            <w:r>
              <w:rPr>
                <w:color w:val="231F20"/>
                <w:sz w:val="18"/>
                <w:szCs w:val="18"/>
              </w:rPr>
              <w:t>has</w:t>
            </w:r>
            <w:r>
              <w:rPr>
                <w:color w:val="231F20"/>
                <w:spacing w:val="-6"/>
                <w:sz w:val="18"/>
                <w:szCs w:val="18"/>
              </w:rPr>
              <w:t xml:space="preserve"> </w:t>
            </w:r>
            <w:r>
              <w:rPr>
                <w:color w:val="231F20"/>
                <w:sz w:val="18"/>
                <w:szCs w:val="18"/>
              </w:rPr>
              <w:t>not</w:t>
            </w:r>
            <w:r>
              <w:rPr>
                <w:color w:val="231F20"/>
                <w:spacing w:val="-6"/>
                <w:sz w:val="18"/>
                <w:szCs w:val="18"/>
              </w:rPr>
              <w:t xml:space="preserve"> </w:t>
            </w:r>
            <w:r>
              <w:rPr>
                <w:color w:val="231F20"/>
                <w:sz w:val="18"/>
                <w:szCs w:val="18"/>
              </w:rPr>
              <w:t>yet</w:t>
            </w:r>
            <w:r>
              <w:rPr>
                <w:color w:val="231F20"/>
                <w:spacing w:val="-6"/>
                <w:sz w:val="18"/>
                <w:szCs w:val="18"/>
              </w:rPr>
              <w:t xml:space="preserve"> </w:t>
            </w:r>
            <w:r>
              <w:rPr>
                <w:color w:val="231F20"/>
                <w:sz w:val="18"/>
                <w:szCs w:val="18"/>
              </w:rPr>
              <w:t>encountered</w:t>
            </w:r>
            <w:r>
              <w:rPr>
                <w:color w:val="231F20"/>
                <w:spacing w:val="-6"/>
                <w:sz w:val="18"/>
                <w:szCs w:val="18"/>
              </w:rPr>
              <w:t xml:space="preserve"> </w:t>
            </w:r>
            <w:r>
              <w:rPr>
                <w:color w:val="231F20"/>
                <w:sz w:val="18"/>
                <w:szCs w:val="18"/>
              </w:rPr>
              <w:t>minerals,</w:t>
            </w:r>
            <w:r>
              <w:rPr>
                <w:color w:val="231F20"/>
                <w:spacing w:val="-6"/>
                <w:sz w:val="18"/>
                <w:szCs w:val="18"/>
              </w:rPr>
              <w:t xml:space="preserve"> </w:t>
            </w:r>
            <w:r>
              <w:rPr>
                <w:color w:val="231F20"/>
                <w:sz w:val="18"/>
                <w:szCs w:val="18"/>
              </w:rPr>
              <w:t>however</w:t>
            </w:r>
            <w:r>
              <w:rPr>
                <w:color w:val="231F20"/>
                <w:spacing w:val="-4"/>
                <w:sz w:val="18"/>
                <w:szCs w:val="18"/>
              </w:rPr>
              <w:t xml:space="preserve"> </w:t>
            </w:r>
            <w:r>
              <w:rPr>
                <w:color w:val="231F20"/>
                <w:sz w:val="18"/>
                <w:szCs w:val="18"/>
              </w:rPr>
              <w:t>it</w:t>
            </w:r>
            <w:r>
              <w:rPr>
                <w:color w:val="231F20"/>
                <w:spacing w:val="-5"/>
                <w:sz w:val="18"/>
                <w:szCs w:val="18"/>
              </w:rPr>
              <w:t xml:space="preserve"> </w:t>
            </w:r>
            <w:r>
              <w:rPr>
                <w:color w:val="231F20"/>
                <w:sz w:val="18"/>
                <w:szCs w:val="18"/>
              </w:rPr>
              <w:t>is</w:t>
            </w:r>
            <w:r>
              <w:rPr>
                <w:color w:val="231F20"/>
                <w:spacing w:val="-6"/>
                <w:sz w:val="18"/>
                <w:szCs w:val="18"/>
              </w:rPr>
              <w:t xml:space="preserve"> </w:t>
            </w:r>
            <w:r>
              <w:rPr>
                <w:color w:val="231F20"/>
                <w:sz w:val="18"/>
                <w:szCs w:val="18"/>
              </w:rPr>
              <w:t>approximately</w:t>
            </w:r>
            <w:r>
              <w:rPr>
                <w:color w:val="231F20"/>
                <w:spacing w:val="-6"/>
                <w:sz w:val="18"/>
                <w:szCs w:val="18"/>
              </w:rPr>
              <w:t xml:space="preserve"> </w:t>
            </w:r>
            <w:r>
              <w:rPr>
                <w:color w:val="231F20"/>
                <w:sz w:val="18"/>
                <w:szCs w:val="18"/>
              </w:rPr>
              <w:t>1km long and two third of it is yet to be</w:t>
            </w:r>
            <w:r>
              <w:rPr>
                <w:color w:val="231F20"/>
                <w:spacing w:val="-8"/>
                <w:sz w:val="18"/>
                <w:szCs w:val="18"/>
              </w:rPr>
              <w:t xml:space="preserve"> </w:t>
            </w:r>
            <w:r>
              <w:rPr>
                <w:color w:val="231F20"/>
                <w:sz w:val="18"/>
                <w:szCs w:val="18"/>
              </w:rPr>
              <w:t>tested.</w:t>
            </w:r>
          </w:p>
        </w:tc>
      </w:tr>
      <w:tr w:rsidR="001A7287" w14:paraId="50A09FD0" w14:textId="77777777" w:rsidTr="001A7287">
        <w:trPr>
          <w:trHeight w:val="652"/>
        </w:trPr>
        <w:tc>
          <w:tcPr>
            <w:tcW w:w="1118" w:type="dxa"/>
            <w:tcBorders>
              <w:top w:val="single" w:sz="4" w:space="0" w:color="231F20"/>
              <w:left w:val="single" w:sz="4" w:space="0" w:color="231F20"/>
              <w:bottom w:val="single" w:sz="4" w:space="0" w:color="231F20"/>
              <w:right w:val="single" w:sz="4" w:space="0" w:color="231F20"/>
            </w:tcBorders>
          </w:tcPr>
          <w:p w14:paraId="0ED5A34D"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29/07/2020</w:t>
            </w:r>
          </w:p>
        </w:tc>
        <w:tc>
          <w:tcPr>
            <w:tcW w:w="7535" w:type="dxa"/>
            <w:tcBorders>
              <w:top w:val="single" w:sz="4" w:space="0" w:color="231F20"/>
              <w:left w:val="single" w:sz="4" w:space="0" w:color="231F20"/>
              <w:bottom w:val="single" w:sz="4" w:space="0" w:color="231F20"/>
              <w:right w:val="single" w:sz="4" w:space="0" w:color="231F20"/>
            </w:tcBorders>
          </w:tcPr>
          <w:p w14:paraId="095302D7" w14:textId="77777777" w:rsidR="001A7287" w:rsidRDefault="001A7287">
            <w:pPr>
              <w:pStyle w:val="TableParagraph"/>
              <w:kinsoku w:val="0"/>
              <w:overflowPunct w:val="0"/>
              <w:ind w:left="108" w:hanging="1"/>
              <w:rPr>
                <w:color w:val="231F20"/>
                <w:sz w:val="18"/>
                <w:szCs w:val="18"/>
              </w:rPr>
            </w:pPr>
            <w:r>
              <w:rPr>
                <w:color w:val="231F20"/>
                <w:sz w:val="18"/>
                <w:szCs w:val="18"/>
              </w:rPr>
              <w:t>The issuance of 12,000,000 new Ordinary Shares in the Company, which were admitted to trading on the Main Market on 31 July 2020.</w:t>
            </w:r>
          </w:p>
        </w:tc>
      </w:tr>
      <w:tr w:rsidR="001A7287" w14:paraId="040882C5" w14:textId="77777777" w:rsidTr="001A7287">
        <w:trPr>
          <w:trHeight w:val="3373"/>
        </w:trPr>
        <w:tc>
          <w:tcPr>
            <w:tcW w:w="1118" w:type="dxa"/>
            <w:tcBorders>
              <w:top w:val="single" w:sz="4" w:space="0" w:color="231F20"/>
              <w:left w:val="single" w:sz="4" w:space="0" w:color="231F20"/>
              <w:bottom w:val="single" w:sz="4" w:space="0" w:color="231F20"/>
              <w:right w:val="single" w:sz="4" w:space="0" w:color="231F20"/>
            </w:tcBorders>
          </w:tcPr>
          <w:p w14:paraId="3D1FC0C2" w14:textId="77777777" w:rsidR="001A7287" w:rsidRDefault="001A7287">
            <w:pPr>
              <w:pStyle w:val="TableParagraph"/>
              <w:kinsoku w:val="0"/>
              <w:overflowPunct w:val="0"/>
              <w:spacing w:before="1"/>
              <w:ind w:left="107"/>
              <w:rPr>
                <w:color w:val="231F20"/>
                <w:sz w:val="18"/>
                <w:szCs w:val="18"/>
              </w:rPr>
            </w:pPr>
            <w:r>
              <w:rPr>
                <w:color w:val="231F20"/>
                <w:sz w:val="18"/>
                <w:szCs w:val="18"/>
              </w:rPr>
              <w:lastRenderedPageBreak/>
              <w:t>27/07/2020</w:t>
            </w:r>
          </w:p>
        </w:tc>
        <w:tc>
          <w:tcPr>
            <w:tcW w:w="7535" w:type="dxa"/>
            <w:tcBorders>
              <w:top w:val="single" w:sz="4" w:space="0" w:color="231F20"/>
              <w:left w:val="single" w:sz="4" w:space="0" w:color="231F20"/>
              <w:bottom w:val="single" w:sz="4" w:space="0" w:color="231F20"/>
              <w:right w:val="single" w:sz="4" w:space="0" w:color="231F20"/>
            </w:tcBorders>
          </w:tcPr>
          <w:p w14:paraId="6287BFE5" w14:textId="77777777" w:rsidR="001A7287" w:rsidRDefault="001A7287" w:rsidP="00512495">
            <w:pPr>
              <w:pStyle w:val="TableParagraph"/>
              <w:numPr>
                <w:ilvl w:val="0"/>
                <w:numId w:val="7"/>
              </w:numPr>
              <w:tabs>
                <w:tab w:val="left" w:pos="469"/>
              </w:tabs>
              <w:kinsoku w:val="0"/>
              <w:overflowPunct w:val="0"/>
              <w:spacing w:before="3" w:line="237" w:lineRule="auto"/>
              <w:ind w:right="91" w:hanging="360"/>
              <w:jc w:val="both"/>
              <w:rPr>
                <w:color w:val="231F20"/>
                <w:sz w:val="18"/>
                <w:szCs w:val="18"/>
              </w:rPr>
            </w:pPr>
            <w:r>
              <w:rPr>
                <w:color w:val="231F20"/>
                <w:sz w:val="18"/>
                <w:szCs w:val="18"/>
              </w:rPr>
              <w:t>The</w:t>
            </w:r>
            <w:r>
              <w:rPr>
                <w:color w:val="231F20"/>
                <w:spacing w:val="-12"/>
                <w:sz w:val="18"/>
                <w:szCs w:val="18"/>
              </w:rPr>
              <w:t xml:space="preserve"> </w:t>
            </w:r>
            <w:r>
              <w:rPr>
                <w:color w:val="231F20"/>
                <w:sz w:val="18"/>
                <w:szCs w:val="18"/>
              </w:rPr>
              <w:t>completion</w:t>
            </w:r>
            <w:r>
              <w:rPr>
                <w:color w:val="231F20"/>
                <w:spacing w:val="-11"/>
                <w:sz w:val="18"/>
                <w:szCs w:val="18"/>
              </w:rPr>
              <w:t xml:space="preserve"> </w:t>
            </w:r>
            <w:r>
              <w:rPr>
                <w:color w:val="231F20"/>
                <w:sz w:val="18"/>
                <w:szCs w:val="18"/>
              </w:rPr>
              <w:t>by</w:t>
            </w:r>
            <w:r>
              <w:rPr>
                <w:color w:val="231F20"/>
                <w:spacing w:val="-13"/>
                <w:sz w:val="18"/>
                <w:szCs w:val="18"/>
              </w:rPr>
              <w:t xml:space="preserve"> </w:t>
            </w:r>
            <w:r>
              <w:rPr>
                <w:color w:val="231F20"/>
                <w:sz w:val="18"/>
                <w:szCs w:val="18"/>
              </w:rPr>
              <w:t>the</w:t>
            </w:r>
            <w:r>
              <w:rPr>
                <w:color w:val="231F20"/>
                <w:spacing w:val="-12"/>
                <w:sz w:val="18"/>
                <w:szCs w:val="18"/>
              </w:rPr>
              <w:t xml:space="preserve"> </w:t>
            </w:r>
            <w:r>
              <w:rPr>
                <w:color w:val="231F20"/>
                <w:sz w:val="18"/>
                <w:szCs w:val="18"/>
              </w:rPr>
              <w:t>Company</w:t>
            </w:r>
            <w:r>
              <w:rPr>
                <w:color w:val="231F20"/>
                <w:spacing w:val="-13"/>
                <w:sz w:val="18"/>
                <w:szCs w:val="18"/>
              </w:rPr>
              <w:t xml:space="preserve"> </w:t>
            </w:r>
            <w:r>
              <w:rPr>
                <w:color w:val="231F20"/>
                <w:sz w:val="18"/>
                <w:szCs w:val="18"/>
              </w:rPr>
              <w:t>of</w:t>
            </w:r>
            <w:r>
              <w:rPr>
                <w:color w:val="231F20"/>
                <w:spacing w:val="-11"/>
                <w:sz w:val="18"/>
                <w:szCs w:val="18"/>
              </w:rPr>
              <w:t xml:space="preserve"> </w:t>
            </w:r>
            <w:r>
              <w:rPr>
                <w:color w:val="231F20"/>
                <w:sz w:val="18"/>
                <w:szCs w:val="18"/>
              </w:rPr>
              <w:t>a</w:t>
            </w:r>
            <w:r>
              <w:rPr>
                <w:color w:val="231F20"/>
                <w:spacing w:val="-13"/>
                <w:sz w:val="18"/>
                <w:szCs w:val="18"/>
              </w:rPr>
              <w:t xml:space="preserve"> </w:t>
            </w:r>
            <w:r>
              <w:rPr>
                <w:color w:val="231F20"/>
                <w:sz w:val="18"/>
                <w:szCs w:val="18"/>
              </w:rPr>
              <w:t>fundraise</w:t>
            </w:r>
            <w:r>
              <w:rPr>
                <w:color w:val="231F20"/>
                <w:spacing w:val="-14"/>
                <w:sz w:val="18"/>
                <w:szCs w:val="18"/>
              </w:rPr>
              <w:t xml:space="preserve"> </w:t>
            </w:r>
            <w:r>
              <w:rPr>
                <w:color w:val="231F20"/>
                <w:sz w:val="18"/>
                <w:szCs w:val="18"/>
              </w:rPr>
              <w:t>of</w:t>
            </w:r>
            <w:r>
              <w:rPr>
                <w:color w:val="231F20"/>
                <w:spacing w:val="-14"/>
                <w:sz w:val="18"/>
                <w:szCs w:val="18"/>
              </w:rPr>
              <w:t xml:space="preserve"> </w:t>
            </w:r>
            <w:r>
              <w:rPr>
                <w:color w:val="231F20"/>
                <w:sz w:val="18"/>
                <w:szCs w:val="18"/>
              </w:rPr>
              <w:t>£630,000</w:t>
            </w:r>
            <w:r>
              <w:rPr>
                <w:color w:val="231F20"/>
                <w:spacing w:val="-13"/>
                <w:sz w:val="18"/>
                <w:szCs w:val="18"/>
              </w:rPr>
              <w:t xml:space="preserve"> </w:t>
            </w:r>
            <w:r>
              <w:rPr>
                <w:color w:val="231F20"/>
                <w:sz w:val="18"/>
                <w:szCs w:val="18"/>
              </w:rPr>
              <w:t>by</w:t>
            </w:r>
            <w:r>
              <w:rPr>
                <w:color w:val="231F20"/>
                <w:spacing w:val="-13"/>
                <w:sz w:val="18"/>
                <w:szCs w:val="18"/>
              </w:rPr>
              <w:t xml:space="preserve"> </w:t>
            </w:r>
            <w:r>
              <w:rPr>
                <w:color w:val="231F20"/>
                <w:sz w:val="18"/>
                <w:szCs w:val="18"/>
              </w:rPr>
              <w:t>way</w:t>
            </w:r>
            <w:r>
              <w:rPr>
                <w:color w:val="231F20"/>
                <w:spacing w:val="-13"/>
                <w:sz w:val="18"/>
                <w:szCs w:val="18"/>
              </w:rPr>
              <w:t xml:space="preserve"> </w:t>
            </w:r>
            <w:r>
              <w:rPr>
                <w:color w:val="231F20"/>
                <w:sz w:val="18"/>
                <w:szCs w:val="18"/>
              </w:rPr>
              <w:t>of</w:t>
            </w:r>
            <w:r>
              <w:rPr>
                <w:color w:val="231F20"/>
                <w:spacing w:val="-12"/>
                <w:sz w:val="18"/>
                <w:szCs w:val="18"/>
              </w:rPr>
              <w:t xml:space="preserve"> </w:t>
            </w:r>
            <w:r>
              <w:rPr>
                <w:color w:val="231F20"/>
                <w:sz w:val="18"/>
                <w:szCs w:val="18"/>
              </w:rPr>
              <w:t>conditional placing and subscription for 12,000,000 new Ordinary Shares at a price of 5.25 pence per</w:t>
            </w:r>
            <w:r>
              <w:rPr>
                <w:color w:val="231F20"/>
                <w:spacing w:val="-2"/>
                <w:sz w:val="18"/>
                <w:szCs w:val="18"/>
              </w:rPr>
              <w:t xml:space="preserve"> </w:t>
            </w:r>
            <w:r>
              <w:rPr>
                <w:color w:val="231F20"/>
                <w:sz w:val="18"/>
                <w:szCs w:val="18"/>
              </w:rPr>
              <w:t>share.</w:t>
            </w:r>
          </w:p>
          <w:p w14:paraId="0CD9A8EF" w14:textId="77777777" w:rsidR="001A7287" w:rsidRDefault="001A7287">
            <w:pPr>
              <w:pStyle w:val="TableParagraph"/>
              <w:kinsoku w:val="0"/>
              <w:overflowPunct w:val="0"/>
              <w:spacing w:before="3"/>
              <w:rPr>
                <w:sz w:val="18"/>
                <w:szCs w:val="18"/>
              </w:rPr>
            </w:pPr>
          </w:p>
          <w:p w14:paraId="15328C27" w14:textId="77777777" w:rsidR="001A7287" w:rsidRDefault="001A7287" w:rsidP="00512495">
            <w:pPr>
              <w:pStyle w:val="TableParagraph"/>
              <w:numPr>
                <w:ilvl w:val="0"/>
                <w:numId w:val="7"/>
              </w:numPr>
              <w:tabs>
                <w:tab w:val="left" w:pos="469"/>
              </w:tabs>
              <w:kinsoku w:val="0"/>
              <w:overflowPunct w:val="0"/>
              <w:rPr>
                <w:color w:val="231F20"/>
                <w:sz w:val="18"/>
                <w:szCs w:val="18"/>
              </w:rPr>
            </w:pPr>
            <w:r>
              <w:rPr>
                <w:color w:val="231F20"/>
                <w:sz w:val="18"/>
                <w:szCs w:val="18"/>
              </w:rPr>
              <w:t>The appointment of Fox Davies as the Company’s</w:t>
            </w:r>
            <w:r>
              <w:rPr>
                <w:color w:val="231F20"/>
                <w:spacing w:val="-9"/>
                <w:sz w:val="18"/>
                <w:szCs w:val="18"/>
              </w:rPr>
              <w:t xml:space="preserve"> </w:t>
            </w:r>
            <w:r>
              <w:rPr>
                <w:color w:val="231F20"/>
                <w:sz w:val="18"/>
                <w:szCs w:val="18"/>
              </w:rPr>
              <w:t>broker.</w:t>
            </w:r>
          </w:p>
          <w:p w14:paraId="4F3777E7" w14:textId="77777777" w:rsidR="001A7287" w:rsidRDefault="001A7287">
            <w:pPr>
              <w:pStyle w:val="TableParagraph"/>
              <w:kinsoku w:val="0"/>
              <w:overflowPunct w:val="0"/>
              <w:spacing w:before="8"/>
              <w:rPr>
                <w:sz w:val="17"/>
                <w:szCs w:val="17"/>
              </w:rPr>
            </w:pPr>
          </w:p>
          <w:p w14:paraId="1DFFBA8D" w14:textId="77777777" w:rsidR="001A7287" w:rsidRDefault="001A7287" w:rsidP="00512495">
            <w:pPr>
              <w:pStyle w:val="TableParagraph"/>
              <w:numPr>
                <w:ilvl w:val="0"/>
                <w:numId w:val="7"/>
              </w:numPr>
              <w:tabs>
                <w:tab w:val="left" w:pos="469"/>
              </w:tabs>
              <w:kinsoku w:val="0"/>
              <w:overflowPunct w:val="0"/>
              <w:spacing w:before="1"/>
              <w:ind w:right="95" w:hanging="360"/>
              <w:jc w:val="both"/>
              <w:rPr>
                <w:color w:val="231F20"/>
                <w:sz w:val="18"/>
                <w:szCs w:val="18"/>
              </w:rPr>
            </w:pPr>
            <w:r>
              <w:rPr>
                <w:color w:val="231F20"/>
                <w:sz w:val="18"/>
                <w:szCs w:val="18"/>
              </w:rPr>
              <w:t>The issuance of 1,093,333 warrants to Fox Davies, details of which are set out at paragraph 11 of Part</w:t>
            </w:r>
            <w:r>
              <w:rPr>
                <w:color w:val="231F20"/>
                <w:spacing w:val="-2"/>
                <w:sz w:val="18"/>
                <w:szCs w:val="18"/>
              </w:rPr>
              <w:t xml:space="preserve"> </w:t>
            </w:r>
            <w:r>
              <w:rPr>
                <w:color w:val="231F20"/>
                <w:sz w:val="18"/>
                <w:szCs w:val="18"/>
              </w:rPr>
              <w:t>VII.</w:t>
            </w:r>
          </w:p>
          <w:p w14:paraId="76A480B2" w14:textId="77777777" w:rsidR="001A7287" w:rsidRDefault="001A7287">
            <w:pPr>
              <w:pStyle w:val="TableParagraph"/>
              <w:kinsoku w:val="0"/>
              <w:overflowPunct w:val="0"/>
              <w:spacing w:before="10"/>
              <w:rPr>
                <w:sz w:val="17"/>
                <w:szCs w:val="17"/>
              </w:rPr>
            </w:pPr>
          </w:p>
          <w:p w14:paraId="1FEA25D3" w14:textId="6D63A2C0" w:rsidR="001A7287" w:rsidRDefault="001A7287" w:rsidP="00512495">
            <w:pPr>
              <w:pStyle w:val="TableParagraph"/>
              <w:numPr>
                <w:ilvl w:val="0"/>
                <w:numId w:val="7"/>
              </w:numPr>
              <w:tabs>
                <w:tab w:val="left" w:pos="469"/>
              </w:tabs>
              <w:kinsoku w:val="0"/>
              <w:overflowPunct w:val="0"/>
              <w:ind w:right="92" w:hanging="360"/>
              <w:jc w:val="both"/>
              <w:rPr>
                <w:color w:val="231F20"/>
                <w:sz w:val="18"/>
                <w:szCs w:val="18"/>
              </w:rPr>
            </w:pPr>
            <w:r>
              <w:rPr>
                <w:color w:val="231F20"/>
                <w:sz w:val="18"/>
                <w:szCs w:val="18"/>
              </w:rPr>
              <w:t>The</w:t>
            </w:r>
            <w:r>
              <w:rPr>
                <w:color w:val="231F20"/>
                <w:spacing w:val="-5"/>
                <w:sz w:val="18"/>
                <w:szCs w:val="18"/>
              </w:rPr>
              <w:t xml:space="preserve"> </w:t>
            </w:r>
            <w:r>
              <w:rPr>
                <w:color w:val="231F20"/>
                <w:sz w:val="18"/>
                <w:szCs w:val="18"/>
              </w:rPr>
              <w:t>issuance</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Options</w:t>
            </w:r>
            <w:r>
              <w:rPr>
                <w:color w:val="231F20"/>
                <w:spacing w:val="-9"/>
                <w:sz w:val="18"/>
                <w:szCs w:val="18"/>
              </w:rPr>
              <w:t xml:space="preserve"> </w:t>
            </w:r>
            <w:r>
              <w:rPr>
                <w:color w:val="231F20"/>
                <w:sz w:val="18"/>
                <w:szCs w:val="18"/>
              </w:rPr>
              <w:t>over</w:t>
            </w:r>
            <w:r>
              <w:rPr>
                <w:color w:val="231F20"/>
                <w:spacing w:val="-4"/>
                <w:sz w:val="18"/>
                <w:szCs w:val="18"/>
              </w:rPr>
              <w:t xml:space="preserve"> </w:t>
            </w:r>
            <w:r>
              <w:rPr>
                <w:color w:val="231F20"/>
                <w:sz w:val="18"/>
                <w:szCs w:val="18"/>
              </w:rPr>
              <w:t>1,935,000</w:t>
            </w:r>
            <w:r>
              <w:rPr>
                <w:color w:val="231F20"/>
                <w:spacing w:val="-5"/>
                <w:sz w:val="18"/>
                <w:szCs w:val="18"/>
              </w:rPr>
              <w:t xml:space="preserve"> </w:t>
            </w:r>
            <w:r>
              <w:rPr>
                <w:color w:val="231F20"/>
                <w:sz w:val="18"/>
                <w:szCs w:val="18"/>
              </w:rPr>
              <w:t>Ordinary</w:t>
            </w:r>
            <w:r>
              <w:rPr>
                <w:color w:val="231F20"/>
                <w:spacing w:val="-7"/>
                <w:sz w:val="18"/>
                <w:szCs w:val="18"/>
              </w:rPr>
              <w:t xml:space="preserve"> </w:t>
            </w:r>
            <w:r>
              <w:rPr>
                <w:color w:val="231F20"/>
                <w:sz w:val="18"/>
                <w:szCs w:val="18"/>
              </w:rPr>
              <w:t>Shares,</w:t>
            </w:r>
            <w:r>
              <w:rPr>
                <w:color w:val="231F20"/>
                <w:spacing w:val="-5"/>
                <w:sz w:val="18"/>
                <w:szCs w:val="18"/>
              </w:rPr>
              <w:t xml:space="preserve"> </w:t>
            </w:r>
            <w:r>
              <w:rPr>
                <w:color w:val="231F20"/>
                <w:sz w:val="18"/>
                <w:szCs w:val="18"/>
              </w:rPr>
              <w:t>details</w:t>
            </w:r>
            <w:r>
              <w:rPr>
                <w:color w:val="231F20"/>
                <w:spacing w:val="-4"/>
                <w:sz w:val="18"/>
                <w:szCs w:val="18"/>
              </w:rPr>
              <w:t xml:space="preserve"> </w:t>
            </w:r>
            <w:r>
              <w:rPr>
                <w:color w:val="231F20"/>
                <w:sz w:val="18"/>
                <w:szCs w:val="18"/>
              </w:rPr>
              <w:t>of</w:t>
            </w:r>
            <w:r>
              <w:rPr>
                <w:color w:val="231F20"/>
                <w:spacing w:val="-5"/>
                <w:sz w:val="18"/>
                <w:szCs w:val="18"/>
              </w:rPr>
              <w:t xml:space="preserve"> </w:t>
            </w:r>
            <w:r>
              <w:rPr>
                <w:color w:val="231F20"/>
                <w:sz w:val="18"/>
                <w:szCs w:val="18"/>
              </w:rPr>
              <w:t>which are set out in paragraph 10 of Part</w:t>
            </w:r>
            <w:r>
              <w:rPr>
                <w:color w:val="231F20"/>
                <w:spacing w:val="-6"/>
                <w:sz w:val="18"/>
                <w:szCs w:val="18"/>
              </w:rPr>
              <w:t xml:space="preserve"> </w:t>
            </w:r>
            <w:r>
              <w:rPr>
                <w:color w:val="231F20"/>
                <w:sz w:val="18"/>
                <w:szCs w:val="18"/>
              </w:rPr>
              <w:t>VII.</w:t>
            </w:r>
          </w:p>
          <w:p w14:paraId="74B9DE8D" w14:textId="77777777" w:rsidR="001A7287" w:rsidRDefault="001A7287">
            <w:pPr>
              <w:pStyle w:val="TableParagraph"/>
              <w:kinsoku w:val="0"/>
              <w:overflowPunct w:val="0"/>
              <w:spacing w:before="10"/>
              <w:rPr>
                <w:sz w:val="17"/>
                <w:szCs w:val="17"/>
              </w:rPr>
            </w:pPr>
          </w:p>
          <w:p w14:paraId="199BAB54" w14:textId="4F82AA1A" w:rsidR="001A7287" w:rsidRDefault="001A7287" w:rsidP="00512495">
            <w:pPr>
              <w:pStyle w:val="TableParagraph"/>
              <w:numPr>
                <w:ilvl w:val="0"/>
                <w:numId w:val="7"/>
              </w:numPr>
              <w:tabs>
                <w:tab w:val="left" w:pos="469"/>
              </w:tabs>
              <w:kinsoku w:val="0"/>
              <w:overflowPunct w:val="0"/>
              <w:spacing w:before="1"/>
              <w:ind w:right="91" w:hanging="360"/>
              <w:jc w:val="both"/>
              <w:rPr>
                <w:color w:val="231F20"/>
                <w:sz w:val="18"/>
                <w:szCs w:val="18"/>
              </w:rPr>
            </w:pPr>
            <w:r>
              <w:rPr>
                <w:color w:val="231F20"/>
                <w:sz w:val="18"/>
                <w:szCs w:val="18"/>
              </w:rPr>
              <w:t>The repricing of 2,565,000 Options previously granted to the Directors, to have an exercise price of 5.25 pence details of which are set out at paragraph 10 of Part VII.</w:t>
            </w:r>
          </w:p>
        </w:tc>
      </w:tr>
      <w:tr w:rsidR="001A7287" w14:paraId="3DCBDE2F" w14:textId="77777777" w:rsidTr="001A7287">
        <w:trPr>
          <w:trHeight w:val="2267"/>
        </w:trPr>
        <w:tc>
          <w:tcPr>
            <w:tcW w:w="1118" w:type="dxa"/>
            <w:tcBorders>
              <w:top w:val="single" w:sz="4" w:space="0" w:color="231F20"/>
              <w:left w:val="single" w:sz="4" w:space="0" w:color="231F20"/>
              <w:bottom w:val="single" w:sz="4" w:space="0" w:color="231F20"/>
              <w:right w:val="single" w:sz="4" w:space="0" w:color="231F20"/>
            </w:tcBorders>
          </w:tcPr>
          <w:p w14:paraId="558D7D75"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16/07/2020</w:t>
            </w:r>
          </w:p>
        </w:tc>
        <w:tc>
          <w:tcPr>
            <w:tcW w:w="7535" w:type="dxa"/>
            <w:tcBorders>
              <w:top w:val="single" w:sz="4" w:space="0" w:color="231F20"/>
              <w:left w:val="single" w:sz="4" w:space="0" w:color="231F20"/>
              <w:bottom w:val="single" w:sz="4" w:space="0" w:color="231F20"/>
              <w:right w:val="single" w:sz="4" w:space="0" w:color="231F20"/>
            </w:tcBorders>
          </w:tcPr>
          <w:p w14:paraId="5C437E50" w14:textId="28619FED" w:rsidR="001A7287" w:rsidRDefault="001A7287" w:rsidP="00512495">
            <w:pPr>
              <w:pStyle w:val="TableParagraph"/>
              <w:numPr>
                <w:ilvl w:val="0"/>
                <w:numId w:val="6"/>
              </w:numPr>
              <w:tabs>
                <w:tab w:val="left" w:pos="469"/>
              </w:tabs>
              <w:kinsoku w:val="0"/>
              <w:overflowPunct w:val="0"/>
              <w:ind w:right="92" w:hanging="360"/>
              <w:jc w:val="both"/>
              <w:rPr>
                <w:color w:val="231F20"/>
                <w:sz w:val="18"/>
                <w:szCs w:val="18"/>
              </w:rPr>
            </w:pPr>
            <w:r>
              <w:rPr>
                <w:color w:val="231F20"/>
                <w:sz w:val="18"/>
                <w:szCs w:val="18"/>
              </w:rPr>
              <w:t xml:space="preserve">The Company’s Percussion Drilling would recommence after technical review with several new target areas being made ready for drilling and that planning is underway for at least 2,000 metres of Diamond Drilling at </w:t>
            </w:r>
            <w:proofErr w:type="spellStart"/>
            <w:r>
              <w:rPr>
                <w:color w:val="231F20"/>
                <w:sz w:val="18"/>
                <w:szCs w:val="18"/>
              </w:rPr>
              <w:t>Evlim</w:t>
            </w:r>
            <w:proofErr w:type="spellEnd"/>
            <w:r>
              <w:rPr>
                <w:color w:val="231F20"/>
                <w:sz w:val="18"/>
                <w:szCs w:val="18"/>
              </w:rPr>
              <w:t xml:space="preserve"> and additional targets. The Company had halted drilling as it had encountered intersections of sulphide mineralisation.</w:t>
            </w:r>
          </w:p>
          <w:p w14:paraId="24519F00" w14:textId="77777777" w:rsidR="001A7287" w:rsidRDefault="001A7287">
            <w:pPr>
              <w:pStyle w:val="TableParagraph"/>
              <w:kinsoku w:val="0"/>
              <w:overflowPunct w:val="0"/>
              <w:spacing w:before="7"/>
              <w:rPr>
                <w:sz w:val="17"/>
                <w:szCs w:val="17"/>
              </w:rPr>
            </w:pPr>
          </w:p>
          <w:p w14:paraId="6A4D97F7" w14:textId="18114318" w:rsidR="001A7287" w:rsidRDefault="001A7287" w:rsidP="00512495">
            <w:pPr>
              <w:pStyle w:val="TableParagraph"/>
              <w:numPr>
                <w:ilvl w:val="0"/>
                <w:numId w:val="6"/>
              </w:numPr>
              <w:tabs>
                <w:tab w:val="left" w:pos="469"/>
              </w:tabs>
              <w:kinsoku w:val="0"/>
              <w:overflowPunct w:val="0"/>
              <w:ind w:right="93" w:hanging="360"/>
              <w:jc w:val="both"/>
              <w:rPr>
                <w:color w:val="231F20"/>
                <w:sz w:val="18"/>
                <w:szCs w:val="18"/>
              </w:rPr>
            </w:pPr>
            <w:r>
              <w:rPr>
                <w:color w:val="231F20"/>
                <w:sz w:val="18"/>
                <w:szCs w:val="18"/>
              </w:rPr>
              <w:t>New</w:t>
            </w:r>
            <w:r>
              <w:rPr>
                <w:color w:val="231F20"/>
                <w:spacing w:val="-13"/>
                <w:sz w:val="18"/>
                <w:szCs w:val="18"/>
              </w:rPr>
              <w:t xml:space="preserve"> </w:t>
            </w:r>
            <w:r>
              <w:rPr>
                <w:color w:val="231F20"/>
                <w:sz w:val="18"/>
                <w:szCs w:val="18"/>
              </w:rPr>
              <w:t>areas</w:t>
            </w:r>
            <w:r>
              <w:rPr>
                <w:color w:val="231F20"/>
                <w:spacing w:val="-8"/>
                <w:sz w:val="18"/>
                <w:szCs w:val="18"/>
              </w:rPr>
              <w:t xml:space="preserve"> </w:t>
            </w:r>
            <w:r>
              <w:rPr>
                <w:color w:val="231F20"/>
                <w:sz w:val="18"/>
                <w:szCs w:val="18"/>
              </w:rPr>
              <w:t>are</w:t>
            </w:r>
            <w:r>
              <w:rPr>
                <w:color w:val="231F20"/>
                <w:spacing w:val="-9"/>
                <w:sz w:val="18"/>
                <w:szCs w:val="18"/>
              </w:rPr>
              <w:t xml:space="preserve"> </w:t>
            </w:r>
            <w:r>
              <w:rPr>
                <w:color w:val="231F20"/>
                <w:sz w:val="18"/>
                <w:szCs w:val="18"/>
              </w:rPr>
              <w:t>being</w:t>
            </w:r>
            <w:r>
              <w:rPr>
                <w:color w:val="231F20"/>
                <w:spacing w:val="-12"/>
                <w:sz w:val="18"/>
                <w:szCs w:val="18"/>
              </w:rPr>
              <w:t xml:space="preserve"> </w:t>
            </w:r>
            <w:r>
              <w:rPr>
                <w:color w:val="231F20"/>
                <w:sz w:val="18"/>
                <w:szCs w:val="18"/>
              </w:rPr>
              <w:t>prepared</w:t>
            </w:r>
            <w:r>
              <w:rPr>
                <w:color w:val="231F20"/>
                <w:spacing w:val="-11"/>
                <w:sz w:val="18"/>
                <w:szCs w:val="18"/>
              </w:rPr>
              <w:t xml:space="preserve"> </w:t>
            </w:r>
            <w:r>
              <w:rPr>
                <w:color w:val="231F20"/>
                <w:sz w:val="18"/>
                <w:szCs w:val="18"/>
              </w:rPr>
              <w:t>for</w:t>
            </w:r>
            <w:r>
              <w:rPr>
                <w:color w:val="231F20"/>
                <w:spacing w:val="-9"/>
                <w:sz w:val="18"/>
                <w:szCs w:val="18"/>
              </w:rPr>
              <w:t xml:space="preserve"> </w:t>
            </w:r>
            <w:r>
              <w:rPr>
                <w:color w:val="231F20"/>
                <w:sz w:val="18"/>
                <w:szCs w:val="18"/>
              </w:rPr>
              <w:t>Percussion</w:t>
            </w:r>
            <w:r>
              <w:rPr>
                <w:color w:val="231F20"/>
                <w:spacing w:val="-9"/>
                <w:sz w:val="18"/>
                <w:szCs w:val="18"/>
              </w:rPr>
              <w:t xml:space="preserve"> </w:t>
            </w:r>
            <w:r>
              <w:rPr>
                <w:color w:val="231F20"/>
                <w:sz w:val="18"/>
                <w:szCs w:val="18"/>
              </w:rPr>
              <w:t>Drilling</w:t>
            </w:r>
            <w:r>
              <w:rPr>
                <w:color w:val="231F20"/>
                <w:spacing w:val="-10"/>
                <w:sz w:val="18"/>
                <w:szCs w:val="18"/>
              </w:rPr>
              <w:t xml:space="preserve"> </w:t>
            </w:r>
            <w:r>
              <w:rPr>
                <w:color w:val="231F20"/>
                <w:sz w:val="18"/>
                <w:szCs w:val="18"/>
              </w:rPr>
              <w:t>including</w:t>
            </w:r>
            <w:r>
              <w:rPr>
                <w:color w:val="231F20"/>
                <w:spacing w:val="-9"/>
                <w:sz w:val="18"/>
                <w:szCs w:val="18"/>
              </w:rPr>
              <w:t xml:space="preserve"> </w:t>
            </w:r>
            <w:r>
              <w:rPr>
                <w:color w:val="231F20"/>
                <w:sz w:val="18"/>
                <w:szCs w:val="18"/>
              </w:rPr>
              <w:t>targets</w:t>
            </w:r>
            <w:r>
              <w:rPr>
                <w:color w:val="231F20"/>
                <w:spacing w:val="-8"/>
                <w:sz w:val="18"/>
                <w:szCs w:val="18"/>
              </w:rPr>
              <w:t xml:space="preserve"> </w:t>
            </w:r>
            <w:r>
              <w:rPr>
                <w:color w:val="231F20"/>
                <w:sz w:val="18"/>
                <w:szCs w:val="18"/>
              </w:rPr>
              <w:t>at</w:t>
            </w:r>
            <w:r>
              <w:rPr>
                <w:color w:val="231F20"/>
                <w:spacing w:val="-10"/>
                <w:sz w:val="18"/>
                <w:szCs w:val="18"/>
              </w:rPr>
              <w:t xml:space="preserve"> </w:t>
            </w:r>
            <w:proofErr w:type="spellStart"/>
            <w:r>
              <w:rPr>
                <w:color w:val="231F20"/>
                <w:sz w:val="18"/>
                <w:szCs w:val="18"/>
              </w:rPr>
              <w:t>Zakhira</w:t>
            </w:r>
            <w:proofErr w:type="spellEnd"/>
            <w:r>
              <w:rPr>
                <w:color w:val="231F20"/>
                <w:sz w:val="18"/>
                <w:szCs w:val="18"/>
              </w:rPr>
              <w:t xml:space="preserve"> and others in the vicinity of </w:t>
            </w:r>
            <w:proofErr w:type="spellStart"/>
            <w:r>
              <w:rPr>
                <w:color w:val="231F20"/>
                <w:sz w:val="18"/>
                <w:szCs w:val="18"/>
              </w:rPr>
              <w:t>Kinousa</w:t>
            </w:r>
            <w:proofErr w:type="spellEnd"/>
            <w:r>
              <w:rPr>
                <w:color w:val="231F20"/>
                <w:sz w:val="18"/>
                <w:szCs w:val="18"/>
              </w:rPr>
              <w:t xml:space="preserve"> and further holes are being appraised at targets</w:t>
            </w:r>
            <w:r>
              <w:rPr>
                <w:color w:val="231F20"/>
                <w:spacing w:val="-14"/>
                <w:sz w:val="18"/>
                <w:szCs w:val="18"/>
              </w:rPr>
              <w:t xml:space="preserve"> </w:t>
            </w:r>
            <w:r>
              <w:rPr>
                <w:color w:val="231F20"/>
                <w:sz w:val="18"/>
                <w:szCs w:val="18"/>
              </w:rPr>
              <w:t>Embayment,</w:t>
            </w:r>
            <w:r>
              <w:rPr>
                <w:color w:val="231F20"/>
                <w:spacing w:val="-15"/>
                <w:sz w:val="18"/>
                <w:szCs w:val="18"/>
              </w:rPr>
              <w:t xml:space="preserve"> </w:t>
            </w:r>
            <w:proofErr w:type="spellStart"/>
            <w:r>
              <w:rPr>
                <w:color w:val="231F20"/>
                <w:sz w:val="18"/>
                <w:szCs w:val="18"/>
              </w:rPr>
              <w:t>Pournaji</w:t>
            </w:r>
            <w:proofErr w:type="spellEnd"/>
            <w:r>
              <w:rPr>
                <w:color w:val="231F20"/>
                <w:spacing w:val="-16"/>
                <w:sz w:val="18"/>
                <w:szCs w:val="18"/>
              </w:rPr>
              <w:t xml:space="preserve"> </w:t>
            </w:r>
            <w:r>
              <w:rPr>
                <w:color w:val="231F20"/>
                <w:sz w:val="18"/>
                <w:szCs w:val="18"/>
              </w:rPr>
              <w:t>and</w:t>
            </w:r>
            <w:r>
              <w:rPr>
                <w:color w:val="231F20"/>
                <w:spacing w:val="-14"/>
                <w:sz w:val="18"/>
                <w:szCs w:val="18"/>
              </w:rPr>
              <w:t xml:space="preserve"> </w:t>
            </w:r>
            <w:r>
              <w:rPr>
                <w:color w:val="231F20"/>
                <w:sz w:val="18"/>
                <w:szCs w:val="18"/>
              </w:rPr>
              <w:t>the</w:t>
            </w:r>
            <w:r>
              <w:rPr>
                <w:color w:val="231F20"/>
                <w:spacing w:val="-14"/>
                <w:sz w:val="18"/>
                <w:szCs w:val="18"/>
              </w:rPr>
              <w:t xml:space="preserve"> </w:t>
            </w:r>
            <w:r>
              <w:rPr>
                <w:color w:val="231F20"/>
                <w:sz w:val="18"/>
                <w:szCs w:val="18"/>
              </w:rPr>
              <w:t>Hillside</w:t>
            </w:r>
            <w:r>
              <w:rPr>
                <w:color w:val="231F20"/>
                <w:spacing w:val="-16"/>
                <w:sz w:val="18"/>
                <w:szCs w:val="18"/>
              </w:rPr>
              <w:t xml:space="preserve"> </w:t>
            </w:r>
            <w:r>
              <w:rPr>
                <w:color w:val="231F20"/>
                <w:sz w:val="18"/>
                <w:szCs w:val="18"/>
              </w:rPr>
              <w:t>complex.</w:t>
            </w:r>
            <w:r>
              <w:rPr>
                <w:color w:val="231F20"/>
                <w:spacing w:val="-12"/>
                <w:sz w:val="18"/>
                <w:szCs w:val="18"/>
              </w:rPr>
              <w:t xml:space="preserve"> </w:t>
            </w:r>
            <w:r>
              <w:rPr>
                <w:color w:val="231F20"/>
                <w:sz w:val="18"/>
                <w:szCs w:val="18"/>
              </w:rPr>
              <w:t>The</w:t>
            </w:r>
            <w:r>
              <w:rPr>
                <w:color w:val="231F20"/>
                <w:spacing w:val="-14"/>
                <w:sz w:val="18"/>
                <w:szCs w:val="18"/>
              </w:rPr>
              <w:t xml:space="preserve"> </w:t>
            </w:r>
            <w:r>
              <w:rPr>
                <w:color w:val="231F20"/>
                <w:sz w:val="18"/>
                <w:szCs w:val="18"/>
              </w:rPr>
              <w:t>Company</w:t>
            </w:r>
            <w:r>
              <w:rPr>
                <w:color w:val="231F20"/>
                <w:spacing w:val="-16"/>
                <w:sz w:val="18"/>
                <w:szCs w:val="18"/>
              </w:rPr>
              <w:t xml:space="preserve"> </w:t>
            </w:r>
            <w:r>
              <w:rPr>
                <w:color w:val="231F20"/>
                <w:sz w:val="18"/>
                <w:szCs w:val="18"/>
              </w:rPr>
              <w:t>states</w:t>
            </w:r>
            <w:r>
              <w:rPr>
                <w:color w:val="231F20"/>
                <w:spacing w:val="-13"/>
                <w:sz w:val="18"/>
                <w:szCs w:val="18"/>
              </w:rPr>
              <w:t xml:space="preserve"> </w:t>
            </w:r>
            <w:r>
              <w:rPr>
                <w:color w:val="231F20"/>
                <w:sz w:val="18"/>
                <w:szCs w:val="18"/>
              </w:rPr>
              <w:t>that it believes that there is strong evidence of VMS Deposits and that the next step is to test with 1,000 metres of Diamond</w:t>
            </w:r>
            <w:r>
              <w:rPr>
                <w:color w:val="231F20"/>
                <w:spacing w:val="-9"/>
                <w:sz w:val="18"/>
                <w:szCs w:val="18"/>
              </w:rPr>
              <w:t xml:space="preserve"> </w:t>
            </w:r>
            <w:r>
              <w:rPr>
                <w:color w:val="231F20"/>
                <w:sz w:val="18"/>
                <w:szCs w:val="18"/>
              </w:rPr>
              <w:t>Drilling.</w:t>
            </w:r>
          </w:p>
        </w:tc>
      </w:tr>
      <w:tr w:rsidR="001A7287" w14:paraId="158F0F22" w14:textId="77777777" w:rsidTr="001A7287">
        <w:trPr>
          <w:trHeight w:val="654"/>
        </w:trPr>
        <w:tc>
          <w:tcPr>
            <w:tcW w:w="1118" w:type="dxa"/>
            <w:tcBorders>
              <w:top w:val="single" w:sz="4" w:space="0" w:color="231F20"/>
              <w:left w:val="single" w:sz="4" w:space="0" w:color="231F20"/>
              <w:bottom w:val="single" w:sz="4" w:space="0" w:color="231F20"/>
              <w:right w:val="single" w:sz="4" w:space="0" w:color="231F20"/>
            </w:tcBorders>
          </w:tcPr>
          <w:p w14:paraId="511789CA" w14:textId="77777777" w:rsidR="001A7287" w:rsidRDefault="001A7287">
            <w:pPr>
              <w:pStyle w:val="TableParagraph"/>
              <w:kinsoku w:val="0"/>
              <w:overflowPunct w:val="0"/>
              <w:spacing w:line="206" w:lineRule="exact"/>
              <w:ind w:left="107"/>
              <w:rPr>
                <w:color w:val="231F20"/>
                <w:sz w:val="18"/>
                <w:szCs w:val="18"/>
              </w:rPr>
            </w:pPr>
            <w:r>
              <w:rPr>
                <w:color w:val="231F20"/>
                <w:sz w:val="18"/>
                <w:szCs w:val="18"/>
              </w:rPr>
              <w:t>10/07/2020</w:t>
            </w:r>
          </w:p>
        </w:tc>
        <w:tc>
          <w:tcPr>
            <w:tcW w:w="7535" w:type="dxa"/>
            <w:tcBorders>
              <w:top w:val="single" w:sz="4" w:space="0" w:color="231F20"/>
              <w:left w:val="single" w:sz="4" w:space="0" w:color="231F20"/>
              <w:bottom w:val="single" w:sz="4" w:space="0" w:color="231F20"/>
              <w:right w:val="single" w:sz="4" w:space="0" w:color="231F20"/>
            </w:tcBorders>
          </w:tcPr>
          <w:p w14:paraId="23552C3E" w14:textId="77777777" w:rsidR="001A7287" w:rsidRDefault="001A7287">
            <w:pPr>
              <w:pStyle w:val="TableParagraph"/>
              <w:kinsoku w:val="0"/>
              <w:overflowPunct w:val="0"/>
              <w:ind w:left="108" w:hanging="1"/>
              <w:rPr>
                <w:color w:val="231F20"/>
                <w:sz w:val="18"/>
                <w:szCs w:val="18"/>
              </w:rPr>
            </w:pPr>
            <w:r>
              <w:rPr>
                <w:color w:val="231F20"/>
                <w:sz w:val="18"/>
                <w:szCs w:val="18"/>
              </w:rPr>
              <w:t xml:space="preserve">The Company has encountered significant intersections of sulphide mineralisation at its </w:t>
            </w:r>
            <w:proofErr w:type="spellStart"/>
            <w:r>
              <w:rPr>
                <w:color w:val="231F20"/>
                <w:sz w:val="18"/>
                <w:szCs w:val="18"/>
              </w:rPr>
              <w:t>Evlim</w:t>
            </w:r>
            <w:proofErr w:type="spellEnd"/>
            <w:r>
              <w:rPr>
                <w:color w:val="231F20"/>
                <w:sz w:val="18"/>
                <w:szCs w:val="18"/>
              </w:rPr>
              <w:t xml:space="preserve"> target during step-out drilling.</w:t>
            </w:r>
          </w:p>
        </w:tc>
      </w:tr>
    </w:tbl>
    <w:p w14:paraId="7DF7B309" w14:textId="77777777" w:rsidR="00783288" w:rsidRDefault="00783288">
      <w:pPr>
        <w:pStyle w:val="BodyText"/>
        <w:kinsoku w:val="0"/>
        <w:overflowPunct w:val="0"/>
        <w:spacing w:before="1"/>
        <w:rPr>
          <w:sz w:val="12"/>
          <w:szCs w:val="12"/>
        </w:rPr>
      </w:pPr>
    </w:p>
    <w:p w14:paraId="229C674B" w14:textId="77777777" w:rsidR="00783288" w:rsidRDefault="00E31420" w:rsidP="00512495">
      <w:pPr>
        <w:pStyle w:val="Heading1"/>
        <w:keepNext/>
        <w:keepLines/>
        <w:numPr>
          <w:ilvl w:val="0"/>
          <w:numId w:val="13"/>
        </w:numPr>
        <w:tabs>
          <w:tab w:val="left" w:pos="840"/>
        </w:tabs>
        <w:kinsoku w:val="0"/>
        <w:overflowPunct w:val="0"/>
        <w:spacing w:before="94"/>
        <w:ind w:left="839"/>
        <w:rPr>
          <w:color w:val="231F20"/>
        </w:rPr>
      </w:pPr>
      <w:r>
        <w:rPr>
          <w:color w:val="231F20"/>
        </w:rPr>
        <w:t>Material Contracts</w:t>
      </w:r>
    </w:p>
    <w:p w14:paraId="65336802" w14:textId="77777777" w:rsidR="00783288" w:rsidRDefault="00783288" w:rsidP="001A7287">
      <w:pPr>
        <w:pStyle w:val="BodyText"/>
        <w:keepNext/>
        <w:keepLines/>
        <w:kinsoku w:val="0"/>
        <w:overflowPunct w:val="0"/>
        <w:spacing w:before="3"/>
        <w:rPr>
          <w:b/>
          <w:bCs/>
          <w:sz w:val="21"/>
          <w:szCs w:val="21"/>
        </w:rPr>
      </w:pPr>
    </w:p>
    <w:p w14:paraId="002A04AC" w14:textId="7169B4F0" w:rsidR="00783288" w:rsidRDefault="00E31420" w:rsidP="001A7287">
      <w:pPr>
        <w:pStyle w:val="BodyText"/>
        <w:keepNext/>
        <w:keepLines/>
        <w:kinsoku w:val="0"/>
        <w:overflowPunct w:val="0"/>
        <w:ind w:left="827" w:right="1038"/>
        <w:jc w:val="both"/>
        <w:rPr>
          <w:color w:val="231F20"/>
        </w:rPr>
      </w:pPr>
      <w:r>
        <w:rPr>
          <w:color w:val="231F20"/>
        </w:rPr>
        <w:t>The</w:t>
      </w:r>
      <w:r>
        <w:rPr>
          <w:color w:val="231F20"/>
          <w:spacing w:val="-10"/>
        </w:rPr>
        <w:t xml:space="preserve"> </w:t>
      </w:r>
      <w:r>
        <w:rPr>
          <w:color w:val="231F20"/>
        </w:rPr>
        <w:t>following</w:t>
      </w:r>
      <w:r>
        <w:rPr>
          <w:color w:val="231F20"/>
          <w:spacing w:val="-11"/>
        </w:rPr>
        <w:t xml:space="preserve"> </w:t>
      </w:r>
      <w:r>
        <w:rPr>
          <w:color w:val="231F20"/>
        </w:rPr>
        <w:t>are</w:t>
      </w:r>
      <w:r>
        <w:rPr>
          <w:color w:val="231F20"/>
          <w:spacing w:val="-10"/>
        </w:rPr>
        <w:t xml:space="preserve"> </w:t>
      </w:r>
      <w:r>
        <w:rPr>
          <w:color w:val="231F20"/>
        </w:rPr>
        <w:t>the</w:t>
      </w:r>
      <w:r>
        <w:rPr>
          <w:color w:val="231F20"/>
          <w:spacing w:val="-9"/>
        </w:rPr>
        <w:t xml:space="preserve"> </w:t>
      </w:r>
      <w:r>
        <w:rPr>
          <w:color w:val="231F20"/>
        </w:rPr>
        <w:t>only</w:t>
      </w:r>
      <w:r>
        <w:rPr>
          <w:color w:val="231F20"/>
          <w:spacing w:val="-11"/>
        </w:rPr>
        <w:t xml:space="preserve"> </w:t>
      </w:r>
      <w:r>
        <w:rPr>
          <w:color w:val="231F20"/>
        </w:rPr>
        <w:t>contracts</w:t>
      </w:r>
      <w:r>
        <w:rPr>
          <w:color w:val="231F20"/>
          <w:spacing w:val="-10"/>
        </w:rPr>
        <w:t xml:space="preserve"> </w:t>
      </w:r>
      <w:r>
        <w:rPr>
          <w:color w:val="231F20"/>
        </w:rPr>
        <w:t>(not</w:t>
      </w:r>
      <w:r>
        <w:rPr>
          <w:color w:val="231F20"/>
          <w:spacing w:val="-12"/>
        </w:rPr>
        <w:t xml:space="preserve"> </w:t>
      </w:r>
      <w:r>
        <w:rPr>
          <w:color w:val="231F20"/>
        </w:rPr>
        <w:t>being</w:t>
      </w:r>
      <w:r>
        <w:rPr>
          <w:color w:val="231F20"/>
          <w:spacing w:val="-11"/>
        </w:rPr>
        <w:t xml:space="preserve"> </w:t>
      </w:r>
      <w:r>
        <w:rPr>
          <w:color w:val="231F20"/>
        </w:rPr>
        <w:t>contracts</w:t>
      </w:r>
      <w:r>
        <w:rPr>
          <w:color w:val="231F20"/>
          <w:spacing w:val="-9"/>
        </w:rPr>
        <w:t xml:space="preserve"> </w:t>
      </w:r>
      <w:r>
        <w:rPr>
          <w:color w:val="231F20"/>
        </w:rPr>
        <w:t>entered</w:t>
      </w:r>
      <w:r>
        <w:rPr>
          <w:color w:val="231F20"/>
          <w:spacing w:val="-9"/>
        </w:rPr>
        <w:t xml:space="preserve"> </w:t>
      </w:r>
      <w:r>
        <w:rPr>
          <w:color w:val="231F20"/>
        </w:rPr>
        <w:t>into</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ordinary</w:t>
      </w:r>
      <w:r>
        <w:rPr>
          <w:color w:val="231F20"/>
          <w:spacing w:val="-10"/>
        </w:rPr>
        <w:t xml:space="preserve"> </w:t>
      </w:r>
      <w:r>
        <w:rPr>
          <w:color w:val="231F20"/>
        </w:rPr>
        <w:t>course</w:t>
      </w:r>
      <w:r>
        <w:rPr>
          <w:color w:val="231F20"/>
          <w:spacing w:val="-10"/>
        </w:rPr>
        <w:t xml:space="preserve"> </w:t>
      </w:r>
      <w:r>
        <w:rPr>
          <w:color w:val="231F20"/>
        </w:rPr>
        <w:t>of</w:t>
      </w:r>
      <w:r>
        <w:rPr>
          <w:color w:val="231F20"/>
          <w:spacing w:val="-9"/>
        </w:rPr>
        <w:t xml:space="preserve"> </w:t>
      </w:r>
      <w:r>
        <w:rPr>
          <w:color w:val="231F20"/>
        </w:rPr>
        <w:t>business)</w:t>
      </w:r>
      <w:r>
        <w:rPr>
          <w:color w:val="231F20"/>
          <w:spacing w:val="-10"/>
        </w:rPr>
        <w:t xml:space="preserve"> </w:t>
      </w:r>
      <w:r>
        <w:rPr>
          <w:color w:val="231F20"/>
        </w:rPr>
        <w:t>which have been entered into by the Company in the two years immediately preceding publication of the Document and which are or may be material to the Company or which contain any provision under which the Company has any obligation or entitlement which is or may be material to the</w:t>
      </w:r>
      <w:r>
        <w:rPr>
          <w:color w:val="231F20"/>
          <w:spacing w:val="-10"/>
        </w:rPr>
        <w:t xml:space="preserve"> </w:t>
      </w:r>
      <w:r>
        <w:rPr>
          <w:color w:val="231F20"/>
        </w:rPr>
        <w:t>Company.</w:t>
      </w:r>
    </w:p>
    <w:p w14:paraId="7F4F52EB" w14:textId="77777777" w:rsidR="002B6780" w:rsidRDefault="002B6780" w:rsidP="001A7287">
      <w:pPr>
        <w:pStyle w:val="BodyText"/>
        <w:keepNext/>
        <w:keepLines/>
        <w:kinsoku w:val="0"/>
        <w:overflowPunct w:val="0"/>
        <w:ind w:left="827" w:right="1038"/>
        <w:jc w:val="both"/>
        <w:rPr>
          <w:color w:val="231F20"/>
        </w:rPr>
      </w:pPr>
    </w:p>
    <w:p w14:paraId="6D6530BA" w14:textId="77777777" w:rsidR="002B6780" w:rsidRDefault="002B6780" w:rsidP="00512495">
      <w:pPr>
        <w:pStyle w:val="Heading1"/>
        <w:numPr>
          <w:ilvl w:val="1"/>
          <w:numId w:val="13"/>
        </w:numPr>
        <w:tabs>
          <w:tab w:val="left" w:pos="840"/>
        </w:tabs>
        <w:kinsoku w:val="0"/>
        <w:overflowPunct w:val="0"/>
        <w:ind w:left="839"/>
        <w:rPr>
          <w:color w:val="231F20"/>
        </w:rPr>
      </w:pPr>
      <w:r>
        <w:rPr>
          <w:color w:val="231F20"/>
        </w:rPr>
        <w:t>Labrador Acquisition</w:t>
      </w:r>
    </w:p>
    <w:p w14:paraId="5E0B37DE" w14:textId="77777777" w:rsidR="002B6780" w:rsidRDefault="002B6780" w:rsidP="002B6780"/>
    <w:p w14:paraId="6F6B39DB" w14:textId="77777777" w:rsidR="002B6780" w:rsidRDefault="002B6780" w:rsidP="002B6780">
      <w:pPr>
        <w:pStyle w:val="ListParagraph"/>
        <w:numPr>
          <w:ilvl w:val="0"/>
          <w:numId w:val="4"/>
        </w:numPr>
        <w:tabs>
          <w:tab w:val="left" w:pos="1200"/>
        </w:tabs>
        <w:kinsoku w:val="0"/>
        <w:overflowPunct w:val="0"/>
        <w:ind w:hanging="361"/>
        <w:rPr>
          <w:b/>
          <w:bCs/>
          <w:color w:val="231F20"/>
          <w:sz w:val="18"/>
          <w:szCs w:val="18"/>
        </w:rPr>
      </w:pPr>
      <w:r>
        <w:rPr>
          <w:b/>
          <w:bCs/>
          <w:color w:val="231F20"/>
          <w:sz w:val="18"/>
          <w:szCs w:val="18"/>
        </w:rPr>
        <w:t xml:space="preserve">Share Purchase Agreement </w:t>
      </w:r>
    </w:p>
    <w:p w14:paraId="7F976A36" w14:textId="77777777" w:rsidR="002B6780" w:rsidRDefault="002B6780" w:rsidP="002B6780">
      <w:pPr>
        <w:pStyle w:val="ListParagraph"/>
        <w:tabs>
          <w:tab w:val="left" w:pos="1200"/>
        </w:tabs>
        <w:kinsoku w:val="0"/>
        <w:overflowPunct w:val="0"/>
        <w:ind w:left="1199" w:firstLine="0"/>
        <w:rPr>
          <w:b/>
          <w:bCs/>
          <w:color w:val="231F20"/>
          <w:sz w:val="18"/>
          <w:szCs w:val="18"/>
        </w:rPr>
      </w:pPr>
    </w:p>
    <w:p w14:paraId="6ED289EF" w14:textId="77777777" w:rsidR="002B6780" w:rsidRDefault="002B6780" w:rsidP="002B6780">
      <w:pPr>
        <w:tabs>
          <w:tab w:val="left" w:pos="1200"/>
        </w:tabs>
        <w:kinsoku w:val="0"/>
        <w:overflowPunct w:val="0"/>
        <w:ind w:left="851" w:right="1022"/>
        <w:jc w:val="both"/>
        <w:rPr>
          <w:bCs/>
          <w:color w:val="231F20"/>
          <w:sz w:val="18"/>
          <w:szCs w:val="18"/>
        </w:rPr>
      </w:pPr>
      <w:r w:rsidRPr="00B342CA">
        <w:rPr>
          <w:bCs/>
          <w:color w:val="231F20"/>
          <w:sz w:val="18"/>
          <w:szCs w:val="18"/>
        </w:rPr>
        <w:t xml:space="preserve">On </w:t>
      </w:r>
      <w:r>
        <w:rPr>
          <w:bCs/>
          <w:sz w:val="18"/>
          <w:szCs w:val="18"/>
        </w:rPr>
        <w:t>18 May</w:t>
      </w:r>
      <w:r w:rsidRPr="00B342CA">
        <w:rPr>
          <w:bCs/>
          <w:color w:val="231F20"/>
          <w:sz w:val="18"/>
          <w:szCs w:val="18"/>
        </w:rPr>
        <w:t xml:space="preserve"> </w:t>
      </w:r>
      <w:r>
        <w:rPr>
          <w:bCs/>
          <w:color w:val="231F20"/>
          <w:sz w:val="18"/>
          <w:szCs w:val="18"/>
        </w:rPr>
        <w:t>2021 the Company entered into a Share Purchase Agreement with Altius pursuant to which Altius agreed to sell the entire issued share capital of NLCO, which owns a 100% interest in the Adeline Copper Project, to the Company. The consideration for the share purchase is to be satisfied by the Company’s issue to Altius of (</w:t>
      </w:r>
      <w:proofErr w:type="spellStart"/>
      <w:r>
        <w:rPr>
          <w:bCs/>
          <w:color w:val="231F20"/>
          <w:sz w:val="18"/>
          <w:szCs w:val="18"/>
        </w:rPr>
        <w:t>i</w:t>
      </w:r>
      <w:proofErr w:type="spellEnd"/>
      <w:r>
        <w:rPr>
          <w:bCs/>
          <w:color w:val="231F20"/>
          <w:sz w:val="18"/>
          <w:szCs w:val="18"/>
        </w:rPr>
        <w:t xml:space="preserve">) 10,089,199 Labrador Consideration Shares and (ii) 11,100,000 Labrador Consideration Warrants. </w:t>
      </w:r>
    </w:p>
    <w:p w14:paraId="1E027A75" w14:textId="77777777" w:rsidR="002B6780" w:rsidRDefault="002B6780" w:rsidP="002B6780">
      <w:pPr>
        <w:tabs>
          <w:tab w:val="left" w:pos="1200"/>
        </w:tabs>
        <w:kinsoku w:val="0"/>
        <w:overflowPunct w:val="0"/>
        <w:ind w:left="851" w:right="1022"/>
        <w:jc w:val="both"/>
        <w:rPr>
          <w:bCs/>
          <w:color w:val="231F20"/>
          <w:sz w:val="18"/>
          <w:szCs w:val="18"/>
        </w:rPr>
      </w:pPr>
    </w:p>
    <w:p w14:paraId="5BA32B7A" w14:textId="4D8F576A" w:rsidR="002B6780" w:rsidRDefault="002B6780" w:rsidP="001C3CC4">
      <w:pPr>
        <w:tabs>
          <w:tab w:val="left" w:pos="1200"/>
        </w:tabs>
        <w:kinsoku w:val="0"/>
        <w:overflowPunct w:val="0"/>
        <w:ind w:left="851" w:right="1022"/>
        <w:jc w:val="both"/>
        <w:rPr>
          <w:bCs/>
          <w:sz w:val="18"/>
          <w:szCs w:val="18"/>
        </w:rPr>
      </w:pPr>
      <w:r>
        <w:rPr>
          <w:bCs/>
          <w:color w:val="231F20"/>
          <w:sz w:val="18"/>
          <w:szCs w:val="18"/>
        </w:rPr>
        <w:t>Under the Share Purchase Agreement, the Company further agrees that it will spend, or procure that NLCO spends, subject to standard</w:t>
      </w:r>
      <w:r>
        <w:rPr>
          <w:bCs/>
          <w:sz w:val="18"/>
          <w:szCs w:val="18"/>
        </w:rPr>
        <w:t xml:space="preserve"> force majeure provisions, (</w:t>
      </w:r>
      <w:proofErr w:type="spellStart"/>
      <w:r>
        <w:rPr>
          <w:bCs/>
          <w:sz w:val="18"/>
          <w:szCs w:val="18"/>
        </w:rPr>
        <w:t>i</w:t>
      </w:r>
      <w:proofErr w:type="spellEnd"/>
      <w:r>
        <w:rPr>
          <w:bCs/>
          <w:sz w:val="18"/>
          <w:szCs w:val="18"/>
        </w:rPr>
        <w:t>) $250,000 in expenditures (defined therein) on the Adeline Copper Project within 18 months following the date of the Share Purchase Agreement</w:t>
      </w:r>
      <w:r w:rsidRPr="008547A8">
        <w:rPr>
          <w:bCs/>
          <w:sz w:val="18"/>
          <w:szCs w:val="18"/>
        </w:rPr>
        <w:t xml:space="preserve"> or such shorter period that is required to keep the </w:t>
      </w:r>
      <w:r>
        <w:rPr>
          <w:bCs/>
          <w:sz w:val="18"/>
          <w:szCs w:val="18"/>
        </w:rPr>
        <w:t>relevant licences and applications</w:t>
      </w:r>
      <w:r w:rsidRPr="008547A8">
        <w:rPr>
          <w:bCs/>
          <w:sz w:val="18"/>
          <w:szCs w:val="18"/>
        </w:rPr>
        <w:t xml:space="preserve"> in good standing</w:t>
      </w:r>
      <w:r>
        <w:rPr>
          <w:bCs/>
          <w:sz w:val="18"/>
          <w:szCs w:val="18"/>
        </w:rPr>
        <w:t xml:space="preserve"> and (ii) within 12 months following the end of the period set out at (</w:t>
      </w:r>
      <w:proofErr w:type="spellStart"/>
      <w:r>
        <w:rPr>
          <w:bCs/>
          <w:sz w:val="18"/>
          <w:szCs w:val="18"/>
        </w:rPr>
        <w:t>i</w:t>
      </w:r>
      <w:proofErr w:type="spellEnd"/>
      <w:r>
        <w:rPr>
          <w:bCs/>
          <w:sz w:val="18"/>
          <w:szCs w:val="18"/>
        </w:rPr>
        <w:t>), an additional $750,000 in expenditures on the Adeline Copper Project</w:t>
      </w:r>
      <w:r w:rsidR="00823044">
        <w:rPr>
          <w:bCs/>
          <w:sz w:val="18"/>
          <w:szCs w:val="18"/>
        </w:rPr>
        <w:t xml:space="preserve"> (failing which NLCO may be required to retransfer the Granted Map-Staked Licences to Altius) </w:t>
      </w:r>
      <w:r>
        <w:rPr>
          <w:bCs/>
          <w:sz w:val="18"/>
          <w:szCs w:val="18"/>
        </w:rPr>
        <w:t xml:space="preserve">. </w:t>
      </w:r>
    </w:p>
    <w:p w14:paraId="1DC7C103" w14:textId="77777777" w:rsidR="002B6780" w:rsidRDefault="002B6780" w:rsidP="002B6780">
      <w:pPr>
        <w:tabs>
          <w:tab w:val="left" w:pos="1200"/>
        </w:tabs>
        <w:kinsoku w:val="0"/>
        <w:overflowPunct w:val="0"/>
        <w:ind w:left="851" w:right="1022"/>
        <w:jc w:val="both"/>
        <w:rPr>
          <w:bCs/>
          <w:color w:val="231F20"/>
          <w:sz w:val="18"/>
          <w:szCs w:val="18"/>
        </w:rPr>
      </w:pPr>
    </w:p>
    <w:p w14:paraId="134453D4" w14:textId="623F4420" w:rsidR="002B6780" w:rsidRDefault="002B6780" w:rsidP="002B6780">
      <w:pPr>
        <w:tabs>
          <w:tab w:val="left" w:pos="1200"/>
        </w:tabs>
        <w:kinsoku w:val="0"/>
        <w:overflowPunct w:val="0"/>
        <w:ind w:left="851" w:right="1022"/>
        <w:jc w:val="both"/>
        <w:rPr>
          <w:bCs/>
          <w:color w:val="231F20"/>
          <w:sz w:val="18"/>
          <w:szCs w:val="18"/>
        </w:rPr>
      </w:pPr>
      <w:r>
        <w:rPr>
          <w:bCs/>
          <w:color w:val="231F20"/>
          <w:sz w:val="18"/>
          <w:szCs w:val="18"/>
        </w:rPr>
        <w:t xml:space="preserve">In the event that Altius or an affiliate of Altius stakes additional mineral claims adjacent to the Adeline Copper Project at any time prior to termination of the Share Purchase Agreement, the additional claims must be offered in writing to the Company for an amount equal to the cost to stake or acquire such additional claims incurred by Altius or its affiliate. If the Company does not elect by written notice to Altius to acquire such additional claims within fourteen days of receipt of the offer, then Altius will have no further obligation to the Company in this respect. If elected, the 1.6% gross sales royalty which is payable to Altius Royalty Corporation in accordance with the provisions of the Royalty Agreement shall apply to the additional claims.  </w:t>
      </w:r>
    </w:p>
    <w:p w14:paraId="3F50A749" w14:textId="77777777" w:rsidR="002B6780" w:rsidRDefault="002B6780" w:rsidP="002B6780">
      <w:pPr>
        <w:tabs>
          <w:tab w:val="left" w:pos="1200"/>
        </w:tabs>
        <w:kinsoku w:val="0"/>
        <w:overflowPunct w:val="0"/>
        <w:ind w:left="851" w:right="1022"/>
        <w:jc w:val="both"/>
        <w:rPr>
          <w:bCs/>
          <w:color w:val="231F20"/>
          <w:sz w:val="18"/>
          <w:szCs w:val="18"/>
        </w:rPr>
      </w:pPr>
    </w:p>
    <w:p w14:paraId="142E6900" w14:textId="77777777" w:rsidR="002B6780" w:rsidRDefault="002B6780" w:rsidP="002B6780">
      <w:pPr>
        <w:tabs>
          <w:tab w:val="left" w:pos="1200"/>
        </w:tabs>
        <w:kinsoku w:val="0"/>
        <w:overflowPunct w:val="0"/>
        <w:ind w:left="851" w:right="1022"/>
        <w:jc w:val="both"/>
        <w:rPr>
          <w:bCs/>
          <w:color w:val="231F20"/>
          <w:sz w:val="18"/>
          <w:szCs w:val="18"/>
        </w:rPr>
      </w:pPr>
      <w:r>
        <w:rPr>
          <w:bCs/>
          <w:color w:val="231F20"/>
          <w:sz w:val="18"/>
          <w:szCs w:val="18"/>
        </w:rPr>
        <w:t xml:space="preserve">The Share Purchase Agreement includes customary warranties and representations in relation to NLCO and the Adeline Copper Project. The Share Purchase Agreement may be terminated by the mutual agreement of the parties or upon notice by one party to the other parties in the event of material breach or default or upon a failure to satisfy a condition of closing. </w:t>
      </w:r>
    </w:p>
    <w:p w14:paraId="537ED16E" w14:textId="77777777" w:rsidR="002B6780" w:rsidRDefault="002B6780" w:rsidP="002B6780">
      <w:pPr>
        <w:tabs>
          <w:tab w:val="left" w:pos="1200"/>
        </w:tabs>
        <w:kinsoku w:val="0"/>
        <w:overflowPunct w:val="0"/>
        <w:ind w:left="851" w:right="1022"/>
        <w:jc w:val="both"/>
        <w:rPr>
          <w:bCs/>
          <w:color w:val="231F20"/>
          <w:sz w:val="18"/>
          <w:szCs w:val="18"/>
        </w:rPr>
      </w:pPr>
    </w:p>
    <w:p w14:paraId="43355E26" w14:textId="77777777" w:rsidR="002B6780" w:rsidRDefault="002B6780" w:rsidP="002B6780">
      <w:pPr>
        <w:tabs>
          <w:tab w:val="left" w:pos="1200"/>
        </w:tabs>
        <w:kinsoku w:val="0"/>
        <w:overflowPunct w:val="0"/>
        <w:ind w:left="851" w:right="1022"/>
        <w:jc w:val="both"/>
        <w:rPr>
          <w:bCs/>
          <w:color w:val="231F20"/>
          <w:sz w:val="18"/>
          <w:szCs w:val="18"/>
        </w:rPr>
      </w:pPr>
      <w:r>
        <w:rPr>
          <w:bCs/>
          <w:color w:val="231F20"/>
          <w:sz w:val="18"/>
          <w:szCs w:val="18"/>
        </w:rPr>
        <w:t xml:space="preserve">The Share Purchase Agreement is governed by the laws of the Province of Newfoundland and Labrador and the parties submit to the non-exclusive jurisdiction of the courts of the Province of Newfoundland and Labrador.  </w:t>
      </w:r>
    </w:p>
    <w:p w14:paraId="1A1A6B20" w14:textId="77777777" w:rsidR="002B6780" w:rsidRPr="00EB5F0C" w:rsidRDefault="002B6780" w:rsidP="002B6780">
      <w:pPr>
        <w:tabs>
          <w:tab w:val="left" w:pos="1200"/>
        </w:tabs>
        <w:kinsoku w:val="0"/>
        <w:overflowPunct w:val="0"/>
        <w:ind w:right="1022"/>
        <w:jc w:val="both"/>
        <w:rPr>
          <w:b/>
          <w:bCs/>
          <w:color w:val="231F20"/>
          <w:sz w:val="18"/>
          <w:szCs w:val="18"/>
        </w:rPr>
      </w:pPr>
    </w:p>
    <w:p w14:paraId="028C6BF7" w14:textId="77777777" w:rsidR="002B6780" w:rsidRDefault="002B6780" w:rsidP="002B6780">
      <w:pPr>
        <w:pStyle w:val="ListParagraph"/>
        <w:numPr>
          <w:ilvl w:val="0"/>
          <w:numId w:val="4"/>
        </w:numPr>
        <w:tabs>
          <w:tab w:val="left" w:pos="1200"/>
        </w:tabs>
        <w:kinsoku w:val="0"/>
        <w:overflowPunct w:val="0"/>
        <w:ind w:right="1022"/>
        <w:jc w:val="both"/>
        <w:rPr>
          <w:b/>
          <w:bCs/>
          <w:color w:val="231F20"/>
          <w:sz w:val="18"/>
          <w:szCs w:val="18"/>
        </w:rPr>
      </w:pPr>
      <w:r>
        <w:rPr>
          <w:b/>
          <w:bCs/>
          <w:color w:val="231F20"/>
          <w:sz w:val="18"/>
          <w:szCs w:val="18"/>
        </w:rPr>
        <w:t xml:space="preserve">Relationship Agreement </w:t>
      </w:r>
    </w:p>
    <w:p w14:paraId="5FCC2710" w14:textId="77777777" w:rsidR="002B6780" w:rsidRPr="001A7287" w:rsidRDefault="002B6780" w:rsidP="001A7287">
      <w:pPr>
        <w:tabs>
          <w:tab w:val="left" w:pos="1200"/>
        </w:tabs>
        <w:kinsoku w:val="0"/>
        <w:overflowPunct w:val="0"/>
        <w:ind w:right="1022"/>
        <w:jc w:val="both"/>
        <w:rPr>
          <w:bCs/>
          <w:sz w:val="18"/>
          <w:szCs w:val="18"/>
        </w:rPr>
      </w:pPr>
    </w:p>
    <w:p w14:paraId="36036EA0" w14:textId="0EF703A8" w:rsidR="002B6780" w:rsidRPr="00513F30" w:rsidRDefault="002B6780" w:rsidP="002B6780">
      <w:pPr>
        <w:pStyle w:val="ListParagraph"/>
        <w:tabs>
          <w:tab w:val="left" w:pos="1200"/>
        </w:tabs>
        <w:kinsoku w:val="0"/>
        <w:overflowPunct w:val="0"/>
        <w:ind w:left="828" w:right="1022" w:firstLine="0"/>
        <w:jc w:val="both"/>
        <w:rPr>
          <w:bCs/>
          <w:sz w:val="18"/>
          <w:szCs w:val="18"/>
        </w:rPr>
      </w:pPr>
      <w:bookmarkStart w:id="15" w:name="_Hlk70347719"/>
      <w:r w:rsidRPr="00513F30">
        <w:rPr>
          <w:bCs/>
          <w:sz w:val="18"/>
          <w:szCs w:val="18"/>
        </w:rPr>
        <w:t xml:space="preserve">Subject to Admission, the Company and Altius </w:t>
      </w:r>
      <w:r>
        <w:rPr>
          <w:bCs/>
          <w:sz w:val="18"/>
          <w:szCs w:val="18"/>
        </w:rPr>
        <w:t xml:space="preserve">have agreed to </w:t>
      </w:r>
      <w:r w:rsidRPr="00513F30">
        <w:rPr>
          <w:bCs/>
          <w:sz w:val="18"/>
          <w:szCs w:val="18"/>
        </w:rPr>
        <w:t xml:space="preserve">enter into a </w:t>
      </w:r>
      <w:r w:rsidR="00823044">
        <w:rPr>
          <w:bCs/>
          <w:sz w:val="18"/>
          <w:szCs w:val="18"/>
        </w:rPr>
        <w:t>r</w:t>
      </w:r>
      <w:r w:rsidRPr="00513F30">
        <w:rPr>
          <w:bCs/>
          <w:sz w:val="18"/>
          <w:szCs w:val="18"/>
        </w:rPr>
        <w:t xml:space="preserve">elationship </w:t>
      </w:r>
      <w:r w:rsidR="00823044">
        <w:rPr>
          <w:bCs/>
          <w:sz w:val="18"/>
          <w:szCs w:val="18"/>
        </w:rPr>
        <w:t>a</w:t>
      </w:r>
      <w:r w:rsidRPr="00513F30">
        <w:rPr>
          <w:bCs/>
          <w:sz w:val="18"/>
          <w:szCs w:val="18"/>
        </w:rPr>
        <w:t xml:space="preserve">greement providing for the terms on which their relationship will be governed </w:t>
      </w:r>
      <w:proofErr w:type="gramStart"/>
      <w:r w:rsidRPr="00513F30">
        <w:rPr>
          <w:bCs/>
          <w:sz w:val="18"/>
          <w:szCs w:val="18"/>
        </w:rPr>
        <w:t>so as to</w:t>
      </w:r>
      <w:proofErr w:type="gramEnd"/>
      <w:r w:rsidRPr="00513F30">
        <w:rPr>
          <w:bCs/>
          <w:sz w:val="18"/>
          <w:szCs w:val="18"/>
        </w:rPr>
        <w:t xml:space="preserve"> ensure that the Company’s business is capable of being conducted independently.</w:t>
      </w:r>
    </w:p>
    <w:p w14:paraId="3CB7B37C" w14:textId="77777777" w:rsidR="002B6780" w:rsidRPr="00513F30" w:rsidRDefault="002B6780" w:rsidP="002B6780">
      <w:pPr>
        <w:pStyle w:val="ListParagraph"/>
        <w:tabs>
          <w:tab w:val="left" w:pos="1200"/>
        </w:tabs>
        <w:kinsoku w:val="0"/>
        <w:overflowPunct w:val="0"/>
        <w:ind w:left="828" w:right="1022"/>
        <w:jc w:val="both"/>
        <w:rPr>
          <w:bCs/>
          <w:sz w:val="18"/>
          <w:szCs w:val="18"/>
        </w:rPr>
      </w:pPr>
    </w:p>
    <w:p w14:paraId="6E6D8133" w14:textId="77777777" w:rsidR="002B6780" w:rsidRPr="00513F30" w:rsidRDefault="002B6780" w:rsidP="002B6780">
      <w:pPr>
        <w:pStyle w:val="ListParagraph"/>
        <w:tabs>
          <w:tab w:val="left" w:pos="1200"/>
        </w:tabs>
        <w:kinsoku w:val="0"/>
        <w:overflowPunct w:val="0"/>
        <w:ind w:left="1548" w:right="1022"/>
        <w:jc w:val="both"/>
        <w:rPr>
          <w:bCs/>
          <w:sz w:val="18"/>
          <w:szCs w:val="18"/>
        </w:rPr>
      </w:pPr>
      <w:r w:rsidRPr="00513F30">
        <w:rPr>
          <w:bCs/>
          <w:sz w:val="18"/>
          <w:szCs w:val="18"/>
        </w:rPr>
        <w:t>Altius has agreed to certain restrictions under the terms of the agreement, including inter alia</w:t>
      </w:r>
      <w:r w:rsidRPr="00513F30">
        <w:rPr>
          <w:b/>
          <w:bCs/>
          <w:sz w:val="18"/>
          <w:szCs w:val="18"/>
        </w:rPr>
        <w:t>:</w:t>
      </w:r>
    </w:p>
    <w:p w14:paraId="7A02639B" w14:textId="77777777" w:rsidR="002B6780" w:rsidRPr="00513F30" w:rsidRDefault="002B6780" w:rsidP="002B6780">
      <w:pPr>
        <w:pStyle w:val="ListParagraph"/>
        <w:tabs>
          <w:tab w:val="left" w:pos="1200"/>
        </w:tabs>
        <w:kinsoku w:val="0"/>
        <w:overflowPunct w:val="0"/>
        <w:ind w:left="1199" w:right="1022"/>
        <w:jc w:val="both"/>
        <w:rPr>
          <w:bCs/>
          <w:sz w:val="18"/>
          <w:szCs w:val="18"/>
        </w:rPr>
      </w:pPr>
    </w:p>
    <w:p w14:paraId="48B428AB" w14:textId="77777777" w:rsidR="002B6780" w:rsidRPr="00513F30" w:rsidRDefault="002B6780" w:rsidP="002B6780">
      <w:pPr>
        <w:pStyle w:val="ListParagraph"/>
        <w:numPr>
          <w:ilvl w:val="0"/>
          <w:numId w:val="3"/>
        </w:numPr>
        <w:tabs>
          <w:tab w:val="left" w:pos="1200"/>
        </w:tabs>
        <w:kinsoku w:val="0"/>
        <w:overflowPunct w:val="0"/>
        <w:ind w:right="1022"/>
        <w:jc w:val="both"/>
        <w:rPr>
          <w:bCs/>
          <w:sz w:val="18"/>
          <w:szCs w:val="18"/>
        </w:rPr>
      </w:pPr>
      <w:r w:rsidRPr="00513F30">
        <w:rPr>
          <w:bCs/>
          <w:sz w:val="18"/>
          <w:szCs w:val="18"/>
        </w:rPr>
        <w:t xml:space="preserve">Altius is required to exercise </w:t>
      </w:r>
      <w:r>
        <w:rPr>
          <w:bCs/>
          <w:sz w:val="18"/>
          <w:szCs w:val="18"/>
        </w:rPr>
        <w:t xml:space="preserve">its </w:t>
      </w:r>
      <w:r w:rsidRPr="00513F30">
        <w:rPr>
          <w:bCs/>
          <w:sz w:val="18"/>
          <w:szCs w:val="18"/>
        </w:rPr>
        <w:t xml:space="preserve">voting rights so as to ensure the independence of the Company’s </w:t>
      </w:r>
      <w:proofErr w:type="gramStart"/>
      <w:r w:rsidRPr="00513F30">
        <w:rPr>
          <w:bCs/>
          <w:sz w:val="18"/>
          <w:szCs w:val="18"/>
        </w:rPr>
        <w:t>board;</w:t>
      </w:r>
      <w:proofErr w:type="gramEnd"/>
    </w:p>
    <w:p w14:paraId="42890F99" w14:textId="77777777" w:rsidR="002B6780" w:rsidRPr="00513F30" w:rsidRDefault="002B6780" w:rsidP="002B6780">
      <w:pPr>
        <w:pStyle w:val="ListParagraph"/>
        <w:tabs>
          <w:tab w:val="left" w:pos="1200"/>
        </w:tabs>
        <w:kinsoku w:val="0"/>
        <w:overflowPunct w:val="0"/>
        <w:ind w:left="1199" w:right="1022"/>
        <w:jc w:val="both"/>
        <w:rPr>
          <w:bCs/>
          <w:sz w:val="18"/>
          <w:szCs w:val="18"/>
        </w:rPr>
      </w:pPr>
    </w:p>
    <w:p w14:paraId="1F283481" w14:textId="77777777" w:rsidR="002B6780" w:rsidRPr="00513F30" w:rsidRDefault="002B6780" w:rsidP="002B6780">
      <w:pPr>
        <w:pStyle w:val="ListParagraph"/>
        <w:numPr>
          <w:ilvl w:val="0"/>
          <w:numId w:val="3"/>
        </w:numPr>
        <w:tabs>
          <w:tab w:val="left" w:pos="1200"/>
        </w:tabs>
        <w:kinsoku w:val="0"/>
        <w:overflowPunct w:val="0"/>
        <w:ind w:right="1022"/>
        <w:jc w:val="both"/>
        <w:rPr>
          <w:bCs/>
          <w:sz w:val="18"/>
          <w:szCs w:val="18"/>
        </w:rPr>
      </w:pPr>
      <w:r w:rsidRPr="00513F30">
        <w:rPr>
          <w:bCs/>
          <w:sz w:val="18"/>
          <w:szCs w:val="18"/>
        </w:rPr>
        <w:t xml:space="preserve">Altius is required not to control or influence the running of the Company at an operational </w:t>
      </w:r>
      <w:proofErr w:type="gramStart"/>
      <w:r w:rsidRPr="00513F30">
        <w:rPr>
          <w:bCs/>
          <w:sz w:val="18"/>
          <w:szCs w:val="18"/>
        </w:rPr>
        <w:t>level;</w:t>
      </w:r>
      <w:proofErr w:type="gramEnd"/>
    </w:p>
    <w:p w14:paraId="6472FD1F" w14:textId="77777777" w:rsidR="002B6780" w:rsidRPr="00513F30" w:rsidRDefault="002B6780" w:rsidP="002B6780">
      <w:pPr>
        <w:pStyle w:val="ListParagraph"/>
        <w:tabs>
          <w:tab w:val="left" w:pos="1200"/>
        </w:tabs>
        <w:kinsoku w:val="0"/>
        <w:overflowPunct w:val="0"/>
        <w:ind w:left="1199" w:right="1022"/>
        <w:jc w:val="both"/>
        <w:rPr>
          <w:bCs/>
          <w:sz w:val="18"/>
          <w:szCs w:val="18"/>
        </w:rPr>
      </w:pPr>
    </w:p>
    <w:p w14:paraId="2A657A4F" w14:textId="77777777" w:rsidR="002B6780" w:rsidRPr="00513F30" w:rsidRDefault="002B6780" w:rsidP="002B6780">
      <w:pPr>
        <w:pStyle w:val="ListParagraph"/>
        <w:numPr>
          <w:ilvl w:val="0"/>
          <w:numId w:val="3"/>
        </w:numPr>
        <w:tabs>
          <w:tab w:val="left" w:pos="1200"/>
        </w:tabs>
        <w:kinsoku w:val="0"/>
        <w:overflowPunct w:val="0"/>
        <w:ind w:right="1022"/>
        <w:jc w:val="both"/>
        <w:rPr>
          <w:bCs/>
          <w:sz w:val="18"/>
          <w:szCs w:val="18"/>
        </w:rPr>
      </w:pPr>
      <w:r w:rsidRPr="00513F30">
        <w:rPr>
          <w:bCs/>
          <w:sz w:val="18"/>
          <w:szCs w:val="18"/>
        </w:rPr>
        <w:t xml:space="preserve">Altius is required not to exercise </w:t>
      </w:r>
      <w:r>
        <w:rPr>
          <w:bCs/>
          <w:sz w:val="18"/>
          <w:szCs w:val="18"/>
        </w:rPr>
        <w:t>its</w:t>
      </w:r>
      <w:r w:rsidRPr="00513F30">
        <w:rPr>
          <w:bCs/>
          <w:sz w:val="18"/>
          <w:szCs w:val="18"/>
        </w:rPr>
        <w:t xml:space="preserve"> voting rights in respect of any resolution relating to (a) any transaction with Altius; (b) the cancellation of the Company’s Admission to trading on the Main Market; or (c) any amendments to the Company’s article of association which would be inconsistent with the agreement;</w:t>
      </w:r>
      <w:r>
        <w:rPr>
          <w:bCs/>
          <w:sz w:val="18"/>
          <w:szCs w:val="18"/>
        </w:rPr>
        <w:t xml:space="preserve"> and</w:t>
      </w:r>
    </w:p>
    <w:p w14:paraId="1211FFB2" w14:textId="77777777" w:rsidR="002B6780" w:rsidRPr="00513F30" w:rsidRDefault="002B6780" w:rsidP="002B6780">
      <w:pPr>
        <w:ind w:right="1022"/>
        <w:jc w:val="both"/>
      </w:pPr>
    </w:p>
    <w:p w14:paraId="578AFEB8" w14:textId="77777777" w:rsidR="002B6780" w:rsidRPr="00513F30" w:rsidRDefault="002B6780" w:rsidP="002B6780">
      <w:pPr>
        <w:pStyle w:val="ListParagraph"/>
        <w:numPr>
          <w:ilvl w:val="0"/>
          <w:numId w:val="3"/>
        </w:numPr>
        <w:tabs>
          <w:tab w:val="left" w:pos="1200"/>
        </w:tabs>
        <w:kinsoku w:val="0"/>
        <w:overflowPunct w:val="0"/>
        <w:ind w:right="1022"/>
        <w:jc w:val="both"/>
        <w:rPr>
          <w:bCs/>
          <w:sz w:val="18"/>
          <w:szCs w:val="18"/>
        </w:rPr>
      </w:pPr>
      <w:r w:rsidRPr="00513F30">
        <w:rPr>
          <w:bCs/>
          <w:sz w:val="18"/>
          <w:szCs w:val="18"/>
        </w:rPr>
        <w:t>Altius has the right to participate in any issue of shares or other equity securities by the Company by subscribing for such number of shares as will ensure that the total proportion of all voting rights held by Altius is not reduced following such issue.</w:t>
      </w:r>
    </w:p>
    <w:p w14:paraId="0A5AB562" w14:textId="77777777" w:rsidR="002B6780" w:rsidRPr="00513F30" w:rsidRDefault="002B6780" w:rsidP="002B6780">
      <w:pPr>
        <w:pStyle w:val="ListParagraph"/>
        <w:tabs>
          <w:tab w:val="left" w:pos="1200"/>
        </w:tabs>
        <w:kinsoku w:val="0"/>
        <w:overflowPunct w:val="0"/>
        <w:ind w:left="1199" w:right="1022"/>
        <w:jc w:val="both"/>
        <w:rPr>
          <w:bCs/>
          <w:sz w:val="18"/>
          <w:szCs w:val="18"/>
        </w:rPr>
      </w:pPr>
    </w:p>
    <w:p w14:paraId="54ED3097" w14:textId="77777777" w:rsidR="002B6780" w:rsidRPr="00513F30" w:rsidRDefault="002B6780" w:rsidP="002B6780">
      <w:pPr>
        <w:pStyle w:val="ListParagraph"/>
        <w:tabs>
          <w:tab w:val="left" w:pos="1200"/>
        </w:tabs>
        <w:kinsoku w:val="0"/>
        <w:overflowPunct w:val="0"/>
        <w:ind w:left="828" w:right="1022" w:firstLine="0"/>
        <w:jc w:val="both"/>
        <w:rPr>
          <w:bCs/>
          <w:sz w:val="18"/>
          <w:szCs w:val="18"/>
        </w:rPr>
      </w:pPr>
      <w:r w:rsidRPr="00513F30">
        <w:rPr>
          <w:bCs/>
          <w:sz w:val="18"/>
          <w:szCs w:val="18"/>
        </w:rPr>
        <w:t xml:space="preserve">These restrictions shall apply for so long as Altius individually or together with members of its group maintains an interest in more than 5% of the Company’s voting rights. </w:t>
      </w:r>
    </w:p>
    <w:p w14:paraId="2A6DEF57" w14:textId="77777777" w:rsidR="002B6780" w:rsidRPr="00513F30" w:rsidRDefault="002B6780" w:rsidP="002B6780">
      <w:pPr>
        <w:pStyle w:val="ListParagraph"/>
        <w:tabs>
          <w:tab w:val="left" w:pos="1200"/>
        </w:tabs>
        <w:kinsoku w:val="0"/>
        <w:overflowPunct w:val="0"/>
        <w:ind w:left="1199" w:right="1022"/>
        <w:jc w:val="both"/>
        <w:rPr>
          <w:bCs/>
          <w:sz w:val="18"/>
          <w:szCs w:val="18"/>
        </w:rPr>
      </w:pPr>
    </w:p>
    <w:p w14:paraId="5683B851" w14:textId="1189986C" w:rsidR="002B6780" w:rsidRPr="00513F30" w:rsidRDefault="002B6780" w:rsidP="002B6780">
      <w:pPr>
        <w:pStyle w:val="ListParagraph"/>
        <w:tabs>
          <w:tab w:val="left" w:pos="1200"/>
        </w:tabs>
        <w:kinsoku w:val="0"/>
        <w:overflowPunct w:val="0"/>
        <w:ind w:left="828" w:right="1022" w:firstLine="0"/>
        <w:jc w:val="both"/>
        <w:rPr>
          <w:bCs/>
          <w:sz w:val="18"/>
          <w:szCs w:val="18"/>
        </w:rPr>
      </w:pPr>
      <w:r w:rsidRPr="00513F30">
        <w:rPr>
          <w:bCs/>
          <w:sz w:val="18"/>
          <w:szCs w:val="18"/>
        </w:rPr>
        <w:t xml:space="preserve">The </w:t>
      </w:r>
      <w:r w:rsidR="00823044">
        <w:rPr>
          <w:bCs/>
          <w:sz w:val="18"/>
          <w:szCs w:val="18"/>
        </w:rPr>
        <w:t>a</w:t>
      </w:r>
      <w:r w:rsidRPr="00513F30">
        <w:rPr>
          <w:bCs/>
          <w:sz w:val="18"/>
          <w:szCs w:val="18"/>
        </w:rPr>
        <w:t xml:space="preserve">greement is governed by the laws of England and Wales and disputes will be settled by LCIA arbitration. </w:t>
      </w:r>
    </w:p>
    <w:bookmarkEnd w:id="15"/>
    <w:p w14:paraId="717D19E1" w14:textId="6756D315" w:rsidR="00EB5F0C" w:rsidRPr="00813DB6" w:rsidRDefault="00EB5F0C" w:rsidP="00813DB6">
      <w:pPr>
        <w:tabs>
          <w:tab w:val="left" w:pos="1200"/>
        </w:tabs>
        <w:kinsoku w:val="0"/>
        <w:overflowPunct w:val="0"/>
        <w:jc w:val="both"/>
        <w:rPr>
          <w:bCs/>
          <w:sz w:val="18"/>
          <w:szCs w:val="18"/>
        </w:rPr>
      </w:pPr>
    </w:p>
    <w:p w14:paraId="492085CF" w14:textId="77777777" w:rsidR="002B6780" w:rsidRDefault="002B6780" w:rsidP="002B6780">
      <w:pPr>
        <w:pStyle w:val="ListParagraph"/>
        <w:tabs>
          <w:tab w:val="left" w:pos="1200"/>
        </w:tabs>
        <w:kinsoku w:val="0"/>
        <w:overflowPunct w:val="0"/>
        <w:ind w:left="1199" w:right="1022" w:firstLine="0"/>
        <w:jc w:val="both"/>
        <w:rPr>
          <w:bCs/>
          <w:sz w:val="18"/>
          <w:szCs w:val="18"/>
        </w:rPr>
      </w:pPr>
    </w:p>
    <w:p w14:paraId="7FBA210D" w14:textId="77777777" w:rsidR="002B6780" w:rsidRDefault="002B6780" w:rsidP="002B6780">
      <w:pPr>
        <w:pStyle w:val="ListParagraph"/>
        <w:numPr>
          <w:ilvl w:val="0"/>
          <w:numId w:val="4"/>
        </w:numPr>
        <w:tabs>
          <w:tab w:val="left" w:pos="1200"/>
        </w:tabs>
        <w:kinsoku w:val="0"/>
        <w:overflowPunct w:val="0"/>
        <w:ind w:right="1022"/>
        <w:jc w:val="both"/>
        <w:rPr>
          <w:b/>
          <w:bCs/>
          <w:color w:val="231F20"/>
          <w:sz w:val="18"/>
          <w:szCs w:val="18"/>
        </w:rPr>
      </w:pPr>
      <w:r>
        <w:rPr>
          <w:b/>
          <w:bCs/>
          <w:color w:val="231F20"/>
          <w:sz w:val="18"/>
          <w:szCs w:val="18"/>
        </w:rPr>
        <w:t xml:space="preserve">Altius Warrant Agreement  </w:t>
      </w:r>
    </w:p>
    <w:p w14:paraId="2292DB2C" w14:textId="77777777" w:rsidR="002B6780" w:rsidRDefault="002B6780" w:rsidP="002B6780">
      <w:pPr>
        <w:pStyle w:val="ListParagraph"/>
        <w:tabs>
          <w:tab w:val="left" w:pos="1200"/>
        </w:tabs>
        <w:kinsoku w:val="0"/>
        <w:overflowPunct w:val="0"/>
        <w:ind w:left="1199" w:right="1022" w:firstLine="0"/>
        <w:jc w:val="both"/>
        <w:rPr>
          <w:b/>
          <w:bCs/>
          <w:color w:val="231F20"/>
          <w:sz w:val="18"/>
          <w:szCs w:val="18"/>
        </w:rPr>
      </w:pPr>
    </w:p>
    <w:p w14:paraId="76EEECBD" w14:textId="77777777" w:rsidR="002B6780" w:rsidRPr="00513F30" w:rsidRDefault="002B6780" w:rsidP="002B6780">
      <w:pPr>
        <w:pStyle w:val="ListParagraph"/>
        <w:tabs>
          <w:tab w:val="left" w:pos="1200"/>
        </w:tabs>
        <w:kinsoku w:val="0"/>
        <w:overflowPunct w:val="0"/>
        <w:ind w:left="1199" w:right="1022"/>
        <w:jc w:val="both"/>
        <w:rPr>
          <w:b/>
          <w:bCs/>
          <w:sz w:val="18"/>
          <w:szCs w:val="18"/>
        </w:rPr>
      </w:pPr>
    </w:p>
    <w:p w14:paraId="46FD12FC" w14:textId="77777777" w:rsidR="002B6780" w:rsidRPr="00513F30" w:rsidRDefault="002B6780" w:rsidP="002B6780">
      <w:pPr>
        <w:pStyle w:val="ListParagraph"/>
        <w:tabs>
          <w:tab w:val="left" w:pos="1200"/>
        </w:tabs>
        <w:kinsoku w:val="0"/>
        <w:overflowPunct w:val="0"/>
        <w:ind w:left="828" w:right="1022" w:firstLine="0"/>
        <w:jc w:val="both"/>
        <w:rPr>
          <w:bCs/>
          <w:sz w:val="18"/>
          <w:szCs w:val="18"/>
        </w:rPr>
      </w:pPr>
      <w:r>
        <w:rPr>
          <w:bCs/>
          <w:sz w:val="18"/>
          <w:szCs w:val="18"/>
        </w:rPr>
        <w:t xml:space="preserve">Subject to Admission, </w:t>
      </w:r>
      <w:r w:rsidRPr="00513F30">
        <w:rPr>
          <w:bCs/>
          <w:sz w:val="18"/>
          <w:szCs w:val="18"/>
        </w:rPr>
        <w:t xml:space="preserve">the Company </w:t>
      </w:r>
      <w:r>
        <w:rPr>
          <w:bCs/>
          <w:sz w:val="18"/>
          <w:szCs w:val="18"/>
        </w:rPr>
        <w:t xml:space="preserve">has agreed to </w:t>
      </w:r>
      <w:proofErr w:type="gramStart"/>
      <w:r w:rsidRPr="00513F30">
        <w:rPr>
          <w:bCs/>
          <w:sz w:val="18"/>
          <w:szCs w:val="18"/>
        </w:rPr>
        <w:t>enter into</w:t>
      </w:r>
      <w:proofErr w:type="gramEnd"/>
      <w:r w:rsidRPr="00513F30">
        <w:rPr>
          <w:bCs/>
          <w:sz w:val="18"/>
          <w:szCs w:val="18"/>
        </w:rPr>
        <w:t xml:space="preserve"> a warrant instrument, pursuant to which it agree</w:t>
      </w:r>
      <w:r>
        <w:rPr>
          <w:bCs/>
          <w:sz w:val="18"/>
          <w:szCs w:val="18"/>
        </w:rPr>
        <w:t>s</w:t>
      </w:r>
      <w:r w:rsidRPr="00513F30">
        <w:rPr>
          <w:bCs/>
          <w:sz w:val="18"/>
          <w:szCs w:val="18"/>
        </w:rPr>
        <w:t xml:space="preserve"> to grant 11,100,000 warrants to subscribe for Ordinary Shares of 0.1p in the Company to Altius. These warrants may be exercised from the date of Admission until </w:t>
      </w:r>
      <w:r>
        <w:rPr>
          <w:bCs/>
          <w:sz w:val="18"/>
          <w:szCs w:val="18"/>
        </w:rPr>
        <w:t xml:space="preserve">the third anniversary of Admission </w:t>
      </w:r>
      <w:r w:rsidRPr="00513F30">
        <w:rPr>
          <w:bCs/>
          <w:sz w:val="18"/>
          <w:szCs w:val="18"/>
        </w:rPr>
        <w:t>and are exercisable at an exercise price of £0.20 per new Ordinary Share.</w:t>
      </w:r>
    </w:p>
    <w:p w14:paraId="75CE1EFE" w14:textId="77777777" w:rsidR="002B6780" w:rsidRPr="00513F30" w:rsidRDefault="002B6780" w:rsidP="002B6780">
      <w:pPr>
        <w:pStyle w:val="ListParagraph"/>
        <w:tabs>
          <w:tab w:val="left" w:pos="1200"/>
        </w:tabs>
        <w:kinsoku w:val="0"/>
        <w:overflowPunct w:val="0"/>
        <w:ind w:left="828" w:right="1022" w:firstLine="0"/>
        <w:jc w:val="both"/>
        <w:rPr>
          <w:b/>
          <w:bCs/>
          <w:sz w:val="18"/>
          <w:szCs w:val="18"/>
        </w:rPr>
      </w:pPr>
    </w:p>
    <w:p w14:paraId="6C03C178" w14:textId="77777777" w:rsidR="002B6780" w:rsidRDefault="002B6780" w:rsidP="002B6780">
      <w:pPr>
        <w:tabs>
          <w:tab w:val="left" w:pos="1200"/>
        </w:tabs>
        <w:kinsoku w:val="0"/>
        <w:overflowPunct w:val="0"/>
        <w:ind w:left="851" w:right="1022"/>
        <w:jc w:val="both"/>
        <w:rPr>
          <w:bCs/>
          <w:sz w:val="18"/>
          <w:szCs w:val="18"/>
        </w:rPr>
      </w:pPr>
      <w:r w:rsidRPr="002B6780">
        <w:rPr>
          <w:bCs/>
          <w:sz w:val="18"/>
          <w:szCs w:val="18"/>
        </w:rPr>
        <w:t>Aside from the particulars of the warrants set out above, the terms and conditions of the Altius Warrant Instrument, including the adjustment provisions and the provisions giving the warrant holder rights in the event that an offer is made to all shareholders of the Company to acquire the whole or any part of the issued share capital of the Company, are as contained in the Fox Davies warrant instrument set out at paragraph 14.5(a) below.</w:t>
      </w:r>
    </w:p>
    <w:p w14:paraId="20D94A8C" w14:textId="77777777" w:rsidR="002B6780" w:rsidRDefault="002B6780" w:rsidP="002B6780">
      <w:pPr>
        <w:tabs>
          <w:tab w:val="left" w:pos="1200"/>
        </w:tabs>
        <w:kinsoku w:val="0"/>
        <w:overflowPunct w:val="0"/>
        <w:ind w:left="851" w:right="1022"/>
        <w:jc w:val="both"/>
        <w:rPr>
          <w:bCs/>
          <w:sz w:val="18"/>
          <w:szCs w:val="18"/>
        </w:rPr>
      </w:pPr>
    </w:p>
    <w:p w14:paraId="7F87E11E" w14:textId="20ECE887" w:rsidR="002B6780" w:rsidRPr="002B6780" w:rsidRDefault="002B6780" w:rsidP="002B6780">
      <w:pPr>
        <w:pStyle w:val="ListParagraph"/>
        <w:numPr>
          <w:ilvl w:val="0"/>
          <w:numId w:val="4"/>
        </w:numPr>
        <w:tabs>
          <w:tab w:val="left" w:pos="1200"/>
        </w:tabs>
        <w:kinsoku w:val="0"/>
        <w:overflowPunct w:val="0"/>
        <w:ind w:right="1022"/>
        <w:jc w:val="both"/>
        <w:rPr>
          <w:b/>
          <w:bCs/>
          <w:color w:val="231F20"/>
          <w:sz w:val="18"/>
          <w:szCs w:val="18"/>
        </w:rPr>
      </w:pPr>
      <w:r w:rsidRPr="002B6780">
        <w:rPr>
          <w:bCs/>
          <w:sz w:val="18"/>
          <w:szCs w:val="18"/>
        </w:rPr>
        <w:t xml:space="preserve"> </w:t>
      </w:r>
      <w:r w:rsidRPr="002B6780">
        <w:rPr>
          <w:b/>
          <w:bCs/>
          <w:color w:val="231F20"/>
          <w:sz w:val="18"/>
          <w:szCs w:val="18"/>
        </w:rPr>
        <w:t xml:space="preserve">Technical Services Agreement </w:t>
      </w:r>
    </w:p>
    <w:p w14:paraId="1AD43D01" w14:textId="77777777" w:rsidR="002B6780" w:rsidRDefault="002B6780" w:rsidP="002B6780">
      <w:pPr>
        <w:pStyle w:val="ListParagraph"/>
        <w:tabs>
          <w:tab w:val="left" w:pos="1200"/>
        </w:tabs>
        <w:kinsoku w:val="0"/>
        <w:overflowPunct w:val="0"/>
        <w:ind w:left="1199" w:right="1022" w:firstLine="0"/>
        <w:jc w:val="both"/>
        <w:rPr>
          <w:b/>
          <w:bCs/>
          <w:color w:val="231F20"/>
          <w:sz w:val="18"/>
          <w:szCs w:val="18"/>
        </w:rPr>
      </w:pPr>
    </w:p>
    <w:p w14:paraId="5B3501A4" w14:textId="77777777" w:rsidR="002B6780" w:rsidRDefault="002B6780" w:rsidP="002B6780">
      <w:pPr>
        <w:tabs>
          <w:tab w:val="left" w:pos="851"/>
          <w:tab w:val="left" w:pos="1200"/>
        </w:tabs>
        <w:kinsoku w:val="0"/>
        <w:overflowPunct w:val="0"/>
        <w:ind w:left="851" w:right="1022"/>
        <w:jc w:val="both"/>
        <w:rPr>
          <w:bCs/>
          <w:sz w:val="18"/>
          <w:szCs w:val="18"/>
        </w:rPr>
      </w:pPr>
      <w:r>
        <w:rPr>
          <w:bCs/>
          <w:sz w:val="18"/>
          <w:szCs w:val="18"/>
        </w:rPr>
        <w:t xml:space="preserve">Subject to Admission, NLCO has agreed to enter into a Technical Services Agreement with Altius Resources Inc., pursuant to which, subject to certain conditions, Altius agrees to act as technical manager to NLCO and to manage NLCO’s exploration activities and business affairs in Newfoundland and Labrador, Canada and other jurisdictions from time to time as mutually agreed upon between the parties. </w:t>
      </w:r>
    </w:p>
    <w:p w14:paraId="1B8CC5D9" w14:textId="77777777" w:rsidR="002B6780" w:rsidRDefault="002B6780" w:rsidP="002B6780">
      <w:pPr>
        <w:tabs>
          <w:tab w:val="left" w:pos="851"/>
          <w:tab w:val="left" w:pos="1200"/>
        </w:tabs>
        <w:kinsoku w:val="0"/>
        <w:overflowPunct w:val="0"/>
        <w:ind w:left="851" w:right="1022"/>
        <w:jc w:val="both"/>
        <w:rPr>
          <w:bCs/>
          <w:sz w:val="18"/>
          <w:szCs w:val="18"/>
        </w:rPr>
      </w:pPr>
    </w:p>
    <w:p w14:paraId="028EE470" w14:textId="77777777" w:rsidR="002B6780" w:rsidRDefault="002B6780" w:rsidP="002B6780">
      <w:pPr>
        <w:tabs>
          <w:tab w:val="left" w:pos="851"/>
          <w:tab w:val="left" w:pos="1200"/>
        </w:tabs>
        <w:kinsoku w:val="0"/>
        <w:overflowPunct w:val="0"/>
        <w:ind w:left="851" w:right="1022"/>
        <w:jc w:val="both"/>
        <w:rPr>
          <w:bCs/>
          <w:sz w:val="18"/>
          <w:szCs w:val="18"/>
        </w:rPr>
      </w:pPr>
      <w:r>
        <w:rPr>
          <w:bCs/>
          <w:sz w:val="18"/>
          <w:szCs w:val="18"/>
        </w:rPr>
        <w:t>As part of its scope of work, Altius shall engage such personnel, contractors and purchase such equipment as are required to efficiently undertake the exploration programmes submitted by NLCO and prepare quarterly (or such other longer period as is determined by NLCO) exploration budgets and programmes for approval by NLCO.</w:t>
      </w:r>
    </w:p>
    <w:p w14:paraId="3EDE3E8E" w14:textId="77777777" w:rsidR="002B6780" w:rsidRDefault="002B6780" w:rsidP="002B6780">
      <w:pPr>
        <w:tabs>
          <w:tab w:val="left" w:pos="851"/>
          <w:tab w:val="left" w:pos="1200"/>
        </w:tabs>
        <w:kinsoku w:val="0"/>
        <w:overflowPunct w:val="0"/>
        <w:ind w:left="851" w:right="1022"/>
        <w:jc w:val="both"/>
        <w:rPr>
          <w:bCs/>
          <w:sz w:val="18"/>
          <w:szCs w:val="18"/>
        </w:rPr>
      </w:pPr>
    </w:p>
    <w:p w14:paraId="6F12AB52" w14:textId="3D715ACC" w:rsidR="002B6780" w:rsidRDefault="002B6780" w:rsidP="002B6780">
      <w:pPr>
        <w:tabs>
          <w:tab w:val="left" w:pos="851"/>
          <w:tab w:val="left" w:pos="1200"/>
        </w:tabs>
        <w:kinsoku w:val="0"/>
        <w:overflowPunct w:val="0"/>
        <w:ind w:left="851" w:right="1022"/>
        <w:jc w:val="both"/>
        <w:rPr>
          <w:bCs/>
          <w:sz w:val="18"/>
          <w:szCs w:val="18"/>
        </w:rPr>
      </w:pPr>
      <w:r>
        <w:rPr>
          <w:bCs/>
          <w:sz w:val="18"/>
          <w:szCs w:val="18"/>
        </w:rPr>
        <w:t>In consideration for Altius’s services under the Technical Services Agreement, NLCO shall pay it certain fees and charges</w:t>
      </w:r>
      <w:r w:rsidR="006B57CB">
        <w:rPr>
          <w:bCs/>
          <w:sz w:val="18"/>
          <w:szCs w:val="18"/>
        </w:rPr>
        <w:t xml:space="preserve">, </w:t>
      </w:r>
      <w:r w:rsidR="006A05EA">
        <w:rPr>
          <w:bCs/>
          <w:sz w:val="18"/>
          <w:szCs w:val="18"/>
        </w:rPr>
        <w:t>with rates totalling $4,475 per day for personnel, with consulting, tenement, travel and accommodation and fuel fees at cost</w:t>
      </w:r>
      <w:r>
        <w:rPr>
          <w:bCs/>
          <w:sz w:val="18"/>
          <w:szCs w:val="18"/>
        </w:rPr>
        <w:t>.</w:t>
      </w:r>
      <w:r w:rsidR="006A05EA">
        <w:rPr>
          <w:bCs/>
          <w:sz w:val="18"/>
          <w:szCs w:val="18"/>
        </w:rPr>
        <w:t xml:space="preserve"> NLCO shall also be liable to pay a management and administration fee of 7% (which shall be reduced to 5% for contracts which are less than $100,000). </w:t>
      </w:r>
      <w:r>
        <w:rPr>
          <w:bCs/>
          <w:sz w:val="18"/>
          <w:szCs w:val="18"/>
        </w:rPr>
        <w:t xml:space="preserve"> </w:t>
      </w:r>
    </w:p>
    <w:p w14:paraId="3A43628C" w14:textId="77777777" w:rsidR="002B6780" w:rsidRDefault="002B6780" w:rsidP="002B6780">
      <w:pPr>
        <w:tabs>
          <w:tab w:val="left" w:pos="851"/>
          <w:tab w:val="left" w:pos="1200"/>
        </w:tabs>
        <w:kinsoku w:val="0"/>
        <w:overflowPunct w:val="0"/>
        <w:ind w:left="851" w:right="1022"/>
        <w:jc w:val="both"/>
        <w:rPr>
          <w:bCs/>
          <w:sz w:val="18"/>
          <w:szCs w:val="18"/>
        </w:rPr>
      </w:pPr>
    </w:p>
    <w:p w14:paraId="46287524" w14:textId="3BBE056F" w:rsidR="002B6780" w:rsidRDefault="002B6780" w:rsidP="002B6780">
      <w:pPr>
        <w:tabs>
          <w:tab w:val="left" w:pos="851"/>
          <w:tab w:val="left" w:pos="1200"/>
        </w:tabs>
        <w:kinsoku w:val="0"/>
        <w:overflowPunct w:val="0"/>
        <w:ind w:left="851" w:right="1022"/>
        <w:jc w:val="both"/>
        <w:rPr>
          <w:bCs/>
          <w:sz w:val="18"/>
          <w:szCs w:val="18"/>
        </w:rPr>
      </w:pPr>
      <w:r>
        <w:rPr>
          <w:bCs/>
          <w:sz w:val="18"/>
          <w:szCs w:val="18"/>
        </w:rPr>
        <w:t>The Technical Services Agreement is governed by, and arbitration shall be conducted in accordance with, the laws of the Province of Newfoundland and Labrador</w:t>
      </w:r>
      <w:r w:rsidR="001B3410">
        <w:rPr>
          <w:bCs/>
          <w:sz w:val="18"/>
          <w:szCs w:val="18"/>
        </w:rPr>
        <w:t>.</w:t>
      </w:r>
    </w:p>
    <w:p w14:paraId="67E153BF" w14:textId="77777777" w:rsidR="001B3410" w:rsidRDefault="001B3410" w:rsidP="00D9536C">
      <w:pPr>
        <w:tabs>
          <w:tab w:val="left" w:pos="851"/>
          <w:tab w:val="left" w:pos="1200"/>
        </w:tabs>
        <w:kinsoku w:val="0"/>
        <w:overflowPunct w:val="0"/>
        <w:ind w:right="1022"/>
        <w:jc w:val="both"/>
        <w:rPr>
          <w:bCs/>
          <w:sz w:val="18"/>
          <w:szCs w:val="18"/>
        </w:rPr>
      </w:pPr>
    </w:p>
    <w:p w14:paraId="7162C1E5" w14:textId="77777777" w:rsidR="002B6780" w:rsidRDefault="002B6780" w:rsidP="002B6780">
      <w:pPr>
        <w:pStyle w:val="ListParagraph"/>
        <w:numPr>
          <w:ilvl w:val="0"/>
          <w:numId w:val="4"/>
        </w:numPr>
        <w:tabs>
          <w:tab w:val="left" w:pos="851"/>
          <w:tab w:val="left" w:pos="1200"/>
        </w:tabs>
        <w:kinsoku w:val="0"/>
        <w:overflowPunct w:val="0"/>
        <w:ind w:right="1022"/>
        <w:jc w:val="both"/>
        <w:rPr>
          <w:b/>
          <w:bCs/>
          <w:sz w:val="18"/>
          <w:szCs w:val="18"/>
        </w:rPr>
      </w:pPr>
      <w:r w:rsidRPr="00CA15C3">
        <w:rPr>
          <w:b/>
          <w:bCs/>
          <w:sz w:val="18"/>
          <w:szCs w:val="18"/>
        </w:rPr>
        <w:t>Royalty Agreement</w:t>
      </w:r>
    </w:p>
    <w:p w14:paraId="74B564E0" w14:textId="77777777" w:rsidR="002B6780" w:rsidRDefault="002B6780" w:rsidP="002B6780">
      <w:pPr>
        <w:tabs>
          <w:tab w:val="left" w:pos="851"/>
          <w:tab w:val="left" w:pos="1200"/>
        </w:tabs>
        <w:kinsoku w:val="0"/>
        <w:overflowPunct w:val="0"/>
        <w:ind w:left="839" w:right="1022"/>
        <w:jc w:val="both"/>
        <w:rPr>
          <w:b/>
          <w:bCs/>
          <w:sz w:val="18"/>
          <w:szCs w:val="18"/>
        </w:rPr>
      </w:pPr>
    </w:p>
    <w:p w14:paraId="6DEBDAC9" w14:textId="77777777" w:rsidR="002B6780" w:rsidRPr="00CA15C3" w:rsidRDefault="002B6780" w:rsidP="002B6780">
      <w:pPr>
        <w:tabs>
          <w:tab w:val="left" w:pos="851"/>
          <w:tab w:val="left" w:pos="1200"/>
        </w:tabs>
        <w:kinsoku w:val="0"/>
        <w:overflowPunct w:val="0"/>
        <w:ind w:left="839" w:right="1022"/>
        <w:jc w:val="both"/>
        <w:rPr>
          <w:bCs/>
          <w:sz w:val="18"/>
          <w:szCs w:val="18"/>
        </w:rPr>
      </w:pPr>
      <w:r w:rsidRPr="00CA15C3">
        <w:rPr>
          <w:bCs/>
          <w:sz w:val="18"/>
          <w:szCs w:val="18"/>
        </w:rPr>
        <w:t xml:space="preserve">On 13 May 2021, Altius Royalty Corporation and NLCO entered into a royalty agreement pursuant to which </w:t>
      </w:r>
      <w:r w:rsidRPr="00CA15C3">
        <w:rPr>
          <w:bCs/>
          <w:sz w:val="18"/>
          <w:szCs w:val="18"/>
        </w:rPr>
        <w:lastRenderedPageBreak/>
        <w:t>NLCO has agreed to pay Altius a gross sales royalty of 1.6% from all commercial production of the minerals from the Adeline Copper Project, which is to be calculated and paid in accordance with the provisions of the agreement.</w:t>
      </w:r>
    </w:p>
    <w:p w14:paraId="0C354324" w14:textId="77777777" w:rsidR="002B6780" w:rsidRPr="00CA15C3" w:rsidRDefault="002B6780" w:rsidP="002B6780">
      <w:pPr>
        <w:tabs>
          <w:tab w:val="left" w:pos="851"/>
          <w:tab w:val="left" w:pos="1200"/>
        </w:tabs>
        <w:kinsoku w:val="0"/>
        <w:overflowPunct w:val="0"/>
        <w:ind w:left="839" w:right="1022"/>
        <w:jc w:val="both"/>
        <w:rPr>
          <w:bCs/>
          <w:sz w:val="18"/>
          <w:szCs w:val="18"/>
        </w:rPr>
      </w:pPr>
    </w:p>
    <w:p w14:paraId="725D61C4" w14:textId="77777777" w:rsidR="002B6780" w:rsidRPr="00CA15C3" w:rsidRDefault="002B6780" w:rsidP="002B6780">
      <w:pPr>
        <w:tabs>
          <w:tab w:val="left" w:pos="851"/>
          <w:tab w:val="left" w:pos="1200"/>
        </w:tabs>
        <w:kinsoku w:val="0"/>
        <w:overflowPunct w:val="0"/>
        <w:ind w:left="839" w:right="1022"/>
        <w:jc w:val="both"/>
        <w:rPr>
          <w:bCs/>
          <w:sz w:val="18"/>
          <w:szCs w:val="18"/>
        </w:rPr>
      </w:pPr>
      <w:r w:rsidRPr="00CA15C3">
        <w:rPr>
          <w:bCs/>
          <w:sz w:val="18"/>
          <w:szCs w:val="18"/>
        </w:rPr>
        <w:t>The Technical Services Agreement is governed by, and arbitration shall be conducted in accordance with, the laws of the Province of Ontario,</w:t>
      </w:r>
    </w:p>
    <w:p w14:paraId="06186FBA" w14:textId="77777777" w:rsidR="00A53199" w:rsidRDefault="00A53199" w:rsidP="00844635">
      <w:pPr>
        <w:pStyle w:val="Heading1"/>
        <w:tabs>
          <w:tab w:val="left" w:pos="840"/>
        </w:tabs>
        <w:kinsoku w:val="0"/>
        <w:overflowPunct w:val="0"/>
        <w:ind w:left="839"/>
        <w:jc w:val="both"/>
        <w:rPr>
          <w:color w:val="231F20"/>
        </w:rPr>
      </w:pPr>
    </w:p>
    <w:p w14:paraId="1D018B06" w14:textId="77777777" w:rsidR="002B6780" w:rsidRDefault="002B6780" w:rsidP="00512495">
      <w:pPr>
        <w:pStyle w:val="Heading1"/>
        <w:numPr>
          <w:ilvl w:val="1"/>
          <w:numId w:val="13"/>
        </w:numPr>
        <w:tabs>
          <w:tab w:val="left" w:pos="840"/>
        </w:tabs>
        <w:kinsoku w:val="0"/>
        <w:overflowPunct w:val="0"/>
        <w:ind w:left="839" w:right="1022"/>
        <w:jc w:val="both"/>
        <w:rPr>
          <w:color w:val="231F20"/>
        </w:rPr>
      </w:pPr>
      <w:r>
        <w:rPr>
          <w:color w:val="231F20"/>
        </w:rPr>
        <w:t>Placing Agreement in relation to the Placing</w:t>
      </w:r>
    </w:p>
    <w:p w14:paraId="5F3F1D13" w14:textId="77777777" w:rsidR="002B6780" w:rsidRDefault="002B6780" w:rsidP="002B6780">
      <w:pPr>
        <w:ind w:left="839" w:right="1022"/>
        <w:jc w:val="both"/>
      </w:pPr>
    </w:p>
    <w:p w14:paraId="134B4F13" w14:textId="63ED2726" w:rsidR="002B6780" w:rsidRDefault="002B6780" w:rsidP="002B6780">
      <w:pPr>
        <w:ind w:left="839" w:right="1022"/>
        <w:jc w:val="both"/>
        <w:rPr>
          <w:sz w:val="18"/>
          <w:szCs w:val="18"/>
        </w:rPr>
      </w:pPr>
      <w:r w:rsidRPr="003778D5">
        <w:rPr>
          <w:sz w:val="18"/>
          <w:szCs w:val="18"/>
        </w:rPr>
        <w:t xml:space="preserve">On </w:t>
      </w:r>
      <w:r w:rsidR="009A7B0A">
        <w:rPr>
          <w:sz w:val="18"/>
          <w:szCs w:val="18"/>
        </w:rPr>
        <w:t>1 July</w:t>
      </w:r>
      <w:r>
        <w:rPr>
          <w:sz w:val="18"/>
          <w:szCs w:val="18"/>
        </w:rPr>
        <w:t xml:space="preserve"> 2021</w:t>
      </w:r>
      <w:r w:rsidRPr="003778D5">
        <w:rPr>
          <w:sz w:val="18"/>
          <w:szCs w:val="18"/>
        </w:rPr>
        <w:t xml:space="preserve">, the Company entered into a Placing Agreement with Panmure Gordon, </w:t>
      </w:r>
      <w:r>
        <w:rPr>
          <w:sz w:val="18"/>
          <w:szCs w:val="18"/>
        </w:rPr>
        <w:t xml:space="preserve">pursuant to which, subject to certain conditions, Panmure Gordon agreed to use reasonable endeavours to procure </w:t>
      </w:r>
      <w:r w:rsidR="00CE7F94">
        <w:rPr>
          <w:sz w:val="18"/>
          <w:szCs w:val="18"/>
        </w:rPr>
        <w:t>subscribers</w:t>
      </w:r>
      <w:r>
        <w:rPr>
          <w:sz w:val="18"/>
          <w:szCs w:val="18"/>
        </w:rPr>
        <w:t xml:space="preserve"> for Ordinary Shares to be issued pursuant to the Placing. </w:t>
      </w:r>
    </w:p>
    <w:p w14:paraId="4B255854" w14:textId="77777777" w:rsidR="002B6780" w:rsidRDefault="002B6780" w:rsidP="002B6780">
      <w:pPr>
        <w:ind w:left="839" w:right="1022"/>
        <w:jc w:val="both"/>
        <w:rPr>
          <w:sz w:val="18"/>
          <w:szCs w:val="18"/>
        </w:rPr>
      </w:pPr>
    </w:p>
    <w:p w14:paraId="2747C4B7" w14:textId="77777777" w:rsidR="00823044" w:rsidRDefault="002B6780" w:rsidP="00823044">
      <w:pPr>
        <w:ind w:left="839" w:right="1022"/>
        <w:jc w:val="both"/>
        <w:rPr>
          <w:sz w:val="18"/>
          <w:szCs w:val="18"/>
        </w:rPr>
      </w:pPr>
      <w:r>
        <w:rPr>
          <w:sz w:val="18"/>
          <w:szCs w:val="18"/>
        </w:rPr>
        <w:t>In consideration for its services under the Placing Agreement, Panmure Gordon will</w:t>
      </w:r>
      <w:r w:rsidR="008C11DD">
        <w:rPr>
          <w:sz w:val="18"/>
          <w:szCs w:val="18"/>
        </w:rPr>
        <w:t>, conditional on Admission,</w:t>
      </w:r>
      <w:r>
        <w:rPr>
          <w:sz w:val="18"/>
          <w:szCs w:val="18"/>
        </w:rPr>
        <w:t xml:space="preserve"> receive a cash commission</w:t>
      </w:r>
      <w:r w:rsidR="008C11DD">
        <w:rPr>
          <w:sz w:val="18"/>
          <w:szCs w:val="18"/>
        </w:rPr>
        <w:t>.</w:t>
      </w:r>
    </w:p>
    <w:p w14:paraId="7D828321" w14:textId="77777777" w:rsidR="00823044" w:rsidRDefault="00823044" w:rsidP="00823044">
      <w:pPr>
        <w:ind w:left="839" w:right="1022"/>
        <w:jc w:val="both"/>
        <w:rPr>
          <w:sz w:val="18"/>
          <w:szCs w:val="18"/>
        </w:rPr>
      </w:pPr>
    </w:p>
    <w:p w14:paraId="72BA72D8" w14:textId="103ED417" w:rsidR="002B6780" w:rsidRDefault="00823044" w:rsidP="00823044">
      <w:pPr>
        <w:ind w:left="839" w:right="1022"/>
        <w:jc w:val="both"/>
        <w:rPr>
          <w:sz w:val="18"/>
          <w:szCs w:val="18"/>
        </w:rPr>
      </w:pPr>
      <w:r w:rsidRPr="00823044">
        <w:rPr>
          <w:sz w:val="18"/>
          <w:szCs w:val="18"/>
        </w:rPr>
        <w:t xml:space="preserve">In the Placing Agreement, the Company gives customary warranties, </w:t>
      </w:r>
      <w:proofErr w:type="gramStart"/>
      <w:r w:rsidRPr="00823044">
        <w:rPr>
          <w:sz w:val="18"/>
          <w:szCs w:val="18"/>
        </w:rPr>
        <w:t>undertakings</w:t>
      </w:r>
      <w:proofErr w:type="gramEnd"/>
      <w:r w:rsidRPr="00823044">
        <w:rPr>
          <w:sz w:val="18"/>
          <w:szCs w:val="18"/>
        </w:rPr>
        <w:t xml:space="preserve"> and indemnities to Panmure Gordon.</w:t>
      </w:r>
    </w:p>
    <w:p w14:paraId="75D4AA9F" w14:textId="27AD7A13" w:rsidR="002B6780" w:rsidRDefault="002B6780" w:rsidP="002B6780">
      <w:pPr>
        <w:ind w:left="839" w:right="1022"/>
        <w:jc w:val="both"/>
        <w:rPr>
          <w:sz w:val="18"/>
          <w:szCs w:val="18"/>
        </w:rPr>
      </w:pPr>
    </w:p>
    <w:p w14:paraId="7D74771B" w14:textId="540AE9B7" w:rsidR="00CE7F94" w:rsidRDefault="00CE7F94" w:rsidP="00CE7F94">
      <w:pPr>
        <w:ind w:left="839" w:right="1022"/>
        <w:jc w:val="both"/>
        <w:rPr>
          <w:sz w:val="18"/>
          <w:szCs w:val="18"/>
        </w:rPr>
      </w:pPr>
      <w:r>
        <w:rPr>
          <w:sz w:val="18"/>
          <w:szCs w:val="18"/>
        </w:rPr>
        <w:t>The Placing Agreement is conditional on Admiss</w:t>
      </w:r>
      <w:r w:rsidR="00E36D1F">
        <w:rPr>
          <w:sz w:val="18"/>
          <w:szCs w:val="18"/>
        </w:rPr>
        <w:t>i</w:t>
      </w:r>
      <w:r>
        <w:rPr>
          <w:sz w:val="18"/>
          <w:szCs w:val="18"/>
        </w:rPr>
        <w:t xml:space="preserve">on and certain other customary conditions </w:t>
      </w:r>
      <w:proofErr w:type="gramStart"/>
      <w:r>
        <w:rPr>
          <w:sz w:val="18"/>
          <w:szCs w:val="18"/>
        </w:rPr>
        <w:t>and also</w:t>
      </w:r>
      <w:proofErr w:type="gramEnd"/>
      <w:r>
        <w:rPr>
          <w:sz w:val="18"/>
          <w:szCs w:val="18"/>
        </w:rPr>
        <w:t xml:space="preserve"> has certain termination rights in favour of Panmure Gordon. </w:t>
      </w:r>
    </w:p>
    <w:p w14:paraId="319D5FE4" w14:textId="77777777" w:rsidR="00CE7F94" w:rsidRDefault="00CE7F94" w:rsidP="00CE7F94">
      <w:pPr>
        <w:ind w:right="1022"/>
        <w:jc w:val="both"/>
        <w:rPr>
          <w:sz w:val="18"/>
          <w:szCs w:val="18"/>
        </w:rPr>
      </w:pPr>
    </w:p>
    <w:p w14:paraId="7AA2942A" w14:textId="54BF891A" w:rsidR="002B6780" w:rsidRDefault="002B6780" w:rsidP="002B6780">
      <w:pPr>
        <w:ind w:left="839" w:right="1022"/>
        <w:jc w:val="both"/>
        <w:rPr>
          <w:sz w:val="18"/>
          <w:szCs w:val="18"/>
        </w:rPr>
      </w:pPr>
      <w:r>
        <w:rPr>
          <w:sz w:val="18"/>
          <w:szCs w:val="18"/>
        </w:rPr>
        <w:t xml:space="preserve">The Placing Agreement is governed by English Law and the parties submit to the non-exclusive jurisdiction of the Courts of England. </w:t>
      </w:r>
    </w:p>
    <w:p w14:paraId="435DF795" w14:textId="77777777" w:rsidR="004057C2" w:rsidRPr="003778D5" w:rsidRDefault="004057C2" w:rsidP="00FC2F8C">
      <w:pPr>
        <w:rPr>
          <w:sz w:val="18"/>
          <w:szCs w:val="18"/>
        </w:rPr>
      </w:pPr>
    </w:p>
    <w:p w14:paraId="06EFE0BB" w14:textId="796B7D53" w:rsidR="00783288" w:rsidRDefault="00E31420" w:rsidP="00512495">
      <w:pPr>
        <w:pStyle w:val="Heading1"/>
        <w:numPr>
          <w:ilvl w:val="1"/>
          <w:numId w:val="13"/>
        </w:numPr>
        <w:tabs>
          <w:tab w:val="left" w:pos="840"/>
        </w:tabs>
        <w:kinsoku w:val="0"/>
        <w:overflowPunct w:val="0"/>
        <w:ind w:left="839"/>
        <w:rPr>
          <w:color w:val="231F20"/>
        </w:rPr>
      </w:pPr>
      <w:r>
        <w:rPr>
          <w:color w:val="231F20"/>
        </w:rPr>
        <w:t>Placing Agreement in relation to the</w:t>
      </w:r>
      <w:r>
        <w:rPr>
          <w:color w:val="231F20"/>
          <w:spacing w:val="4"/>
        </w:rPr>
        <w:t xml:space="preserve"> </w:t>
      </w:r>
      <w:r w:rsidR="002D4A95">
        <w:rPr>
          <w:color w:val="231F20"/>
        </w:rPr>
        <w:t>December 2</w:t>
      </w:r>
      <w:r w:rsidR="00887DDE">
        <w:rPr>
          <w:color w:val="231F20"/>
        </w:rPr>
        <w:t>020 Placing</w:t>
      </w:r>
    </w:p>
    <w:p w14:paraId="3B8D11FE" w14:textId="77777777" w:rsidR="00783288" w:rsidRDefault="00783288">
      <w:pPr>
        <w:pStyle w:val="BodyText"/>
        <w:kinsoku w:val="0"/>
        <w:overflowPunct w:val="0"/>
        <w:spacing w:before="2"/>
        <w:rPr>
          <w:b/>
          <w:bCs/>
          <w:sz w:val="21"/>
          <w:szCs w:val="21"/>
        </w:rPr>
      </w:pPr>
    </w:p>
    <w:p w14:paraId="2DF80F9F" w14:textId="77777777" w:rsidR="00783288" w:rsidRDefault="00E31420">
      <w:pPr>
        <w:pStyle w:val="BodyText"/>
        <w:kinsoku w:val="0"/>
        <w:overflowPunct w:val="0"/>
        <w:spacing w:before="1"/>
        <w:ind w:left="839" w:right="1034"/>
        <w:jc w:val="both"/>
        <w:rPr>
          <w:color w:val="231F20"/>
        </w:rPr>
      </w:pPr>
      <w:r>
        <w:rPr>
          <w:color w:val="231F20"/>
        </w:rPr>
        <w:t>On 7 December 2020, the Company entered into a Placing Agreement with Fox Davies, pursuant to which, subject to certain conditions, Fox Davies agreed to use reasonable endeavours to procure purchasers for Ordinary Share</w:t>
      </w:r>
      <w:r w:rsidR="003778D5">
        <w:rPr>
          <w:color w:val="231F20"/>
        </w:rPr>
        <w:t>s</w:t>
      </w:r>
      <w:r>
        <w:rPr>
          <w:color w:val="231F20"/>
        </w:rPr>
        <w:t xml:space="preserve"> to be issued pursuant to the </w:t>
      </w:r>
      <w:r w:rsidR="00532BFA">
        <w:rPr>
          <w:color w:val="231F20"/>
        </w:rPr>
        <w:t xml:space="preserve">December 2020 </w:t>
      </w:r>
      <w:r>
        <w:rPr>
          <w:color w:val="231F20"/>
        </w:rPr>
        <w:t>Fundraise.</w:t>
      </w:r>
    </w:p>
    <w:p w14:paraId="207C1224" w14:textId="77777777" w:rsidR="00783288" w:rsidRDefault="00783288">
      <w:pPr>
        <w:pStyle w:val="BodyText"/>
        <w:kinsoku w:val="0"/>
        <w:overflowPunct w:val="0"/>
        <w:spacing w:before="10"/>
        <w:rPr>
          <w:sz w:val="20"/>
          <w:szCs w:val="20"/>
        </w:rPr>
      </w:pPr>
    </w:p>
    <w:p w14:paraId="52D0BE94" w14:textId="2BB3C3A1" w:rsidR="00783288" w:rsidRDefault="00E31420">
      <w:pPr>
        <w:pStyle w:val="BodyText"/>
        <w:kinsoku w:val="0"/>
        <w:overflowPunct w:val="0"/>
        <w:ind w:left="839" w:right="1037"/>
        <w:jc w:val="both"/>
        <w:rPr>
          <w:color w:val="231F20"/>
        </w:rPr>
      </w:pPr>
      <w:r>
        <w:rPr>
          <w:color w:val="231F20"/>
        </w:rPr>
        <w:t>In consideration for its services under the Placing Agreement Fox Davies received from the Company (</w:t>
      </w:r>
      <w:proofErr w:type="spellStart"/>
      <w:r>
        <w:rPr>
          <w:color w:val="231F20"/>
        </w:rPr>
        <w:t>i</w:t>
      </w:r>
      <w:proofErr w:type="spellEnd"/>
      <w:r>
        <w:rPr>
          <w:color w:val="231F20"/>
        </w:rPr>
        <w:t>) a cash</w:t>
      </w:r>
      <w:r>
        <w:rPr>
          <w:color w:val="231F20"/>
          <w:spacing w:val="-9"/>
        </w:rPr>
        <w:t xml:space="preserve"> </w:t>
      </w:r>
      <w:r>
        <w:rPr>
          <w:color w:val="231F20"/>
        </w:rPr>
        <w:t>commission</w:t>
      </w:r>
      <w:r>
        <w:rPr>
          <w:color w:val="231F20"/>
          <w:spacing w:val="-9"/>
        </w:rPr>
        <w:t xml:space="preserve"> </w:t>
      </w:r>
      <w:r>
        <w:rPr>
          <w:color w:val="231F20"/>
        </w:rPr>
        <w:t>of</w:t>
      </w:r>
      <w:r>
        <w:rPr>
          <w:color w:val="231F20"/>
          <w:spacing w:val="-9"/>
        </w:rPr>
        <w:t xml:space="preserve"> </w:t>
      </w:r>
      <w:r>
        <w:rPr>
          <w:color w:val="231F20"/>
        </w:rPr>
        <w:t>5%</w:t>
      </w:r>
      <w:r>
        <w:rPr>
          <w:color w:val="231F20"/>
          <w:spacing w:val="-9"/>
        </w:rPr>
        <w:t xml:space="preserve"> </w:t>
      </w:r>
      <w:r>
        <w:rPr>
          <w:color w:val="231F20"/>
        </w:rPr>
        <w:t>of</w:t>
      </w:r>
      <w:r>
        <w:rPr>
          <w:color w:val="231F20"/>
          <w:spacing w:val="-9"/>
        </w:rPr>
        <w:t xml:space="preserve"> </w:t>
      </w:r>
      <w:r>
        <w:rPr>
          <w:color w:val="231F20"/>
        </w:rPr>
        <w:t>the</w:t>
      </w:r>
      <w:r>
        <w:rPr>
          <w:color w:val="231F20"/>
          <w:spacing w:val="-11"/>
        </w:rPr>
        <w:t xml:space="preserve"> </w:t>
      </w:r>
      <w:r>
        <w:rPr>
          <w:color w:val="231F20"/>
        </w:rPr>
        <w:t>aggregate</w:t>
      </w:r>
      <w:r>
        <w:rPr>
          <w:color w:val="231F20"/>
          <w:spacing w:val="-9"/>
        </w:rPr>
        <w:t xml:space="preserve"> </w:t>
      </w:r>
      <w:r>
        <w:rPr>
          <w:color w:val="231F20"/>
        </w:rPr>
        <w:t>value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Placing</w:t>
      </w:r>
      <w:r>
        <w:rPr>
          <w:color w:val="231F20"/>
          <w:spacing w:val="-11"/>
        </w:rPr>
        <w:t xml:space="preserve"> </w:t>
      </w:r>
      <w:r>
        <w:rPr>
          <w:color w:val="231F20"/>
        </w:rPr>
        <w:t>Price</w:t>
      </w:r>
      <w:r>
        <w:rPr>
          <w:color w:val="231F20"/>
          <w:spacing w:val="-9"/>
        </w:rPr>
        <w:t xml:space="preserve"> </w:t>
      </w:r>
      <w:r>
        <w:rPr>
          <w:color w:val="231F20"/>
        </w:rPr>
        <w:t>multiplied</w:t>
      </w:r>
      <w:r>
        <w:rPr>
          <w:color w:val="231F20"/>
          <w:spacing w:val="-9"/>
        </w:rPr>
        <w:t xml:space="preserve"> </w:t>
      </w:r>
      <w:r>
        <w:rPr>
          <w:color w:val="231F20"/>
        </w:rPr>
        <w:t>by</w:t>
      </w:r>
      <w:r>
        <w:rPr>
          <w:color w:val="231F20"/>
          <w:spacing w:val="-10"/>
        </w:rPr>
        <w:t xml:space="preserve"> </w:t>
      </w:r>
      <w:r>
        <w:rPr>
          <w:color w:val="231F20"/>
        </w:rPr>
        <w:t>the</w:t>
      </w:r>
      <w:r>
        <w:rPr>
          <w:color w:val="231F20"/>
          <w:spacing w:val="-9"/>
        </w:rPr>
        <w:t xml:space="preserve"> </w:t>
      </w:r>
      <w:r>
        <w:rPr>
          <w:color w:val="231F20"/>
        </w:rPr>
        <w:t>number</w:t>
      </w:r>
      <w:r>
        <w:rPr>
          <w:color w:val="231F20"/>
          <w:spacing w:val="-9"/>
        </w:rPr>
        <w:t xml:space="preserve"> </w:t>
      </w:r>
      <w:r>
        <w:rPr>
          <w:color w:val="231F20"/>
        </w:rPr>
        <w:t>of</w:t>
      </w:r>
      <w:r>
        <w:rPr>
          <w:color w:val="231F20"/>
          <w:spacing w:val="-8"/>
        </w:rPr>
        <w:t xml:space="preserve"> </w:t>
      </w:r>
      <w:r>
        <w:rPr>
          <w:color w:val="231F20"/>
        </w:rPr>
        <w:t>placing</w:t>
      </w:r>
      <w:r>
        <w:rPr>
          <w:color w:val="231F20"/>
          <w:spacing w:val="-9"/>
        </w:rPr>
        <w:t xml:space="preserve"> </w:t>
      </w:r>
      <w:r>
        <w:rPr>
          <w:color w:val="231F20"/>
        </w:rPr>
        <w:t>shares issued (being a total of £5,000); and (ii) 55,556 warrants granted pursuant to a Broker Warrant as set out at paragraph 14.</w:t>
      </w:r>
      <w:r w:rsidR="00375879">
        <w:rPr>
          <w:color w:val="231F20"/>
        </w:rPr>
        <w:t>4</w:t>
      </w:r>
      <w:r>
        <w:rPr>
          <w:color w:val="231F20"/>
        </w:rPr>
        <w:t xml:space="preserve"> of this Part</w:t>
      </w:r>
      <w:r>
        <w:rPr>
          <w:color w:val="231F20"/>
          <w:spacing w:val="-1"/>
        </w:rPr>
        <w:t xml:space="preserve"> </w:t>
      </w:r>
      <w:r>
        <w:rPr>
          <w:color w:val="231F20"/>
        </w:rPr>
        <w:t>VII.</w:t>
      </w:r>
      <w:r w:rsidR="00B652B5">
        <w:rPr>
          <w:color w:val="231F20"/>
        </w:rPr>
        <w:t xml:space="preserve">  The Company also agreed to pay to Fox Davies certain commissions, and issue certain Warrants to Fox Davies, in connection with future fundraisings for a period of 24 months from completion of the December 2020 Placing.</w:t>
      </w:r>
    </w:p>
    <w:p w14:paraId="2D2C02E4" w14:textId="77777777" w:rsidR="00783288" w:rsidRDefault="00783288">
      <w:pPr>
        <w:pStyle w:val="BodyText"/>
        <w:kinsoku w:val="0"/>
        <w:overflowPunct w:val="0"/>
        <w:spacing w:before="10"/>
        <w:rPr>
          <w:sz w:val="20"/>
          <w:szCs w:val="20"/>
        </w:rPr>
      </w:pPr>
    </w:p>
    <w:p w14:paraId="0C77B77A" w14:textId="15F89C6F" w:rsidR="00783288" w:rsidRDefault="00E31420">
      <w:pPr>
        <w:pStyle w:val="BodyText"/>
        <w:kinsoku w:val="0"/>
        <w:overflowPunct w:val="0"/>
        <w:ind w:left="839" w:right="1036"/>
        <w:jc w:val="both"/>
        <w:rPr>
          <w:color w:val="231F20"/>
        </w:rPr>
      </w:pPr>
      <w:r>
        <w:rPr>
          <w:color w:val="231F20"/>
        </w:rPr>
        <w:t xml:space="preserve">In the Placing Agreement, the Company gives customary warranties, </w:t>
      </w:r>
      <w:proofErr w:type="gramStart"/>
      <w:r>
        <w:rPr>
          <w:color w:val="231F20"/>
        </w:rPr>
        <w:t>undertakings</w:t>
      </w:r>
      <w:proofErr w:type="gramEnd"/>
      <w:r>
        <w:rPr>
          <w:color w:val="231F20"/>
        </w:rPr>
        <w:t xml:space="preserve"> and indemnities to Fox Davies. The Placing Agreement is governed by English Law and the parties submit to the non-exclusive jurisdiction of the Courts of England.</w:t>
      </w:r>
    </w:p>
    <w:p w14:paraId="3FD7D91E" w14:textId="77777777" w:rsidR="007B40DE" w:rsidRDefault="007B40DE" w:rsidP="001A7287">
      <w:pPr>
        <w:pStyle w:val="BodyText"/>
        <w:kinsoku w:val="0"/>
        <w:overflowPunct w:val="0"/>
        <w:ind w:right="1036"/>
        <w:jc w:val="both"/>
        <w:rPr>
          <w:color w:val="231F20"/>
        </w:rPr>
      </w:pPr>
    </w:p>
    <w:p w14:paraId="174B612C" w14:textId="1AC31D63" w:rsidR="007B40DE" w:rsidRPr="001A7287" w:rsidRDefault="007B40DE" w:rsidP="00512495">
      <w:pPr>
        <w:pStyle w:val="Heading1"/>
        <w:numPr>
          <w:ilvl w:val="1"/>
          <w:numId w:val="13"/>
        </w:numPr>
        <w:tabs>
          <w:tab w:val="left" w:pos="840"/>
        </w:tabs>
        <w:kinsoku w:val="0"/>
        <w:overflowPunct w:val="0"/>
        <w:rPr>
          <w:color w:val="231F20"/>
        </w:rPr>
      </w:pPr>
      <w:r>
        <w:rPr>
          <w:color w:val="231F20"/>
        </w:rPr>
        <w:t>July 2020 Placing Agreement in respect of the July 2020 Fundraise</w:t>
      </w:r>
    </w:p>
    <w:p w14:paraId="325D01E2" w14:textId="217B6E83" w:rsidR="00783288" w:rsidRDefault="00E31420">
      <w:pPr>
        <w:pStyle w:val="BodyText"/>
        <w:kinsoku w:val="0"/>
        <w:overflowPunct w:val="0"/>
        <w:spacing w:before="78"/>
        <w:ind w:left="839" w:right="1036"/>
        <w:jc w:val="both"/>
        <w:rPr>
          <w:color w:val="231F20"/>
        </w:rPr>
      </w:pPr>
      <w:r>
        <w:rPr>
          <w:color w:val="231F20"/>
        </w:rPr>
        <w:t>On</w:t>
      </w:r>
      <w:r>
        <w:rPr>
          <w:color w:val="231F20"/>
          <w:spacing w:val="-6"/>
        </w:rPr>
        <w:t xml:space="preserve"> </w:t>
      </w:r>
      <w:r>
        <w:rPr>
          <w:color w:val="231F20"/>
        </w:rPr>
        <w:t>30</w:t>
      </w:r>
      <w:r>
        <w:rPr>
          <w:color w:val="231F20"/>
          <w:spacing w:val="-6"/>
        </w:rPr>
        <w:t xml:space="preserve"> </w:t>
      </w:r>
      <w:r>
        <w:rPr>
          <w:color w:val="231F20"/>
        </w:rPr>
        <w:t>July</w:t>
      </w:r>
      <w:r>
        <w:rPr>
          <w:color w:val="231F20"/>
          <w:spacing w:val="-8"/>
        </w:rPr>
        <w:t xml:space="preserve"> </w:t>
      </w:r>
      <w:r>
        <w:rPr>
          <w:color w:val="231F20"/>
        </w:rPr>
        <w:t>2020,</w:t>
      </w:r>
      <w:r>
        <w:rPr>
          <w:color w:val="231F20"/>
          <w:spacing w:val="-5"/>
        </w:rPr>
        <w:t xml:space="preserve"> </w:t>
      </w:r>
      <w:r>
        <w:rPr>
          <w:color w:val="231F20"/>
        </w:rPr>
        <w:t>the</w:t>
      </w:r>
      <w:r>
        <w:rPr>
          <w:color w:val="231F20"/>
          <w:spacing w:val="-6"/>
        </w:rPr>
        <w:t xml:space="preserve"> </w:t>
      </w:r>
      <w:r>
        <w:rPr>
          <w:color w:val="231F20"/>
        </w:rPr>
        <w:t>Company</w:t>
      </w:r>
      <w:r>
        <w:rPr>
          <w:color w:val="231F20"/>
          <w:spacing w:val="-8"/>
        </w:rPr>
        <w:t xml:space="preserve"> </w:t>
      </w:r>
      <w:r>
        <w:rPr>
          <w:color w:val="231F20"/>
        </w:rPr>
        <w:t>entered</w:t>
      </w:r>
      <w:r>
        <w:rPr>
          <w:color w:val="231F20"/>
          <w:spacing w:val="-6"/>
        </w:rPr>
        <w:t xml:space="preserve"> </w:t>
      </w:r>
      <w:r>
        <w:rPr>
          <w:color w:val="231F20"/>
        </w:rPr>
        <w:t>into</w:t>
      </w:r>
      <w:r>
        <w:rPr>
          <w:color w:val="231F20"/>
          <w:spacing w:val="-5"/>
        </w:rPr>
        <w:t xml:space="preserve"> </w:t>
      </w:r>
      <w:r>
        <w:rPr>
          <w:color w:val="231F20"/>
        </w:rPr>
        <w:t>a</w:t>
      </w:r>
      <w:r>
        <w:rPr>
          <w:color w:val="231F20"/>
          <w:spacing w:val="-6"/>
        </w:rPr>
        <w:t xml:space="preserve"> </w:t>
      </w:r>
      <w:r>
        <w:rPr>
          <w:color w:val="231F20"/>
        </w:rPr>
        <w:t>Placing</w:t>
      </w:r>
      <w:r>
        <w:rPr>
          <w:color w:val="231F20"/>
          <w:spacing w:val="-6"/>
        </w:rPr>
        <w:t xml:space="preserve"> </w:t>
      </w:r>
      <w:r>
        <w:rPr>
          <w:color w:val="231F20"/>
        </w:rPr>
        <w:t>Agreement</w:t>
      </w:r>
      <w:r>
        <w:rPr>
          <w:color w:val="231F20"/>
          <w:spacing w:val="-6"/>
        </w:rPr>
        <w:t xml:space="preserve"> </w:t>
      </w:r>
      <w:r>
        <w:rPr>
          <w:color w:val="231F20"/>
        </w:rPr>
        <w:t>with</w:t>
      </w:r>
      <w:r>
        <w:rPr>
          <w:color w:val="231F20"/>
          <w:spacing w:val="-6"/>
        </w:rPr>
        <w:t xml:space="preserve"> </w:t>
      </w:r>
      <w:r>
        <w:rPr>
          <w:color w:val="231F20"/>
        </w:rPr>
        <w:t>Fox</w:t>
      </w:r>
      <w:r>
        <w:rPr>
          <w:color w:val="231F20"/>
          <w:spacing w:val="-9"/>
        </w:rPr>
        <w:t xml:space="preserve"> </w:t>
      </w:r>
      <w:r>
        <w:rPr>
          <w:color w:val="231F20"/>
        </w:rPr>
        <w:t>Davies,</w:t>
      </w:r>
      <w:r>
        <w:rPr>
          <w:color w:val="231F20"/>
          <w:spacing w:val="-6"/>
        </w:rPr>
        <w:t xml:space="preserve"> </w:t>
      </w:r>
      <w:r>
        <w:rPr>
          <w:color w:val="231F20"/>
        </w:rPr>
        <w:t>pursuant</w:t>
      </w:r>
      <w:r>
        <w:rPr>
          <w:color w:val="231F20"/>
          <w:spacing w:val="-6"/>
        </w:rPr>
        <w:t xml:space="preserve"> </w:t>
      </w:r>
      <w:r>
        <w:rPr>
          <w:color w:val="231F20"/>
        </w:rPr>
        <w:t>to</w:t>
      </w:r>
      <w:r>
        <w:rPr>
          <w:color w:val="231F20"/>
          <w:spacing w:val="-5"/>
        </w:rPr>
        <w:t xml:space="preserve"> </w:t>
      </w:r>
      <w:r>
        <w:rPr>
          <w:color w:val="231F20"/>
        </w:rPr>
        <w:t>which,</w:t>
      </w:r>
      <w:r>
        <w:rPr>
          <w:color w:val="231F20"/>
          <w:spacing w:val="-6"/>
        </w:rPr>
        <w:t xml:space="preserve"> </w:t>
      </w:r>
      <w:r>
        <w:rPr>
          <w:color w:val="231F20"/>
        </w:rPr>
        <w:t>subject to certain conditions, Fox Davies agreed to use reasonable endeavours to procure purchasers for Ordinary Share to be issued pursuant to the July 2020</w:t>
      </w:r>
      <w:r>
        <w:rPr>
          <w:color w:val="231F20"/>
          <w:spacing w:val="-8"/>
        </w:rPr>
        <w:t xml:space="preserve"> </w:t>
      </w:r>
      <w:r>
        <w:rPr>
          <w:color w:val="231F20"/>
        </w:rPr>
        <w:t>Fundraise.</w:t>
      </w:r>
    </w:p>
    <w:p w14:paraId="351DF64C" w14:textId="77777777" w:rsidR="00783288" w:rsidRDefault="00783288">
      <w:pPr>
        <w:pStyle w:val="BodyText"/>
        <w:kinsoku w:val="0"/>
        <w:overflowPunct w:val="0"/>
        <w:spacing w:before="10"/>
        <w:rPr>
          <w:sz w:val="20"/>
          <w:szCs w:val="20"/>
        </w:rPr>
      </w:pPr>
    </w:p>
    <w:p w14:paraId="597E881E" w14:textId="0C94B643" w:rsidR="00783288" w:rsidRDefault="00E31420">
      <w:pPr>
        <w:pStyle w:val="BodyText"/>
        <w:kinsoku w:val="0"/>
        <w:overflowPunct w:val="0"/>
        <w:ind w:left="839" w:right="1037"/>
        <w:jc w:val="both"/>
        <w:rPr>
          <w:color w:val="231F20"/>
        </w:rPr>
      </w:pPr>
      <w:r>
        <w:rPr>
          <w:color w:val="231F20"/>
        </w:rPr>
        <w:t>In consideration for its services under the July 2020 Placing Agreement Fox Davies received from the Company</w:t>
      </w:r>
      <w:r>
        <w:rPr>
          <w:color w:val="231F20"/>
          <w:spacing w:val="-6"/>
        </w:rPr>
        <w:t xml:space="preserve"> </w:t>
      </w:r>
      <w:r>
        <w:rPr>
          <w:color w:val="231F20"/>
        </w:rPr>
        <w:t>(</w:t>
      </w:r>
      <w:proofErr w:type="spellStart"/>
      <w:r>
        <w:rPr>
          <w:color w:val="231F20"/>
        </w:rPr>
        <w:t>i</w:t>
      </w:r>
      <w:proofErr w:type="spellEnd"/>
      <w:r>
        <w:rPr>
          <w:color w:val="231F20"/>
        </w:rPr>
        <w:t>)</w:t>
      </w:r>
      <w:r>
        <w:rPr>
          <w:color w:val="231F20"/>
          <w:spacing w:val="-7"/>
        </w:rPr>
        <w:t xml:space="preserve"> </w:t>
      </w:r>
      <w:r>
        <w:rPr>
          <w:color w:val="231F20"/>
        </w:rPr>
        <w:t>a</w:t>
      </w:r>
      <w:r>
        <w:rPr>
          <w:color w:val="231F20"/>
          <w:spacing w:val="-5"/>
        </w:rPr>
        <w:t xml:space="preserve"> </w:t>
      </w:r>
      <w:r>
        <w:rPr>
          <w:color w:val="231F20"/>
        </w:rPr>
        <w:t>cash</w:t>
      </w:r>
      <w:r>
        <w:rPr>
          <w:color w:val="231F20"/>
          <w:spacing w:val="-4"/>
        </w:rPr>
        <w:t xml:space="preserve"> </w:t>
      </w:r>
      <w:r>
        <w:rPr>
          <w:color w:val="231F20"/>
        </w:rPr>
        <w:t>commission</w:t>
      </w:r>
      <w:r>
        <w:rPr>
          <w:color w:val="231F20"/>
          <w:spacing w:val="-4"/>
        </w:rPr>
        <w:t xml:space="preserve"> </w:t>
      </w:r>
      <w:r>
        <w:rPr>
          <w:color w:val="231F20"/>
        </w:rPr>
        <w:t>of</w:t>
      </w:r>
      <w:r>
        <w:rPr>
          <w:color w:val="231F20"/>
          <w:spacing w:val="-3"/>
        </w:rPr>
        <w:t xml:space="preserve"> </w:t>
      </w:r>
      <w:r>
        <w:rPr>
          <w:color w:val="231F20"/>
        </w:rPr>
        <w:t>5%</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aggregate</w:t>
      </w:r>
      <w:r>
        <w:rPr>
          <w:color w:val="231F20"/>
          <w:spacing w:val="-4"/>
        </w:rPr>
        <w:t xml:space="preserve"> </w:t>
      </w:r>
      <w:r>
        <w:rPr>
          <w:color w:val="231F20"/>
        </w:rPr>
        <w:t>value</w:t>
      </w:r>
      <w:r>
        <w:rPr>
          <w:color w:val="231F20"/>
          <w:spacing w:val="-5"/>
        </w:rPr>
        <w:t xml:space="preserve"> </w:t>
      </w:r>
      <w:r>
        <w:rPr>
          <w:color w:val="231F20"/>
        </w:rPr>
        <w:t>of</w:t>
      </w:r>
      <w:r>
        <w:rPr>
          <w:color w:val="231F20"/>
          <w:spacing w:val="-4"/>
        </w:rPr>
        <w:t xml:space="preserve"> </w:t>
      </w:r>
      <w:r>
        <w:rPr>
          <w:color w:val="231F20"/>
        </w:rPr>
        <w:t>the</w:t>
      </w:r>
      <w:r>
        <w:rPr>
          <w:color w:val="231F20"/>
          <w:spacing w:val="-6"/>
        </w:rPr>
        <w:t xml:space="preserve"> </w:t>
      </w:r>
      <w:r>
        <w:rPr>
          <w:color w:val="231F20"/>
        </w:rPr>
        <w:t>July</w:t>
      </w:r>
      <w:r>
        <w:rPr>
          <w:color w:val="231F20"/>
          <w:spacing w:val="-5"/>
        </w:rPr>
        <w:t xml:space="preserve"> </w:t>
      </w:r>
      <w:r>
        <w:rPr>
          <w:color w:val="231F20"/>
        </w:rPr>
        <w:t>2020</w:t>
      </w:r>
      <w:r>
        <w:rPr>
          <w:color w:val="231F20"/>
          <w:spacing w:val="-6"/>
        </w:rPr>
        <w:t xml:space="preserve"> </w:t>
      </w:r>
      <w:r>
        <w:rPr>
          <w:color w:val="231F20"/>
        </w:rPr>
        <w:t>Placing</w:t>
      </w:r>
      <w:r>
        <w:rPr>
          <w:color w:val="231F20"/>
          <w:spacing w:val="-3"/>
        </w:rPr>
        <w:t xml:space="preserve"> </w:t>
      </w:r>
      <w:r>
        <w:rPr>
          <w:color w:val="231F20"/>
        </w:rPr>
        <w:t>Price</w:t>
      </w:r>
      <w:r>
        <w:rPr>
          <w:color w:val="231F20"/>
          <w:spacing w:val="-6"/>
        </w:rPr>
        <w:t xml:space="preserve"> </w:t>
      </w:r>
      <w:r>
        <w:rPr>
          <w:color w:val="231F20"/>
        </w:rPr>
        <w:t>multiplied</w:t>
      </w:r>
      <w:r>
        <w:rPr>
          <w:color w:val="231F20"/>
          <w:spacing w:val="-6"/>
        </w:rPr>
        <w:t xml:space="preserve"> </w:t>
      </w:r>
      <w:r>
        <w:rPr>
          <w:color w:val="231F20"/>
        </w:rPr>
        <w:t>by</w:t>
      </w:r>
      <w:r>
        <w:rPr>
          <w:color w:val="231F20"/>
          <w:spacing w:val="-5"/>
        </w:rPr>
        <w:t xml:space="preserve"> </w:t>
      </w:r>
      <w:r>
        <w:rPr>
          <w:color w:val="231F20"/>
        </w:rPr>
        <w:t>the number of placing shares issued (being a total of £20,450); and (ii) the Broker Warrants as granted pursuant to the Broker Warrant Deeds set out at paragraph 14.</w:t>
      </w:r>
      <w:r w:rsidR="00375879">
        <w:rPr>
          <w:color w:val="231F20"/>
        </w:rPr>
        <w:t>4</w:t>
      </w:r>
      <w:r>
        <w:rPr>
          <w:color w:val="231F20"/>
        </w:rPr>
        <w:t xml:space="preserve"> of this Part VII</w:t>
      </w:r>
      <w:r>
        <w:rPr>
          <w:color w:val="231F20"/>
          <w:spacing w:val="-18"/>
        </w:rPr>
        <w:t xml:space="preserve"> </w:t>
      </w:r>
      <w:r>
        <w:rPr>
          <w:color w:val="231F20"/>
        </w:rPr>
        <w:t>below.</w:t>
      </w:r>
    </w:p>
    <w:p w14:paraId="6638BDD0" w14:textId="77777777" w:rsidR="00783288" w:rsidRDefault="00783288">
      <w:pPr>
        <w:pStyle w:val="BodyText"/>
        <w:kinsoku w:val="0"/>
        <w:overflowPunct w:val="0"/>
        <w:spacing w:before="10"/>
        <w:rPr>
          <w:sz w:val="20"/>
          <w:szCs w:val="20"/>
        </w:rPr>
      </w:pPr>
    </w:p>
    <w:p w14:paraId="29D6C961" w14:textId="77777777" w:rsidR="00783288" w:rsidRDefault="00E31420">
      <w:pPr>
        <w:pStyle w:val="BodyText"/>
        <w:kinsoku w:val="0"/>
        <w:overflowPunct w:val="0"/>
        <w:ind w:left="839" w:right="1037"/>
        <w:jc w:val="both"/>
        <w:rPr>
          <w:color w:val="231F20"/>
        </w:rPr>
      </w:pPr>
      <w:r>
        <w:rPr>
          <w:color w:val="231F20"/>
        </w:rPr>
        <w:t>Under</w:t>
      </w:r>
      <w:r>
        <w:rPr>
          <w:color w:val="231F20"/>
          <w:spacing w:val="-5"/>
        </w:rPr>
        <w:t xml:space="preserve"> </w:t>
      </w:r>
      <w:r>
        <w:rPr>
          <w:color w:val="231F20"/>
        </w:rPr>
        <w:t>the</w:t>
      </w:r>
      <w:r>
        <w:rPr>
          <w:color w:val="231F20"/>
          <w:spacing w:val="-6"/>
        </w:rPr>
        <w:t xml:space="preserve"> </w:t>
      </w:r>
      <w:r>
        <w:rPr>
          <w:color w:val="231F20"/>
        </w:rPr>
        <w:t>July</w:t>
      </w:r>
      <w:r>
        <w:rPr>
          <w:color w:val="231F20"/>
          <w:spacing w:val="-6"/>
        </w:rPr>
        <w:t xml:space="preserve"> </w:t>
      </w:r>
      <w:r>
        <w:rPr>
          <w:color w:val="231F20"/>
        </w:rPr>
        <w:t>2020</w:t>
      </w:r>
      <w:r>
        <w:rPr>
          <w:color w:val="231F20"/>
          <w:spacing w:val="-4"/>
        </w:rPr>
        <w:t xml:space="preserve"> </w:t>
      </w:r>
      <w:r>
        <w:rPr>
          <w:color w:val="231F20"/>
        </w:rPr>
        <w:t>Placing</w:t>
      </w:r>
      <w:r>
        <w:rPr>
          <w:color w:val="231F20"/>
          <w:spacing w:val="-6"/>
        </w:rPr>
        <w:t xml:space="preserve"> </w:t>
      </w:r>
      <w:r>
        <w:rPr>
          <w:color w:val="231F20"/>
        </w:rPr>
        <w:t>Agreement,</w:t>
      </w:r>
      <w:r>
        <w:rPr>
          <w:color w:val="231F20"/>
          <w:spacing w:val="-6"/>
        </w:rPr>
        <w:t xml:space="preserve"> </w:t>
      </w:r>
      <w:r>
        <w:rPr>
          <w:color w:val="231F20"/>
        </w:rPr>
        <w:t>the</w:t>
      </w:r>
      <w:r>
        <w:rPr>
          <w:color w:val="231F20"/>
          <w:spacing w:val="-4"/>
        </w:rPr>
        <w:t xml:space="preserve"> </w:t>
      </w:r>
      <w:r>
        <w:rPr>
          <w:color w:val="231F20"/>
        </w:rPr>
        <w:t>Company</w:t>
      </w:r>
      <w:r>
        <w:rPr>
          <w:color w:val="231F20"/>
          <w:spacing w:val="-7"/>
        </w:rPr>
        <w:t xml:space="preserve"> </w:t>
      </w:r>
      <w:r>
        <w:rPr>
          <w:color w:val="231F20"/>
        </w:rPr>
        <w:t>also</w:t>
      </w:r>
      <w:r>
        <w:rPr>
          <w:color w:val="231F20"/>
          <w:spacing w:val="-6"/>
        </w:rPr>
        <w:t xml:space="preserve"> </w:t>
      </w:r>
      <w:r>
        <w:rPr>
          <w:color w:val="231F20"/>
        </w:rPr>
        <w:t>agreed</w:t>
      </w:r>
      <w:r>
        <w:rPr>
          <w:color w:val="231F20"/>
          <w:spacing w:val="-5"/>
        </w:rPr>
        <w:t xml:space="preserve"> </w:t>
      </w:r>
      <w:r>
        <w:rPr>
          <w:color w:val="231F20"/>
        </w:rPr>
        <w:t>for</w:t>
      </w:r>
      <w:r>
        <w:rPr>
          <w:color w:val="231F20"/>
          <w:spacing w:val="-7"/>
        </w:rPr>
        <w:t xml:space="preserve"> </w:t>
      </w:r>
      <w:r>
        <w:rPr>
          <w:color w:val="231F20"/>
        </w:rPr>
        <w:t>a</w:t>
      </w:r>
      <w:r>
        <w:rPr>
          <w:color w:val="231F20"/>
          <w:spacing w:val="-6"/>
        </w:rPr>
        <w:t xml:space="preserve"> </w:t>
      </w:r>
      <w:r>
        <w:rPr>
          <w:color w:val="231F20"/>
        </w:rPr>
        <w:t>period</w:t>
      </w:r>
      <w:r>
        <w:rPr>
          <w:color w:val="231F20"/>
          <w:spacing w:val="-6"/>
        </w:rPr>
        <w:t xml:space="preserve"> </w:t>
      </w:r>
      <w:r>
        <w:rPr>
          <w:color w:val="231F20"/>
        </w:rPr>
        <w:t>of</w:t>
      </w:r>
      <w:r>
        <w:rPr>
          <w:color w:val="231F20"/>
          <w:spacing w:val="-6"/>
        </w:rPr>
        <w:t xml:space="preserve"> </w:t>
      </w:r>
      <w:r>
        <w:rPr>
          <w:color w:val="231F20"/>
        </w:rPr>
        <w:t>24</w:t>
      </w:r>
      <w:r>
        <w:rPr>
          <w:color w:val="231F20"/>
          <w:spacing w:val="-6"/>
        </w:rPr>
        <w:t xml:space="preserve"> </w:t>
      </w:r>
      <w:r>
        <w:rPr>
          <w:color w:val="231F20"/>
        </w:rPr>
        <w:t>months</w:t>
      </w:r>
      <w:r>
        <w:rPr>
          <w:color w:val="231F20"/>
          <w:spacing w:val="-3"/>
        </w:rPr>
        <w:t xml:space="preserve"> </w:t>
      </w:r>
      <w:r>
        <w:rPr>
          <w:color w:val="231F20"/>
        </w:rPr>
        <w:t>from</w:t>
      </w:r>
      <w:r>
        <w:rPr>
          <w:color w:val="231F20"/>
          <w:spacing w:val="-7"/>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of completion to pay a commission of 5% of any further amounts raised in the 24 month period from completion of</w:t>
      </w:r>
      <w:r>
        <w:rPr>
          <w:color w:val="231F20"/>
          <w:spacing w:val="-3"/>
        </w:rPr>
        <w:t xml:space="preserve"> </w:t>
      </w:r>
      <w:r>
        <w:rPr>
          <w:color w:val="231F20"/>
        </w:rPr>
        <w:t>the</w:t>
      </w:r>
      <w:r>
        <w:rPr>
          <w:color w:val="231F20"/>
          <w:spacing w:val="-4"/>
        </w:rPr>
        <w:t xml:space="preserve"> </w:t>
      </w:r>
      <w:r>
        <w:rPr>
          <w:color w:val="231F20"/>
        </w:rPr>
        <w:t>July</w:t>
      </w:r>
      <w:r>
        <w:rPr>
          <w:color w:val="231F20"/>
          <w:spacing w:val="-3"/>
        </w:rPr>
        <w:t xml:space="preserve"> </w:t>
      </w:r>
      <w:r>
        <w:rPr>
          <w:color w:val="231F20"/>
        </w:rPr>
        <w:t>2020</w:t>
      </w:r>
      <w:r>
        <w:rPr>
          <w:color w:val="231F20"/>
          <w:spacing w:val="-5"/>
        </w:rPr>
        <w:t xml:space="preserve"> </w:t>
      </w:r>
      <w:r>
        <w:rPr>
          <w:color w:val="231F20"/>
        </w:rPr>
        <w:t>Fundraise</w:t>
      </w:r>
      <w:r>
        <w:rPr>
          <w:color w:val="231F20"/>
          <w:spacing w:val="-4"/>
        </w:rPr>
        <w:t xml:space="preserve"> </w:t>
      </w:r>
      <w:r>
        <w:rPr>
          <w:color w:val="231F20"/>
        </w:rPr>
        <w:t>and</w:t>
      </w:r>
      <w:r>
        <w:rPr>
          <w:color w:val="231F20"/>
          <w:spacing w:val="-1"/>
        </w:rPr>
        <w:t xml:space="preserve"> </w:t>
      </w:r>
      <w:r>
        <w:rPr>
          <w:color w:val="231F20"/>
        </w:rPr>
        <w:t>grant</w:t>
      </w:r>
      <w:r>
        <w:rPr>
          <w:color w:val="231F20"/>
          <w:spacing w:val="-3"/>
        </w:rPr>
        <w:t xml:space="preserve"> </w:t>
      </w:r>
      <w:r>
        <w:rPr>
          <w:color w:val="231F20"/>
        </w:rPr>
        <w:t>warrants</w:t>
      </w:r>
      <w:r>
        <w:rPr>
          <w:color w:val="231F20"/>
          <w:spacing w:val="-1"/>
        </w:rPr>
        <w:t xml:space="preserve"> </w:t>
      </w:r>
      <w:r>
        <w:rPr>
          <w:color w:val="231F20"/>
        </w:rPr>
        <w:t>on</w:t>
      </w:r>
      <w:r>
        <w:rPr>
          <w:color w:val="231F20"/>
          <w:spacing w:val="-1"/>
        </w:rPr>
        <w:t xml:space="preserve"> </w:t>
      </w:r>
      <w:r>
        <w:rPr>
          <w:color w:val="231F20"/>
        </w:rPr>
        <w:t>the</w:t>
      </w:r>
      <w:r>
        <w:rPr>
          <w:color w:val="231F20"/>
          <w:spacing w:val="-5"/>
        </w:rPr>
        <w:t xml:space="preserve"> </w:t>
      </w:r>
      <w:r>
        <w:rPr>
          <w:color w:val="231F20"/>
        </w:rPr>
        <w:t>same</w:t>
      </w:r>
      <w:r>
        <w:rPr>
          <w:color w:val="231F20"/>
          <w:spacing w:val="-4"/>
        </w:rPr>
        <w:t xml:space="preserve"> </w:t>
      </w:r>
      <w:r>
        <w:rPr>
          <w:color w:val="231F20"/>
        </w:rPr>
        <w:t>commercial</w:t>
      </w:r>
      <w:r>
        <w:rPr>
          <w:color w:val="231F20"/>
          <w:spacing w:val="-1"/>
        </w:rPr>
        <w:t xml:space="preserve"> </w:t>
      </w:r>
      <w:r>
        <w:rPr>
          <w:color w:val="231F20"/>
        </w:rPr>
        <w:t>terms</w:t>
      </w:r>
      <w:r>
        <w:rPr>
          <w:color w:val="231F20"/>
          <w:spacing w:val="-2"/>
        </w:rPr>
        <w:t xml:space="preserve"> </w:t>
      </w:r>
      <w:r>
        <w:rPr>
          <w:color w:val="231F20"/>
        </w:rPr>
        <w:t>as</w:t>
      </w:r>
      <w:r>
        <w:rPr>
          <w:color w:val="231F20"/>
          <w:spacing w:val="-3"/>
        </w:rPr>
        <w:t xml:space="preserve"> </w:t>
      </w:r>
      <w:r>
        <w:rPr>
          <w:color w:val="231F20"/>
        </w:rPr>
        <w:t>set</w:t>
      </w:r>
      <w:r>
        <w:rPr>
          <w:color w:val="231F20"/>
          <w:spacing w:val="-4"/>
        </w:rPr>
        <w:t xml:space="preserve"> </w:t>
      </w:r>
      <w:r>
        <w:rPr>
          <w:color w:val="231F20"/>
        </w:rPr>
        <w:t>out</w:t>
      </w:r>
      <w:r>
        <w:rPr>
          <w:color w:val="231F20"/>
          <w:spacing w:val="-4"/>
        </w:rPr>
        <w:t xml:space="preserve"> </w:t>
      </w:r>
      <w:r>
        <w:rPr>
          <w:color w:val="231F20"/>
        </w:rPr>
        <w:t>in</w:t>
      </w:r>
      <w:r>
        <w:rPr>
          <w:color w:val="231F20"/>
          <w:spacing w:val="-5"/>
        </w:rPr>
        <w:t xml:space="preserve"> </w:t>
      </w:r>
      <w:r>
        <w:rPr>
          <w:color w:val="231F20"/>
        </w:rPr>
        <w:t>their</w:t>
      </w:r>
      <w:r>
        <w:rPr>
          <w:color w:val="231F20"/>
          <w:spacing w:val="-2"/>
        </w:rPr>
        <w:t xml:space="preserve"> </w:t>
      </w:r>
      <w:r>
        <w:rPr>
          <w:color w:val="231F20"/>
        </w:rPr>
        <w:t>engagement letter.</w:t>
      </w:r>
    </w:p>
    <w:p w14:paraId="2FF84889" w14:textId="77777777" w:rsidR="00783288" w:rsidRDefault="00783288">
      <w:pPr>
        <w:pStyle w:val="BodyText"/>
        <w:kinsoku w:val="0"/>
        <w:overflowPunct w:val="0"/>
        <w:spacing w:before="10"/>
        <w:rPr>
          <w:sz w:val="20"/>
          <w:szCs w:val="20"/>
        </w:rPr>
      </w:pPr>
    </w:p>
    <w:p w14:paraId="63036F62" w14:textId="77777777" w:rsidR="00783288" w:rsidRDefault="00E31420">
      <w:pPr>
        <w:pStyle w:val="BodyText"/>
        <w:kinsoku w:val="0"/>
        <w:overflowPunct w:val="0"/>
        <w:ind w:left="839" w:right="1038"/>
        <w:jc w:val="both"/>
        <w:rPr>
          <w:color w:val="231F20"/>
        </w:rPr>
      </w:pPr>
      <w:r>
        <w:rPr>
          <w:color w:val="231F20"/>
        </w:rPr>
        <w:t>In</w:t>
      </w:r>
      <w:r>
        <w:rPr>
          <w:color w:val="231F20"/>
          <w:spacing w:val="-6"/>
        </w:rPr>
        <w:t xml:space="preserve"> </w:t>
      </w:r>
      <w:r>
        <w:rPr>
          <w:color w:val="231F20"/>
        </w:rPr>
        <w:t>the</w:t>
      </w:r>
      <w:r>
        <w:rPr>
          <w:color w:val="231F20"/>
          <w:spacing w:val="-7"/>
        </w:rPr>
        <w:t xml:space="preserve"> </w:t>
      </w:r>
      <w:r>
        <w:rPr>
          <w:color w:val="231F20"/>
        </w:rPr>
        <w:t>July</w:t>
      </w:r>
      <w:r>
        <w:rPr>
          <w:color w:val="231F20"/>
          <w:spacing w:val="-9"/>
        </w:rPr>
        <w:t xml:space="preserve"> </w:t>
      </w:r>
      <w:r>
        <w:rPr>
          <w:color w:val="231F20"/>
        </w:rPr>
        <w:t>2020</w:t>
      </w:r>
      <w:r>
        <w:rPr>
          <w:color w:val="231F20"/>
          <w:spacing w:val="-5"/>
        </w:rPr>
        <w:t xml:space="preserve"> </w:t>
      </w:r>
      <w:r>
        <w:rPr>
          <w:color w:val="231F20"/>
        </w:rPr>
        <w:t>Placing</w:t>
      </w:r>
      <w:r>
        <w:rPr>
          <w:color w:val="231F20"/>
          <w:spacing w:val="-7"/>
        </w:rPr>
        <w:t xml:space="preserve"> </w:t>
      </w:r>
      <w:r>
        <w:rPr>
          <w:color w:val="231F20"/>
        </w:rPr>
        <w:t>Agreement,</w:t>
      </w:r>
      <w:r>
        <w:rPr>
          <w:color w:val="231F20"/>
          <w:spacing w:val="-7"/>
        </w:rPr>
        <w:t xml:space="preserve"> </w:t>
      </w:r>
      <w:r>
        <w:rPr>
          <w:color w:val="231F20"/>
        </w:rPr>
        <w:t>the</w:t>
      </w:r>
      <w:r>
        <w:rPr>
          <w:color w:val="231F20"/>
          <w:spacing w:val="-5"/>
        </w:rPr>
        <w:t xml:space="preserve"> </w:t>
      </w:r>
      <w:r>
        <w:rPr>
          <w:color w:val="231F20"/>
        </w:rPr>
        <w:t>Company</w:t>
      </w:r>
      <w:r>
        <w:rPr>
          <w:color w:val="231F20"/>
          <w:spacing w:val="-7"/>
        </w:rPr>
        <w:t xml:space="preserve"> </w:t>
      </w:r>
      <w:r>
        <w:rPr>
          <w:color w:val="231F20"/>
        </w:rPr>
        <w:t>gives</w:t>
      </w:r>
      <w:r>
        <w:rPr>
          <w:color w:val="231F20"/>
          <w:spacing w:val="-7"/>
        </w:rPr>
        <w:t xml:space="preserve"> </w:t>
      </w:r>
      <w:r>
        <w:rPr>
          <w:color w:val="231F20"/>
        </w:rPr>
        <w:t>customary</w:t>
      </w:r>
      <w:r>
        <w:rPr>
          <w:color w:val="231F20"/>
          <w:spacing w:val="-7"/>
        </w:rPr>
        <w:t xml:space="preserve"> </w:t>
      </w:r>
      <w:r>
        <w:rPr>
          <w:color w:val="231F20"/>
        </w:rPr>
        <w:t>warranties,</w:t>
      </w:r>
      <w:r>
        <w:rPr>
          <w:color w:val="231F20"/>
          <w:spacing w:val="-7"/>
        </w:rPr>
        <w:t xml:space="preserve"> </w:t>
      </w:r>
      <w:proofErr w:type="gramStart"/>
      <w:r>
        <w:rPr>
          <w:color w:val="231F20"/>
        </w:rPr>
        <w:t>undertakings</w:t>
      </w:r>
      <w:proofErr w:type="gramEnd"/>
      <w:r>
        <w:rPr>
          <w:color w:val="231F20"/>
          <w:spacing w:val="-4"/>
        </w:rPr>
        <w:t xml:space="preserve"> </w:t>
      </w:r>
      <w:r>
        <w:rPr>
          <w:color w:val="231F20"/>
        </w:rPr>
        <w:t>and</w:t>
      </w:r>
      <w:r>
        <w:rPr>
          <w:color w:val="231F20"/>
          <w:spacing w:val="-7"/>
        </w:rPr>
        <w:t xml:space="preserve"> </w:t>
      </w:r>
      <w:r>
        <w:rPr>
          <w:color w:val="231F20"/>
        </w:rPr>
        <w:t>indemnities to Fox Davies. The July 2020 Placing Agreement is governed by English Law and the parties submit to the non-exclusive jurisdiction of the Courts of</w:t>
      </w:r>
      <w:r>
        <w:rPr>
          <w:color w:val="231F20"/>
          <w:spacing w:val="-1"/>
        </w:rPr>
        <w:t xml:space="preserve"> </w:t>
      </w:r>
      <w:r>
        <w:rPr>
          <w:color w:val="231F20"/>
        </w:rPr>
        <w:t>England.</w:t>
      </w:r>
    </w:p>
    <w:p w14:paraId="15D4E49C" w14:textId="77777777" w:rsidR="00783288" w:rsidRDefault="00783288">
      <w:pPr>
        <w:pStyle w:val="BodyText"/>
        <w:kinsoku w:val="0"/>
        <w:overflowPunct w:val="0"/>
        <w:spacing w:before="6"/>
        <w:rPr>
          <w:sz w:val="20"/>
          <w:szCs w:val="20"/>
        </w:rPr>
      </w:pPr>
    </w:p>
    <w:p w14:paraId="2352FEA1" w14:textId="77777777" w:rsidR="00783288" w:rsidRDefault="00E31420" w:rsidP="00512495">
      <w:pPr>
        <w:pStyle w:val="Heading1"/>
        <w:numPr>
          <w:ilvl w:val="1"/>
          <w:numId w:val="13"/>
        </w:numPr>
        <w:tabs>
          <w:tab w:val="left" w:pos="840"/>
        </w:tabs>
        <w:kinsoku w:val="0"/>
        <w:overflowPunct w:val="0"/>
        <w:ind w:left="839"/>
        <w:rPr>
          <w:color w:val="231F20"/>
        </w:rPr>
      </w:pPr>
      <w:r>
        <w:rPr>
          <w:color w:val="231F20"/>
        </w:rPr>
        <w:t>Broker Warrant</w:t>
      </w:r>
      <w:r>
        <w:rPr>
          <w:color w:val="231F20"/>
          <w:spacing w:val="-1"/>
        </w:rPr>
        <w:t xml:space="preserve"> </w:t>
      </w:r>
      <w:r>
        <w:rPr>
          <w:color w:val="231F20"/>
        </w:rPr>
        <w:t>Instruments</w:t>
      </w:r>
    </w:p>
    <w:p w14:paraId="41FF24AE" w14:textId="77777777" w:rsidR="00783288" w:rsidRDefault="00783288">
      <w:pPr>
        <w:pStyle w:val="BodyText"/>
        <w:kinsoku w:val="0"/>
        <w:overflowPunct w:val="0"/>
        <w:spacing w:before="10"/>
        <w:rPr>
          <w:b/>
          <w:bCs/>
          <w:sz w:val="20"/>
          <w:szCs w:val="20"/>
        </w:rPr>
      </w:pPr>
    </w:p>
    <w:p w14:paraId="742EF7E8" w14:textId="77777777" w:rsidR="00783288" w:rsidRDefault="00E31420">
      <w:pPr>
        <w:pStyle w:val="ListParagraph"/>
        <w:numPr>
          <w:ilvl w:val="0"/>
          <w:numId w:val="5"/>
        </w:numPr>
        <w:tabs>
          <w:tab w:val="left" w:pos="1680"/>
        </w:tabs>
        <w:kinsoku w:val="0"/>
        <w:overflowPunct w:val="0"/>
        <w:ind w:hanging="853"/>
        <w:rPr>
          <w:b/>
          <w:bCs/>
          <w:color w:val="231F20"/>
          <w:sz w:val="18"/>
          <w:szCs w:val="18"/>
        </w:rPr>
      </w:pPr>
      <w:r>
        <w:rPr>
          <w:b/>
          <w:bCs/>
          <w:color w:val="231F20"/>
          <w:sz w:val="18"/>
          <w:szCs w:val="18"/>
        </w:rPr>
        <w:t>Fox Davies - August 2020</w:t>
      </w:r>
      <w:r>
        <w:rPr>
          <w:b/>
          <w:bCs/>
          <w:color w:val="231F20"/>
          <w:spacing w:val="-1"/>
          <w:sz w:val="18"/>
          <w:szCs w:val="18"/>
        </w:rPr>
        <w:t xml:space="preserve"> </w:t>
      </w:r>
      <w:r>
        <w:rPr>
          <w:b/>
          <w:bCs/>
          <w:color w:val="231F20"/>
          <w:sz w:val="18"/>
          <w:szCs w:val="18"/>
        </w:rPr>
        <w:t>Warrants</w:t>
      </w:r>
    </w:p>
    <w:p w14:paraId="48E9712C" w14:textId="77777777" w:rsidR="00783288" w:rsidRDefault="00783288">
      <w:pPr>
        <w:pStyle w:val="BodyText"/>
        <w:kinsoku w:val="0"/>
        <w:overflowPunct w:val="0"/>
        <w:spacing w:before="2"/>
        <w:rPr>
          <w:b/>
          <w:bCs/>
          <w:sz w:val="21"/>
          <w:szCs w:val="21"/>
        </w:rPr>
      </w:pPr>
    </w:p>
    <w:p w14:paraId="3EA7826C" w14:textId="77777777" w:rsidR="00783288" w:rsidRDefault="00E31420">
      <w:pPr>
        <w:pStyle w:val="BodyText"/>
        <w:kinsoku w:val="0"/>
        <w:overflowPunct w:val="0"/>
        <w:ind w:left="839" w:right="1034"/>
        <w:jc w:val="both"/>
        <w:rPr>
          <w:color w:val="231F20"/>
        </w:rPr>
      </w:pPr>
      <w:r>
        <w:rPr>
          <w:color w:val="231F20"/>
        </w:rPr>
        <w:t xml:space="preserve">On 13 August 2020, the Company </w:t>
      </w:r>
      <w:proofErr w:type="gramStart"/>
      <w:r>
        <w:rPr>
          <w:color w:val="231F20"/>
        </w:rPr>
        <w:t>entered into</w:t>
      </w:r>
      <w:proofErr w:type="gramEnd"/>
      <w:r>
        <w:rPr>
          <w:color w:val="231F20"/>
        </w:rPr>
        <w:t xml:space="preserve"> a warrant instrument, pursuant to which it agreed to grant 390,000 warrants to subscribe for Ordinary Shares of 0.1p in the Company to Fox Davies. These warrants </w:t>
      </w:r>
      <w:r>
        <w:rPr>
          <w:color w:val="231F20"/>
        </w:rPr>
        <w:lastRenderedPageBreak/>
        <w:t>may be exercised from 31 July 2020 until 31 July 2025 and are exercisable at an exercise price of 5.25p per new Ordinary Share.</w:t>
      </w:r>
    </w:p>
    <w:p w14:paraId="3B43301E" w14:textId="77777777" w:rsidR="00783288" w:rsidRDefault="00783288">
      <w:pPr>
        <w:pStyle w:val="BodyText"/>
        <w:kinsoku w:val="0"/>
        <w:overflowPunct w:val="0"/>
        <w:spacing w:before="10"/>
        <w:rPr>
          <w:sz w:val="20"/>
          <w:szCs w:val="20"/>
        </w:rPr>
      </w:pPr>
    </w:p>
    <w:p w14:paraId="1B99C24C" w14:textId="77777777" w:rsidR="00783288" w:rsidRDefault="00E31420">
      <w:pPr>
        <w:pStyle w:val="BodyText"/>
        <w:kinsoku w:val="0"/>
        <w:overflowPunct w:val="0"/>
        <w:ind w:left="839" w:right="1037"/>
        <w:jc w:val="both"/>
        <w:rPr>
          <w:color w:val="231F20"/>
        </w:rPr>
      </w:pPr>
      <w:r>
        <w:rPr>
          <w:color w:val="231F20"/>
        </w:rPr>
        <w:t>On 14 August 2020, the Company entered into a warrant instrument on substantially identical terms to the warrant instrument referenced above (save for the exercise period and exercise price), pursuant to which it agreed</w:t>
      </w:r>
      <w:r>
        <w:rPr>
          <w:color w:val="231F20"/>
          <w:spacing w:val="-11"/>
        </w:rPr>
        <w:t xml:space="preserve"> </w:t>
      </w:r>
      <w:r>
        <w:rPr>
          <w:color w:val="231F20"/>
        </w:rPr>
        <w:t>to</w:t>
      </w:r>
      <w:r>
        <w:rPr>
          <w:color w:val="231F20"/>
          <w:spacing w:val="-10"/>
        </w:rPr>
        <w:t xml:space="preserve"> </w:t>
      </w:r>
      <w:r>
        <w:rPr>
          <w:color w:val="231F20"/>
        </w:rPr>
        <w:t>grant</w:t>
      </w:r>
      <w:r>
        <w:rPr>
          <w:color w:val="231F20"/>
          <w:spacing w:val="-11"/>
        </w:rPr>
        <w:t xml:space="preserve"> </w:t>
      </w:r>
      <w:r>
        <w:rPr>
          <w:color w:val="231F20"/>
        </w:rPr>
        <w:t>619,333</w:t>
      </w:r>
      <w:r>
        <w:rPr>
          <w:color w:val="231F20"/>
          <w:spacing w:val="-10"/>
        </w:rPr>
        <w:t xml:space="preserve"> </w:t>
      </w:r>
      <w:r>
        <w:rPr>
          <w:color w:val="231F20"/>
        </w:rPr>
        <w:t>warrants</w:t>
      </w:r>
      <w:r>
        <w:rPr>
          <w:color w:val="231F20"/>
          <w:spacing w:val="-10"/>
        </w:rPr>
        <w:t xml:space="preserve"> </w:t>
      </w:r>
      <w:r>
        <w:rPr>
          <w:color w:val="231F20"/>
        </w:rPr>
        <w:t>to</w:t>
      </w:r>
      <w:r>
        <w:rPr>
          <w:color w:val="231F20"/>
          <w:spacing w:val="-10"/>
        </w:rPr>
        <w:t xml:space="preserve"> </w:t>
      </w:r>
      <w:r>
        <w:rPr>
          <w:color w:val="231F20"/>
        </w:rPr>
        <w:t>subscribe</w:t>
      </w:r>
      <w:r>
        <w:rPr>
          <w:color w:val="231F20"/>
          <w:spacing w:val="-11"/>
        </w:rPr>
        <w:t xml:space="preserve"> </w:t>
      </w:r>
      <w:r>
        <w:rPr>
          <w:color w:val="231F20"/>
        </w:rPr>
        <w:t>for</w:t>
      </w:r>
      <w:r>
        <w:rPr>
          <w:color w:val="231F20"/>
          <w:spacing w:val="-11"/>
        </w:rPr>
        <w:t xml:space="preserve"> </w:t>
      </w:r>
      <w:r>
        <w:rPr>
          <w:color w:val="231F20"/>
        </w:rPr>
        <w:t>new</w:t>
      </w:r>
      <w:r>
        <w:rPr>
          <w:color w:val="231F20"/>
          <w:spacing w:val="-13"/>
        </w:rPr>
        <w:t xml:space="preserve"> </w:t>
      </w:r>
      <w:r>
        <w:rPr>
          <w:color w:val="231F20"/>
        </w:rPr>
        <w:t>Ordinary</w:t>
      </w:r>
      <w:r>
        <w:rPr>
          <w:color w:val="231F20"/>
          <w:spacing w:val="-11"/>
        </w:rPr>
        <w:t xml:space="preserve"> </w:t>
      </w:r>
      <w:r>
        <w:rPr>
          <w:color w:val="231F20"/>
        </w:rPr>
        <w:t>Shares</w:t>
      </w:r>
      <w:r>
        <w:rPr>
          <w:color w:val="231F20"/>
          <w:spacing w:val="-9"/>
        </w:rPr>
        <w:t xml:space="preserve"> </w:t>
      </w:r>
      <w:r>
        <w:rPr>
          <w:color w:val="231F20"/>
        </w:rPr>
        <w:t>of</w:t>
      </w:r>
      <w:r>
        <w:rPr>
          <w:color w:val="231F20"/>
          <w:spacing w:val="-11"/>
        </w:rPr>
        <w:t xml:space="preserve"> </w:t>
      </w:r>
      <w:r>
        <w:rPr>
          <w:color w:val="231F20"/>
        </w:rPr>
        <w:t>0.1p</w:t>
      </w:r>
      <w:r>
        <w:rPr>
          <w:color w:val="231F20"/>
          <w:spacing w:val="-12"/>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Company</w:t>
      </w:r>
      <w:r>
        <w:rPr>
          <w:color w:val="231F20"/>
          <w:spacing w:val="-13"/>
        </w:rPr>
        <w:t xml:space="preserve"> </w:t>
      </w:r>
      <w:r>
        <w:rPr>
          <w:color w:val="231F20"/>
        </w:rPr>
        <w:t>to</w:t>
      </w:r>
      <w:r>
        <w:rPr>
          <w:color w:val="231F20"/>
          <w:spacing w:val="-10"/>
        </w:rPr>
        <w:t xml:space="preserve"> </w:t>
      </w:r>
      <w:r>
        <w:rPr>
          <w:color w:val="231F20"/>
        </w:rPr>
        <w:t>Fox</w:t>
      </w:r>
      <w:r>
        <w:rPr>
          <w:color w:val="231F20"/>
          <w:spacing w:val="-12"/>
        </w:rPr>
        <w:t xml:space="preserve"> </w:t>
      </w:r>
      <w:r>
        <w:rPr>
          <w:color w:val="231F20"/>
        </w:rPr>
        <w:t>Davies. These</w:t>
      </w:r>
      <w:r>
        <w:rPr>
          <w:color w:val="231F20"/>
          <w:spacing w:val="-4"/>
        </w:rPr>
        <w:t xml:space="preserve"> </w:t>
      </w:r>
      <w:r>
        <w:rPr>
          <w:color w:val="231F20"/>
        </w:rPr>
        <w:t>warrants</w:t>
      </w:r>
      <w:r>
        <w:rPr>
          <w:color w:val="231F20"/>
          <w:spacing w:val="-6"/>
        </w:rPr>
        <w:t xml:space="preserve"> </w:t>
      </w:r>
      <w:r>
        <w:rPr>
          <w:color w:val="231F20"/>
        </w:rPr>
        <w:t>may</w:t>
      </w:r>
      <w:r>
        <w:rPr>
          <w:color w:val="231F20"/>
          <w:spacing w:val="-5"/>
        </w:rPr>
        <w:t xml:space="preserve"> </w:t>
      </w:r>
      <w:r>
        <w:rPr>
          <w:color w:val="231F20"/>
        </w:rPr>
        <w:t>be</w:t>
      </w:r>
      <w:r>
        <w:rPr>
          <w:color w:val="231F20"/>
          <w:spacing w:val="-6"/>
        </w:rPr>
        <w:t xml:space="preserve"> </w:t>
      </w:r>
      <w:r>
        <w:rPr>
          <w:color w:val="231F20"/>
        </w:rPr>
        <w:t>exercised</w:t>
      </w:r>
      <w:r>
        <w:rPr>
          <w:color w:val="231F20"/>
          <w:spacing w:val="-4"/>
        </w:rPr>
        <w:t xml:space="preserve"> </w:t>
      </w:r>
      <w:r>
        <w:rPr>
          <w:color w:val="231F20"/>
        </w:rPr>
        <w:t>from</w:t>
      </w:r>
      <w:r>
        <w:rPr>
          <w:color w:val="231F20"/>
          <w:spacing w:val="-5"/>
        </w:rPr>
        <w:t xml:space="preserve"> </w:t>
      </w:r>
      <w:r>
        <w:rPr>
          <w:color w:val="231F20"/>
        </w:rPr>
        <w:t>31</w:t>
      </w:r>
      <w:r>
        <w:rPr>
          <w:color w:val="231F20"/>
          <w:spacing w:val="-4"/>
        </w:rPr>
        <w:t xml:space="preserve"> </w:t>
      </w:r>
      <w:r>
        <w:rPr>
          <w:color w:val="231F20"/>
        </w:rPr>
        <w:t>July</w:t>
      </w:r>
      <w:r>
        <w:rPr>
          <w:color w:val="231F20"/>
          <w:spacing w:val="-6"/>
        </w:rPr>
        <w:t xml:space="preserve"> </w:t>
      </w:r>
      <w:r>
        <w:rPr>
          <w:color w:val="231F20"/>
        </w:rPr>
        <w:t>2020</w:t>
      </w:r>
      <w:r>
        <w:rPr>
          <w:color w:val="231F20"/>
          <w:spacing w:val="-3"/>
        </w:rPr>
        <w:t xml:space="preserve"> </w:t>
      </w:r>
      <w:r>
        <w:rPr>
          <w:color w:val="231F20"/>
        </w:rPr>
        <w:t>to</w:t>
      </w:r>
      <w:r>
        <w:rPr>
          <w:color w:val="231F20"/>
          <w:spacing w:val="-6"/>
        </w:rPr>
        <w:t xml:space="preserve"> </w:t>
      </w:r>
      <w:r>
        <w:rPr>
          <w:color w:val="231F20"/>
        </w:rPr>
        <w:t>16</w:t>
      </w:r>
      <w:r>
        <w:rPr>
          <w:color w:val="231F20"/>
          <w:spacing w:val="-6"/>
        </w:rPr>
        <w:t xml:space="preserve"> </w:t>
      </w:r>
      <w:r>
        <w:rPr>
          <w:color w:val="231F20"/>
        </w:rPr>
        <w:t>July</w:t>
      </w:r>
      <w:r>
        <w:rPr>
          <w:color w:val="231F20"/>
          <w:spacing w:val="-5"/>
        </w:rPr>
        <w:t xml:space="preserve"> </w:t>
      </w:r>
      <w:r>
        <w:rPr>
          <w:color w:val="231F20"/>
        </w:rPr>
        <w:t>2025</w:t>
      </w:r>
      <w:r>
        <w:rPr>
          <w:color w:val="231F20"/>
          <w:spacing w:val="-4"/>
        </w:rPr>
        <w:t xml:space="preserve"> </w:t>
      </w:r>
      <w:r>
        <w:rPr>
          <w:color w:val="231F20"/>
        </w:rPr>
        <w:t>and</w:t>
      </w:r>
      <w:r>
        <w:rPr>
          <w:color w:val="231F20"/>
          <w:spacing w:val="-4"/>
        </w:rPr>
        <w:t xml:space="preserve"> </w:t>
      </w:r>
      <w:r>
        <w:rPr>
          <w:color w:val="231F20"/>
        </w:rPr>
        <w:t>are</w:t>
      </w:r>
      <w:r>
        <w:rPr>
          <w:color w:val="231F20"/>
          <w:spacing w:val="-3"/>
        </w:rPr>
        <w:t xml:space="preserve"> </w:t>
      </w:r>
      <w:r>
        <w:rPr>
          <w:color w:val="231F20"/>
        </w:rPr>
        <w:t>exercisable</w:t>
      </w:r>
      <w:r>
        <w:rPr>
          <w:color w:val="231F20"/>
          <w:spacing w:val="-4"/>
        </w:rPr>
        <w:t xml:space="preserve"> </w:t>
      </w:r>
      <w:r>
        <w:rPr>
          <w:color w:val="231F20"/>
        </w:rPr>
        <w:t>at</w:t>
      </w:r>
      <w:r>
        <w:rPr>
          <w:color w:val="231F20"/>
          <w:spacing w:val="-6"/>
        </w:rPr>
        <w:t xml:space="preserve"> </w:t>
      </w:r>
      <w:r>
        <w:rPr>
          <w:color w:val="231F20"/>
        </w:rPr>
        <w:t>an</w:t>
      </w:r>
      <w:r>
        <w:rPr>
          <w:color w:val="231F20"/>
          <w:spacing w:val="-4"/>
        </w:rPr>
        <w:t xml:space="preserve"> </w:t>
      </w:r>
      <w:r>
        <w:rPr>
          <w:color w:val="231F20"/>
        </w:rPr>
        <w:t>exercise</w:t>
      </w:r>
      <w:r>
        <w:rPr>
          <w:color w:val="231F20"/>
          <w:spacing w:val="-5"/>
        </w:rPr>
        <w:t xml:space="preserve"> </w:t>
      </w:r>
      <w:r>
        <w:rPr>
          <w:color w:val="231F20"/>
        </w:rPr>
        <w:t>price of 10 pence per new Ordinary</w:t>
      </w:r>
      <w:r>
        <w:rPr>
          <w:color w:val="231F20"/>
          <w:spacing w:val="-9"/>
        </w:rPr>
        <w:t xml:space="preserve"> </w:t>
      </w:r>
      <w:r>
        <w:rPr>
          <w:color w:val="231F20"/>
        </w:rPr>
        <w:t>Share.</w:t>
      </w:r>
    </w:p>
    <w:p w14:paraId="74BF9773" w14:textId="77777777" w:rsidR="00783288" w:rsidRDefault="00783288">
      <w:pPr>
        <w:pStyle w:val="BodyText"/>
        <w:kinsoku w:val="0"/>
        <w:overflowPunct w:val="0"/>
        <w:spacing w:before="5"/>
        <w:rPr>
          <w:sz w:val="20"/>
          <w:szCs w:val="20"/>
        </w:rPr>
      </w:pPr>
    </w:p>
    <w:p w14:paraId="75221FAB" w14:textId="4A6F3223" w:rsidR="00783288" w:rsidRDefault="00E31420">
      <w:pPr>
        <w:pStyle w:val="Heading1"/>
        <w:numPr>
          <w:ilvl w:val="0"/>
          <w:numId w:val="5"/>
        </w:numPr>
        <w:tabs>
          <w:tab w:val="left" w:pos="1680"/>
        </w:tabs>
        <w:kinsoku w:val="0"/>
        <w:overflowPunct w:val="0"/>
        <w:ind w:left="1680" w:hanging="853"/>
        <w:rPr>
          <w:color w:val="231F20"/>
        </w:rPr>
      </w:pPr>
      <w:r>
        <w:rPr>
          <w:color w:val="231F20"/>
        </w:rPr>
        <w:t xml:space="preserve">Fox Davies – </w:t>
      </w:r>
      <w:r w:rsidR="00C325F0">
        <w:rPr>
          <w:color w:val="231F20"/>
        </w:rPr>
        <w:t>December 2020 Fundraise</w:t>
      </w:r>
      <w:r w:rsidR="00C325F0">
        <w:rPr>
          <w:color w:val="231F20"/>
          <w:spacing w:val="-3"/>
        </w:rPr>
        <w:t xml:space="preserve"> </w:t>
      </w:r>
      <w:r>
        <w:rPr>
          <w:color w:val="231F20"/>
        </w:rPr>
        <w:t>Warrants</w:t>
      </w:r>
    </w:p>
    <w:p w14:paraId="3925DDEE" w14:textId="77777777" w:rsidR="00783288" w:rsidRDefault="00783288">
      <w:pPr>
        <w:pStyle w:val="BodyText"/>
        <w:kinsoku w:val="0"/>
        <w:overflowPunct w:val="0"/>
        <w:spacing w:before="3"/>
        <w:rPr>
          <w:b/>
          <w:bCs/>
          <w:sz w:val="21"/>
          <w:szCs w:val="21"/>
        </w:rPr>
      </w:pPr>
    </w:p>
    <w:p w14:paraId="7CBFC235" w14:textId="2DEC04F2" w:rsidR="00783288" w:rsidRDefault="008C3D69">
      <w:pPr>
        <w:pStyle w:val="BodyText"/>
        <w:kinsoku w:val="0"/>
        <w:overflowPunct w:val="0"/>
        <w:ind w:left="839" w:right="1037"/>
        <w:jc w:val="both"/>
        <w:rPr>
          <w:color w:val="231F20"/>
        </w:rPr>
      </w:pPr>
      <w:r w:rsidRPr="008C3D69">
        <w:rPr>
          <w:color w:val="231F20"/>
        </w:rPr>
        <w:t xml:space="preserve">On </w:t>
      </w:r>
      <w:r>
        <w:rPr>
          <w:color w:val="231F20"/>
        </w:rPr>
        <w:t xml:space="preserve">11 December </w:t>
      </w:r>
      <w:r w:rsidRPr="008C3D69">
        <w:rPr>
          <w:color w:val="231F20"/>
        </w:rPr>
        <w:t xml:space="preserve">2020, the Company entered into a warrant instrument on substantially identical terms to the warrant instrument referenced above (save for the exercise period and exercise price), pursuant to which </w:t>
      </w:r>
      <w:r>
        <w:rPr>
          <w:color w:val="231F20"/>
        </w:rPr>
        <w:t xml:space="preserve">it </w:t>
      </w:r>
      <w:r w:rsidR="00E31420">
        <w:rPr>
          <w:color w:val="231F20"/>
        </w:rPr>
        <w:t xml:space="preserve">agreed to grant 55,556 warrants to subscribe for new Ordinary Shares to Fox Davies on substantially the same terms as the warrant instrument referred to above (save for the exercise period and exercise price). These warrants may be exercised from </w:t>
      </w:r>
      <w:r w:rsidR="00C325F0">
        <w:rPr>
          <w:color w:val="231F20"/>
        </w:rPr>
        <w:t xml:space="preserve">11 December 2020 </w:t>
      </w:r>
      <w:r w:rsidR="00E31420">
        <w:rPr>
          <w:color w:val="231F20"/>
        </w:rPr>
        <w:t xml:space="preserve">to the fifth anniversary of </w:t>
      </w:r>
      <w:r w:rsidR="00C325F0">
        <w:rPr>
          <w:color w:val="231F20"/>
        </w:rPr>
        <w:t xml:space="preserve">11 December 2020 </w:t>
      </w:r>
      <w:r w:rsidR="00E31420">
        <w:rPr>
          <w:color w:val="231F20"/>
        </w:rPr>
        <w:t>and are exercisable at an exercise price of £0.09 per new Ordinary Share.</w:t>
      </w:r>
    </w:p>
    <w:p w14:paraId="638A67C8" w14:textId="77777777" w:rsidR="00783288" w:rsidRDefault="00783288">
      <w:pPr>
        <w:pStyle w:val="BodyText"/>
        <w:kinsoku w:val="0"/>
        <w:overflowPunct w:val="0"/>
        <w:spacing w:before="5"/>
        <w:rPr>
          <w:sz w:val="20"/>
          <w:szCs w:val="20"/>
        </w:rPr>
      </w:pPr>
    </w:p>
    <w:p w14:paraId="4FBC5FA9" w14:textId="77777777" w:rsidR="00783288" w:rsidRDefault="00E31420">
      <w:pPr>
        <w:pStyle w:val="Heading1"/>
        <w:numPr>
          <w:ilvl w:val="0"/>
          <w:numId w:val="5"/>
        </w:numPr>
        <w:tabs>
          <w:tab w:val="left" w:pos="1680"/>
        </w:tabs>
        <w:kinsoku w:val="0"/>
        <w:overflowPunct w:val="0"/>
        <w:ind w:hanging="853"/>
        <w:rPr>
          <w:color w:val="231F20"/>
        </w:rPr>
      </w:pPr>
      <w:r>
        <w:rPr>
          <w:color w:val="231F20"/>
        </w:rPr>
        <w:t>Terms of the Warrant</w:t>
      </w:r>
      <w:r>
        <w:rPr>
          <w:color w:val="231F20"/>
          <w:spacing w:val="1"/>
        </w:rPr>
        <w:t xml:space="preserve"> </w:t>
      </w:r>
      <w:r>
        <w:rPr>
          <w:color w:val="231F20"/>
        </w:rPr>
        <w:t>Instruments</w:t>
      </w:r>
    </w:p>
    <w:p w14:paraId="08AEC7D7" w14:textId="77777777" w:rsidR="00783288" w:rsidRDefault="00783288">
      <w:pPr>
        <w:pStyle w:val="BodyText"/>
        <w:kinsoku w:val="0"/>
        <w:overflowPunct w:val="0"/>
        <w:spacing w:before="5"/>
        <w:rPr>
          <w:b/>
          <w:bCs/>
          <w:sz w:val="21"/>
          <w:szCs w:val="21"/>
        </w:rPr>
      </w:pPr>
    </w:p>
    <w:p w14:paraId="343536BB" w14:textId="77777777" w:rsidR="00783288" w:rsidRDefault="00E31420">
      <w:pPr>
        <w:pStyle w:val="BodyText"/>
        <w:kinsoku w:val="0"/>
        <w:overflowPunct w:val="0"/>
        <w:ind w:left="839" w:right="1035"/>
        <w:jc w:val="both"/>
        <w:rPr>
          <w:color w:val="231F20"/>
        </w:rPr>
      </w:pPr>
      <w:r>
        <w:rPr>
          <w:color w:val="231F20"/>
        </w:rPr>
        <w:t>In each case, the warrant instruments contain adjustment provisions which provide for the adjustment to the amount of warrants in the event that any of the certain specified adjustment events occur (such as a capitalisation of profits or reduction of capital) so that after such adjustment, Fox Davies is entitled to receive the same percentage of the issued share capital, carrying the same rights as nearly as practicable as would have</w:t>
      </w:r>
      <w:r>
        <w:rPr>
          <w:color w:val="231F20"/>
          <w:spacing w:val="-5"/>
        </w:rPr>
        <w:t xml:space="preserve"> </w:t>
      </w:r>
      <w:r>
        <w:rPr>
          <w:color w:val="231F20"/>
        </w:rPr>
        <w:t>been</w:t>
      </w:r>
      <w:r>
        <w:rPr>
          <w:color w:val="231F20"/>
          <w:spacing w:val="-6"/>
        </w:rPr>
        <w:t xml:space="preserve"> </w:t>
      </w:r>
      <w:r>
        <w:rPr>
          <w:color w:val="231F20"/>
        </w:rPr>
        <w:t>the</w:t>
      </w:r>
      <w:r>
        <w:rPr>
          <w:color w:val="231F20"/>
          <w:spacing w:val="-6"/>
        </w:rPr>
        <w:t xml:space="preserve"> </w:t>
      </w:r>
      <w:r>
        <w:rPr>
          <w:color w:val="231F20"/>
        </w:rPr>
        <w:t>case</w:t>
      </w:r>
      <w:r>
        <w:rPr>
          <w:color w:val="231F20"/>
          <w:spacing w:val="-7"/>
        </w:rPr>
        <w:t xml:space="preserve"> </w:t>
      </w:r>
      <w:r>
        <w:rPr>
          <w:color w:val="231F20"/>
        </w:rPr>
        <w:t>had</w:t>
      </w:r>
      <w:r>
        <w:rPr>
          <w:color w:val="231F20"/>
          <w:spacing w:val="-4"/>
        </w:rPr>
        <w:t xml:space="preserve"> </w:t>
      </w:r>
      <w:r>
        <w:rPr>
          <w:color w:val="231F20"/>
        </w:rPr>
        <w:t>no</w:t>
      </w:r>
      <w:r>
        <w:rPr>
          <w:color w:val="231F20"/>
          <w:spacing w:val="-4"/>
        </w:rPr>
        <w:t xml:space="preserve"> </w:t>
      </w:r>
      <w:r>
        <w:rPr>
          <w:color w:val="231F20"/>
        </w:rPr>
        <w:t>adjustment</w:t>
      </w:r>
      <w:r>
        <w:rPr>
          <w:color w:val="231F20"/>
          <w:spacing w:val="-7"/>
        </w:rPr>
        <w:t xml:space="preserve"> </w:t>
      </w:r>
      <w:r>
        <w:rPr>
          <w:color w:val="231F20"/>
        </w:rPr>
        <w:t>event</w:t>
      </w:r>
      <w:r>
        <w:rPr>
          <w:color w:val="231F20"/>
          <w:spacing w:val="-6"/>
        </w:rPr>
        <w:t xml:space="preserve"> </w:t>
      </w:r>
      <w:r>
        <w:rPr>
          <w:color w:val="231F20"/>
        </w:rPr>
        <w:t>occurred,</w:t>
      </w:r>
      <w:r>
        <w:rPr>
          <w:color w:val="231F20"/>
          <w:spacing w:val="-6"/>
        </w:rPr>
        <w:t xml:space="preserve"> </w:t>
      </w:r>
      <w:r>
        <w:rPr>
          <w:color w:val="231F20"/>
        </w:rPr>
        <w:t>as</w:t>
      </w:r>
      <w:r>
        <w:rPr>
          <w:color w:val="231F20"/>
          <w:spacing w:val="-6"/>
        </w:rPr>
        <w:t xml:space="preserve"> </w:t>
      </w:r>
      <w:r>
        <w:rPr>
          <w:color w:val="231F20"/>
        </w:rPr>
        <w:t>certified</w:t>
      </w:r>
      <w:r>
        <w:rPr>
          <w:color w:val="231F20"/>
          <w:spacing w:val="-5"/>
        </w:rPr>
        <w:t xml:space="preserve"> </w:t>
      </w:r>
      <w:r>
        <w:rPr>
          <w:color w:val="231F20"/>
        </w:rPr>
        <w:t>by</w:t>
      </w:r>
      <w:r>
        <w:rPr>
          <w:color w:val="231F20"/>
          <w:spacing w:val="-8"/>
        </w:rPr>
        <w:t xml:space="preserve"> </w:t>
      </w:r>
      <w:r>
        <w:rPr>
          <w:color w:val="231F20"/>
        </w:rPr>
        <w:t>the</w:t>
      </w:r>
      <w:r>
        <w:rPr>
          <w:color w:val="231F20"/>
          <w:spacing w:val="-6"/>
        </w:rPr>
        <w:t xml:space="preserve"> </w:t>
      </w:r>
      <w:r>
        <w:rPr>
          <w:color w:val="231F20"/>
        </w:rPr>
        <w:t>professional</w:t>
      </w:r>
      <w:r>
        <w:rPr>
          <w:color w:val="231F20"/>
          <w:spacing w:val="-7"/>
        </w:rPr>
        <w:t xml:space="preserve"> </w:t>
      </w:r>
      <w:r>
        <w:rPr>
          <w:color w:val="231F20"/>
        </w:rPr>
        <w:t>advisors</w:t>
      </w:r>
      <w:r>
        <w:rPr>
          <w:color w:val="231F20"/>
          <w:spacing w:val="-6"/>
        </w:rPr>
        <w:t xml:space="preserve"> </w:t>
      </w:r>
      <w:r>
        <w:rPr>
          <w:color w:val="231F20"/>
        </w:rPr>
        <w:t>or</w:t>
      </w:r>
      <w:r>
        <w:rPr>
          <w:color w:val="231F20"/>
          <w:spacing w:val="-7"/>
        </w:rPr>
        <w:t xml:space="preserve"> </w:t>
      </w:r>
      <w:r>
        <w:rPr>
          <w:color w:val="231F20"/>
        </w:rPr>
        <w:t>auditors</w:t>
      </w:r>
      <w:r>
        <w:rPr>
          <w:color w:val="231F20"/>
          <w:spacing w:val="-6"/>
        </w:rPr>
        <w:t xml:space="preserve"> </w:t>
      </w:r>
      <w:r>
        <w:rPr>
          <w:color w:val="231F20"/>
        </w:rPr>
        <w:t>of the Company. The warrant instrument also includes provisions giving the warrant holder rights in the event that an offer is made to all shareholders of the Company to acquire the whole or any part of the issued share capital</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Company,</w:t>
      </w:r>
      <w:r>
        <w:rPr>
          <w:color w:val="231F20"/>
          <w:spacing w:val="-6"/>
        </w:rPr>
        <w:t xml:space="preserve"> </w:t>
      </w:r>
      <w:r>
        <w:rPr>
          <w:color w:val="231F20"/>
        </w:rPr>
        <w:t>to</w:t>
      </w:r>
      <w:r>
        <w:rPr>
          <w:color w:val="231F20"/>
          <w:spacing w:val="-5"/>
        </w:rPr>
        <w:t xml:space="preserve"> </w:t>
      </w:r>
      <w:r>
        <w:rPr>
          <w:color w:val="231F20"/>
        </w:rPr>
        <w:t>exercise</w:t>
      </w:r>
      <w:r>
        <w:rPr>
          <w:color w:val="231F20"/>
          <w:spacing w:val="-6"/>
        </w:rPr>
        <w:t xml:space="preserve"> </w:t>
      </w:r>
      <w:r>
        <w:rPr>
          <w:color w:val="231F20"/>
        </w:rPr>
        <w:t>its</w:t>
      </w:r>
      <w:r>
        <w:rPr>
          <w:color w:val="231F20"/>
          <w:spacing w:val="-6"/>
        </w:rPr>
        <w:t xml:space="preserve"> </w:t>
      </w:r>
      <w:r>
        <w:rPr>
          <w:color w:val="231F20"/>
        </w:rPr>
        <w:t>warrants</w:t>
      </w:r>
      <w:r>
        <w:rPr>
          <w:color w:val="231F20"/>
          <w:spacing w:val="-6"/>
        </w:rPr>
        <w:t xml:space="preserve"> </w:t>
      </w:r>
      <w:r>
        <w:rPr>
          <w:color w:val="231F20"/>
        </w:rPr>
        <w:t>so</w:t>
      </w:r>
      <w:r>
        <w:rPr>
          <w:color w:val="231F20"/>
          <w:spacing w:val="-9"/>
        </w:rPr>
        <w:t xml:space="preserve"> </w:t>
      </w:r>
      <w:r>
        <w:rPr>
          <w:color w:val="231F20"/>
        </w:rPr>
        <w:t>as</w:t>
      </w:r>
      <w:r>
        <w:rPr>
          <w:color w:val="231F20"/>
          <w:spacing w:val="-5"/>
        </w:rPr>
        <w:t xml:space="preserve"> </w:t>
      </w:r>
      <w:r>
        <w:rPr>
          <w:color w:val="231F20"/>
        </w:rPr>
        <w:t>to</w:t>
      </w:r>
      <w:r>
        <w:rPr>
          <w:color w:val="231F20"/>
          <w:spacing w:val="-6"/>
        </w:rPr>
        <w:t xml:space="preserve"> </w:t>
      </w:r>
      <w:r>
        <w:rPr>
          <w:color w:val="231F20"/>
        </w:rPr>
        <w:t>take</w:t>
      </w:r>
      <w:r>
        <w:rPr>
          <w:color w:val="231F20"/>
          <w:spacing w:val="-8"/>
        </w:rPr>
        <w:t xml:space="preserve"> </w:t>
      </w:r>
      <w:r>
        <w:rPr>
          <w:color w:val="231F20"/>
        </w:rPr>
        <w:t>effect</w:t>
      </w:r>
      <w:r>
        <w:rPr>
          <w:color w:val="231F20"/>
          <w:spacing w:val="-6"/>
        </w:rPr>
        <w:t xml:space="preserve"> </w:t>
      </w:r>
      <w:r>
        <w:rPr>
          <w:color w:val="231F20"/>
        </w:rPr>
        <w:t>immediately</w:t>
      </w:r>
      <w:r>
        <w:rPr>
          <w:color w:val="231F20"/>
          <w:spacing w:val="-7"/>
        </w:rPr>
        <w:t xml:space="preserve"> </w:t>
      </w:r>
      <w:r>
        <w:rPr>
          <w:color w:val="231F20"/>
        </w:rPr>
        <w:t>prior</w:t>
      </w:r>
      <w:r>
        <w:rPr>
          <w:color w:val="231F20"/>
          <w:spacing w:val="-7"/>
        </w:rPr>
        <w:t xml:space="preserve"> </w:t>
      </w:r>
      <w:r>
        <w:rPr>
          <w:color w:val="231F20"/>
        </w:rPr>
        <w:t>to</w:t>
      </w:r>
      <w:r>
        <w:rPr>
          <w:color w:val="231F20"/>
          <w:spacing w:val="-9"/>
        </w:rPr>
        <w:t xml:space="preserve"> </w:t>
      </w:r>
      <w:r>
        <w:rPr>
          <w:color w:val="231F20"/>
        </w:rPr>
        <w:t>the</w:t>
      </w:r>
      <w:r>
        <w:rPr>
          <w:color w:val="231F20"/>
          <w:spacing w:val="-6"/>
        </w:rPr>
        <w:t xml:space="preserve"> </w:t>
      </w:r>
      <w:r>
        <w:rPr>
          <w:color w:val="231F20"/>
        </w:rPr>
        <w:t>record</w:t>
      </w:r>
      <w:r>
        <w:rPr>
          <w:color w:val="231F20"/>
          <w:spacing w:val="-8"/>
        </w:rPr>
        <w:t xml:space="preserve"> </w:t>
      </w:r>
      <w:r>
        <w:rPr>
          <w:color w:val="231F20"/>
        </w:rPr>
        <w:t>date</w:t>
      </w:r>
      <w:r>
        <w:rPr>
          <w:color w:val="231F20"/>
          <w:spacing w:val="-6"/>
        </w:rPr>
        <w:t xml:space="preserve"> </w:t>
      </w:r>
      <w:r>
        <w:rPr>
          <w:color w:val="231F20"/>
        </w:rPr>
        <w:t>of</w:t>
      </w:r>
      <w:r>
        <w:rPr>
          <w:color w:val="231F20"/>
          <w:spacing w:val="-6"/>
        </w:rPr>
        <w:t xml:space="preserve"> </w:t>
      </w:r>
      <w:r>
        <w:rPr>
          <w:color w:val="231F20"/>
        </w:rPr>
        <w:t>the offer.</w:t>
      </w:r>
    </w:p>
    <w:p w14:paraId="7881838A" w14:textId="77777777" w:rsidR="00783288" w:rsidRDefault="00783288">
      <w:pPr>
        <w:pStyle w:val="BodyText"/>
        <w:kinsoku w:val="0"/>
        <w:overflowPunct w:val="0"/>
        <w:spacing w:before="9"/>
        <w:rPr>
          <w:sz w:val="20"/>
          <w:szCs w:val="20"/>
        </w:rPr>
      </w:pPr>
    </w:p>
    <w:p w14:paraId="1BA03CA5" w14:textId="77777777" w:rsidR="00783288" w:rsidRDefault="00E31420">
      <w:pPr>
        <w:pStyle w:val="BodyText"/>
        <w:kinsoku w:val="0"/>
        <w:overflowPunct w:val="0"/>
        <w:ind w:left="839"/>
        <w:jc w:val="both"/>
        <w:rPr>
          <w:color w:val="231F20"/>
        </w:rPr>
      </w:pPr>
      <w:r>
        <w:rPr>
          <w:color w:val="231F20"/>
        </w:rPr>
        <w:t>The warrant instruments are governed by and construed in accordance with the laws of England and Wales</w:t>
      </w:r>
    </w:p>
    <w:p w14:paraId="6D4354FD" w14:textId="77777777" w:rsidR="00783288" w:rsidRDefault="00783288">
      <w:pPr>
        <w:pStyle w:val="BodyText"/>
        <w:kinsoku w:val="0"/>
        <w:overflowPunct w:val="0"/>
        <w:spacing w:before="5"/>
        <w:rPr>
          <w:sz w:val="20"/>
          <w:szCs w:val="20"/>
        </w:rPr>
      </w:pPr>
    </w:p>
    <w:p w14:paraId="4B205FF3" w14:textId="555B2FF9" w:rsidR="00783288" w:rsidRDefault="00E31420" w:rsidP="00512495">
      <w:pPr>
        <w:pStyle w:val="Heading1"/>
        <w:numPr>
          <w:ilvl w:val="1"/>
          <w:numId w:val="13"/>
        </w:numPr>
        <w:tabs>
          <w:tab w:val="left" w:pos="840"/>
        </w:tabs>
        <w:kinsoku w:val="0"/>
        <w:overflowPunct w:val="0"/>
        <w:ind w:left="839"/>
        <w:rPr>
          <w:color w:val="231F20"/>
        </w:rPr>
      </w:pPr>
      <w:r>
        <w:rPr>
          <w:color w:val="231F20"/>
        </w:rPr>
        <w:t xml:space="preserve">Investment </w:t>
      </w:r>
      <w:r w:rsidR="00823044">
        <w:rPr>
          <w:color w:val="231F20"/>
        </w:rPr>
        <w:t xml:space="preserve">Agreement and </w:t>
      </w:r>
      <w:r>
        <w:rPr>
          <w:color w:val="231F20"/>
        </w:rPr>
        <w:t xml:space="preserve">Relationship Agreement with </w:t>
      </w:r>
      <w:proofErr w:type="spellStart"/>
      <w:r>
        <w:rPr>
          <w:color w:val="231F20"/>
        </w:rPr>
        <w:t>Polymetal</w:t>
      </w:r>
      <w:proofErr w:type="spellEnd"/>
      <w:r>
        <w:rPr>
          <w:color w:val="231F20"/>
        </w:rPr>
        <w:t xml:space="preserve"> International</w:t>
      </w:r>
      <w:r>
        <w:rPr>
          <w:color w:val="231F20"/>
          <w:spacing w:val="-5"/>
        </w:rPr>
        <w:t xml:space="preserve"> </w:t>
      </w:r>
      <w:r>
        <w:rPr>
          <w:color w:val="231F20"/>
        </w:rPr>
        <w:t>Plc</w:t>
      </w:r>
    </w:p>
    <w:p w14:paraId="340DD8CD" w14:textId="77777777" w:rsidR="00783288" w:rsidRDefault="00783288">
      <w:pPr>
        <w:pStyle w:val="BodyText"/>
        <w:kinsoku w:val="0"/>
        <w:overflowPunct w:val="0"/>
        <w:spacing w:before="9"/>
        <w:rPr>
          <w:b/>
          <w:bCs/>
          <w:sz w:val="20"/>
          <w:szCs w:val="20"/>
        </w:rPr>
      </w:pPr>
    </w:p>
    <w:p w14:paraId="1242FD0D" w14:textId="77777777" w:rsidR="00783288" w:rsidRDefault="00E31420" w:rsidP="00512495">
      <w:pPr>
        <w:pStyle w:val="ListParagraph"/>
        <w:numPr>
          <w:ilvl w:val="0"/>
          <w:numId w:val="30"/>
        </w:numPr>
        <w:tabs>
          <w:tab w:val="left" w:pos="1200"/>
        </w:tabs>
        <w:kinsoku w:val="0"/>
        <w:overflowPunct w:val="0"/>
        <w:rPr>
          <w:b/>
          <w:bCs/>
          <w:color w:val="231F20"/>
          <w:sz w:val="18"/>
          <w:szCs w:val="18"/>
        </w:rPr>
      </w:pPr>
      <w:bookmarkStart w:id="16" w:name="_Hlk69909088"/>
      <w:r>
        <w:rPr>
          <w:b/>
          <w:bCs/>
          <w:color w:val="231F20"/>
          <w:sz w:val="18"/>
          <w:szCs w:val="18"/>
        </w:rPr>
        <w:t>Investment</w:t>
      </w:r>
      <w:r>
        <w:rPr>
          <w:b/>
          <w:bCs/>
          <w:color w:val="231F20"/>
          <w:spacing w:val="-1"/>
          <w:sz w:val="18"/>
          <w:szCs w:val="18"/>
        </w:rPr>
        <w:t xml:space="preserve"> </w:t>
      </w:r>
      <w:r>
        <w:rPr>
          <w:b/>
          <w:bCs/>
          <w:color w:val="231F20"/>
          <w:sz w:val="18"/>
          <w:szCs w:val="18"/>
        </w:rPr>
        <w:t>Agreement</w:t>
      </w:r>
    </w:p>
    <w:bookmarkEnd w:id="16"/>
    <w:p w14:paraId="2EF2A7A0" w14:textId="77777777" w:rsidR="00783288" w:rsidRDefault="00783288">
      <w:pPr>
        <w:pStyle w:val="BodyText"/>
        <w:kinsoku w:val="0"/>
        <w:overflowPunct w:val="0"/>
        <w:spacing w:before="5"/>
        <w:rPr>
          <w:b/>
          <w:bCs/>
          <w:sz w:val="21"/>
          <w:szCs w:val="21"/>
        </w:rPr>
      </w:pPr>
    </w:p>
    <w:p w14:paraId="2E157F0A" w14:textId="1C957CB7" w:rsidR="00783288" w:rsidRDefault="00E31420">
      <w:pPr>
        <w:pStyle w:val="BodyText"/>
        <w:kinsoku w:val="0"/>
        <w:overflowPunct w:val="0"/>
        <w:spacing w:before="1"/>
        <w:ind w:left="839" w:right="1035"/>
        <w:jc w:val="both"/>
        <w:rPr>
          <w:color w:val="231F20"/>
        </w:rPr>
      </w:pPr>
      <w:r>
        <w:rPr>
          <w:color w:val="231F20"/>
        </w:rPr>
        <w:t xml:space="preserve">On 24 November 2020, the Company entered into an Investment Agreement with </w:t>
      </w:r>
      <w:proofErr w:type="spellStart"/>
      <w:r>
        <w:rPr>
          <w:color w:val="231F20"/>
        </w:rPr>
        <w:t>Po</w:t>
      </w:r>
      <w:r w:rsidR="00160BCC">
        <w:rPr>
          <w:color w:val="231F20"/>
        </w:rPr>
        <w:t>ly</w:t>
      </w:r>
      <w:r>
        <w:rPr>
          <w:color w:val="231F20"/>
        </w:rPr>
        <w:t>metal</w:t>
      </w:r>
      <w:proofErr w:type="spellEnd"/>
      <w:r>
        <w:rPr>
          <w:color w:val="231F20"/>
        </w:rPr>
        <w:t xml:space="preserve">. Pursuant to the Investment Agreement </w:t>
      </w:r>
      <w:proofErr w:type="spellStart"/>
      <w:r>
        <w:rPr>
          <w:color w:val="231F20"/>
        </w:rPr>
        <w:t>Polymetal</w:t>
      </w:r>
      <w:proofErr w:type="spellEnd"/>
      <w:r>
        <w:rPr>
          <w:color w:val="231F20"/>
        </w:rPr>
        <w:t xml:space="preserve"> irrevocably agreed to subscribe for a total of 23,333,334 new Ordinary Shares</w:t>
      </w:r>
      <w:r>
        <w:rPr>
          <w:color w:val="231F20"/>
          <w:spacing w:val="-11"/>
        </w:rPr>
        <w:t xml:space="preserve"> </w:t>
      </w:r>
      <w:r>
        <w:rPr>
          <w:color w:val="231F20"/>
        </w:rPr>
        <w:t>at</w:t>
      </w:r>
      <w:r>
        <w:rPr>
          <w:color w:val="231F20"/>
          <w:spacing w:val="-11"/>
        </w:rPr>
        <w:t xml:space="preserve"> </w:t>
      </w:r>
      <w:r>
        <w:rPr>
          <w:color w:val="231F20"/>
        </w:rPr>
        <w:t>the</w:t>
      </w:r>
      <w:r>
        <w:rPr>
          <w:color w:val="231F20"/>
          <w:spacing w:val="-10"/>
        </w:rPr>
        <w:t xml:space="preserve"> </w:t>
      </w:r>
      <w:r w:rsidR="00160BCC">
        <w:rPr>
          <w:color w:val="231F20"/>
          <w:spacing w:val="-10"/>
        </w:rPr>
        <w:t xml:space="preserve">December 2020 </w:t>
      </w:r>
      <w:r>
        <w:rPr>
          <w:color w:val="231F20"/>
        </w:rPr>
        <w:t>Fundraise</w:t>
      </w:r>
      <w:r>
        <w:rPr>
          <w:color w:val="231F20"/>
          <w:spacing w:val="-11"/>
        </w:rPr>
        <w:t xml:space="preserve"> </w:t>
      </w:r>
      <w:r>
        <w:rPr>
          <w:color w:val="231F20"/>
        </w:rPr>
        <w:t>Price.</w:t>
      </w:r>
      <w:r w:rsidR="00160BCC">
        <w:rPr>
          <w:color w:val="231F20"/>
        </w:rPr>
        <w:t xml:space="preserve"> </w:t>
      </w:r>
    </w:p>
    <w:p w14:paraId="09B77B47" w14:textId="77777777" w:rsidR="00783288" w:rsidRDefault="00783288">
      <w:pPr>
        <w:pStyle w:val="BodyText"/>
        <w:kinsoku w:val="0"/>
        <w:overflowPunct w:val="0"/>
        <w:spacing w:before="5"/>
        <w:rPr>
          <w:sz w:val="20"/>
          <w:szCs w:val="20"/>
        </w:rPr>
      </w:pPr>
    </w:p>
    <w:p w14:paraId="1E6DBDDF" w14:textId="2DDE2E95" w:rsidR="00B62B5D" w:rsidRDefault="00E31420" w:rsidP="00512495">
      <w:pPr>
        <w:pStyle w:val="Heading1"/>
        <w:numPr>
          <w:ilvl w:val="0"/>
          <w:numId w:val="30"/>
        </w:numPr>
        <w:tabs>
          <w:tab w:val="left" w:pos="1201"/>
        </w:tabs>
        <w:kinsoku w:val="0"/>
        <w:overflowPunct w:val="0"/>
        <w:rPr>
          <w:color w:val="231F20"/>
        </w:rPr>
      </w:pPr>
      <w:r w:rsidRPr="00B62B5D">
        <w:rPr>
          <w:color w:val="231F20"/>
        </w:rPr>
        <w:t>Relationship Agreement</w:t>
      </w:r>
    </w:p>
    <w:p w14:paraId="6EF72EB7" w14:textId="4F8336A2" w:rsidR="00783288" w:rsidRDefault="00501C1D" w:rsidP="00B62B5D">
      <w:pPr>
        <w:pStyle w:val="BodyText"/>
        <w:kinsoku w:val="0"/>
        <w:overflowPunct w:val="0"/>
        <w:spacing w:before="78"/>
        <w:ind w:left="839" w:right="1035"/>
        <w:jc w:val="both"/>
        <w:rPr>
          <w:color w:val="231F20"/>
        </w:rPr>
      </w:pPr>
      <w:r>
        <w:rPr>
          <w:color w:val="231F20"/>
        </w:rPr>
        <w:t xml:space="preserve">On 24 November 2020, the Company and </w:t>
      </w:r>
      <w:proofErr w:type="spellStart"/>
      <w:r>
        <w:rPr>
          <w:color w:val="231F20"/>
        </w:rPr>
        <w:t>Polymetal</w:t>
      </w:r>
      <w:proofErr w:type="spellEnd"/>
      <w:r>
        <w:rPr>
          <w:color w:val="231F20"/>
        </w:rPr>
        <w:t xml:space="preserve"> entered into a relationship </w:t>
      </w:r>
      <w:proofErr w:type="gramStart"/>
      <w:r>
        <w:rPr>
          <w:color w:val="231F20"/>
        </w:rPr>
        <w:t>agreement</w:t>
      </w:r>
      <w:r w:rsidR="00E31420">
        <w:rPr>
          <w:color w:val="231F20"/>
        </w:rPr>
        <w:t xml:space="preserve"> </w:t>
      </w:r>
      <w:r>
        <w:rPr>
          <w:color w:val="231F20"/>
        </w:rPr>
        <w:t xml:space="preserve"> providing</w:t>
      </w:r>
      <w:proofErr w:type="gramEnd"/>
      <w:r>
        <w:rPr>
          <w:color w:val="231F20"/>
        </w:rPr>
        <w:t xml:space="preserve"> for the </w:t>
      </w:r>
      <w:r w:rsidR="00E31420">
        <w:rPr>
          <w:color w:val="231F20"/>
        </w:rPr>
        <w:t>terms on which their relationship will be governed so as to ensure that the Company’s business is capable of being conducted independently.</w:t>
      </w:r>
    </w:p>
    <w:p w14:paraId="1BC82695" w14:textId="77777777" w:rsidR="00783288" w:rsidRDefault="00783288">
      <w:pPr>
        <w:pStyle w:val="BodyText"/>
        <w:kinsoku w:val="0"/>
        <w:overflowPunct w:val="0"/>
        <w:spacing w:before="10"/>
        <w:rPr>
          <w:sz w:val="20"/>
          <w:szCs w:val="20"/>
        </w:rPr>
      </w:pPr>
    </w:p>
    <w:p w14:paraId="19745D77" w14:textId="36D5BA77" w:rsidR="00783288" w:rsidRDefault="00E31420" w:rsidP="00532BFA">
      <w:pPr>
        <w:pStyle w:val="BodyText"/>
        <w:kinsoku w:val="0"/>
        <w:overflowPunct w:val="0"/>
        <w:spacing w:line="204" w:lineRule="exact"/>
        <w:ind w:left="839"/>
        <w:jc w:val="both"/>
        <w:rPr>
          <w:color w:val="231F20"/>
        </w:rPr>
      </w:pPr>
      <w:proofErr w:type="spellStart"/>
      <w:r>
        <w:rPr>
          <w:color w:val="231F20"/>
        </w:rPr>
        <w:t>Polymetal</w:t>
      </w:r>
      <w:proofErr w:type="spellEnd"/>
      <w:r>
        <w:rPr>
          <w:color w:val="231F20"/>
        </w:rPr>
        <w:t xml:space="preserve"> has agreed to certain restrictions under the terms of the agreement, including inter alia</w:t>
      </w:r>
      <w:r>
        <w:rPr>
          <w:b/>
          <w:bCs/>
          <w:color w:val="231F20"/>
        </w:rPr>
        <w:t>:</w:t>
      </w:r>
    </w:p>
    <w:p w14:paraId="20325574" w14:textId="77777777" w:rsidR="00783288" w:rsidRDefault="00783288">
      <w:pPr>
        <w:pStyle w:val="BodyText"/>
        <w:kinsoku w:val="0"/>
        <w:overflowPunct w:val="0"/>
        <w:spacing w:before="3"/>
        <w:rPr>
          <w:sz w:val="21"/>
          <w:szCs w:val="21"/>
        </w:rPr>
      </w:pPr>
    </w:p>
    <w:p w14:paraId="460517F6" w14:textId="77777777" w:rsidR="00783288" w:rsidRDefault="00E31420" w:rsidP="00512495">
      <w:pPr>
        <w:pStyle w:val="ListParagraph"/>
        <w:numPr>
          <w:ilvl w:val="0"/>
          <w:numId w:val="32"/>
        </w:numPr>
        <w:tabs>
          <w:tab w:val="left" w:pos="1191"/>
        </w:tabs>
        <w:kinsoku w:val="0"/>
        <w:overflowPunct w:val="0"/>
        <w:ind w:right="1038"/>
        <w:jc w:val="both"/>
        <w:rPr>
          <w:color w:val="231F20"/>
          <w:sz w:val="18"/>
          <w:szCs w:val="18"/>
        </w:rPr>
      </w:pPr>
      <w:proofErr w:type="spellStart"/>
      <w:r>
        <w:rPr>
          <w:color w:val="231F20"/>
          <w:sz w:val="18"/>
          <w:szCs w:val="18"/>
        </w:rPr>
        <w:t>Polymetal</w:t>
      </w:r>
      <w:proofErr w:type="spellEnd"/>
      <w:r>
        <w:rPr>
          <w:color w:val="231F20"/>
          <w:sz w:val="18"/>
          <w:szCs w:val="18"/>
        </w:rPr>
        <w:t xml:space="preserve"> is required to exercise their voting rights so as to ensure the independence of the Company’s </w:t>
      </w:r>
      <w:proofErr w:type="gramStart"/>
      <w:r>
        <w:rPr>
          <w:color w:val="231F20"/>
          <w:sz w:val="18"/>
          <w:szCs w:val="18"/>
        </w:rPr>
        <w:t>board;</w:t>
      </w:r>
      <w:proofErr w:type="gramEnd"/>
    </w:p>
    <w:p w14:paraId="4C750385" w14:textId="77777777" w:rsidR="00783288" w:rsidRDefault="00783288">
      <w:pPr>
        <w:pStyle w:val="BodyText"/>
        <w:kinsoku w:val="0"/>
        <w:overflowPunct w:val="0"/>
        <w:rPr>
          <w:sz w:val="21"/>
          <w:szCs w:val="21"/>
        </w:rPr>
      </w:pPr>
    </w:p>
    <w:p w14:paraId="4014E646" w14:textId="77777777" w:rsidR="00783288" w:rsidRDefault="00E31420" w:rsidP="00512495">
      <w:pPr>
        <w:pStyle w:val="ListParagraph"/>
        <w:numPr>
          <w:ilvl w:val="0"/>
          <w:numId w:val="32"/>
        </w:numPr>
        <w:tabs>
          <w:tab w:val="left" w:pos="1191"/>
        </w:tabs>
        <w:kinsoku w:val="0"/>
        <w:overflowPunct w:val="0"/>
        <w:ind w:hanging="361"/>
        <w:rPr>
          <w:color w:val="231F20"/>
          <w:sz w:val="18"/>
          <w:szCs w:val="18"/>
        </w:rPr>
      </w:pPr>
      <w:proofErr w:type="spellStart"/>
      <w:r>
        <w:rPr>
          <w:color w:val="231F20"/>
          <w:sz w:val="18"/>
          <w:szCs w:val="18"/>
        </w:rPr>
        <w:t>Polymetal</w:t>
      </w:r>
      <w:proofErr w:type="spellEnd"/>
      <w:r>
        <w:rPr>
          <w:color w:val="231F20"/>
          <w:sz w:val="18"/>
          <w:szCs w:val="18"/>
        </w:rPr>
        <w:t xml:space="preserve"> is required not to control or influence the running of the Company at an operational</w:t>
      </w:r>
      <w:r>
        <w:rPr>
          <w:color w:val="231F20"/>
          <w:spacing w:val="-19"/>
          <w:sz w:val="18"/>
          <w:szCs w:val="18"/>
        </w:rPr>
        <w:t xml:space="preserve"> </w:t>
      </w:r>
      <w:proofErr w:type="gramStart"/>
      <w:r>
        <w:rPr>
          <w:color w:val="231F20"/>
          <w:sz w:val="18"/>
          <w:szCs w:val="18"/>
        </w:rPr>
        <w:t>level;</w:t>
      </w:r>
      <w:proofErr w:type="gramEnd"/>
    </w:p>
    <w:p w14:paraId="7CD2E6EA" w14:textId="77777777" w:rsidR="00783288" w:rsidRDefault="00783288">
      <w:pPr>
        <w:pStyle w:val="BodyText"/>
        <w:kinsoku w:val="0"/>
        <w:overflowPunct w:val="0"/>
        <w:spacing w:before="9"/>
        <w:rPr>
          <w:sz w:val="20"/>
          <w:szCs w:val="20"/>
        </w:rPr>
      </w:pPr>
    </w:p>
    <w:p w14:paraId="41F196E5" w14:textId="77777777" w:rsidR="00783288" w:rsidRDefault="00E31420" w:rsidP="00512495">
      <w:pPr>
        <w:pStyle w:val="ListParagraph"/>
        <w:numPr>
          <w:ilvl w:val="0"/>
          <w:numId w:val="32"/>
        </w:numPr>
        <w:tabs>
          <w:tab w:val="left" w:pos="1191"/>
        </w:tabs>
        <w:kinsoku w:val="0"/>
        <w:overflowPunct w:val="0"/>
        <w:ind w:right="1035"/>
        <w:jc w:val="both"/>
        <w:rPr>
          <w:color w:val="231F20"/>
          <w:sz w:val="18"/>
          <w:szCs w:val="18"/>
        </w:rPr>
      </w:pPr>
      <w:proofErr w:type="spellStart"/>
      <w:r>
        <w:rPr>
          <w:color w:val="231F20"/>
          <w:sz w:val="18"/>
          <w:szCs w:val="18"/>
        </w:rPr>
        <w:t>Polymetal</w:t>
      </w:r>
      <w:proofErr w:type="spellEnd"/>
      <w:r>
        <w:rPr>
          <w:color w:val="231F20"/>
          <w:sz w:val="18"/>
          <w:szCs w:val="18"/>
        </w:rPr>
        <w:t xml:space="preserve"> is required not to exercise their voting rights in respect of any resolution relating to (a) any transaction with </w:t>
      </w:r>
      <w:proofErr w:type="spellStart"/>
      <w:r>
        <w:rPr>
          <w:color w:val="231F20"/>
          <w:sz w:val="18"/>
          <w:szCs w:val="18"/>
        </w:rPr>
        <w:t>Polymetal</w:t>
      </w:r>
      <w:proofErr w:type="spellEnd"/>
      <w:r>
        <w:rPr>
          <w:color w:val="231F20"/>
          <w:sz w:val="18"/>
          <w:szCs w:val="18"/>
        </w:rPr>
        <w:t>; (b) the cancellation of the Company’s Admission to trading on the Main Market; or (c) any amendments to the Company’s article of association which would be inconsistent with the agreement;</w:t>
      </w:r>
    </w:p>
    <w:p w14:paraId="6C369AA4" w14:textId="77777777" w:rsidR="00783288" w:rsidRDefault="00783288">
      <w:pPr>
        <w:pStyle w:val="BodyText"/>
        <w:kinsoku w:val="0"/>
        <w:overflowPunct w:val="0"/>
        <w:spacing w:before="10"/>
        <w:rPr>
          <w:sz w:val="20"/>
          <w:szCs w:val="20"/>
        </w:rPr>
      </w:pPr>
    </w:p>
    <w:p w14:paraId="05D7826A" w14:textId="77777777" w:rsidR="00783288" w:rsidRDefault="00E31420" w:rsidP="00512495">
      <w:pPr>
        <w:pStyle w:val="ListParagraph"/>
        <w:numPr>
          <w:ilvl w:val="0"/>
          <w:numId w:val="32"/>
        </w:numPr>
        <w:tabs>
          <w:tab w:val="left" w:pos="1191"/>
        </w:tabs>
        <w:kinsoku w:val="0"/>
        <w:overflowPunct w:val="0"/>
        <w:ind w:right="1035"/>
        <w:jc w:val="both"/>
        <w:rPr>
          <w:color w:val="231F20"/>
          <w:sz w:val="18"/>
          <w:szCs w:val="18"/>
        </w:rPr>
      </w:pPr>
      <w:proofErr w:type="spellStart"/>
      <w:r>
        <w:rPr>
          <w:color w:val="231F20"/>
          <w:sz w:val="18"/>
          <w:szCs w:val="18"/>
        </w:rPr>
        <w:t>Polymetal</w:t>
      </w:r>
      <w:proofErr w:type="spellEnd"/>
      <w:r>
        <w:rPr>
          <w:color w:val="231F20"/>
          <w:sz w:val="18"/>
          <w:szCs w:val="18"/>
        </w:rPr>
        <w:t xml:space="preserve"> will not at any time prior to the third anniversary of Admission, sell any interest in it</w:t>
      </w:r>
      <w:r w:rsidR="00501C1D">
        <w:rPr>
          <w:color w:val="231F20"/>
          <w:sz w:val="18"/>
          <w:szCs w:val="18"/>
        </w:rPr>
        <w:t>s</w:t>
      </w:r>
      <w:r>
        <w:rPr>
          <w:color w:val="231F20"/>
          <w:sz w:val="18"/>
          <w:szCs w:val="18"/>
        </w:rPr>
        <w:t xml:space="preserve"> shares or acquire any </w:t>
      </w:r>
      <w:proofErr w:type="spellStart"/>
      <w:r>
        <w:rPr>
          <w:color w:val="231F20"/>
          <w:sz w:val="18"/>
          <w:szCs w:val="18"/>
        </w:rPr>
        <w:t>inerest</w:t>
      </w:r>
      <w:proofErr w:type="spellEnd"/>
      <w:r>
        <w:rPr>
          <w:color w:val="231F20"/>
          <w:sz w:val="18"/>
          <w:szCs w:val="18"/>
        </w:rPr>
        <w:t xml:space="preserve"> in the Company’s shares if such acquisition would increase the aggregate shareholding</w:t>
      </w:r>
      <w:r>
        <w:rPr>
          <w:color w:val="231F20"/>
          <w:spacing w:val="-10"/>
          <w:sz w:val="18"/>
          <w:szCs w:val="18"/>
        </w:rPr>
        <w:t xml:space="preserve"> </w:t>
      </w:r>
      <w:r>
        <w:rPr>
          <w:color w:val="231F20"/>
          <w:sz w:val="18"/>
          <w:szCs w:val="18"/>
        </w:rPr>
        <w:t>of</w:t>
      </w:r>
      <w:r>
        <w:rPr>
          <w:color w:val="231F20"/>
          <w:spacing w:val="-6"/>
          <w:sz w:val="18"/>
          <w:szCs w:val="18"/>
        </w:rPr>
        <w:t xml:space="preserve"> </w:t>
      </w:r>
      <w:proofErr w:type="spellStart"/>
      <w:r>
        <w:rPr>
          <w:color w:val="231F20"/>
          <w:sz w:val="18"/>
          <w:szCs w:val="18"/>
        </w:rPr>
        <w:t>Polymetal</w:t>
      </w:r>
      <w:proofErr w:type="spellEnd"/>
      <w:r>
        <w:rPr>
          <w:color w:val="231F20"/>
          <w:spacing w:val="-6"/>
          <w:sz w:val="18"/>
          <w:szCs w:val="18"/>
        </w:rPr>
        <w:t xml:space="preserve"> </w:t>
      </w:r>
      <w:r>
        <w:rPr>
          <w:color w:val="231F20"/>
          <w:sz w:val="18"/>
          <w:szCs w:val="18"/>
        </w:rPr>
        <w:t>by</w:t>
      </w:r>
      <w:r>
        <w:rPr>
          <w:color w:val="231F20"/>
          <w:spacing w:val="-8"/>
          <w:sz w:val="18"/>
          <w:szCs w:val="18"/>
        </w:rPr>
        <w:t xml:space="preserve"> </w:t>
      </w:r>
      <w:r>
        <w:rPr>
          <w:color w:val="231F20"/>
          <w:sz w:val="18"/>
          <w:szCs w:val="18"/>
        </w:rPr>
        <w:t>more</w:t>
      </w:r>
      <w:r>
        <w:rPr>
          <w:color w:val="231F20"/>
          <w:spacing w:val="-6"/>
          <w:sz w:val="18"/>
          <w:szCs w:val="18"/>
        </w:rPr>
        <w:t xml:space="preserve"> </w:t>
      </w:r>
      <w:r>
        <w:rPr>
          <w:color w:val="231F20"/>
          <w:sz w:val="18"/>
          <w:szCs w:val="18"/>
        </w:rPr>
        <w:t>than</w:t>
      </w:r>
      <w:r>
        <w:rPr>
          <w:color w:val="231F20"/>
          <w:spacing w:val="-7"/>
          <w:sz w:val="18"/>
          <w:szCs w:val="18"/>
        </w:rPr>
        <w:t xml:space="preserve"> </w:t>
      </w:r>
      <w:r>
        <w:rPr>
          <w:color w:val="231F20"/>
          <w:sz w:val="18"/>
          <w:szCs w:val="18"/>
        </w:rPr>
        <w:t>1%</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total</w:t>
      </w:r>
      <w:r>
        <w:rPr>
          <w:color w:val="231F20"/>
          <w:spacing w:val="-6"/>
          <w:sz w:val="18"/>
          <w:szCs w:val="18"/>
        </w:rPr>
        <w:t xml:space="preserve"> </w:t>
      </w:r>
      <w:r>
        <w:rPr>
          <w:color w:val="231F20"/>
          <w:sz w:val="18"/>
          <w:szCs w:val="18"/>
        </w:rPr>
        <w:t>voting</w:t>
      </w:r>
      <w:r>
        <w:rPr>
          <w:color w:val="231F20"/>
          <w:spacing w:val="-7"/>
          <w:sz w:val="18"/>
          <w:szCs w:val="18"/>
        </w:rPr>
        <w:t xml:space="preserve"> </w:t>
      </w:r>
      <w:r>
        <w:rPr>
          <w:color w:val="231F20"/>
          <w:sz w:val="18"/>
          <w:szCs w:val="18"/>
        </w:rPr>
        <w:t>rights</w:t>
      </w:r>
      <w:r>
        <w:rPr>
          <w:color w:val="231F20"/>
          <w:spacing w:val="-6"/>
          <w:sz w:val="18"/>
          <w:szCs w:val="18"/>
        </w:rPr>
        <w:t xml:space="preserve"> </w:t>
      </w:r>
      <w:r>
        <w:rPr>
          <w:color w:val="231F20"/>
          <w:sz w:val="18"/>
          <w:szCs w:val="18"/>
        </w:rPr>
        <w:t>in</w:t>
      </w:r>
      <w:r>
        <w:rPr>
          <w:color w:val="231F20"/>
          <w:spacing w:val="-9"/>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Pr>
          <w:color w:val="231F20"/>
          <w:spacing w:val="-8"/>
          <w:sz w:val="18"/>
          <w:szCs w:val="18"/>
        </w:rPr>
        <w:t xml:space="preserve"> </w:t>
      </w:r>
      <w:r>
        <w:rPr>
          <w:color w:val="231F20"/>
          <w:sz w:val="18"/>
          <w:szCs w:val="18"/>
        </w:rPr>
        <w:t>from</w:t>
      </w:r>
      <w:r>
        <w:rPr>
          <w:color w:val="231F20"/>
          <w:spacing w:val="-6"/>
          <w:sz w:val="18"/>
          <w:szCs w:val="18"/>
        </w:rPr>
        <w:t xml:space="preserve"> </w:t>
      </w:r>
      <w:r>
        <w:rPr>
          <w:color w:val="231F20"/>
          <w:sz w:val="18"/>
          <w:szCs w:val="18"/>
        </w:rPr>
        <w:t>the</w:t>
      </w:r>
      <w:r>
        <w:rPr>
          <w:color w:val="231F20"/>
          <w:spacing w:val="-7"/>
          <w:sz w:val="18"/>
          <w:szCs w:val="18"/>
        </w:rPr>
        <w:t xml:space="preserve"> </w:t>
      </w:r>
      <w:r>
        <w:rPr>
          <w:color w:val="231F20"/>
          <w:sz w:val="18"/>
          <w:szCs w:val="18"/>
        </w:rPr>
        <w:t>percentage existing at Admission (subject to certain exceptions as set out in the Investment</w:t>
      </w:r>
      <w:r>
        <w:rPr>
          <w:color w:val="231F20"/>
          <w:spacing w:val="-19"/>
          <w:sz w:val="18"/>
          <w:szCs w:val="18"/>
        </w:rPr>
        <w:t xml:space="preserve"> </w:t>
      </w:r>
      <w:r>
        <w:rPr>
          <w:color w:val="231F20"/>
          <w:sz w:val="18"/>
          <w:szCs w:val="18"/>
        </w:rPr>
        <w:t>Agreement);</w:t>
      </w:r>
    </w:p>
    <w:p w14:paraId="37B2C14C" w14:textId="77777777" w:rsidR="00783288" w:rsidRDefault="00783288">
      <w:pPr>
        <w:pStyle w:val="BodyText"/>
        <w:kinsoku w:val="0"/>
        <w:overflowPunct w:val="0"/>
        <w:spacing w:before="10"/>
        <w:rPr>
          <w:sz w:val="20"/>
          <w:szCs w:val="20"/>
        </w:rPr>
      </w:pPr>
    </w:p>
    <w:p w14:paraId="5FAE6191" w14:textId="77777777" w:rsidR="00783288" w:rsidRDefault="00E31420" w:rsidP="00512495">
      <w:pPr>
        <w:pStyle w:val="ListParagraph"/>
        <w:numPr>
          <w:ilvl w:val="0"/>
          <w:numId w:val="32"/>
        </w:numPr>
        <w:tabs>
          <w:tab w:val="left" w:pos="1191"/>
        </w:tabs>
        <w:kinsoku w:val="0"/>
        <w:overflowPunct w:val="0"/>
        <w:ind w:right="1036"/>
        <w:jc w:val="both"/>
        <w:rPr>
          <w:color w:val="231F20"/>
          <w:sz w:val="18"/>
          <w:szCs w:val="18"/>
        </w:rPr>
      </w:pPr>
      <w:proofErr w:type="spellStart"/>
      <w:r>
        <w:rPr>
          <w:color w:val="231F20"/>
          <w:sz w:val="18"/>
          <w:szCs w:val="18"/>
        </w:rPr>
        <w:t>Polymetal</w:t>
      </w:r>
      <w:proofErr w:type="spellEnd"/>
      <w:r>
        <w:rPr>
          <w:color w:val="231F20"/>
          <w:spacing w:val="-4"/>
          <w:sz w:val="18"/>
          <w:szCs w:val="18"/>
        </w:rPr>
        <w:t xml:space="preserve"> </w:t>
      </w:r>
      <w:r>
        <w:rPr>
          <w:color w:val="231F20"/>
          <w:sz w:val="18"/>
          <w:szCs w:val="18"/>
        </w:rPr>
        <w:t>has</w:t>
      </w:r>
      <w:r>
        <w:rPr>
          <w:color w:val="231F20"/>
          <w:spacing w:val="-2"/>
          <w:sz w:val="18"/>
          <w:szCs w:val="18"/>
        </w:rPr>
        <w:t xml:space="preserve"> </w:t>
      </w:r>
      <w:r>
        <w:rPr>
          <w:color w:val="231F20"/>
          <w:sz w:val="18"/>
          <w:szCs w:val="18"/>
        </w:rPr>
        <w:t>the</w:t>
      </w:r>
      <w:r>
        <w:rPr>
          <w:color w:val="231F20"/>
          <w:spacing w:val="-4"/>
          <w:sz w:val="18"/>
          <w:szCs w:val="18"/>
        </w:rPr>
        <w:t xml:space="preserve"> </w:t>
      </w:r>
      <w:r>
        <w:rPr>
          <w:color w:val="231F20"/>
          <w:sz w:val="18"/>
          <w:szCs w:val="18"/>
        </w:rPr>
        <w:t>right</w:t>
      </w:r>
      <w:r>
        <w:rPr>
          <w:color w:val="231F20"/>
          <w:spacing w:val="-3"/>
          <w:sz w:val="18"/>
          <w:szCs w:val="18"/>
        </w:rPr>
        <w:t xml:space="preserve"> </w:t>
      </w:r>
      <w:r>
        <w:rPr>
          <w:color w:val="231F20"/>
          <w:sz w:val="18"/>
          <w:szCs w:val="18"/>
        </w:rPr>
        <w:t>to</w:t>
      </w:r>
      <w:r>
        <w:rPr>
          <w:color w:val="231F20"/>
          <w:spacing w:val="-4"/>
          <w:sz w:val="18"/>
          <w:szCs w:val="18"/>
        </w:rPr>
        <w:t xml:space="preserve"> </w:t>
      </w:r>
      <w:r>
        <w:rPr>
          <w:color w:val="231F20"/>
          <w:sz w:val="18"/>
          <w:szCs w:val="18"/>
        </w:rPr>
        <w:t>participate</w:t>
      </w:r>
      <w:r>
        <w:rPr>
          <w:color w:val="231F20"/>
          <w:spacing w:val="-3"/>
          <w:sz w:val="18"/>
          <w:szCs w:val="18"/>
        </w:rPr>
        <w:t xml:space="preserve"> </w:t>
      </w:r>
      <w:r>
        <w:rPr>
          <w:color w:val="231F20"/>
          <w:sz w:val="18"/>
          <w:szCs w:val="18"/>
        </w:rPr>
        <w:t>in</w:t>
      </w:r>
      <w:r>
        <w:rPr>
          <w:color w:val="231F20"/>
          <w:spacing w:val="-4"/>
          <w:sz w:val="18"/>
          <w:szCs w:val="18"/>
        </w:rPr>
        <w:t xml:space="preserve"> </w:t>
      </w:r>
      <w:r>
        <w:rPr>
          <w:color w:val="231F20"/>
          <w:sz w:val="18"/>
          <w:szCs w:val="18"/>
        </w:rPr>
        <w:t>any</w:t>
      </w:r>
      <w:r>
        <w:rPr>
          <w:color w:val="231F20"/>
          <w:spacing w:val="-5"/>
          <w:sz w:val="18"/>
          <w:szCs w:val="18"/>
        </w:rPr>
        <w:t xml:space="preserve"> </w:t>
      </w:r>
      <w:r>
        <w:rPr>
          <w:color w:val="231F20"/>
          <w:sz w:val="18"/>
          <w:szCs w:val="18"/>
        </w:rPr>
        <w:t>issue</w:t>
      </w:r>
      <w:r>
        <w:rPr>
          <w:color w:val="231F20"/>
          <w:spacing w:val="-3"/>
          <w:sz w:val="18"/>
          <w:szCs w:val="18"/>
        </w:rPr>
        <w:t xml:space="preserve"> </w:t>
      </w:r>
      <w:r>
        <w:rPr>
          <w:color w:val="231F20"/>
          <w:sz w:val="18"/>
          <w:szCs w:val="18"/>
        </w:rPr>
        <w:t>of</w:t>
      </w:r>
      <w:r>
        <w:rPr>
          <w:color w:val="231F20"/>
          <w:spacing w:val="-4"/>
          <w:sz w:val="18"/>
          <w:szCs w:val="18"/>
        </w:rPr>
        <w:t xml:space="preserve"> </w:t>
      </w:r>
      <w:r>
        <w:rPr>
          <w:color w:val="231F20"/>
          <w:sz w:val="18"/>
          <w:szCs w:val="18"/>
        </w:rPr>
        <w:t>shares</w:t>
      </w:r>
      <w:r>
        <w:rPr>
          <w:color w:val="231F20"/>
          <w:spacing w:val="-2"/>
          <w:sz w:val="18"/>
          <w:szCs w:val="18"/>
        </w:rPr>
        <w:t xml:space="preserve"> </w:t>
      </w:r>
      <w:r>
        <w:rPr>
          <w:color w:val="231F20"/>
          <w:sz w:val="18"/>
          <w:szCs w:val="18"/>
        </w:rPr>
        <w:t>or</w:t>
      </w:r>
      <w:r>
        <w:rPr>
          <w:color w:val="231F20"/>
          <w:spacing w:val="-4"/>
          <w:sz w:val="18"/>
          <w:szCs w:val="18"/>
        </w:rPr>
        <w:t xml:space="preserve"> </w:t>
      </w:r>
      <w:r>
        <w:rPr>
          <w:color w:val="231F20"/>
          <w:sz w:val="18"/>
          <w:szCs w:val="18"/>
        </w:rPr>
        <w:t>other</w:t>
      </w:r>
      <w:r>
        <w:rPr>
          <w:color w:val="231F20"/>
          <w:spacing w:val="-3"/>
          <w:sz w:val="18"/>
          <w:szCs w:val="18"/>
        </w:rPr>
        <w:t xml:space="preserve"> </w:t>
      </w:r>
      <w:r>
        <w:rPr>
          <w:color w:val="231F20"/>
          <w:sz w:val="18"/>
          <w:szCs w:val="18"/>
        </w:rPr>
        <w:t>equity</w:t>
      </w:r>
      <w:r>
        <w:rPr>
          <w:color w:val="231F20"/>
          <w:spacing w:val="-6"/>
          <w:sz w:val="18"/>
          <w:szCs w:val="18"/>
        </w:rPr>
        <w:t xml:space="preserve"> </w:t>
      </w:r>
      <w:r>
        <w:rPr>
          <w:color w:val="231F20"/>
          <w:sz w:val="18"/>
          <w:szCs w:val="18"/>
        </w:rPr>
        <w:t>securities</w:t>
      </w:r>
      <w:r>
        <w:rPr>
          <w:color w:val="231F20"/>
          <w:spacing w:val="-2"/>
          <w:sz w:val="18"/>
          <w:szCs w:val="18"/>
        </w:rPr>
        <w:t xml:space="preserve"> </w:t>
      </w:r>
      <w:r>
        <w:rPr>
          <w:color w:val="231F20"/>
          <w:sz w:val="18"/>
          <w:szCs w:val="18"/>
        </w:rPr>
        <w:t>by</w:t>
      </w:r>
      <w:r>
        <w:rPr>
          <w:color w:val="231F20"/>
          <w:spacing w:val="-6"/>
          <w:sz w:val="18"/>
          <w:szCs w:val="18"/>
        </w:rPr>
        <w:t xml:space="preserve"> </w:t>
      </w:r>
      <w:r>
        <w:rPr>
          <w:color w:val="231F20"/>
          <w:sz w:val="18"/>
          <w:szCs w:val="18"/>
        </w:rPr>
        <w:t>the</w:t>
      </w:r>
      <w:r>
        <w:rPr>
          <w:color w:val="231F20"/>
          <w:spacing w:val="-5"/>
          <w:sz w:val="18"/>
          <w:szCs w:val="18"/>
        </w:rPr>
        <w:t xml:space="preserve"> </w:t>
      </w:r>
      <w:r>
        <w:rPr>
          <w:color w:val="231F20"/>
          <w:sz w:val="18"/>
          <w:szCs w:val="18"/>
        </w:rPr>
        <w:t>Company</w:t>
      </w:r>
      <w:r>
        <w:rPr>
          <w:color w:val="231F20"/>
          <w:spacing w:val="-5"/>
          <w:sz w:val="18"/>
          <w:szCs w:val="18"/>
        </w:rPr>
        <w:t xml:space="preserve"> </w:t>
      </w:r>
      <w:r>
        <w:rPr>
          <w:color w:val="231F20"/>
          <w:sz w:val="18"/>
          <w:szCs w:val="18"/>
        </w:rPr>
        <w:t xml:space="preserve">by subscribing for such number of shares as will ensure that the total proportion of all voting rights held by </w:t>
      </w:r>
      <w:proofErr w:type="spellStart"/>
      <w:r>
        <w:rPr>
          <w:color w:val="231F20"/>
          <w:sz w:val="18"/>
          <w:szCs w:val="18"/>
        </w:rPr>
        <w:t>Polymetal</w:t>
      </w:r>
      <w:proofErr w:type="spellEnd"/>
      <w:r>
        <w:rPr>
          <w:color w:val="231F20"/>
          <w:sz w:val="18"/>
          <w:szCs w:val="18"/>
        </w:rPr>
        <w:t xml:space="preserve"> is not reduced following such issue; and</w:t>
      </w:r>
    </w:p>
    <w:p w14:paraId="3FE1D32A" w14:textId="77777777" w:rsidR="00783288" w:rsidRDefault="00783288">
      <w:pPr>
        <w:pStyle w:val="BodyText"/>
        <w:kinsoku w:val="0"/>
        <w:overflowPunct w:val="0"/>
        <w:spacing w:before="11"/>
        <w:rPr>
          <w:sz w:val="20"/>
          <w:szCs w:val="20"/>
        </w:rPr>
      </w:pPr>
    </w:p>
    <w:p w14:paraId="556EC3C7" w14:textId="77777777" w:rsidR="00783288" w:rsidRDefault="00E31420" w:rsidP="00512495">
      <w:pPr>
        <w:pStyle w:val="ListParagraph"/>
        <w:numPr>
          <w:ilvl w:val="0"/>
          <w:numId w:val="32"/>
        </w:numPr>
        <w:tabs>
          <w:tab w:val="left" w:pos="1191"/>
        </w:tabs>
        <w:kinsoku w:val="0"/>
        <w:overflowPunct w:val="0"/>
        <w:ind w:right="1037"/>
        <w:jc w:val="both"/>
        <w:rPr>
          <w:color w:val="231F20"/>
          <w:sz w:val="18"/>
          <w:szCs w:val="18"/>
        </w:rPr>
      </w:pPr>
      <w:proofErr w:type="spellStart"/>
      <w:r>
        <w:rPr>
          <w:color w:val="231F20"/>
          <w:sz w:val="18"/>
          <w:szCs w:val="18"/>
        </w:rPr>
        <w:lastRenderedPageBreak/>
        <w:t>Polymetal</w:t>
      </w:r>
      <w:proofErr w:type="spellEnd"/>
      <w:r>
        <w:rPr>
          <w:color w:val="231F20"/>
          <w:sz w:val="18"/>
          <w:szCs w:val="18"/>
        </w:rPr>
        <w:t xml:space="preserve"> has given certain undertakings to the Company that it shall not have interests in other businesses which would compete with the Group and to not solicit any employees of the</w:t>
      </w:r>
      <w:r>
        <w:rPr>
          <w:color w:val="231F20"/>
          <w:spacing w:val="-20"/>
          <w:sz w:val="18"/>
          <w:szCs w:val="18"/>
        </w:rPr>
        <w:t xml:space="preserve"> </w:t>
      </w:r>
      <w:r>
        <w:rPr>
          <w:color w:val="231F20"/>
          <w:sz w:val="18"/>
          <w:szCs w:val="18"/>
        </w:rPr>
        <w:t>Group.</w:t>
      </w:r>
    </w:p>
    <w:p w14:paraId="15599B1D" w14:textId="77777777" w:rsidR="00783288" w:rsidRDefault="00783288">
      <w:pPr>
        <w:pStyle w:val="BodyText"/>
        <w:kinsoku w:val="0"/>
        <w:overflowPunct w:val="0"/>
        <w:spacing w:before="8"/>
        <w:rPr>
          <w:sz w:val="20"/>
          <w:szCs w:val="20"/>
        </w:rPr>
      </w:pPr>
    </w:p>
    <w:p w14:paraId="29A057A4" w14:textId="31447F8A" w:rsidR="00783288" w:rsidRDefault="00E31420">
      <w:pPr>
        <w:pStyle w:val="BodyText"/>
        <w:kinsoku w:val="0"/>
        <w:overflowPunct w:val="0"/>
        <w:spacing w:before="1"/>
        <w:ind w:left="839" w:right="1035"/>
        <w:jc w:val="both"/>
        <w:rPr>
          <w:color w:val="231F20"/>
        </w:rPr>
      </w:pPr>
      <w:r>
        <w:rPr>
          <w:color w:val="231F20"/>
        </w:rPr>
        <w:t>The</w:t>
      </w:r>
      <w:r w:rsidR="00501C1D">
        <w:rPr>
          <w:color w:val="231F20"/>
        </w:rPr>
        <w:t>se</w:t>
      </w:r>
      <w:r>
        <w:rPr>
          <w:color w:val="231F20"/>
        </w:rPr>
        <w:t xml:space="preserve"> restrictions shall apply for so long as </w:t>
      </w:r>
      <w:proofErr w:type="spellStart"/>
      <w:r>
        <w:rPr>
          <w:color w:val="231F20"/>
        </w:rPr>
        <w:t>Polymetal</w:t>
      </w:r>
      <w:proofErr w:type="spellEnd"/>
      <w:r>
        <w:rPr>
          <w:color w:val="231F20"/>
        </w:rPr>
        <w:t xml:space="preserve"> maintains an interest</w:t>
      </w:r>
      <w:r>
        <w:rPr>
          <w:color w:val="231F20"/>
          <w:spacing w:val="-7"/>
        </w:rPr>
        <w:t xml:space="preserve"> </w:t>
      </w:r>
      <w:r>
        <w:rPr>
          <w:color w:val="231F20"/>
        </w:rPr>
        <w:t>in</w:t>
      </w:r>
      <w:r>
        <w:rPr>
          <w:color w:val="231F20"/>
          <w:spacing w:val="-6"/>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15%</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Company’s</w:t>
      </w:r>
      <w:r>
        <w:rPr>
          <w:color w:val="231F20"/>
          <w:spacing w:val="-3"/>
        </w:rPr>
        <w:t xml:space="preserve"> </w:t>
      </w:r>
      <w:r>
        <w:rPr>
          <w:color w:val="231F20"/>
        </w:rPr>
        <w:t>voting</w:t>
      </w:r>
      <w:r>
        <w:rPr>
          <w:color w:val="231F20"/>
          <w:spacing w:val="-5"/>
        </w:rPr>
        <w:t xml:space="preserve"> </w:t>
      </w:r>
      <w:r>
        <w:rPr>
          <w:color w:val="231F20"/>
        </w:rPr>
        <w:t>rights.</w:t>
      </w:r>
      <w:r>
        <w:rPr>
          <w:color w:val="231F20"/>
          <w:spacing w:val="-4"/>
        </w:rPr>
        <w:t xml:space="preserve"> </w:t>
      </w:r>
      <w:proofErr w:type="spellStart"/>
      <w:r>
        <w:rPr>
          <w:color w:val="231F20"/>
        </w:rPr>
        <w:t>Polymetal</w:t>
      </w:r>
      <w:proofErr w:type="spellEnd"/>
      <w:r>
        <w:rPr>
          <w:color w:val="231F20"/>
          <w:spacing w:val="-7"/>
        </w:rPr>
        <w:t xml:space="preserve"> </w:t>
      </w:r>
      <w:r>
        <w:rPr>
          <w:color w:val="231F20"/>
        </w:rPr>
        <w:t>shall</w:t>
      </w:r>
      <w:r>
        <w:rPr>
          <w:color w:val="231F20"/>
          <w:spacing w:val="-6"/>
        </w:rPr>
        <w:t xml:space="preserve"> </w:t>
      </w:r>
      <w:r>
        <w:rPr>
          <w:color w:val="231F20"/>
        </w:rPr>
        <w:t>also</w:t>
      </w:r>
      <w:r>
        <w:rPr>
          <w:color w:val="231F20"/>
          <w:spacing w:val="-7"/>
        </w:rPr>
        <w:t xml:space="preserve"> </w:t>
      </w:r>
      <w:r>
        <w:rPr>
          <w:color w:val="231F20"/>
        </w:rPr>
        <w:t>have</w:t>
      </w:r>
      <w:r>
        <w:rPr>
          <w:color w:val="231F20"/>
          <w:spacing w:val="-4"/>
        </w:rPr>
        <w:t xml:space="preserve"> </w:t>
      </w:r>
      <w:r>
        <w:rPr>
          <w:color w:val="231F20"/>
        </w:rPr>
        <w:t>the</w:t>
      </w:r>
      <w:r>
        <w:rPr>
          <w:color w:val="231F20"/>
          <w:spacing w:val="-5"/>
        </w:rPr>
        <w:t xml:space="preserve"> </w:t>
      </w:r>
      <w:r>
        <w:rPr>
          <w:color w:val="231F20"/>
        </w:rPr>
        <w:t>right</w:t>
      </w:r>
      <w:r>
        <w:rPr>
          <w:color w:val="231F20"/>
          <w:spacing w:val="-4"/>
        </w:rPr>
        <w:t xml:space="preserve"> </w:t>
      </w:r>
      <w:r>
        <w:rPr>
          <w:color w:val="231F20"/>
        </w:rPr>
        <w:t>to</w:t>
      </w:r>
      <w:r>
        <w:rPr>
          <w:color w:val="231F20"/>
          <w:spacing w:val="-7"/>
        </w:rPr>
        <w:t xml:space="preserve"> </w:t>
      </w:r>
      <w:r>
        <w:rPr>
          <w:color w:val="231F20"/>
        </w:rPr>
        <w:t>nominate</w:t>
      </w:r>
      <w:r>
        <w:rPr>
          <w:color w:val="231F20"/>
          <w:spacing w:val="-6"/>
        </w:rPr>
        <w:t xml:space="preserve"> </w:t>
      </w:r>
      <w:r>
        <w:rPr>
          <w:color w:val="231F20"/>
        </w:rPr>
        <w:t xml:space="preserve">one director for appointment to the Board of the Company, provided such interest is maintained. </w:t>
      </w:r>
    </w:p>
    <w:p w14:paraId="074EF996" w14:textId="77777777" w:rsidR="00783288" w:rsidRDefault="00783288">
      <w:pPr>
        <w:pStyle w:val="BodyText"/>
        <w:kinsoku w:val="0"/>
        <w:overflowPunct w:val="0"/>
        <w:spacing w:before="9"/>
        <w:rPr>
          <w:sz w:val="20"/>
          <w:szCs w:val="20"/>
        </w:rPr>
      </w:pPr>
    </w:p>
    <w:p w14:paraId="7BC99C25" w14:textId="264C5773" w:rsidR="00783288" w:rsidRDefault="00E31420">
      <w:pPr>
        <w:pStyle w:val="BodyText"/>
        <w:kinsoku w:val="0"/>
        <w:overflowPunct w:val="0"/>
        <w:ind w:left="830" w:right="1035"/>
        <w:jc w:val="both"/>
        <w:rPr>
          <w:color w:val="231F20"/>
        </w:rPr>
      </w:pPr>
      <w:r>
        <w:rPr>
          <w:color w:val="231F20"/>
        </w:rPr>
        <w:t>The agreement is governed by the laws of England and Wales and disputes will be settled by LCIA arbitration.</w:t>
      </w:r>
    </w:p>
    <w:p w14:paraId="0078418A" w14:textId="77777777" w:rsidR="00783288" w:rsidRDefault="00783288">
      <w:pPr>
        <w:pStyle w:val="BodyText"/>
        <w:kinsoku w:val="0"/>
        <w:overflowPunct w:val="0"/>
        <w:spacing w:before="6"/>
        <w:rPr>
          <w:sz w:val="20"/>
          <w:szCs w:val="20"/>
        </w:rPr>
      </w:pPr>
    </w:p>
    <w:p w14:paraId="2076F59F" w14:textId="77777777" w:rsidR="00783288" w:rsidRDefault="00E31420" w:rsidP="00512495">
      <w:pPr>
        <w:pStyle w:val="Heading1"/>
        <w:numPr>
          <w:ilvl w:val="1"/>
          <w:numId w:val="13"/>
        </w:numPr>
        <w:tabs>
          <w:tab w:val="left" w:pos="841"/>
        </w:tabs>
        <w:kinsoku w:val="0"/>
        <w:overflowPunct w:val="0"/>
        <w:ind w:hanging="721"/>
        <w:rPr>
          <w:color w:val="231F20"/>
        </w:rPr>
      </w:pPr>
      <w:r>
        <w:rPr>
          <w:color w:val="231F20"/>
        </w:rPr>
        <w:t>Fox Davies Engagement</w:t>
      </w:r>
      <w:r>
        <w:rPr>
          <w:color w:val="231F20"/>
          <w:spacing w:val="1"/>
        </w:rPr>
        <w:t xml:space="preserve"> </w:t>
      </w:r>
      <w:r>
        <w:rPr>
          <w:color w:val="231F20"/>
        </w:rPr>
        <w:t>Letter</w:t>
      </w:r>
    </w:p>
    <w:p w14:paraId="0EB987DE" w14:textId="77777777" w:rsidR="00783288" w:rsidRDefault="00783288">
      <w:pPr>
        <w:pStyle w:val="BodyText"/>
        <w:kinsoku w:val="0"/>
        <w:overflowPunct w:val="0"/>
        <w:spacing w:before="3"/>
        <w:rPr>
          <w:b/>
          <w:bCs/>
          <w:sz w:val="21"/>
          <w:szCs w:val="21"/>
        </w:rPr>
      </w:pPr>
    </w:p>
    <w:p w14:paraId="7E9E09FA" w14:textId="77777777" w:rsidR="00783288" w:rsidRDefault="00E31420">
      <w:pPr>
        <w:pStyle w:val="BodyText"/>
        <w:kinsoku w:val="0"/>
        <w:overflowPunct w:val="0"/>
        <w:ind w:left="840" w:right="1033"/>
        <w:jc w:val="both"/>
        <w:rPr>
          <w:color w:val="231F20"/>
        </w:rPr>
      </w:pPr>
      <w:r>
        <w:rPr>
          <w:color w:val="231F20"/>
        </w:rPr>
        <w:t>On 16 July 2020, the Company entered into an engagement letter with Fox Davies pursuant to which Fox Davies agreed to act as the Company’s capital markets adviser, which shall include amongst other things (</w:t>
      </w:r>
      <w:proofErr w:type="spellStart"/>
      <w:r>
        <w:rPr>
          <w:color w:val="231F20"/>
        </w:rPr>
        <w:t>i</w:t>
      </w:r>
      <w:proofErr w:type="spellEnd"/>
      <w:r>
        <w:rPr>
          <w:color w:val="231F20"/>
        </w:rPr>
        <w:t>) acting</w:t>
      </w:r>
      <w:r>
        <w:rPr>
          <w:color w:val="231F20"/>
          <w:spacing w:val="-12"/>
        </w:rPr>
        <w:t xml:space="preserve"> </w:t>
      </w:r>
      <w:r>
        <w:rPr>
          <w:color w:val="231F20"/>
        </w:rPr>
        <w:t>as</w:t>
      </w:r>
      <w:r>
        <w:rPr>
          <w:color w:val="231F20"/>
          <w:spacing w:val="-11"/>
        </w:rPr>
        <w:t xml:space="preserve"> </w:t>
      </w:r>
      <w:r>
        <w:rPr>
          <w:color w:val="231F20"/>
        </w:rPr>
        <w:t>a</w:t>
      </w:r>
      <w:r>
        <w:rPr>
          <w:color w:val="231F20"/>
          <w:spacing w:val="-12"/>
        </w:rPr>
        <w:t xml:space="preserve"> </w:t>
      </w:r>
      <w:r>
        <w:rPr>
          <w:color w:val="231F20"/>
        </w:rPr>
        <w:t>point</w:t>
      </w:r>
      <w:r>
        <w:rPr>
          <w:color w:val="231F20"/>
          <w:spacing w:val="-12"/>
        </w:rPr>
        <w:t xml:space="preserve"> </w:t>
      </w:r>
      <w:r>
        <w:rPr>
          <w:color w:val="231F20"/>
        </w:rPr>
        <w:t>of</w:t>
      </w:r>
      <w:r>
        <w:rPr>
          <w:color w:val="231F20"/>
          <w:spacing w:val="-11"/>
        </w:rPr>
        <w:t xml:space="preserve"> </w:t>
      </w:r>
      <w:r>
        <w:rPr>
          <w:color w:val="231F20"/>
        </w:rPr>
        <w:t>contact</w:t>
      </w:r>
      <w:r>
        <w:rPr>
          <w:color w:val="231F20"/>
          <w:spacing w:val="-12"/>
        </w:rPr>
        <w:t xml:space="preserve"> </w:t>
      </w:r>
      <w:r>
        <w:rPr>
          <w:color w:val="231F20"/>
        </w:rPr>
        <w:t>between</w:t>
      </w:r>
      <w:r>
        <w:rPr>
          <w:color w:val="231F20"/>
          <w:spacing w:val="-10"/>
        </w:rPr>
        <w:t xml:space="preserve"> </w:t>
      </w:r>
      <w:r>
        <w:rPr>
          <w:color w:val="231F20"/>
        </w:rPr>
        <w:t>the</w:t>
      </w:r>
      <w:r>
        <w:rPr>
          <w:color w:val="231F20"/>
          <w:spacing w:val="-12"/>
        </w:rPr>
        <w:t xml:space="preserve"> </w:t>
      </w:r>
      <w:r>
        <w:rPr>
          <w:color w:val="231F20"/>
        </w:rPr>
        <w:t>investment</w:t>
      </w:r>
      <w:r>
        <w:rPr>
          <w:color w:val="231F20"/>
          <w:spacing w:val="-12"/>
        </w:rPr>
        <w:t xml:space="preserve"> </w:t>
      </w:r>
      <w:r>
        <w:rPr>
          <w:color w:val="231F20"/>
        </w:rPr>
        <w:t>community</w:t>
      </w:r>
      <w:r>
        <w:rPr>
          <w:color w:val="231F20"/>
          <w:spacing w:val="-10"/>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Company;</w:t>
      </w:r>
      <w:r>
        <w:rPr>
          <w:color w:val="231F20"/>
          <w:spacing w:val="-10"/>
        </w:rPr>
        <w:t xml:space="preserve"> </w:t>
      </w:r>
      <w:r>
        <w:rPr>
          <w:color w:val="231F20"/>
        </w:rPr>
        <w:t>(ii)</w:t>
      </w:r>
      <w:r>
        <w:rPr>
          <w:color w:val="231F20"/>
          <w:spacing w:val="-10"/>
        </w:rPr>
        <w:t xml:space="preserve"> </w:t>
      </w:r>
      <w:r>
        <w:rPr>
          <w:color w:val="231F20"/>
        </w:rPr>
        <w:t>preparing</w:t>
      </w:r>
      <w:r>
        <w:rPr>
          <w:color w:val="231F20"/>
          <w:spacing w:val="-10"/>
        </w:rPr>
        <w:t xml:space="preserve"> </w:t>
      </w:r>
      <w:r>
        <w:rPr>
          <w:color w:val="231F20"/>
        </w:rPr>
        <w:t>brokers’</w:t>
      </w:r>
      <w:r>
        <w:rPr>
          <w:color w:val="231F20"/>
          <w:spacing w:val="-11"/>
        </w:rPr>
        <w:t xml:space="preserve"> </w:t>
      </w:r>
      <w:r>
        <w:rPr>
          <w:color w:val="231F20"/>
        </w:rPr>
        <w:t>notes on the Company; (iii) organising and advising on roadshows and reviewing corporate presentations; and (v) procuring investors for equity fundraising (when</w:t>
      </w:r>
      <w:r>
        <w:rPr>
          <w:color w:val="231F20"/>
          <w:spacing w:val="-4"/>
        </w:rPr>
        <w:t xml:space="preserve"> </w:t>
      </w:r>
      <w:r>
        <w:rPr>
          <w:color w:val="231F20"/>
        </w:rPr>
        <w:t>applicable).</w:t>
      </w:r>
    </w:p>
    <w:p w14:paraId="0FF1B877" w14:textId="77777777" w:rsidR="00783288" w:rsidRDefault="00783288">
      <w:pPr>
        <w:pStyle w:val="BodyText"/>
        <w:kinsoku w:val="0"/>
        <w:overflowPunct w:val="0"/>
        <w:spacing w:before="9"/>
        <w:rPr>
          <w:sz w:val="20"/>
          <w:szCs w:val="20"/>
        </w:rPr>
      </w:pPr>
    </w:p>
    <w:p w14:paraId="473E7A08" w14:textId="7B7D3037" w:rsidR="00783288" w:rsidRDefault="00E31420">
      <w:pPr>
        <w:pStyle w:val="BodyText"/>
        <w:kinsoku w:val="0"/>
        <w:overflowPunct w:val="0"/>
        <w:spacing w:before="1"/>
        <w:ind w:left="840" w:right="1035"/>
        <w:jc w:val="both"/>
        <w:rPr>
          <w:color w:val="231F20"/>
        </w:rPr>
      </w:pPr>
      <w:r>
        <w:rPr>
          <w:color w:val="231F20"/>
        </w:rPr>
        <w:t>In consideration for the services provided by Fox Davies, the Company will pay a corporate finance and marketing fee of £40,000 per year, of which £10,000 will be payable in equity at a mutually agreed price. In the</w:t>
      </w:r>
      <w:r>
        <w:rPr>
          <w:color w:val="231F20"/>
          <w:spacing w:val="-13"/>
        </w:rPr>
        <w:t xml:space="preserve"> </w:t>
      </w:r>
      <w:r>
        <w:rPr>
          <w:color w:val="231F20"/>
        </w:rPr>
        <w:t>case</w:t>
      </w:r>
      <w:r>
        <w:rPr>
          <w:color w:val="231F20"/>
          <w:spacing w:val="-15"/>
        </w:rPr>
        <w:t xml:space="preserve"> </w:t>
      </w:r>
      <w:r>
        <w:rPr>
          <w:color w:val="231F20"/>
        </w:rPr>
        <w:t>of</w:t>
      </w:r>
      <w:r>
        <w:rPr>
          <w:color w:val="231F20"/>
          <w:spacing w:val="-16"/>
        </w:rPr>
        <w:t xml:space="preserve"> </w:t>
      </w:r>
      <w:r>
        <w:rPr>
          <w:color w:val="231F20"/>
        </w:rPr>
        <w:t>a</w:t>
      </w:r>
      <w:r>
        <w:rPr>
          <w:color w:val="231F20"/>
          <w:spacing w:val="-12"/>
        </w:rPr>
        <w:t xml:space="preserve"> </w:t>
      </w:r>
      <w:r>
        <w:rPr>
          <w:color w:val="231F20"/>
        </w:rPr>
        <w:t>placing</w:t>
      </w:r>
      <w:r>
        <w:rPr>
          <w:color w:val="231F20"/>
          <w:spacing w:val="-13"/>
        </w:rPr>
        <w:t xml:space="preserve"> </w:t>
      </w:r>
      <w:r>
        <w:rPr>
          <w:color w:val="231F20"/>
        </w:rPr>
        <w:t>the</w:t>
      </w:r>
      <w:r>
        <w:rPr>
          <w:color w:val="231F20"/>
          <w:spacing w:val="-12"/>
        </w:rPr>
        <w:t xml:space="preserve"> </w:t>
      </w:r>
      <w:r>
        <w:rPr>
          <w:color w:val="231F20"/>
        </w:rPr>
        <w:t>Company</w:t>
      </w:r>
      <w:r>
        <w:rPr>
          <w:color w:val="231F20"/>
          <w:spacing w:val="-15"/>
        </w:rPr>
        <w:t xml:space="preserve"> </w:t>
      </w:r>
      <w:r>
        <w:rPr>
          <w:color w:val="231F20"/>
        </w:rPr>
        <w:t>shall</w:t>
      </w:r>
      <w:r>
        <w:rPr>
          <w:color w:val="231F20"/>
          <w:spacing w:val="-12"/>
        </w:rPr>
        <w:t xml:space="preserve"> </w:t>
      </w:r>
      <w:r>
        <w:rPr>
          <w:color w:val="231F20"/>
        </w:rPr>
        <w:t>pay</w:t>
      </w:r>
      <w:r>
        <w:rPr>
          <w:color w:val="231F20"/>
          <w:spacing w:val="-15"/>
        </w:rPr>
        <w:t xml:space="preserve"> </w:t>
      </w:r>
      <w:r>
        <w:rPr>
          <w:color w:val="231F20"/>
        </w:rPr>
        <w:t>(</w:t>
      </w:r>
      <w:proofErr w:type="spellStart"/>
      <w:r>
        <w:rPr>
          <w:color w:val="231F20"/>
        </w:rPr>
        <w:t>i</w:t>
      </w:r>
      <w:proofErr w:type="spellEnd"/>
      <w:r>
        <w:rPr>
          <w:color w:val="231F20"/>
        </w:rPr>
        <w:t>)</w:t>
      </w:r>
      <w:r>
        <w:rPr>
          <w:color w:val="231F20"/>
          <w:spacing w:val="-13"/>
        </w:rPr>
        <w:t xml:space="preserve"> </w:t>
      </w:r>
      <w:r>
        <w:rPr>
          <w:color w:val="231F20"/>
        </w:rPr>
        <w:t>a</w:t>
      </w:r>
      <w:r>
        <w:rPr>
          <w:color w:val="231F20"/>
          <w:spacing w:val="-16"/>
        </w:rPr>
        <w:t xml:space="preserve"> </w:t>
      </w:r>
      <w:r>
        <w:rPr>
          <w:color w:val="231F20"/>
        </w:rPr>
        <w:t>cash</w:t>
      </w:r>
      <w:r>
        <w:rPr>
          <w:color w:val="231F20"/>
          <w:spacing w:val="-15"/>
        </w:rPr>
        <w:t xml:space="preserve"> </w:t>
      </w:r>
      <w:r>
        <w:rPr>
          <w:color w:val="231F20"/>
        </w:rPr>
        <w:t>commission</w:t>
      </w:r>
      <w:r>
        <w:rPr>
          <w:color w:val="231F20"/>
          <w:spacing w:val="-16"/>
        </w:rPr>
        <w:t xml:space="preserve"> </w:t>
      </w:r>
      <w:r>
        <w:rPr>
          <w:color w:val="231F20"/>
        </w:rPr>
        <w:t>of</w:t>
      </w:r>
      <w:r>
        <w:rPr>
          <w:color w:val="231F20"/>
          <w:spacing w:val="-15"/>
        </w:rPr>
        <w:t xml:space="preserve"> </w:t>
      </w:r>
      <w:r>
        <w:rPr>
          <w:color w:val="231F20"/>
        </w:rPr>
        <w:t>5</w:t>
      </w:r>
      <w:r>
        <w:rPr>
          <w:color w:val="231F20"/>
          <w:spacing w:val="-12"/>
        </w:rPr>
        <w:t xml:space="preserve"> </w:t>
      </w:r>
      <w:r>
        <w:rPr>
          <w:color w:val="231F20"/>
        </w:rPr>
        <w:t>per</w:t>
      </w:r>
      <w:r>
        <w:rPr>
          <w:color w:val="231F20"/>
          <w:spacing w:val="-16"/>
        </w:rPr>
        <w:t xml:space="preserve"> </w:t>
      </w:r>
      <w:r>
        <w:rPr>
          <w:color w:val="231F20"/>
        </w:rPr>
        <w:t>cent</w:t>
      </w:r>
      <w:r>
        <w:rPr>
          <w:color w:val="231F20"/>
          <w:spacing w:val="-13"/>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gross</w:t>
      </w:r>
      <w:r>
        <w:rPr>
          <w:color w:val="231F20"/>
          <w:spacing w:val="-13"/>
        </w:rPr>
        <w:t xml:space="preserve"> </w:t>
      </w:r>
      <w:r>
        <w:rPr>
          <w:color w:val="231F20"/>
        </w:rPr>
        <w:t>funding</w:t>
      </w:r>
      <w:r>
        <w:rPr>
          <w:color w:val="231F20"/>
          <w:spacing w:val="-12"/>
        </w:rPr>
        <w:t xml:space="preserve"> </w:t>
      </w:r>
      <w:r>
        <w:rPr>
          <w:color w:val="231F20"/>
        </w:rPr>
        <w:t>introduced by Fox Davies plus an additional 1.5 per cent cash commission in the case of investments sourced pursuant to fee splitting agreements (“</w:t>
      </w:r>
      <w:r>
        <w:rPr>
          <w:b/>
          <w:bCs/>
          <w:color w:val="231F20"/>
        </w:rPr>
        <w:t>Syndicated Amounts</w:t>
      </w:r>
      <w:r>
        <w:rPr>
          <w:color w:val="231F20"/>
        </w:rPr>
        <w:t>”); (ii) warrants to subscribe for 5 per cent of the total number of shares introduced by Fox Davies, plus warrants to subscribe for an additional 1.5 per cent of the total shares issued for Syndicated Amounts, and (iii) where placing proceeds exceed £1,000,000 an administrative</w:t>
      </w:r>
      <w:r>
        <w:rPr>
          <w:color w:val="231F20"/>
          <w:spacing w:val="-7"/>
        </w:rPr>
        <w:t xml:space="preserve"> </w:t>
      </w:r>
      <w:r>
        <w:rPr>
          <w:color w:val="231F20"/>
        </w:rPr>
        <w:t>fee</w:t>
      </w:r>
      <w:r>
        <w:rPr>
          <w:color w:val="231F20"/>
          <w:spacing w:val="-6"/>
        </w:rPr>
        <w:t xml:space="preserve"> </w:t>
      </w:r>
      <w:r>
        <w:rPr>
          <w:color w:val="231F20"/>
        </w:rPr>
        <w:t>of</w:t>
      </w:r>
      <w:r>
        <w:rPr>
          <w:color w:val="231F20"/>
          <w:spacing w:val="-6"/>
        </w:rPr>
        <w:t xml:space="preserve"> </w:t>
      </w:r>
      <w:r>
        <w:rPr>
          <w:color w:val="231F20"/>
        </w:rPr>
        <w:t>1</w:t>
      </w:r>
      <w:r>
        <w:rPr>
          <w:color w:val="231F20"/>
          <w:spacing w:val="-6"/>
        </w:rPr>
        <w:t xml:space="preserve"> </w:t>
      </w:r>
      <w:r>
        <w:rPr>
          <w:color w:val="231F20"/>
        </w:rPr>
        <w:t>per</w:t>
      </w:r>
      <w:r>
        <w:rPr>
          <w:color w:val="231F20"/>
          <w:spacing w:val="-8"/>
        </w:rPr>
        <w:t xml:space="preserve"> </w:t>
      </w:r>
      <w:r>
        <w:rPr>
          <w:color w:val="231F20"/>
        </w:rPr>
        <w:t>cent</w:t>
      </w:r>
      <w:r>
        <w:rPr>
          <w:color w:val="231F20"/>
          <w:spacing w:val="-9"/>
        </w:rPr>
        <w:t xml:space="preserve"> </w:t>
      </w:r>
      <w:r>
        <w:rPr>
          <w:color w:val="231F20"/>
        </w:rPr>
        <w:t>of</w:t>
      </w:r>
      <w:r>
        <w:rPr>
          <w:color w:val="231F20"/>
          <w:spacing w:val="-6"/>
        </w:rPr>
        <w:t xml:space="preserve"> </w:t>
      </w:r>
      <w:r>
        <w:rPr>
          <w:color w:val="231F20"/>
        </w:rPr>
        <w:t>the</w:t>
      </w:r>
      <w:r>
        <w:rPr>
          <w:color w:val="231F20"/>
          <w:spacing w:val="-9"/>
        </w:rPr>
        <w:t xml:space="preserve"> </w:t>
      </w:r>
      <w:r>
        <w:rPr>
          <w:color w:val="231F20"/>
        </w:rPr>
        <w:t>gross</w:t>
      </w:r>
      <w:r>
        <w:rPr>
          <w:color w:val="231F20"/>
          <w:spacing w:val="-6"/>
        </w:rPr>
        <w:t xml:space="preserve"> </w:t>
      </w:r>
      <w:r>
        <w:rPr>
          <w:color w:val="231F20"/>
        </w:rPr>
        <w:t>amount</w:t>
      </w:r>
      <w:r>
        <w:rPr>
          <w:color w:val="231F20"/>
          <w:spacing w:val="-6"/>
        </w:rPr>
        <w:t xml:space="preserve"> </w:t>
      </w:r>
      <w:r>
        <w:rPr>
          <w:color w:val="231F20"/>
        </w:rPr>
        <w:t>of</w:t>
      </w:r>
      <w:r>
        <w:rPr>
          <w:color w:val="231F20"/>
          <w:spacing w:val="-9"/>
        </w:rPr>
        <w:t xml:space="preserve"> </w:t>
      </w:r>
      <w:r>
        <w:rPr>
          <w:color w:val="231F20"/>
        </w:rPr>
        <w:t>all</w:t>
      </w:r>
      <w:r>
        <w:rPr>
          <w:color w:val="231F20"/>
          <w:spacing w:val="-7"/>
        </w:rPr>
        <w:t xml:space="preserve"> </w:t>
      </w:r>
      <w:r>
        <w:rPr>
          <w:color w:val="231F20"/>
        </w:rPr>
        <w:t>investments</w:t>
      </w:r>
      <w:r>
        <w:rPr>
          <w:color w:val="231F20"/>
          <w:spacing w:val="-8"/>
        </w:rPr>
        <w:t xml:space="preserve"> </w:t>
      </w:r>
      <w:r>
        <w:rPr>
          <w:color w:val="231F20"/>
        </w:rPr>
        <w:t>received</w:t>
      </w:r>
      <w:r>
        <w:rPr>
          <w:color w:val="231F20"/>
          <w:spacing w:val="-6"/>
        </w:rPr>
        <w:t xml:space="preserve"> </w:t>
      </w:r>
      <w:r>
        <w:rPr>
          <w:color w:val="231F20"/>
        </w:rPr>
        <w:t>by</w:t>
      </w:r>
      <w:r>
        <w:rPr>
          <w:color w:val="231F20"/>
          <w:spacing w:val="-8"/>
        </w:rPr>
        <w:t xml:space="preserve"> </w:t>
      </w:r>
      <w:r>
        <w:rPr>
          <w:color w:val="231F20"/>
        </w:rPr>
        <w:t>the</w:t>
      </w:r>
      <w:r>
        <w:rPr>
          <w:color w:val="231F20"/>
          <w:spacing w:val="-6"/>
        </w:rPr>
        <w:t xml:space="preserve"> </w:t>
      </w:r>
      <w:r>
        <w:rPr>
          <w:color w:val="231F20"/>
        </w:rPr>
        <w:t>Company</w:t>
      </w:r>
      <w:r>
        <w:rPr>
          <w:color w:val="231F20"/>
          <w:spacing w:val="-8"/>
        </w:rPr>
        <w:t xml:space="preserve"> </w:t>
      </w:r>
      <w:r>
        <w:rPr>
          <w:color w:val="231F20"/>
        </w:rPr>
        <w:t>and</w:t>
      </w:r>
      <w:r>
        <w:rPr>
          <w:color w:val="231F20"/>
          <w:spacing w:val="-7"/>
        </w:rPr>
        <w:t xml:space="preserve"> </w:t>
      </w:r>
      <w:r>
        <w:rPr>
          <w:color w:val="231F20"/>
        </w:rPr>
        <w:t>warrants to</w:t>
      </w:r>
      <w:r>
        <w:rPr>
          <w:color w:val="231F20"/>
          <w:spacing w:val="-5"/>
        </w:rPr>
        <w:t xml:space="preserve"> </w:t>
      </w:r>
      <w:r>
        <w:rPr>
          <w:color w:val="231F20"/>
        </w:rPr>
        <w:t>subscribe</w:t>
      </w:r>
      <w:r>
        <w:rPr>
          <w:color w:val="231F20"/>
          <w:spacing w:val="-4"/>
        </w:rPr>
        <w:t xml:space="preserve"> </w:t>
      </w:r>
      <w:r>
        <w:rPr>
          <w:color w:val="231F20"/>
        </w:rPr>
        <w:t>for</w:t>
      </w:r>
      <w:r>
        <w:rPr>
          <w:color w:val="231F20"/>
          <w:spacing w:val="-5"/>
        </w:rPr>
        <w:t xml:space="preserve"> </w:t>
      </w:r>
      <w:r>
        <w:rPr>
          <w:color w:val="231F20"/>
        </w:rPr>
        <w:t>1</w:t>
      </w:r>
      <w:r>
        <w:rPr>
          <w:color w:val="231F20"/>
          <w:spacing w:val="-6"/>
        </w:rPr>
        <w:t xml:space="preserve"> </w:t>
      </w:r>
      <w:r>
        <w:rPr>
          <w:color w:val="231F20"/>
        </w:rPr>
        <w:t>percent</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total</w:t>
      </w:r>
      <w:r>
        <w:rPr>
          <w:color w:val="231F20"/>
          <w:spacing w:val="-4"/>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shares</w:t>
      </w:r>
      <w:r>
        <w:rPr>
          <w:color w:val="231F20"/>
          <w:spacing w:val="-6"/>
        </w:rPr>
        <w:t xml:space="preserve"> </w:t>
      </w:r>
      <w:r>
        <w:rPr>
          <w:color w:val="231F20"/>
        </w:rPr>
        <w:t>issued</w:t>
      </w:r>
      <w:r>
        <w:rPr>
          <w:color w:val="231F20"/>
          <w:spacing w:val="-3"/>
        </w:rPr>
        <w:t xml:space="preserve"> </w:t>
      </w:r>
      <w:r>
        <w:rPr>
          <w:color w:val="231F20"/>
        </w:rPr>
        <w:t>pursuant</w:t>
      </w:r>
      <w:r>
        <w:rPr>
          <w:color w:val="231F20"/>
          <w:spacing w:val="-5"/>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placing.</w:t>
      </w:r>
      <w:r>
        <w:rPr>
          <w:color w:val="231F20"/>
          <w:spacing w:val="-7"/>
        </w:rPr>
        <w:t xml:space="preserve"> </w:t>
      </w:r>
      <w:r>
        <w:rPr>
          <w:color w:val="231F20"/>
        </w:rPr>
        <w:t>In</w:t>
      </w:r>
      <w:r>
        <w:rPr>
          <w:color w:val="231F20"/>
          <w:spacing w:val="-6"/>
        </w:rPr>
        <w:t xml:space="preserve"> </w:t>
      </w:r>
      <w:r>
        <w:rPr>
          <w:color w:val="231F20"/>
        </w:rPr>
        <w:t>addition</w:t>
      </w:r>
      <w:r w:rsidR="00C566C0">
        <w:rPr>
          <w:color w:val="231F20"/>
        </w:rPr>
        <w:t>,</w:t>
      </w:r>
      <w:r>
        <w:rPr>
          <w:color w:val="231F20"/>
          <w:spacing w:val="-4"/>
        </w:rPr>
        <w:t xml:space="preserve"> </w:t>
      </w:r>
      <w:r>
        <w:rPr>
          <w:color w:val="231F20"/>
        </w:rPr>
        <w:t>Fox</w:t>
      </w:r>
      <w:r>
        <w:rPr>
          <w:color w:val="231F20"/>
          <w:spacing w:val="-8"/>
        </w:rPr>
        <w:t xml:space="preserve"> </w:t>
      </w:r>
      <w:r>
        <w:rPr>
          <w:color w:val="231F20"/>
        </w:rPr>
        <w:t>Davies shall be granted warrants to subscribe for such number of shares as is equal to 1% of the Company’s issued share</w:t>
      </w:r>
      <w:r>
        <w:rPr>
          <w:color w:val="231F20"/>
          <w:spacing w:val="-11"/>
        </w:rPr>
        <w:t xml:space="preserve"> </w:t>
      </w:r>
      <w:r>
        <w:rPr>
          <w:color w:val="231F20"/>
        </w:rPr>
        <w:t>capital</w:t>
      </w:r>
      <w:r>
        <w:rPr>
          <w:color w:val="231F20"/>
          <w:spacing w:val="-9"/>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rPr>
        <w:t>date</w:t>
      </w:r>
      <w:r>
        <w:rPr>
          <w:color w:val="231F20"/>
          <w:spacing w:val="-9"/>
        </w:rPr>
        <w:t xml:space="preserve"> </w:t>
      </w:r>
      <w:r>
        <w:rPr>
          <w:color w:val="231F20"/>
        </w:rPr>
        <w:t>of</w:t>
      </w:r>
      <w:r>
        <w:rPr>
          <w:color w:val="231F20"/>
          <w:spacing w:val="-8"/>
        </w:rPr>
        <w:t xml:space="preserve"> </w:t>
      </w:r>
      <w:r>
        <w:rPr>
          <w:color w:val="231F20"/>
        </w:rPr>
        <w:t>the</w:t>
      </w:r>
      <w:r>
        <w:rPr>
          <w:color w:val="231F20"/>
          <w:spacing w:val="-11"/>
        </w:rPr>
        <w:t xml:space="preserve"> </w:t>
      </w:r>
      <w:r>
        <w:rPr>
          <w:color w:val="231F20"/>
        </w:rPr>
        <w:t>engagement</w:t>
      </w:r>
      <w:r>
        <w:rPr>
          <w:color w:val="231F20"/>
          <w:spacing w:val="-9"/>
        </w:rPr>
        <w:t xml:space="preserve"> </w:t>
      </w:r>
      <w:r>
        <w:rPr>
          <w:color w:val="231F20"/>
        </w:rPr>
        <w:t>letter</w:t>
      </w:r>
      <w:r>
        <w:rPr>
          <w:color w:val="231F20"/>
          <w:spacing w:val="-8"/>
        </w:rPr>
        <w:t xml:space="preserve"> </w:t>
      </w:r>
      <w:r w:rsidRPr="00532BFA">
        <w:rPr>
          <w:color w:val="231F20"/>
        </w:rPr>
        <w:t>(being</w:t>
      </w:r>
      <w:r w:rsidRPr="00532BFA">
        <w:rPr>
          <w:color w:val="231F20"/>
          <w:spacing w:val="-9"/>
        </w:rPr>
        <w:t xml:space="preserve"> </w:t>
      </w:r>
      <w:r w:rsidRPr="00532BFA">
        <w:rPr>
          <w:color w:val="231F20"/>
        </w:rPr>
        <w:t>619,333</w:t>
      </w:r>
      <w:r w:rsidRPr="00532BFA">
        <w:rPr>
          <w:color w:val="231F20"/>
          <w:spacing w:val="-9"/>
        </w:rPr>
        <w:t xml:space="preserve"> </w:t>
      </w:r>
      <w:r w:rsidRPr="00532BFA">
        <w:rPr>
          <w:color w:val="231F20"/>
        </w:rPr>
        <w:t>and</w:t>
      </w:r>
      <w:r w:rsidRPr="00532BFA">
        <w:rPr>
          <w:color w:val="231F20"/>
          <w:spacing w:val="-8"/>
        </w:rPr>
        <w:t xml:space="preserve"> </w:t>
      </w:r>
      <w:r w:rsidRPr="00532BFA">
        <w:rPr>
          <w:color w:val="231F20"/>
        </w:rPr>
        <w:t>granted</w:t>
      </w:r>
      <w:r w:rsidRPr="00532BFA">
        <w:rPr>
          <w:color w:val="231F20"/>
          <w:spacing w:val="-11"/>
        </w:rPr>
        <w:t xml:space="preserve"> </w:t>
      </w:r>
      <w:r w:rsidRPr="00532BFA">
        <w:rPr>
          <w:color w:val="231F20"/>
        </w:rPr>
        <w:t>pursuant</w:t>
      </w:r>
      <w:r w:rsidRPr="00532BFA">
        <w:rPr>
          <w:color w:val="231F20"/>
          <w:spacing w:val="-8"/>
        </w:rPr>
        <w:t xml:space="preserve"> </w:t>
      </w:r>
      <w:r w:rsidRPr="00532BFA">
        <w:rPr>
          <w:color w:val="231F20"/>
        </w:rPr>
        <w:t>to</w:t>
      </w:r>
      <w:r w:rsidRPr="00532BFA">
        <w:rPr>
          <w:color w:val="231F20"/>
          <w:spacing w:val="-9"/>
        </w:rPr>
        <w:t xml:space="preserve"> </w:t>
      </w:r>
      <w:r w:rsidRPr="00532BFA">
        <w:rPr>
          <w:color w:val="231F20"/>
        </w:rPr>
        <w:t>the</w:t>
      </w:r>
      <w:r w:rsidRPr="00532BFA">
        <w:rPr>
          <w:color w:val="231F20"/>
          <w:spacing w:val="-9"/>
        </w:rPr>
        <w:t xml:space="preserve"> </w:t>
      </w:r>
      <w:r w:rsidRPr="00532BFA">
        <w:rPr>
          <w:color w:val="231F20"/>
        </w:rPr>
        <w:t>Broker</w:t>
      </w:r>
      <w:r w:rsidRPr="00532BFA">
        <w:rPr>
          <w:color w:val="231F20"/>
          <w:spacing w:val="-15"/>
        </w:rPr>
        <w:t xml:space="preserve"> </w:t>
      </w:r>
      <w:r w:rsidRPr="00532BFA">
        <w:rPr>
          <w:color w:val="231F20"/>
        </w:rPr>
        <w:t>Warrant Instrument dated 14 August 2020 referenced</w:t>
      </w:r>
      <w:r w:rsidRPr="00532BFA">
        <w:rPr>
          <w:color w:val="231F20"/>
          <w:spacing w:val="-4"/>
        </w:rPr>
        <w:t xml:space="preserve"> </w:t>
      </w:r>
      <w:r w:rsidRPr="00532BFA">
        <w:rPr>
          <w:color w:val="231F20"/>
        </w:rPr>
        <w:t>above).</w:t>
      </w:r>
      <w:r w:rsidR="00532BFA" w:rsidRPr="00532BFA">
        <w:rPr>
          <w:color w:val="231F20"/>
        </w:rPr>
        <w:t xml:space="preserve"> In connection with the December 2020 Fundraise, on </w:t>
      </w:r>
      <w:r w:rsidR="00D80A4A">
        <w:t>11</w:t>
      </w:r>
      <w:r w:rsidR="00532BFA" w:rsidRPr="00532BFA">
        <w:rPr>
          <w:color w:val="231F20"/>
        </w:rPr>
        <w:t xml:space="preserve"> December 2020 Fox Davies was granted a further 55,556</w:t>
      </w:r>
      <w:r w:rsidR="00532BFA">
        <w:rPr>
          <w:color w:val="231F20"/>
        </w:rPr>
        <w:t xml:space="preserve"> warran</w:t>
      </w:r>
      <w:r w:rsidR="00C86041">
        <w:rPr>
          <w:color w:val="231F20"/>
        </w:rPr>
        <w:t xml:space="preserve">ts to subscribe for </w:t>
      </w:r>
      <w:r w:rsidR="00FB3C7E">
        <w:rPr>
          <w:color w:val="231F20"/>
        </w:rPr>
        <w:t>Ordinary Shares</w:t>
      </w:r>
      <w:r w:rsidR="00C86041">
        <w:rPr>
          <w:color w:val="231F20"/>
        </w:rPr>
        <w:t xml:space="preserve"> issued pursuant to the December 2020 Placing</w:t>
      </w:r>
      <w:r w:rsidR="00532BFA" w:rsidRPr="00532BFA">
        <w:rPr>
          <w:color w:val="231F20"/>
        </w:rPr>
        <w:t xml:space="preserve"> at the December 2020 Fundraise Price. </w:t>
      </w:r>
    </w:p>
    <w:p w14:paraId="42DC65B7" w14:textId="77777777" w:rsidR="00783288" w:rsidRDefault="00783288">
      <w:pPr>
        <w:pStyle w:val="BodyText"/>
        <w:kinsoku w:val="0"/>
        <w:overflowPunct w:val="0"/>
        <w:spacing w:before="9"/>
        <w:rPr>
          <w:sz w:val="20"/>
          <w:szCs w:val="20"/>
        </w:rPr>
      </w:pPr>
    </w:p>
    <w:p w14:paraId="26AF3214" w14:textId="5ADD97D8" w:rsidR="00B62B5D" w:rsidRDefault="00E31420" w:rsidP="002D4CD0">
      <w:pPr>
        <w:pStyle w:val="BodyText"/>
        <w:kinsoku w:val="0"/>
        <w:overflowPunct w:val="0"/>
        <w:spacing w:before="1"/>
        <w:ind w:left="840" w:right="1038"/>
        <w:jc w:val="both"/>
        <w:rPr>
          <w:color w:val="231F20"/>
        </w:rPr>
      </w:pPr>
      <w:r>
        <w:rPr>
          <w:color w:val="231F20"/>
        </w:rPr>
        <w:t>The</w:t>
      </w:r>
      <w:r>
        <w:rPr>
          <w:color w:val="231F20"/>
          <w:spacing w:val="-9"/>
        </w:rPr>
        <w:t xml:space="preserve"> </w:t>
      </w:r>
      <w:r>
        <w:rPr>
          <w:color w:val="231F20"/>
        </w:rPr>
        <w:t>engagement</w:t>
      </w:r>
      <w:r>
        <w:rPr>
          <w:color w:val="231F20"/>
          <w:spacing w:val="-9"/>
        </w:rPr>
        <w:t xml:space="preserve"> </w:t>
      </w:r>
      <w:r>
        <w:rPr>
          <w:color w:val="231F20"/>
        </w:rPr>
        <w:t>letter</w:t>
      </w:r>
      <w:r>
        <w:rPr>
          <w:color w:val="231F20"/>
          <w:spacing w:val="-9"/>
        </w:rPr>
        <w:t xml:space="preserve"> </w:t>
      </w:r>
      <w:r>
        <w:rPr>
          <w:color w:val="231F20"/>
        </w:rPr>
        <w:t>continues</w:t>
      </w:r>
      <w:r>
        <w:rPr>
          <w:color w:val="231F20"/>
          <w:spacing w:val="-8"/>
        </w:rPr>
        <w:t xml:space="preserve"> </w:t>
      </w:r>
      <w:r>
        <w:rPr>
          <w:color w:val="231F20"/>
        </w:rPr>
        <w:t>in</w:t>
      </w:r>
      <w:r>
        <w:rPr>
          <w:color w:val="231F20"/>
          <w:spacing w:val="-9"/>
        </w:rPr>
        <w:t xml:space="preserve"> </w:t>
      </w:r>
      <w:r>
        <w:rPr>
          <w:color w:val="231F20"/>
        </w:rPr>
        <w:t>force</w:t>
      </w:r>
      <w:r>
        <w:rPr>
          <w:color w:val="231F20"/>
          <w:spacing w:val="-9"/>
        </w:rPr>
        <w:t xml:space="preserve"> </w:t>
      </w:r>
      <w:r>
        <w:rPr>
          <w:color w:val="231F20"/>
        </w:rPr>
        <w:t>until</w:t>
      </w:r>
      <w:r>
        <w:rPr>
          <w:color w:val="231F20"/>
          <w:spacing w:val="-9"/>
        </w:rPr>
        <w:t xml:space="preserve"> </w:t>
      </w:r>
      <w:r>
        <w:rPr>
          <w:color w:val="231F20"/>
        </w:rPr>
        <w:t>terminated</w:t>
      </w:r>
      <w:r>
        <w:rPr>
          <w:color w:val="231F20"/>
          <w:spacing w:val="-8"/>
        </w:rPr>
        <w:t xml:space="preserve"> </w:t>
      </w:r>
      <w:r>
        <w:rPr>
          <w:color w:val="231F20"/>
        </w:rPr>
        <w:t>by</w:t>
      </w:r>
      <w:r>
        <w:rPr>
          <w:color w:val="231F20"/>
          <w:spacing w:val="-10"/>
        </w:rPr>
        <w:t xml:space="preserve"> </w:t>
      </w:r>
      <w:r>
        <w:rPr>
          <w:color w:val="231F20"/>
        </w:rPr>
        <w:t>either</w:t>
      </w:r>
      <w:r>
        <w:rPr>
          <w:color w:val="231F20"/>
          <w:spacing w:val="-9"/>
        </w:rPr>
        <w:t xml:space="preserve"> </w:t>
      </w:r>
      <w:r>
        <w:rPr>
          <w:color w:val="231F20"/>
        </w:rPr>
        <w:t>party</w:t>
      </w:r>
      <w:r>
        <w:rPr>
          <w:color w:val="231F20"/>
          <w:spacing w:val="-10"/>
        </w:rPr>
        <w:t xml:space="preserve"> </w:t>
      </w:r>
      <w:r>
        <w:rPr>
          <w:color w:val="231F20"/>
        </w:rPr>
        <w:t>at</w:t>
      </w:r>
      <w:r>
        <w:rPr>
          <w:color w:val="231F20"/>
          <w:spacing w:val="-9"/>
        </w:rPr>
        <w:t xml:space="preserve"> </w:t>
      </w:r>
      <w:r>
        <w:rPr>
          <w:color w:val="231F20"/>
        </w:rPr>
        <w:t>any</w:t>
      </w:r>
      <w:r>
        <w:rPr>
          <w:color w:val="231F20"/>
          <w:spacing w:val="-10"/>
        </w:rPr>
        <w:t xml:space="preserve"> </w:t>
      </w:r>
      <w:r>
        <w:rPr>
          <w:color w:val="231F20"/>
        </w:rPr>
        <w:t>time</w:t>
      </w:r>
      <w:r>
        <w:rPr>
          <w:color w:val="231F20"/>
          <w:spacing w:val="-8"/>
        </w:rPr>
        <w:t xml:space="preserve"> </w:t>
      </w:r>
      <w:r>
        <w:rPr>
          <w:color w:val="231F20"/>
        </w:rPr>
        <w:t>after</w:t>
      </w:r>
      <w:r>
        <w:rPr>
          <w:color w:val="231F20"/>
          <w:spacing w:val="-9"/>
        </w:rPr>
        <w:t xml:space="preserve"> </w:t>
      </w:r>
      <w:r>
        <w:rPr>
          <w:color w:val="231F20"/>
        </w:rPr>
        <w:t>the</w:t>
      </w:r>
      <w:r>
        <w:rPr>
          <w:color w:val="231F20"/>
          <w:spacing w:val="-9"/>
        </w:rPr>
        <w:t xml:space="preserve"> </w:t>
      </w:r>
      <w:r>
        <w:rPr>
          <w:color w:val="231F20"/>
        </w:rPr>
        <w:t>initial</w:t>
      </w:r>
      <w:r>
        <w:rPr>
          <w:color w:val="231F20"/>
          <w:spacing w:val="-9"/>
        </w:rPr>
        <w:t xml:space="preserve"> </w:t>
      </w:r>
      <w:r>
        <w:rPr>
          <w:color w:val="231F20"/>
        </w:rPr>
        <w:t>six</w:t>
      </w:r>
      <w:r>
        <w:rPr>
          <w:color w:val="231F20"/>
          <w:spacing w:val="-13"/>
        </w:rPr>
        <w:t xml:space="preserve"> </w:t>
      </w:r>
      <w:r>
        <w:rPr>
          <w:color w:val="231F20"/>
        </w:rPr>
        <w:t>months by giving not less than one month’s notice in writing or in certain other standard termination events (such as material</w:t>
      </w:r>
      <w:r>
        <w:rPr>
          <w:color w:val="231F20"/>
          <w:spacing w:val="-3"/>
        </w:rPr>
        <w:t xml:space="preserve"> </w:t>
      </w:r>
      <w:r>
        <w:rPr>
          <w:color w:val="231F20"/>
        </w:rPr>
        <w:t>breach).</w:t>
      </w:r>
    </w:p>
    <w:p w14:paraId="01E36BAD" w14:textId="77777777" w:rsidR="00C84F70" w:rsidRDefault="00C84F70">
      <w:pPr>
        <w:pStyle w:val="BodyText"/>
        <w:kinsoku w:val="0"/>
        <w:overflowPunct w:val="0"/>
        <w:spacing w:before="1"/>
        <w:ind w:left="840" w:right="1038"/>
        <w:jc w:val="both"/>
        <w:rPr>
          <w:color w:val="231F20"/>
        </w:rPr>
      </w:pPr>
    </w:p>
    <w:p w14:paraId="0CA67031" w14:textId="1AE96900" w:rsidR="00C84F70" w:rsidRDefault="00C84F70" w:rsidP="00512495">
      <w:pPr>
        <w:pStyle w:val="Heading1"/>
        <w:numPr>
          <w:ilvl w:val="1"/>
          <w:numId w:val="13"/>
        </w:numPr>
        <w:tabs>
          <w:tab w:val="left" w:pos="841"/>
        </w:tabs>
        <w:kinsoku w:val="0"/>
        <w:overflowPunct w:val="0"/>
        <w:rPr>
          <w:color w:val="231F20"/>
        </w:rPr>
      </w:pPr>
      <w:r>
        <w:rPr>
          <w:color w:val="231F20"/>
        </w:rPr>
        <w:t>Panmure Gordon Engagement</w:t>
      </w:r>
      <w:r>
        <w:rPr>
          <w:color w:val="231F20"/>
          <w:spacing w:val="1"/>
        </w:rPr>
        <w:t xml:space="preserve"> </w:t>
      </w:r>
      <w:r>
        <w:rPr>
          <w:color w:val="231F20"/>
        </w:rPr>
        <w:t>Letter</w:t>
      </w:r>
      <w:r w:rsidR="00297381">
        <w:rPr>
          <w:color w:val="231F20"/>
        </w:rPr>
        <w:t>s</w:t>
      </w:r>
    </w:p>
    <w:p w14:paraId="682ABEF3" w14:textId="77777777" w:rsidR="00C84F70" w:rsidRDefault="00C84F70" w:rsidP="00C84F70"/>
    <w:p w14:paraId="4AEC551F" w14:textId="438E57FC" w:rsidR="00C84F70" w:rsidRDefault="00C84F70" w:rsidP="00FA2DD9">
      <w:pPr>
        <w:ind w:left="840" w:right="1022"/>
        <w:rPr>
          <w:sz w:val="18"/>
          <w:szCs w:val="18"/>
        </w:rPr>
      </w:pPr>
      <w:r w:rsidRPr="0066328A">
        <w:rPr>
          <w:sz w:val="18"/>
          <w:szCs w:val="18"/>
        </w:rPr>
        <w:t xml:space="preserve">On </w:t>
      </w:r>
      <w:r w:rsidR="00513CE6">
        <w:rPr>
          <w:sz w:val="18"/>
          <w:szCs w:val="18"/>
        </w:rPr>
        <w:t>25 November 2020</w:t>
      </w:r>
      <w:r w:rsidR="0066328A" w:rsidRPr="0066328A">
        <w:rPr>
          <w:sz w:val="18"/>
          <w:szCs w:val="18"/>
        </w:rPr>
        <w:t>, the Company entered into an en</w:t>
      </w:r>
      <w:r w:rsidR="0066328A">
        <w:rPr>
          <w:sz w:val="18"/>
          <w:szCs w:val="18"/>
        </w:rPr>
        <w:t>g</w:t>
      </w:r>
      <w:r w:rsidR="0066328A" w:rsidRPr="0066328A">
        <w:rPr>
          <w:sz w:val="18"/>
          <w:szCs w:val="18"/>
        </w:rPr>
        <w:t xml:space="preserve">agement letter with Panmure Gordon pursuant to which Panmure Gordon agreed to act as the Company’s </w:t>
      </w:r>
      <w:r w:rsidR="004C7D3B">
        <w:rPr>
          <w:sz w:val="18"/>
          <w:szCs w:val="18"/>
        </w:rPr>
        <w:t>introductory agent</w:t>
      </w:r>
      <w:r w:rsidR="00E845A2">
        <w:rPr>
          <w:sz w:val="18"/>
          <w:szCs w:val="18"/>
        </w:rPr>
        <w:t xml:space="preserve"> in relation to </w:t>
      </w:r>
      <w:proofErr w:type="spellStart"/>
      <w:r w:rsidR="00E845A2">
        <w:rPr>
          <w:sz w:val="18"/>
          <w:szCs w:val="18"/>
        </w:rPr>
        <w:t>Polymetal’s</w:t>
      </w:r>
      <w:proofErr w:type="spellEnd"/>
      <w:r w:rsidR="00E845A2">
        <w:rPr>
          <w:sz w:val="18"/>
          <w:szCs w:val="18"/>
        </w:rPr>
        <w:t xml:space="preserve"> direct subscription in the Company</w:t>
      </w:r>
      <w:r w:rsidR="004C65BF">
        <w:rPr>
          <w:sz w:val="18"/>
          <w:szCs w:val="18"/>
        </w:rPr>
        <w:t>, subject to the terms and conditions set out in the engagement letter</w:t>
      </w:r>
      <w:r w:rsidR="0066328A" w:rsidRPr="0066328A">
        <w:rPr>
          <w:sz w:val="18"/>
          <w:szCs w:val="18"/>
        </w:rPr>
        <w:t xml:space="preserve">. </w:t>
      </w:r>
      <w:r w:rsidR="00DD09FA">
        <w:rPr>
          <w:sz w:val="18"/>
          <w:szCs w:val="18"/>
        </w:rPr>
        <w:t>Notwithstanding</w:t>
      </w:r>
      <w:r w:rsidR="004C7D3B">
        <w:rPr>
          <w:sz w:val="18"/>
          <w:szCs w:val="18"/>
        </w:rPr>
        <w:t xml:space="preserve"> the completion of </w:t>
      </w:r>
      <w:proofErr w:type="spellStart"/>
      <w:r w:rsidR="004C7D3B">
        <w:rPr>
          <w:sz w:val="18"/>
          <w:szCs w:val="18"/>
        </w:rPr>
        <w:t>Polymetal’s</w:t>
      </w:r>
      <w:proofErr w:type="spellEnd"/>
      <w:r w:rsidR="004C7D3B">
        <w:rPr>
          <w:sz w:val="18"/>
          <w:szCs w:val="18"/>
        </w:rPr>
        <w:t xml:space="preserve"> direct investment in the Company</w:t>
      </w:r>
      <w:r w:rsidR="00DD09FA">
        <w:rPr>
          <w:sz w:val="18"/>
          <w:szCs w:val="18"/>
        </w:rPr>
        <w:t xml:space="preserve">, the engagement letter has continuing application in respect of any financial advice or corporate broking services Panmure Gordon provides to the Company. </w:t>
      </w:r>
      <w:r w:rsidR="001A229E">
        <w:rPr>
          <w:sz w:val="18"/>
          <w:szCs w:val="18"/>
        </w:rPr>
        <w:t xml:space="preserve">The engagement letter continues in force until terminated by either party by giving not less than one month’s notice in writing or certain other standard termination events (such as material breach). </w:t>
      </w:r>
    </w:p>
    <w:p w14:paraId="3C15DDAA" w14:textId="77777777" w:rsidR="00DD09FA" w:rsidRPr="0066328A" w:rsidRDefault="00DD09FA" w:rsidP="00FA2DD9">
      <w:pPr>
        <w:ind w:left="840" w:right="1022"/>
        <w:rPr>
          <w:sz w:val="18"/>
          <w:szCs w:val="18"/>
        </w:rPr>
      </w:pPr>
    </w:p>
    <w:p w14:paraId="507A3A42" w14:textId="71230D91" w:rsidR="00783288" w:rsidRPr="00B325E0" w:rsidRDefault="004C7D3B" w:rsidP="00B325E0">
      <w:pPr>
        <w:pStyle w:val="BodyText"/>
        <w:kinsoku w:val="0"/>
        <w:overflowPunct w:val="0"/>
        <w:spacing w:before="1"/>
        <w:ind w:left="840" w:right="1038"/>
        <w:jc w:val="both"/>
        <w:rPr>
          <w:color w:val="231F20"/>
        </w:rPr>
      </w:pPr>
      <w:r>
        <w:rPr>
          <w:color w:val="231F20"/>
        </w:rPr>
        <w:t xml:space="preserve">On </w:t>
      </w:r>
      <w:r w:rsidR="00C566C0">
        <w:rPr>
          <w:color w:val="231F20"/>
        </w:rPr>
        <w:t xml:space="preserve">13 </w:t>
      </w:r>
      <w:r>
        <w:rPr>
          <w:color w:val="231F20"/>
        </w:rPr>
        <w:t>December 2020, the Company entered into a further engagement letter with Panmure Gordon pursuant to which Panmure Gordon agreed to act, subject to the terms and conditions set out in the engagement letter, as the Company’s joint capital markets adviser, which shall include amongst other things (</w:t>
      </w:r>
      <w:proofErr w:type="spellStart"/>
      <w:r>
        <w:rPr>
          <w:color w:val="231F20"/>
        </w:rPr>
        <w:t>i</w:t>
      </w:r>
      <w:proofErr w:type="spellEnd"/>
      <w:r w:rsidR="00454351">
        <w:rPr>
          <w:color w:val="231F20"/>
        </w:rPr>
        <w:t xml:space="preserve">) acting as a point of contact between the investment community and the Company; (ii) preparing brokers’ notes on the Company; (iii) organising and advising on roadshows and reviewing corporate presentations; and (v) procuring investors for equity fundraising (when applicable). </w:t>
      </w:r>
      <w:r>
        <w:rPr>
          <w:color w:val="231F20"/>
        </w:rPr>
        <w:t xml:space="preserve">The engagement letter </w:t>
      </w:r>
      <w:r w:rsidR="00BE261C">
        <w:rPr>
          <w:color w:val="231F20"/>
        </w:rPr>
        <w:t>is automatically renewed annually until</w:t>
      </w:r>
      <w:r>
        <w:rPr>
          <w:color w:val="231F20"/>
        </w:rPr>
        <w:t xml:space="preserve"> terminated by either party by giving not less than </w:t>
      </w:r>
      <w:r w:rsidR="00BE261C">
        <w:rPr>
          <w:color w:val="231F20"/>
        </w:rPr>
        <w:t>three</w:t>
      </w:r>
      <w:r>
        <w:rPr>
          <w:color w:val="231F20"/>
        </w:rPr>
        <w:t xml:space="preserve"> months</w:t>
      </w:r>
      <w:r w:rsidR="00BE261C">
        <w:rPr>
          <w:color w:val="231F20"/>
        </w:rPr>
        <w:t>’</w:t>
      </w:r>
      <w:r>
        <w:rPr>
          <w:color w:val="231F20"/>
        </w:rPr>
        <w:t xml:space="preserve"> notice in writing or certain other standard termination events (such as material breach). </w:t>
      </w:r>
    </w:p>
    <w:p w14:paraId="14F40E95" w14:textId="77777777" w:rsidR="00783288" w:rsidRDefault="00783288">
      <w:pPr>
        <w:pStyle w:val="BodyText"/>
        <w:kinsoku w:val="0"/>
        <w:overflowPunct w:val="0"/>
        <w:spacing w:before="3"/>
        <w:rPr>
          <w:sz w:val="20"/>
          <w:szCs w:val="20"/>
        </w:rPr>
      </w:pPr>
    </w:p>
    <w:p w14:paraId="71E0320F"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Prospecting Permits</w:t>
      </w:r>
    </w:p>
    <w:p w14:paraId="280C038D" w14:textId="77777777" w:rsidR="009B6C2D" w:rsidRDefault="009B6C2D" w:rsidP="00AF2883">
      <w:pPr>
        <w:pStyle w:val="BodyText"/>
        <w:kinsoku w:val="0"/>
        <w:overflowPunct w:val="0"/>
        <w:spacing w:before="1"/>
        <w:ind w:right="1038"/>
        <w:jc w:val="both"/>
        <w:rPr>
          <w:color w:val="231F20"/>
        </w:rPr>
      </w:pPr>
      <w:bookmarkStart w:id="17" w:name="_Hlk71195412"/>
    </w:p>
    <w:p w14:paraId="6B6326CC" w14:textId="78F34787" w:rsidR="00783288" w:rsidRDefault="00E31420">
      <w:pPr>
        <w:pStyle w:val="BodyText"/>
        <w:kinsoku w:val="0"/>
        <w:overflowPunct w:val="0"/>
        <w:spacing w:before="1"/>
        <w:ind w:left="839" w:right="1038"/>
        <w:jc w:val="both"/>
        <w:rPr>
          <w:color w:val="231F20"/>
        </w:rPr>
      </w:pPr>
      <w:r>
        <w:rPr>
          <w:color w:val="231F20"/>
        </w:rPr>
        <w:t>A summary of the Granted Prospecting Permits in which the Group has a 100% interest and their particulars are set out in the table below.</w:t>
      </w:r>
    </w:p>
    <w:bookmarkEnd w:id="17"/>
    <w:p w14:paraId="55D44EDA" w14:textId="77777777" w:rsidR="00783288" w:rsidRDefault="00783288">
      <w:pPr>
        <w:pStyle w:val="BodyText"/>
        <w:kinsoku w:val="0"/>
        <w:overflowPunct w:val="0"/>
        <w:spacing w:before="9"/>
        <w:rPr>
          <w:sz w:val="20"/>
          <w:szCs w:val="20"/>
        </w:rPr>
      </w:pPr>
    </w:p>
    <w:tbl>
      <w:tblPr>
        <w:tblW w:w="0" w:type="auto"/>
        <w:tblInd w:w="818" w:type="dxa"/>
        <w:tblLayout w:type="fixed"/>
        <w:tblCellMar>
          <w:left w:w="0" w:type="dxa"/>
          <w:right w:w="0" w:type="dxa"/>
        </w:tblCellMar>
        <w:tblLook w:val="0000" w:firstRow="0" w:lastRow="0" w:firstColumn="0" w:lastColumn="0" w:noHBand="0" w:noVBand="0"/>
      </w:tblPr>
      <w:tblGrid>
        <w:gridCol w:w="888"/>
        <w:gridCol w:w="1138"/>
        <w:gridCol w:w="1006"/>
        <w:gridCol w:w="908"/>
        <w:gridCol w:w="1549"/>
        <w:gridCol w:w="1407"/>
        <w:gridCol w:w="1129"/>
        <w:gridCol w:w="1070"/>
      </w:tblGrid>
      <w:tr w:rsidR="00783288" w:rsidRPr="000B7CA5" w14:paraId="6D206C6E" w14:textId="77777777" w:rsidTr="009C0B35">
        <w:trPr>
          <w:trHeight w:val="702"/>
        </w:trPr>
        <w:tc>
          <w:tcPr>
            <w:tcW w:w="888" w:type="dxa"/>
            <w:tcBorders>
              <w:top w:val="single" w:sz="8" w:space="0" w:color="231F20"/>
              <w:left w:val="single" w:sz="8" w:space="0" w:color="231F20"/>
              <w:bottom w:val="single" w:sz="4" w:space="0" w:color="231F20"/>
              <w:right w:val="single" w:sz="4" w:space="0" w:color="231F20"/>
            </w:tcBorders>
            <w:shd w:val="clear" w:color="auto" w:fill="BEC0C2"/>
          </w:tcPr>
          <w:p w14:paraId="4CE1ED04" w14:textId="77777777" w:rsidR="00783288" w:rsidRPr="000B7CA5" w:rsidRDefault="00E31420">
            <w:pPr>
              <w:pStyle w:val="TableParagraph"/>
              <w:kinsoku w:val="0"/>
              <w:overflowPunct w:val="0"/>
              <w:spacing w:line="259" w:lineRule="auto"/>
              <w:ind w:left="112" w:right="75" w:hanging="5"/>
              <w:rPr>
                <w:b/>
                <w:bCs/>
                <w:color w:val="231F20"/>
                <w:sz w:val="16"/>
                <w:szCs w:val="16"/>
              </w:rPr>
            </w:pPr>
            <w:r w:rsidRPr="000B7CA5">
              <w:rPr>
                <w:b/>
                <w:bCs/>
                <w:color w:val="231F20"/>
                <w:sz w:val="16"/>
                <w:szCs w:val="16"/>
              </w:rPr>
              <w:t>Licence number</w:t>
            </w:r>
          </w:p>
        </w:tc>
        <w:tc>
          <w:tcPr>
            <w:tcW w:w="1138" w:type="dxa"/>
            <w:tcBorders>
              <w:top w:val="single" w:sz="8" w:space="0" w:color="231F20"/>
              <w:left w:val="single" w:sz="4" w:space="0" w:color="231F20"/>
              <w:bottom w:val="single" w:sz="4" w:space="0" w:color="231F20"/>
              <w:right w:val="single" w:sz="4" w:space="0" w:color="231F20"/>
            </w:tcBorders>
            <w:shd w:val="clear" w:color="auto" w:fill="BEC0C2"/>
          </w:tcPr>
          <w:p w14:paraId="124E9AE8" w14:textId="5AF6A6FF" w:rsidR="00783288" w:rsidRPr="000B7CA5" w:rsidRDefault="00483DAD" w:rsidP="00483DAD">
            <w:pPr>
              <w:pStyle w:val="TableParagraph"/>
              <w:kinsoku w:val="0"/>
              <w:overflowPunct w:val="0"/>
              <w:spacing w:line="259" w:lineRule="auto"/>
              <w:ind w:right="200"/>
              <w:rPr>
                <w:b/>
                <w:bCs/>
                <w:color w:val="231F20"/>
                <w:sz w:val="16"/>
                <w:szCs w:val="16"/>
              </w:rPr>
            </w:pPr>
            <w:r>
              <w:rPr>
                <w:b/>
                <w:bCs/>
                <w:color w:val="231F20"/>
                <w:sz w:val="16"/>
                <w:szCs w:val="16"/>
              </w:rPr>
              <w:t>Community N</w:t>
            </w:r>
            <w:r w:rsidR="00E31420" w:rsidRPr="000B7CA5">
              <w:rPr>
                <w:b/>
                <w:bCs/>
                <w:color w:val="231F20"/>
                <w:sz w:val="16"/>
                <w:szCs w:val="16"/>
              </w:rPr>
              <w:t>ame</w:t>
            </w:r>
          </w:p>
        </w:tc>
        <w:tc>
          <w:tcPr>
            <w:tcW w:w="1006" w:type="dxa"/>
            <w:tcBorders>
              <w:top w:val="single" w:sz="8" w:space="0" w:color="231F20"/>
              <w:left w:val="single" w:sz="4" w:space="0" w:color="231F20"/>
              <w:bottom w:val="single" w:sz="4" w:space="0" w:color="231F20"/>
              <w:right w:val="single" w:sz="4" w:space="0" w:color="231F20"/>
            </w:tcBorders>
            <w:shd w:val="clear" w:color="auto" w:fill="BEC0C2"/>
          </w:tcPr>
          <w:p w14:paraId="6C9971B2" w14:textId="77777777" w:rsidR="00783288" w:rsidRPr="000B7CA5" w:rsidRDefault="00E31420">
            <w:pPr>
              <w:pStyle w:val="TableParagraph"/>
              <w:kinsoku w:val="0"/>
              <w:overflowPunct w:val="0"/>
              <w:spacing w:line="201" w:lineRule="exact"/>
              <w:ind w:left="200"/>
              <w:rPr>
                <w:b/>
                <w:bCs/>
                <w:color w:val="231F20"/>
                <w:sz w:val="16"/>
                <w:szCs w:val="16"/>
              </w:rPr>
            </w:pPr>
            <w:r w:rsidRPr="000B7CA5">
              <w:rPr>
                <w:b/>
                <w:bCs/>
                <w:color w:val="231F20"/>
                <w:sz w:val="16"/>
                <w:szCs w:val="16"/>
              </w:rPr>
              <w:t>Project</w:t>
            </w:r>
          </w:p>
        </w:tc>
        <w:tc>
          <w:tcPr>
            <w:tcW w:w="908" w:type="dxa"/>
            <w:tcBorders>
              <w:top w:val="single" w:sz="8" w:space="0" w:color="231F20"/>
              <w:left w:val="single" w:sz="4" w:space="0" w:color="231F20"/>
              <w:bottom w:val="single" w:sz="4" w:space="0" w:color="231F20"/>
              <w:right w:val="single" w:sz="4" w:space="0" w:color="231F20"/>
            </w:tcBorders>
            <w:shd w:val="clear" w:color="auto" w:fill="BEC0C2"/>
          </w:tcPr>
          <w:p w14:paraId="55ABBB70" w14:textId="77777777" w:rsidR="00783288" w:rsidRPr="000B7CA5" w:rsidRDefault="00E31420">
            <w:pPr>
              <w:pStyle w:val="TableParagraph"/>
              <w:kinsoku w:val="0"/>
              <w:overflowPunct w:val="0"/>
              <w:spacing w:line="259" w:lineRule="auto"/>
              <w:ind w:left="111" w:right="93"/>
              <w:jc w:val="center"/>
              <w:rPr>
                <w:b/>
                <w:bCs/>
                <w:color w:val="231F20"/>
                <w:sz w:val="16"/>
                <w:szCs w:val="16"/>
              </w:rPr>
            </w:pPr>
            <w:r w:rsidRPr="000B7CA5">
              <w:rPr>
                <w:b/>
                <w:bCs/>
                <w:color w:val="231F20"/>
                <w:sz w:val="16"/>
                <w:szCs w:val="16"/>
              </w:rPr>
              <w:t xml:space="preserve">Area </w:t>
            </w:r>
            <w:r w:rsidRPr="000B7CA5">
              <w:rPr>
                <w:b/>
                <w:bCs/>
                <w:color w:val="231F20"/>
                <w:w w:val="95"/>
                <w:sz w:val="16"/>
                <w:szCs w:val="16"/>
              </w:rPr>
              <w:t xml:space="preserve">Granted </w:t>
            </w:r>
            <w:r w:rsidRPr="000B7CA5">
              <w:rPr>
                <w:b/>
                <w:bCs/>
                <w:color w:val="231F20"/>
                <w:sz w:val="16"/>
                <w:szCs w:val="16"/>
              </w:rPr>
              <w:t>(</w:t>
            </w:r>
            <w:proofErr w:type="spellStart"/>
            <w:r w:rsidRPr="000B7CA5">
              <w:rPr>
                <w:b/>
                <w:bCs/>
                <w:color w:val="231F20"/>
                <w:sz w:val="16"/>
                <w:szCs w:val="16"/>
              </w:rPr>
              <w:t>sq</w:t>
            </w:r>
            <w:proofErr w:type="spellEnd"/>
            <w:r w:rsidRPr="000B7CA5">
              <w:rPr>
                <w:b/>
                <w:bCs/>
                <w:color w:val="231F20"/>
                <w:sz w:val="16"/>
                <w:szCs w:val="16"/>
              </w:rPr>
              <w:t xml:space="preserve"> km)</w:t>
            </w:r>
          </w:p>
        </w:tc>
        <w:tc>
          <w:tcPr>
            <w:tcW w:w="1549" w:type="dxa"/>
            <w:tcBorders>
              <w:top w:val="single" w:sz="8" w:space="0" w:color="231F20"/>
              <w:left w:val="single" w:sz="4" w:space="0" w:color="231F20"/>
              <w:bottom w:val="single" w:sz="4" w:space="0" w:color="231F20"/>
              <w:right w:val="single" w:sz="4" w:space="0" w:color="231F20"/>
            </w:tcBorders>
            <w:shd w:val="clear" w:color="auto" w:fill="BEC0C2"/>
          </w:tcPr>
          <w:p w14:paraId="3842A89B" w14:textId="77777777" w:rsidR="00783288" w:rsidRPr="000B7CA5" w:rsidRDefault="00E31420">
            <w:pPr>
              <w:pStyle w:val="TableParagraph"/>
              <w:kinsoku w:val="0"/>
              <w:overflowPunct w:val="0"/>
              <w:spacing w:line="201" w:lineRule="exact"/>
              <w:ind w:left="544" w:right="533"/>
              <w:jc w:val="center"/>
              <w:rPr>
                <w:b/>
                <w:bCs/>
                <w:color w:val="231F20"/>
                <w:sz w:val="16"/>
                <w:szCs w:val="16"/>
              </w:rPr>
            </w:pPr>
            <w:r w:rsidRPr="000B7CA5">
              <w:rPr>
                <w:b/>
                <w:bCs/>
                <w:color w:val="231F20"/>
                <w:sz w:val="16"/>
                <w:szCs w:val="16"/>
              </w:rPr>
              <w:t>Type</w:t>
            </w:r>
          </w:p>
        </w:tc>
        <w:tc>
          <w:tcPr>
            <w:tcW w:w="1407" w:type="dxa"/>
            <w:tcBorders>
              <w:top w:val="single" w:sz="8" w:space="0" w:color="231F20"/>
              <w:left w:val="single" w:sz="4" w:space="0" w:color="231F20"/>
              <w:bottom w:val="single" w:sz="4" w:space="0" w:color="231F20"/>
              <w:right w:val="single" w:sz="4" w:space="0" w:color="231F20"/>
            </w:tcBorders>
            <w:shd w:val="clear" w:color="auto" w:fill="BEC0C2"/>
          </w:tcPr>
          <w:p w14:paraId="704B11E1" w14:textId="77777777" w:rsidR="00783288" w:rsidRPr="000B7CA5" w:rsidRDefault="00E31420">
            <w:pPr>
              <w:pStyle w:val="TableParagraph"/>
              <w:kinsoku w:val="0"/>
              <w:overflowPunct w:val="0"/>
              <w:spacing w:line="201" w:lineRule="exact"/>
              <w:ind w:right="417"/>
              <w:jc w:val="right"/>
              <w:rPr>
                <w:b/>
                <w:bCs/>
                <w:color w:val="231F20"/>
                <w:w w:val="95"/>
                <w:sz w:val="16"/>
                <w:szCs w:val="16"/>
              </w:rPr>
            </w:pPr>
            <w:r w:rsidRPr="000B7CA5">
              <w:rPr>
                <w:b/>
                <w:bCs/>
                <w:color w:val="231F20"/>
                <w:w w:val="95"/>
                <w:sz w:val="16"/>
                <w:szCs w:val="16"/>
              </w:rPr>
              <w:t>Status</w:t>
            </w:r>
          </w:p>
        </w:tc>
        <w:tc>
          <w:tcPr>
            <w:tcW w:w="1129" w:type="dxa"/>
            <w:tcBorders>
              <w:top w:val="single" w:sz="8" w:space="0" w:color="231F20"/>
              <w:left w:val="single" w:sz="4" w:space="0" w:color="231F20"/>
              <w:bottom w:val="single" w:sz="4" w:space="0" w:color="231F20"/>
              <w:right w:val="single" w:sz="4" w:space="0" w:color="231F20"/>
            </w:tcBorders>
            <w:shd w:val="clear" w:color="auto" w:fill="BEC0C2"/>
          </w:tcPr>
          <w:p w14:paraId="0AF9E133" w14:textId="77777777" w:rsidR="00783288" w:rsidRPr="000B7CA5" w:rsidRDefault="00E31420">
            <w:pPr>
              <w:pStyle w:val="TableParagraph"/>
              <w:kinsoku w:val="0"/>
              <w:overflowPunct w:val="0"/>
              <w:spacing w:line="259" w:lineRule="auto"/>
              <w:ind w:left="233" w:right="205" w:firstLine="134"/>
              <w:rPr>
                <w:b/>
                <w:bCs/>
                <w:color w:val="231F20"/>
                <w:sz w:val="16"/>
                <w:szCs w:val="16"/>
              </w:rPr>
            </w:pPr>
            <w:r w:rsidRPr="000B7CA5">
              <w:rPr>
                <w:b/>
                <w:bCs/>
                <w:color w:val="231F20"/>
                <w:sz w:val="16"/>
                <w:szCs w:val="16"/>
              </w:rPr>
              <w:t>Date granted</w:t>
            </w:r>
          </w:p>
        </w:tc>
        <w:tc>
          <w:tcPr>
            <w:tcW w:w="1070" w:type="dxa"/>
            <w:tcBorders>
              <w:top w:val="single" w:sz="8" w:space="0" w:color="231F20"/>
              <w:left w:val="single" w:sz="4" w:space="0" w:color="231F20"/>
              <w:bottom w:val="single" w:sz="4" w:space="0" w:color="231F20"/>
              <w:right w:val="single" w:sz="8" w:space="0" w:color="231F20"/>
            </w:tcBorders>
            <w:shd w:val="clear" w:color="auto" w:fill="BEC0C2"/>
          </w:tcPr>
          <w:p w14:paraId="2F4109C4" w14:textId="3612B875" w:rsidR="00783288" w:rsidRPr="000B7CA5" w:rsidRDefault="00483DAD" w:rsidP="00021854">
            <w:pPr>
              <w:pStyle w:val="TableParagraph"/>
              <w:kinsoku w:val="0"/>
              <w:overflowPunct w:val="0"/>
              <w:spacing w:line="259" w:lineRule="auto"/>
              <w:ind w:right="201"/>
              <w:jc w:val="center"/>
              <w:rPr>
                <w:b/>
                <w:bCs/>
                <w:color w:val="231F20"/>
                <w:sz w:val="16"/>
                <w:szCs w:val="16"/>
              </w:rPr>
            </w:pPr>
            <w:r>
              <w:rPr>
                <w:b/>
                <w:bCs/>
                <w:color w:val="231F20"/>
                <w:sz w:val="16"/>
                <w:szCs w:val="16"/>
              </w:rPr>
              <w:t>Duration</w:t>
            </w:r>
          </w:p>
        </w:tc>
      </w:tr>
      <w:tr w:rsidR="00783288" w:rsidRPr="000B7CA5" w14:paraId="07F76E49" w14:textId="77777777" w:rsidTr="009C0B35">
        <w:trPr>
          <w:trHeight w:val="232"/>
        </w:trPr>
        <w:tc>
          <w:tcPr>
            <w:tcW w:w="9095" w:type="dxa"/>
            <w:gridSpan w:val="8"/>
            <w:tcBorders>
              <w:top w:val="single" w:sz="4" w:space="0" w:color="231F20"/>
              <w:left w:val="single" w:sz="8" w:space="0" w:color="231F20"/>
              <w:bottom w:val="single" w:sz="4" w:space="0" w:color="231F20"/>
              <w:right w:val="single" w:sz="8" w:space="0" w:color="231F20"/>
            </w:tcBorders>
            <w:shd w:val="clear" w:color="auto" w:fill="D9DADB"/>
          </w:tcPr>
          <w:p w14:paraId="0FECBC10" w14:textId="77777777" w:rsidR="00783288" w:rsidRPr="000B7CA5" w:rsidRDefault="00E31420">
            <w:pPr>
              <w:pStyle w:val="TableParagraph"/>
              <w:kinsoku w:val="0"/>
              <w:overflowPunct w:val="0"/>
              <w:spacing w:line="206" w:lineRule="exact"/>
              <w:ind w:left="107"/>
              <w:rPr>
                <w:b/>
                <w:bCs/>
                <w:color w:val="231F20"/>
                <w:sz w:val="16"/>
                <w:szCs w:val="16"/>
              </w:rPr>
            </w:pPr>
            <w:r w:rsidRPr="000B7CA5">
              <w:rPr>
                <w:b/>
                <w:bCs/>
                <w:color w:val="231F20"/>
                <w:sz w:val="16"/>
                <w:szCs w:val="16"/>
              </w:rPr>
              <w:t>Granted Prospecting Permits</w:t>
            </w:r>
          </w:p>
        </w:tc>
      </w:tr>
      <w:tr w:rsidR="00783288" w:rsidRPr="000B7CA5" w14:paraId="638F1D20"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3A4E8A09" w14:textId="77777777" w:rsidR="00783288" w:rsidRPr="000B7CA5" w:rsidRDefault="00E31420">
            <w:pPr>
              <w:pStyle w:val="TableParagraph"/>
              <w:kinsoku w:val="0"/>
              <w:overflowPunct w:val="0"/>
              <w:spacing w:before="109"/>
              <w:ind w:left="107"/>
              <w:rPr>
                <w:color w:val="231F20"/>
                <w:sz w:val="16"/>
                <w:szCs w:val="16"/>
              </w:rPr>
            </w:pPr>
            <w:r w:rsidRPr="000B7CA5">
              <w:rPr>
                <w:color w:val="231F20"/>
                <w:sz w:val="16"/>
                <w:szCs w:val="16"/>
              </w:rPr>
              <w:lastRenderedPageBreak/>
              <w:t>AE4727</w:t>
            </w:r>
          </w:p>
        </w:tc>
        <w:tc>
          <w:tcPr>
            <w:tcW w:w="1138" w:type="dxa"/>
            <w:tcBorders>
              <w:top w:val="single" w:sz="4" w:space="0" w:color="231F20"/>
              <w:left w:val="single" w:sz="4" w:space="0" w:color="231F20"/>
              <w:bottom w:val="single" w:sz="4" w:space="0" w:color="231F20"/>
              <w:right w:val="single" w:sz="4" w:space="0" w:color="231F20"/>
            </w:tcBorders>
          </w:tcPr>
          <w:p w14:paraId="721258DA" w14:textId="04C90202" w:rsidR="00783288" w:rsidRPr="000B7CA5" w:rsidRDefault="00483DAD">
            <w:pPr>
              <w:pStyle w:val="TableParagraph"/>
              <w:kinsoku w:val="0"/>
              <w:overflowPunct w:val="0"/>
              <w:spacing w:before="109"/>
              <w:ind w:left="112"/>
              <w:rPr>
                <w:color w:val="231F20"/>
                <w:sz w:val="16"/>
                <w:szCs w:val="16"/>
              </w:rPr>
            </w:pPr>
            <w:proofErr w:type="spellStart"/>
            <w:r w:rsidRPr="000B7CA5">
              <w:rPr>
                <w:color w:val="231F20"/>
                <w:sz w:val="16"/>
                <w:szCs w:val="16"/>
              </w:rPr>
              <w:t>Aspr</w:t>
            </w:r>
            <w:r>
              <w:rPr>
                <w:color w:val="231F20"/>
                <w:sz w:val="16"/>
                <w:szCs w:val="16"/>
              </w:rPr>
              <w:t>oyia</w:t>
            </w:r>
            <w:proofErr w:type="spellEnd"/>
            <w:r>
              <w:rPr>
                <w:color w:val="231F20"/>
                <w:sz w:val="16"/>
                <w:szCs w:val="16"/>
              </w:rPr>
              <w:t xml:space="preserve">, </w:t>
            </w:r>
            <w:proofErr w:type="spellStart"/>
            <w:r>
              <w:rPr>
                <w:color w:val="231F20"/>
                <w:sz w:val="16"/>
                <w:szCs w:val="16"/>
              </w:rPr>
              <w:t>Pano</w:t>
            </w:r>
            <w:proofErr w:type="spellEnd"/>
            <w:r>
              <w:rPr>
                <w:color w:val="231F20"/>
                <w:sz w:val="16"/>
                <w:szCs w:val="16"/>
              </w:rPr>
              <w:t xml:space="preserve"> </w:t>
            </w:r>
            <w:proofErr w:type="spellStart"/>
            <w:r>
              <w:rPr>
                <w:color w:val="231F20"/>
                <w:sz w:val="16"/>
                <w:szCs w:val="16"/>
              </w:rPr>
              <w:t>Panayia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44E79E61"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Discovery</w:t>
            </w:r>
          </w:p>
          <w:p w14:paraId="04B3BA65"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South</w:t>
            </w:r>
          </w:p>
        </w:tc>
        <w:tc>
          <w:tcPr>
            <w:tcW w:w="908" w:type="dxa"/>
            <w:tcBorders>
              <w:top w:val="single" w:sz="4" w:space="0" w:color="231F20"/>
              <w:left w:val="single" w:sz="4" w:space="0" w:color="231F20"/>
              <w:bottom w:val="single" w:sz="4" w:space="0" w:color="231F20"/>
              <w:right w:val="single" w:sz="4" w:space="0" w:color="231F20"/>
            </w:tcBorders>
          </w:tcPr>
          <w:p w14:paraId="7E026F48" w14:textId="77777777" w:rsidR="00783288" w:rsidRPr="000B7CA5" w:rsidRDefault="00E31420">
            <w:pPr>
              <w:pStyle w:val="TableParagraph"/>
              <w:kinsoku w:val="0"/>
              <w:overflowPunct w:val="0"/>
              <w:spacing w:before="109"/>
              <w:ind w:left="111"/>
              <w:rPr>
                <w:color w:val="231F20"/>
                <w:sz w:val="16"/>
                <w:szCs w:val="16"/>
              </w:rPr>
            </w:pPr>
            <w:r w:rsidRPr="000B7CA5">
              <w:rPr>
                <w:color w:val="231F20"/>
                <w:sz w:val="16"/>
                <w:szCs w:val="16"/>
              </w:rPr>
              <w:t>2.48</w:t>
            </w:r>
          </w:p>
        </w:tc>
        <w:tc>
          <w:tcPr>
            <w:tcW w:w="1549" w:type="dxa"/>
            <w:tcBorders>
              <w:top w:val="single" w:sz="4" w:space="0" w:color="231F20"/>
              <w:left w:val="single" w:sz="4" w:space="0" w:color="231F20"/>
              <w:bottom w:val="single" w:sz="4" w:space="0" w:color="231F20"/>
              <w:right w:val="single" w:sz="4" w:space="0" w:color="231F20"/>
            </w:tcBorders>
          </w:tcPr>
          <w:p w14:paraId="3E741F02" w14:textId="77777777" w:rsidR="00783288" w:rsidRPr="000B7CA5" w:rsidRDefault="00E31420">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7D66154" w14:textId="77777777" w:rsidR="00783288" w:rsidRPr="000B7CA5" w:rsidRDefault="00E31420">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46607F93" w14:textId="77777777" w:rsidR="00783288" w:rsidRPr="000B7CA5" w:rsidRDefault="00E31420">
            <w:pPr>
              <w:pStyle w:val="TableParagraph"/>
              <w:kinsoku w:val="0"/>
              <w:overflowPunct w:val="0"/>
              <w:spacing w:before="104"/>
              <w:ind w:left="108"/>
              <w:rPr>
                <w:b/>
                <w:bCs/>
                <w:color w:val="231F20"/>
                <w:sz w:val="16"/>
                <w:szCs w:val="16"/>
              </w:rPr>
            </w:pPr>
            <w:r w:rsidRPr="000B7CA5">
              <w:rPr>
                <w:b/>
                <w:bCs/>
                <w:color w:val="231F20"/>
                <w:sz w:val="16"/>
                <w:szCs w:val="16"/>
              </w:rPr>
              <w:t>14l12l2019</w:t>
            </w:r>
          </w:p>
        </w:tc>
        <w:tc>
          <w:tcPr>
            <w:tcW w:w="1070" w:type="dxa"/>
            <w:tcBorders>
              <w:top w:val="single" w:sz="4" w:space="0" w:color="231F20"/>
              <w:left w:val="single" w:sz="4" w:space="0" w:color="231F20"/>
              <w:bottom w:val="single" w:sz="4" w:space="0" w:color="231F20"/>
              <w:right w:val="single" w:sz="8" w:space="0" w:color="231F20"/>
            </w:tcBorders>
          </w:tcPr>
          <w:p w14:paraId="7F0AFCBF" w14:textId="45C14E53" w:rsidR="00783288" w:rsidRPr="000B7CA5" w:rsidRDefault="009C0B35">
            <w:pPr>
              <w:pStyle w:val="TableParagraph"/>
              <w:kinsoku w:val="0"/>
              <w:overflowPunct w:val="0"/>
              <w:spacing w:before="109"/>
              <w:ind w:left="105"/>
              <w:rPr>
                <w:color w:val="231F20"/>
                <w:sz w:val="16"/>
                <w:szCs w:val="16"/>
              </w:rPr>
            </w:pPr>
            <w:r>
              <w:rPr>
                <w:color w:val="231F20"/>
                <w:sz w:val="16"/>
                <w:szCs w:val="16"/>
              </w:rPr>
              <w:t>14/12/2020-</w:t>
            </w:r>
            <w:r w:rsidRPr="000B7CA5">
              <w:rPr>
                <w:color w:val="231F20"/>
                <w:sz w:val="16"/>
                <w:szCs w:val="16"/>
              </w:rPr>
              <w:t>13/12/202</w:t>
            </w:r>
            <w:r>
              <w:rPr>
                <w:color w:val="231F20"/>
                <w:sz w:val="16"/>
                <w:szCs w:val="16"/>
              </w:rPr>
              <w:t>1</w:t>
            </w:r>
          </w:p>
        </w:tc>
      </w:tr>
      <w:tr w:rsidR="00783288" w:rsidRPr="000B7CA5" w14:paraId="0893AAD7"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045D4AA4"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AE4740</w:t>
            </w:r>
          </w:p>
        </w:tc>
        <w:tc>
          <w:tcPr>
            <w:tcW w:w="1138" w:type="dxa"/>
            <w:tcBorders>
              <w:top w:val="single" w:sz="4" w:space="0" w:color="231F20"/>
              <w:left w:val="single" w:sz="4" w:space="0" w:color="231F20"/>
              <w:bottom w:val="single" w:sz="4" w:space="0" w:color="231F20"/>
              <w:right w:val="single" w:sz="4" w:space="0" w:color="231F20"/>
            </w:tcBorders>
          </w:tcPr>
          <w:p w14:paraId="0A052C48" w14:textId="2B2026F9"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Ayios</w:t>
            </w:r>
            <w:proofErr w:type="spellEnd"/>
            <w:r>
              <w:rPr>
                <w:color w:val="231F20"/>
                <w:sz w:val="16"/>
                <w:szCs w:val="16"/>
              </w:rPr>
              <w:t xml:space="preserve"> </w:t>
            </w:r>
            <w:proofErr w:type="spellStart"/>
            <w:r>
              <w:rPr>
                <w:color w:val="231F20"/>
                <w:sz w:val="16"/>
                <w:szCs w:val="16"/>
              </w:rPr>
              <w:t>Ioannis</w:t>
            </w:r>
            <w:proofErr w:type="spellEnd"/>
            <w:r>
              <w:rPr>
                <w:color w:val="231F20"/>
                <w:sz w:val="16"/>
                <w:szCs w:val="16"/>
              </w:rPr>
              <w:t xml:space="preserve">, </w:t>
            </w:r>
            <w:proofErr w:type="spellStart"/>
            <w:r>
              <w:rPr>
                <w:color w:val="231F20"/>
                <w:sz w:val="16"/>
                <w:szCs w:val="16"/>
              </w:rPr>
              <w:t>Ayios</w:t>
            </w:r>
            <w:proofErr w:type="spellEnd"/>
            <w:r>
              <w:rPr>
                <w:color w:val="231F20"/>
                <w:sz w:val="16"/>
                <w:szCs w:val="16"/>
              </w:rPr>
              <w:t xml:space="preserve"> Nikolaos, </w:t>
            </w:r>
            <w:proofErr w:type="spellStart"/>
            <w:r>
              <w:rPr>
                <w:color w:val="231F20"/>
                <w:sz w:val="16"/>
                <w:szCs w:val="16"/>
              </w:rPr>
              <w:t>Bretsia</w:t>
            </w:r>
            <w:proofErr w:type="spellEnd"/>
            <w:r>
              <w:rPr>
                <w:color w:val="231F20"/>
                <w:sz w:val="16"/>
                <w:szCs w:val="16"/>
              </w:rPr>
              <w:t xml:space="preserve">, </w:t>
            </w:r>
            <w:proofErr w:type="spellStart"/>
            <w:r>
              <w:rPr>
                <w:color w:val="231F20"/>
                <w:sz w:val="16"/>
                <w:szCs w:val="16"/>
              </w:rPr>
              <w:t>Mulikouri</w:t>
            </w:r>
            <w:proofErr w:type="spellEnd"/>
            <w:r>
              <w:rPr>
                <w:color w:val="231F20"/>
                <w:sz w:val="16"/>
                <w:szCs w:val="16"/>
              </w:rPr>
              <w:t xml:space="preserve">, </w:t>
            </w:r>
            <w:proofErr w:type="spellStart"/>
            <w:r>
              <w:rPr>
                <w:color w:val="231F20"/>
                <w:sz w:val="16"/>
                <w:szCs w:val="16"/>
              </w:rPr>
              <w:t>Pano</w:t>
            </w:r>
            <w:proofErr w:type="spellEnd"/>
            <w:r>
              <w:rPr>
                <w:color w:val="231F20"/>
                <w:sz w:val="16"/>
                <w:szCs w:val="16"/>
              </w:rPr>
              <w:t xml:space="preserve"> </w:t>
            </w:r>
            <w:proofErr w:type="spellStart"/>
            <w:r>
              <w:rPr>
                <w:color w:val="231F20"/>
                <w:sz w:val="16"/>
                <w:szCs w:val="16"/>
              </w:rPr>
              <w:t>Panayia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03806A33"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Discovery</w:t>
            </w:r>
          </w:p>
          <w:p w14:paraId="7076E829"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South</w:t>
            </w:r>
          </w:p>
        </w:tc>
        <w:tc>
          <w:tcPr>
            <w:tcW w:w="908" w:type="dxa"/>
            <w:tcBorders>
              <w:top w:val="single" w:sz="4" w:space="0" w:color="231F20"/>
              <w:left w:val="single" w:sz="4" w:space="0" w:color="231F20"/>
              <w:bottom w:val="single" w:sz="4" w:space="0" w:color="231F20"/>
              <w:right w:val="single" w:sz="4" w:space="0" w:color="231F20"/>
            </w:tcBorders>
          </w:tcPr>
          <w:p w14:paraId="1CB57198" w14:textId="0BB4621F" w:rsidR="00783288" w:rsidRPr="000B7CA5" w:rsidRDefault="009C0B35">
            <w:pPr>
              <w:pStyle w:val="TableParagraph"/>
              <w:kinsoku w:val="0"/>
              <w:overflowPunct w:val="0"/>
              <w:spacing w:before="111"/>
              <w:ind w:left="111"/>
              <w:rPr>
                <w:color w:val="231F20"/>
                <w:sz w:val="16"/>
                <w:szCs w:val="16"/>
              </w:rPr>
            </w:pPr>
            <w:r>
              <w:rPr>
                <w:color w:val="231F20"/>
                <w:sz w:val="16"/>
                <w:szCs w:val="16"/>
              </w:rPr>
              <w:t>11.403</w:t>
            </w:r>
          </w:p>
        </w:tc>
        <w:tc>
          <w:tcPr>
            <w:tcW w:w="1549" w:type="dxa"/>
            <w:tcBorders>
              <w:top w:val="single" w:sz="4" w:space="0" w:color="231F20"/>
              <w:left w:val="single" w:sz="4" w:space="0" w:color="231F20"/>
              <w:bottom w:val="single" w:sz="4" w:space="0" w:color="231F20"/>
              <w:right w:val="single" w:sz="4" w:space="0" w:color="231F20"/>
            </w:tcBorders>
          </w:tcPr>
          <w:p w14:paraId="77D3A211"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Reconnaissance</w:t>
            </w:r>
          </w:p>
        </w:tc>
        <w:tc>
          <w:tcPr>
            <w:tcW w:w="1407" w:type="dxa"/>
            <w:tcBorders>
              <w:top w:val="single" w:sz="4" w:space="0" w:color="231F20"/>
              <w:left w:val="single" w:sz="4" w:space="0" w:color="231F20"/>
              <w:bottom w:val="single" w:sz="4" w:space="0" w:color="231F20"/>
              <w:right w:val="single" w:sz="4" w:space="0" w:color="231F20"/>
            </w:tcBorders>
          </w:tcPr>
          <w:p w14:paraId="0CFD5BD1"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6EB81B4B"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09l03l2020</w:t>
            </w:r>
          </w:p>
        </w:tc>
        <w:tc>
          <w:tcPr>
            <w:tcW w:w="1070" w:type="dxa"/>
            <w:tcBorders>
              <w:top w:val="single" w:sz="4" w:space="0" w:color="231F20"/>
              <w:left w:val="single" w:sz="4" w:space="0" w:color="231F20"/>
              <w:bottom w:val="single" w:sz="4" w:space="0" w:color="231F20"/>
              <w:right w:val="single" w:sz="8" w:space="0" w:color="231F20"/>
            </w:tcBorders>
          </w:tcPr>
          <w:p w14:paraId="27FBF932" w14:textId="3A139D71" w:rsidR="00783288" w:rsidRPr="000B7CA5" w:rsidRDefault="009C0B35">
            <w:pPr>
              <w:pStyle w:val="TableParagraph"/>
              <w:kinsoku w:val="0"/>
              <w:overflowPunct w:val="0"/>
              <w:spacing w:before="111"/>
              <w:ind w:left="105"/>
              <w:rPr>
                <w:color w:val="231F20"/>
                <w:sz w:val="16"/>
                <w:szCs w:val="16"/>
              </w:rPr>
            </w:pPr>
            <w:r>
              <w:rPr>
                <w:color w:val="231F20"/>
                <w:sz w:val="16"/>
                <w:szCs w:val="16"/>
              </w:rPr>
              <w:t>09/03/2021-</w:t>
            </w:r>
            <w:r w:rsidRPr="000B7CA5">
              <w:rPr>
                <w:color w:val="231F20"/>
                <w:sz w:val="16"/>
                <w:szCs w:val="16"/>
              </w:rPr>
              <w:t>08/03/202</w:t>
            </w:r>
            <w:r>
              <w:rPr>
                <w:color w:val="231F20"/>
                <w:sz w:val="16"/>
                <w:szCs w:val="16"/>
              </w:rPr>
              <w:t>2</w:t>
            </w:r>
          </w:p>
        </w:tc>
      </w:tr>
      <w:tr w:rsidR="00783288" w:rsidRPr="000B7CA5" w14:paraId="3D7FF6B2" w14:textId="77777777" w:rsidTr="009C0B35">
        <w:trPr>
          <w:trHeight w:val="448"/>
        </w:trPr>
        <w:tc>
          <w:tcPr>
            <w:tcW w:w="888" w:type="dxa"/>
            <w:tcBorders>
              <w:top w:val="single" w:sz="4" w:space="0" w:color="231F20"/>
              <w:left w:val="single" w:sz="8" w:space="0" w:color="231F20"/>
              <w:bottom w:val="single" w:sz="4" w:space="0" w:color="231F20"/>
              <w:right w:val="single" w:sz="4" w:space="0" w:color="231F20"/>
            </w:tcBorders>
          </w:tcPr>
          <w:p w14:paraId="240DAC02"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AE4741</w:t>
            </w:r>
          </w:p>
        </w:tc>
        <w:tc>
          <w:tcPr>
            <w:tcW w:w="1138" w:type="dxa"/>
            <w:tcBorders>
              <w:top w:val="single" w:sz="4" w:space="0" w:color="231F20"/>
              <w:left w:val="single" w:sz="4" w:space="0" w:color="231F20"/>
              <w:bottom w:val="single" w:sz="4" w:space="0" w:color="231F20"/>
              <w:right w:val="single" w:sz="4" w:space="0" w:color="231F20"/>
            </w:tcBorders>
          </w:tcPr>
          <w:p w14:paraId="3B8CA184" w14:textId="674F86D1"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Ayios</w:t>
            </w:r>
            <w:proofErr w:type="spellEnd"/>
            <w:r>
              <w:rPr>
                <w:color w:val="231F20"/>
                <w:sz w:val="16"/>
                <w:szCs w:val="16"/>
              </w:rPr>
              <w:t xml:space="preserve"> Nikolaos, Kato </w:t>
            </w:r>
            <w:proofErr w:type="spellStart"/>
            <w:r>
              <w:rPr>
                <w:color w:val="231F20"/>
                <w:sz w:val="16"/>
                <w:szCs w:val="16"/>
              </w:rPr>
              <w:t>Platres</w:t>
            </w:r>
            <w:proofErr w:type="spellEnd"/>
            <w:r>
              <w:rPr>
                <w:color w:val="231F20"/>
                <w:sz w:val="16"/>
                <w:szCs w:val="16"/>
              </w:rPr>
              <w:t xml:space="preserve">, </w:t>
            </w:r>
            <w:proofErr w:type="spellStart"/>
            <w:r w:rsidRPr="000B7CA5">
              <w:rPr>
                <w:color w:val="231F20"/>
                <w:sz w:val="16"/>
                <w:szCs w:val="16"/>
              </w:rPr>
              <w:t>Mandria</w:t>
            </w:r>
            <w:proofErr w:type="spellEnd"/>
            <w:r>
              <w:rPr>
                <w:color w:val="231F20"/>
                <w:sz w:val="16"/>
                <w:szCs w:val="16"/>
              </w:rPr>
              <w:t xml:space="preserve">, </w:t>
            </w:r>
            <w:proofErr w:type="spellStart"/>
            <w:r>
              <w:rPr>
                <w:color w:val="231F20"/>
                <w:sz w:val="16"/>
                <w:szCs w:val="16"/>
              </w:rPr>
              <w:t>Omodos</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1D1D2829" w14:textId="77777777" w:rsidR="00783288" w:rsidRPr="000B7CA5" w:rsidRDefault="00E31420">
            <w:pPr>
              <w:pStyle w:val="TableParagraph"/>
              <w:kinsoku w:val="0"/>
              <w:overflowPunct w:val="0"/>
              <w:spacing w:before="1"/>
              <w:ind w:left="109"/>
              <w:rPr>
                <w:color w:val="231F20"/>
                <w:sz w:val="16"/>
                <w:szCs w:val="16"/>
              </w:rPr>
            </w:pPr>
            <w:r w:rsidRPr="000B7CA5">
              <w:rPr>
                <w:color w:val="231F20"/>
                <w:sz w:val="16"/>
                <w:szCs w:val="16"/>
              </w:rPr>
              <w:t>Discovery</w:t>
            </w:r>
          </w:p>
          <w:p w14:paraId="029A7342"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South</w:t>
            </w:r>
          </w:p>
        </w:tc>
        <w:tc>
          <w:tcPr>
            <w:tcW w:w="908" w:type="dxa"/>
            <w:tcBorders>
              <w:top w:val="single" w:sz="4" w:space="0" w:color="231F20"/>
              <w:left w:val="single" w:sz="4" w:space="0" w:color="231F20"/>
              <w:bottom w:val="single" w:sz="4" w:space="0" w:color="231F20"/>
              <w:right w:val="single" w:sz="4" w:space="0" w:color="231F20"/>
            </w:tcBorders>
          </w:tcPr>
          <w:p w14:paraId="7A444D97" w14:textId="20527FAC"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16.47</w:t>
            </w:r>
            <w:r w:rsidR="0092361E" w:rsidRPr="000B7CA5">
              <w:rPr>
                <w:color w:val="231F20"/>
                <w:sz w:val="16"/>
                <w:szCs w:val="16"/>
              </w:rPr>
              <w:t>4</w:t>
            </w:r>
          </w:p>
        </w:tc>
        <w:tc>
          <w:tcPr>
            <w:tcW w:w="1549" w:type="dxa"/>
            <w:tcBorders>
              <w:top w:val="single" w:sz="4" w:space="0" w:color="231F20"/>
              <w:left w:val="single" w:sz="4" w:space="0" w:color="231F20"/>
              <w:bottom w:val="single" w:sz="4" w:space="0" w:color="231F20"/>
              <w:right w:val="single" w:sz="4" w:space="0" w:color="231F20"/>
            </w:tcBorders>
          </w:tcPr>
          <w:p w14:paraId="296196EA"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Reconnaissance</w:t>
            </w:r>
          </w:p>
        </w:tc>
        <w:tc>
          <w:tcPr>
            <w:tcW w:w="1407" w:type="dxa"/>
            <w:tcBorders>
              <w:top w:val="single" w:sz="4" w:space="0" w:color="231F20"/>
              <w:left w:val="single" w:sz="4" w:space="0" w:color="231F20"/>
              <w:bottom w:val="single" w:sz="4" w:space="0" w:color="231F20"/>
              <w:right w:val="single" w:sz="4" w:space="0" w:color="231F20"/>
            </w:tcBorders>
          </w:tcPr>
          <w:p w14:paraId="1FE75F8F" w14:textId="77777777" w:rsidR="00783288" w:rsidRPr="000B7CA5" w:rsidRDefault="00E31420">
            <w:pPr>
              <w:pStyle w:val="TableParagraph"/>
              <w:kinsoku w:val="0"/>
              <w:overflowPunct w:val="0"/>
              <w:spacing w:before="111"/>
              <w:ind w:right="410"/>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0A49AE8B"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04l02l2020</w:t>
            </w:r>
          </w:p>
        </w:tc>
        <w:tc>
          <w:tcPr>
            <w:tcW w:w="1070" w:type="dxa"/>
            <w:tcBorders>
              <w:top w:val="single" w:sz="4" w:space="0" w:color="231F20"/>
              <w:left w:val="single" w:sz="4" w:space="0" w:color="231F20"/>
              <w:bottom w:val="single" w:sz="4" w:space="0" w:color="231F20"/>
              <w:right w:val="single" w:sz="8" w:space="0" w:color="231F20"/>
            </w:tcBorders>
          </w:tcPr>
          <w:p w14:paraId="47B9C9CF" w14:textId="226E5525" w:rsidR="00783288" w:rsidRPr="000B7CA5" w:rsidRDefault="009C0B35">
            <w:pPr>
              <w:pStyle w:val="TableParagraph"/>
              <w:kinsoku w:val="0"/>
              <w:overflowPunct w:val="0"/>
              <w:spacing w:before="111"/>
              <w:ind w:left="105"/>
              <w:rPr>
                <w:color w:val="231F20"/>
                <w:sz w:val="16"/>
                <w:szCs w:val="16"/>
              </w:rPr>
            </w:pPr>
            <w:r>
              <w:rPr>
                <w:color w:val="231F20"/>
                <w:sz w:val="16"/>
                <w:szCs w:val="16"/>
              </w:rPr>
              <w:t>04/02/2021-</w:t>
            </w:r>
            <w:r w:rsidRPr="000B7CA5">
              <w:rPr>
                <w:color w:val="231F20"/>
                <w:sz w:val="16"/>
                <w:szCs w:val="16"/>
              </w:rPr>
              <w:t>03/02/202</w:t>
            </w:r>
            <w:r>
              <w:rPr>
                <w:color w:val="231F20"/>
                <w:sz w:val="16"/>
                <w:szCs w:val="16"/>
              </w:rPr>
              <w:t>2</w:t>
            </w:r>
          </w:p>
        </w:tc>
      </w:tr>
      <w:tr w:rsidR="00783288" w:rsidRPr="000B7CA5" w14:paraId="71D30A64"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7127E51A" w14:textId="77777777" w:rsidR="00783288" w:rsidRPr="000B7CA5" w:rsidRDefault="00E31420">
            <w:pPr>
              <w:pStyle w:val="TableParagraph"/>
              <w:kinsoku w:val="0"/>
              <w:overflowPunct w:val="0"/>
              <w:spacing w:before="109"/>
              <w:ind w:left="107"/>
              <w:rPr>
                <w:color w:val="231F20"/>
                <w:sz w:val="16"/>
                <w:szCs w:val="16"/>
              </w:rPr>
            </w:pPr>
            <w:r w:rsidRPr="000B7CA5">
              <w:rPr>
                <w:color w:val="231F20"/>
                <w:sz w:val="16"/>
                <w:szCs w:val="16"/>
              </w:rPr>
              <w:t>AE4765</w:t>
            </w:r>
          </w:p>
        </w:tc>
        <w:tc>
          <w:tcPr>
            <w:tcW w:w="1138" w:type="dxa"/>
            <w:tcBorders>
              <w:top w:val="single" w:sz="4" w:space="0" w:color="231F20"/>
              <w:left w:val="single" w:sz="4" w:space="0" w:color="231F20"/>
              <w:bottom w:val="single" w:sz="4" w:space="0" w:color="231F20"/>
              <w:right w:val="single" w:sz="4" w:space="0" w:color="231F20"/>
            </w:tcBorders>
          </w:tcPr>
          <w:p w14:paraId="5CB4E56B" w14:textId="77777777" w:rsidR="00483DAD" w:rsidRPr="000B7CA5" w:rsidRDefault="00483DAD" w:rsidP="00483DAD">
            <w:pPr>
              <w:pStyle w:val="TableParagraph"/>
              <w:kinsoku w:val="0"/>
              <w:overflowPunct w:val="0"/>
              <w:spacing w:line="206" w:lineRule="exact"/>
              <w:ind w:left="112"/>
              <w:rPr>
                <w:color w:val="231F20"/>
                <w:sz w:val="16"/>
                <w:szCs w:val="16"/>
              </w:rPr>
            </w:pPr>
            <w:proofErr w:type="spellStart"/>
            <w:r w:rsidRPr="000B7CA5">
              <w:rPr>
                <w:color w:val="231F20"/>
                <w:sz w:val="16"/>
                <w:szCs w:val="16"/>
              </w:rPr>
              <w:t>Aspro</w:t>
            </w:r>
            <w:r>
              <w:rPr>
                <w:color w:val="231F20"/>
                <w:sz w:val="16"/>
                <w:szCs w:val="16"/>
              </w:rPr>
              <w:t>y</w:t>
            </w:r>
            <w:r w:rsidRPr="000B7CA5">
              <w:rPr>
                <w:color w:val="231F20"/>
                <w:sz w:val="16"/>
                <w:szCs w:val="16"/>
              </w:rPr>
              <w:t>ia</w:t>
            </w:r>
            <w:proofErr w:type="spellEnd"/>
            <w:r w:rsidRPr="000B7CA5">
              <w:rPr>
                <w:color w:val="231F20"/>
                <w:sz w:val="16"/>
                <w:szCs w:val="16"/>
              </w:rPr>
              <w:t>-</w:t>
            </w:r>
          </w:p>
          <w:p w14:paraId="154C8270" w14:textId="22D21E47" w:rsidR="00783288" w:rsidRPr="000B7CA5" w:rsidRDefault="00483DAD" w:rsidP="00483DAD">
            <w:pPr>
              <w:pStyle w:val="TableParagraph"/>
              <w:kinsoku w:val="0"/>
              <w:overflowPunct w:val="0"/>
              <w:spacing w:before="16" w:line="204" w:lineRule="exact"/>
              <w:ind w:left="112"/>
              <w:rPr>
                <w:color w:val="231F20"/>
                <w:sz w:val="16"/>
                <w:szCs w:val="16"/>
              </w:rPr>
            </w:pPr>
            <w:proofErr w:type="spellStart"/>
            <w:r w:rsidRPr="000B7CA5">
              <w:rPr>
                <w:color w:val="231F20"/>
                <w:sz w:val="16"/>
                <w:szCs w:val="16"/>
              </w:rPr>
              <w:t>Pana</w:t>
            </w:r>
            <w:r>
              <w:rPr>
                <w:color w:val="231F20"/>
                <w:sz w:val="16"/>
                <w:szCs w:val="16"/>
              </w:rPr>
              <w:t>y</w:t>
            </w:r>
            <w:r w:rsidRPr="000B7CA5">
              <w:rPr>
                <w:color w:val="231F20"/>
                <w:sz w:val="16"/>
                <w:szCs w:val="16"/>
              </w:rPr>
              <w:t>ia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3334BB7C"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Discovery</w:t>
            </w:r>
          </w:p>
          <w:p w14:paraId="090951C0"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South</w:t>
            </w:r>
          </w:p>
        </w:tc>
        <w:tc>
          <w:tcPr>
            <w:tcW w:w="908" w:type="dxa"/>
            <w:tcBorders>
              <w:top w:val="single" w:sz="4" w:space="0" w:color="231F20"/>
              <w:left w:val="single" w:sz="4" w:space="0" w:color="231F20"/>
              <w:bottom w:val="single" w:sz="4" w:space="0" w:color="231F20"/>
              <w:right w:val="single" w:sz="4" w:space="0" w:color="231F20"/>
            </w:tcBorders>
          </w:tcPr>
          <w:p w14:paraId="4591F416" w14:textId="77777777" w:rsidR="00783288" w:rsidRPr="000B7CA5" w:rsidRDefault="00E31420">
            <w:pPr>
              <w:pStyle w:val="TableParagraph"/>
              <w:kinsoku w:val="0"/>
              <w:overflowPunct w:val="0"/>
              <w:spacing w:before="109"/>
              <w:ind w:left="111"/>
              <w:rPr>
                <w:color w:val="231F20"/>
                <w:sz w:val="16"/>
                <w:szCs w:val="16"/>
              </w:rPr>
            </w:pPr>
            <w:r w:rsidRPr="000B7CA5">
              <w:rPr>
                <w:color w:val="231F20"/>
                <w:sz w:val="16"/>
                <w:szCs w:val="16"/>
              </w:rPr>
              <w:t>4.41</w:t>
            </w:r>
          </w:p>
        </w:tc>
        <w:tc>
          <w:tcPr>
            <w:tcW w:w="1549" w:type="dxa"/>
            <w:tcBorders>
              <w:top w:val="single" w:sz="4" w:space="0" w:color="231F20"/>
              <w:left w:val="single" w:sz="4" w:space="0" w:color="231F20"/>
              <w:bottom w:val="single" w:sz="4" w:space="0" w:color="231F20"/>
              <w:right w:val="single" w:sz="4" w:space="0" w:color="231F20"/>
            </w:tcBorders>
          </w:tcPr>
          <w:p w14:paraId="0B4DD8D2" w14:textId="77777777" w:rsidR="00783288" w:rsidRPr="000B7CA5" w:rsidRDefault="00E31420">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4483A830" w14:textId="77777777" w:rsidR="00783288" w:rsidRPr="000B7CA5" w:rsidRDefault="00E31420">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09D80040" w14:textId="77777777" w:rsidR="00783288" w:rsidRPr="000B7CA5" w:rsidRDefault="00E31420">
            <w:pPr>
              <w:pStyle w:val="TableParagraph"/>
              <w:kinsoku w:val="0"/>
              <w:overflowPunct w:val="0"/>
              <w:spacing w:before="104"/>
              <w:ind w:left="108"/>
              <w:rPr>
                <w:b/>
                <w:bCs/>
                <w:color w:val="231F20"/>
                <w:sz w:val="16"/>
                <w:szCs w:val="16"/>
              </w:rPr>
            </w:pPr>
            <w:r w:rsidRPr="000B7CA5">
              <w:rPr>
                <w:b/>
                <w:bCs/>
                <w:color w:val="231F20"/>
                <w:sz w:val="16"/>
                <w:szCs w:val="16"/>
              </w:rPr>
              <w:t>14l05l2020</w:t>
            </w:r>
          </w:p>
        </w:tc>
        <w:tc>
          <w:tcPr>
            <w:tcW w:w="1070" w:type="dxa"/>
            <w:tcBorders>
              <w:top w:val="single" w:sz="4" w:space="0" w:color="231F20"/>
              <w:left w:val="single" w:sz="4" w:space="0" w:color="231F20"/>
              <w:bottom w:val="single" w:sz="4" w:space="0" w:color="231F20"/>
              <w:right w:val="single" w:sz="8" w:space="0" w:color="231F20"/>
            </w:tcBorders>
          </w:tcPr>
          <w:p w14:paraId="3E8E3D50" w14:textId="00ED83AA" w:rsidR="00783288" w:rsidRPr="000B7CA5" w:rsidRDefault="009C0B35">
            <w:pPr>
              <w:pStyle w:val="TableParagraph"/>
              <w:kinsoku w:val="0"/>
              <w:overflowPunct w:val="0"/>
              <w:spacing w:before="109"/>
              <w:ind w:left="105"/>
              <w:rPr>
                <w:color w:val="231F20"/>
                <w:sz w:val="16"/>
                <w:szCs w:val="16"/>
              </w:rPr>
            </w:pPr>
            <w:r w:rsidRPr="000B7CA5">
              <w:rPr>
                <w:color w:val="231F20"/>
                <w:sz w:val="16"/>
                <w:szCs w:val="16"/>
              </w:rPr>
              <w:t>1</w:t>
            </w:r>
            <w:r>
              <w:rPr>
                <w:color w:val="231F20"/>
                <w:sz w:val="16"/>
                <w:szCs w:val="16"/>
              </w:rPr>
              <w:t>4</w:t>
            </w:r>
            <w:r w:rsidRPr="000B7CA5">
              <w:rPr>
                <w:color w:val="231F20"/>
                <w:sz w:val="16"/>
                <w:szCs w:val="16"/>
              </w:rPr>
              <w:t>/05/202</w:t>
            </w:r>
            <w:r>
              <w:rPr>
                <w:color w:val="231F20"/>
                <w:sz w:val="16"/>
                <w:szCs w:val="16"/>
              </w:rPr>
              <w:t>0-13/05/2022</w:t>
            </w:r>
          </w:p>
        </w:tc>
      </w:tr>
      <w:tr w:rsidR="00783288" w:rsidRPr="000B7CA5" w14:paraId="09A97879" w14:textId="77777777" w:rsidTr="009C0B35">
        <w:trPr>
          <w:trHeight w:val="448"/>
        </w:trPr>
        <w:tc>
          <w:tcPr>
            <w:tcW w:w="888" w:type="dxa"/>
            <w:tcBorders>
              <w:top w:val="single" w:sz="4" w:space="0" w:color="231F20"/>
              <w:left w:val="single" w:sz="8" w:space="0" w:color="231F20"/>
              <w:bottom w:val="single" w:sz="4" w:space="0" w:color="231F20"/>
              <w:right w:val="single" w:sz="4" w:space="0" w:color="231F20"/>
            </w:tcBorders>
          </w:tcPr>
          <w:p w14:paraId="45ED13B8"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AE4708</w:t>
            </w:r>
          </w:p>
        </w:tc>
        <w:tc>
          <w:tcPr>
            <w:tcW w:w="1138" w:type="dxa"/>
            <w:tcBorders>
              <w:top w:val="single" w:sz="4" w:space="0" w:color="231F20"/>
              <w:left w:val="single" w:sz="4" w:space="0" w:color="231F20"/>
              <w:bottom w:val="single" w:sz="4" w:space="0" w:color="231F20"/>
              <w:right w:val="single" w:sz="4" w:space="0" w:color="231F20"/>
            </w:tcBorders>
          </w:tcPr>
          <w:p w14:paraId="128243D6" w14:textId="1C20FF0E" w:rsidR="00783288" w:rsidRPr="000B7CA5" w:rsidRDefault="00483DAD">
            <w:pPr>
              <w:pStyle w:val="TableParagraph"/>
              <w:kinsoku w:val="0"/>
              <w:overflowPunct w:val="0"/>
              <w:spacing w:before="18" w:line="204" w:lineRule="exact"/>
              <w:ind w:left="112"/>
              <w:rPr>
                <w:color w:val="231F20"/>
                <w:sz w:val="16"/>
                <w:szCs w:val="16"/>
              </w:rPr>
            </w:pPr>
            <w:proofErr w:type="spellStart"/>
            <w:r>
              <w:rPr>
                <w:color w:val="231F20"/>
                <w:sz w:val="16"/>
                <w:szCs w:val="16"/>
              </w:rPr>
              <w:t>Ayios</w:t>
            </w:r>
            <w:proofErr w:type="spellEnd"/>
            <w:r>
              <w:rPr>
                <w:color w:val="231F20"/>
                <w:sz w:val="16"/>
                <w:szCs w:val="16"/>
              </w:rPr>
              <w:t xml:space="preserve"> </w:t>
            </w:r>
            <w:proofErr w:type="spellStart"/>
            <w:r>
              <w:rPr>
                <w:color w:val="231F20"/>
                <w:sz w:val="16"/>
                <w:szCs w:val="16"/>
              </w:rPr>
              <w:t>Epifanios</w:t>
            </w:r>
            <w:proofErr w:type="spellEnd"/>
            <w:r>
              <w:rPr>
                <w:color w:val="231F20"/>
                <w:sz w:val="16"/>
                <w:szCs w:val="16"/>
              </w:rPr>
              <w:t xml:space="preserve">, </w:t>
            </w:r>
            <w:proofErr w:type="spellStart"/>
            <w:r>
              <w:rPr>
                <w:color w:val="231F20"/>
                <w:sz w:val="16"/>
                <w:szCs w:val="16"/>
              </w:rPr>
              <w:t>Agrokipia</w:t>
            </w:r>
            <w:proofErr w:type="spellEnd"/>
            <w:r>
              <w:rPr>
                <w:color w:val="231F20"/>
                <w:sz w:val="16"/>
                <w:szCs w:val="16"/>
              </w:rPr>
              <w:t xml:space="preserve">, </w:t>
            </w:r>
            <w:proofErr w:type="spellStart"/>
            <w:r>
              <w:rPr>
                <w:color w:val="231F20"/>
                <w:sz w:val="16"/>
                <w:szCs w:val="16"/>
              </w:rPr>
              <w:t>Kalo</w:t>
            </w:r>
            <w:proofErr w:type="spellEnd"/>
            <w:r>
              <w:rPr>
                <w:color w:val="231F20"/>
                <w:sz w:val="16"/>
                <w:szCs w:val="16"/>
              </w:rPr>
              <w:t xml:space="preserve"> </w:t>
            </w:r>
            <w:proofErr w:type="spellStart"/>
            <w:r>
              <w:rPr>
                <w:color w:val="231F20"/>
                <w:sz w:val="16"/>
                <w:szCs w:val="16"/>
              </w:rPr>
              <w:t>Chorio</w:t>
            </w:r>
            <w:proofErr w:type="spellEnd"/>
            <w:r>
              <w:rPr>
                <w:color w:val="231F20"/>
                <w:sz w:val="16"/>
                <w:szCs w:val="16"/>
              </w:rPr>
              <w:t xml:space="preserve">, </w:t>
            </w:r>
            <w:proofErr w:type="spellStart"/>
            <w:r>
              <w:rPr>
                <w:color w:val="231F20"/>
                <w:sz w:val="16"/>
                <w:szCs w:val="16"/>
              </w:rPr>
              <w:t>Klirou</w:t>
            </w:r>
            <w:proofErr w:type="spellEnd"/>
            <w:r>
              <w:rPr>
                <w:color w:val="231F20"/>
                <w:sz w:val="16"/>
                <w:szCs w:val="16"/>
              </w:rPr>
              <w:t xml:space="preserve">, </w:t>
            </w:r>
            <w:proofErr w:type="spellStart"/>
            <w:r>
              <w:rPr>
                <w:color w:val="231F20"/>
                <w:sz w:val="16"/>
                <w:szCs w:val="16"/>
              </w:rPr>
              <w:t>Mitsero</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2A713326"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53C3FA71" w14:textId="77777777" w:rsidR="00783288" w:rsidRPr="000B7CA5" w:rsidRDefault="00E31420">
            <w:pPr>
              <w:pStyle w:val="TableParagraph"/>
              <w:kinsoku w:val="0"/>
              <w:overflowPunct w:val="0"/>
              <w:spacing w:before="18" w:line="204" w:lineRule="exact"/>
              <w:ind w:left="109"/>
              <w:rPr>
                <w:color w:val="231F20"/>
                <w:sz w:val="16"/>
                <w:szCs w:val="16"/>
              </w:rPr>
            </w:pPr>
            <w:r w:rsidRPr="000B7CA5">
              <w:rPr>
                <w:color w:val="231F20"/>
                <w:sz w:val="16"/>
                <w:szCs w:val="16"/>
              </w:rPr>
              <w:t>North</w:t>
            </w:r>
          </w:p>
        </w:tc>
        <w:tc>
          <w:tcPr>
            <w:tcW w:w="908" w:type="dxa"/>
            <w:tcBorders>
              <w:top w:val="single" w:sz="4" w:space="0" w:color="231F20"/>
              <w:left w:val="single" w:sz="4" w:space="0" w:color="231F20"/>
              <w:bottom w:val="single" w:sz="4" w:space="0" w:color="231F20"/>
              <w:right w:val="single" w:sz="4" w:space="0" w:color="231F20"/>
            </w:tcBorders>
          </w:tcPr>
          <w:p w14:paraId="206B9F63" w14:textId="77777777"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4.89</w:t>
            </w:r>
          </w:p>
        </w:tc>
        <w:tc>
          <w:tcPr>
            <w:tcW w:w="1549" w:type="dxa"/>
            <w:tcBorders>
              <w:top w:val="single" w:sz="4" w:space="0" w:color="231F20"/>
              <w:left w:val="single" w:sz="4" w:space="0" w:color="231F20"/>
              <w:bottom w:val="single" w:sz="4" w:space="0" w:color="231F20"/>
              <w:right w:val="single" w:sz="4" w:space="0" w:color="231F20"/>
            </w:tcBorders>
          </w:tcPr>
          <w:p w14:paraId="5BCE66BD"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18484F55"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29182E39"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05l02l2019</w:t>
            </w:r>
          </w:p>
        </w:tc>
        <w:tc>
          <w:tcPr>
            <w:tcW w:w="1070" w:type="dxa"/>
            <w:tcBorders>
              <w:top w:val="single" w:sz="4" w:space="0" w:color="231F20"/>
              <w:left w:val="single" w:sz="4" w:space="0" w:color="231F20"/>
              <w:bottom w:val="single" w:sz="4" w:space="0" w:color="231F20"/>
              <w:right w:val="single" w:sz="8" w:space="0" w:color="231F20"/>
            </w:tcBorders>
          </w:tcPr>
          <w:p w14:paraId="1FB1F8FB" w14:textId="27A75C4B" w:rsidR="00783288" w:rsidRPr="000B7CA5" w:rsidRDefault="009C0B35">
            <w:pPr>
              <w:pStyle w:val="TableParagraph"/>
              <w:kinsoku w:val="0"/>
              <w:overflowPunct w:val="0"/>
              <w:spacing w:before="111"/>
              <w:ind w:left="105"/>
              <w:rPr>
                <w:color w:val="231F20"/>
                <w:sz w:val="16"/>
                <w:szCs w:val="16"/>
              </w:rPr>
            </w:pPr>
            <w:r>
              <w:rPr>
                <w:color w:val="231F20"/>
                <w:sz w:val="16"/>
                <w:szCs w:val="16"/>
              </w:rPr>
              <w:t>05/02/2021-</w:t>
            </w:r>
            <w:r w:rsidRPr="000B7CA5">
              <w:rPr>
                <w:color w:val="231F20"/>
                <w:sz w:val="16"/>
                <w:szCs w:val="16"/>
              </w:rPr>
              <w:t>04/02/202</w:t>
            </w:r>
            <w:r>
              <w:rPr>
                <w:color w:val="231F20"/>
                <w:sz w:val="16"/>
                <w:szCs w:val="16"/>
              </w:rPr>
              <w:t>2</w:t>
            </w:r>
          </w:p>
        </w:tc>
      </w:tr>
      <w:tr w:rsidR="00783288" w:rsidRPr="000B7CA5" w14:paraId="6421FF72"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457F71C7" w14:textId="77777777" w:rsidR="00783288" w:rsidRPr="000B7CA5" w:rsidRDefault="00E31420">
            <w:pPr>
              <w:pStyle w:val="TableParagraph"/>
              <w:kinsoku w:val="0"/>
              <w:overflowPunct w:val="0"/>
              <w:spacing w:before="109"/>
              <w:ind w:left="107"/>
              <w:rPr>
                <w:color w:val="231F20"/>
                <w:sz w:val="16"/>
                <w:szCs w:val="16"/>
              </w:rPr>
            </w:pPr>
            <w:r w:rsidRPr="000B7CA5">
              <w:rPr>
                <w:color w:val="231F20"/>
                <w:sz w:val="16"/>
                <w:szCs w:val="16"/>
              </w:rPr>
              <w:t>AE4709</w:t>
            </w:r>
          </w:p>
        </w:tc>
        <w:tc>
          <w:tcPr>
            <w:tcW w:w="1138" w:type="dxa"/>
            <w:tcBorders>
              <w:top w:val="single" w:sz="4" w:space="0" w:color="231F20"/>
              <w:left w:val="single" w:sz="4" w:space="0" w:color="231F20"/>
              <w:bottom w:val="single" w:sz="4" w:space="0" w:color="231F20"/>
              <w:right w:val="single" w:sz="4" w:space="0" w:color="231F20"/>
            </w:tcBorders>
          </w:tcPr>
          <w:p w14:paraId="453CC57F" w14:textId="7507D130" w:rsidR="00783288" w:rsidRPr="000B7CA5" w:rsidRDefault="00483DAD">
            <w:pPr>
              <w:pStyle w:val="TableParagraph"/>
              <w:kinsoku w:val="0"/>
              <w:overflowPunct w:val="0"/>
              <w:spacing w:before="109"/>
              <w:ind w:left="112"/>
              <w:rPr>
                <w:color w:val="231F20"/>
                <w:sz w:val="16"/>
                <w:szCs w:val="16"/>
              </w:rPr>
            </w:pPr>
            <w:proofErr w:type="spellStart"/>
            <w:r w:rsidRPr="000B7CA5">
              <w:rPr>
                <w:color w:val="231F20"/>
                <w:sz w:val="16"/>
                <w:szCs w:val="16"/>
              </w:rPr>
              <w:t>Agrokipia</w:t>
            </w:r>
            <w:proofErr w:type="spellEnd"/>
            <w:r>
              <w:rPr>
                <w:color w:val="231F20"/>
                <w:sz w:val="16"/>
                <w:szCs w:val="16"/>
              </w:rPr>
              <w:t xml:space="preserve">, </w:t>
            </w:r>
            <w:proofErr w:type="spellStart"/>
            <w:r>
              <w:rPr>
                <w:color w:val="231F20"/>
                <w:sz w:val="16"/>
                <w:szCs w:val="16"/>
              </w:rPr>
              <w:t>Mitsero</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477169AF"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64F04287"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North</w:t>
            </w:r>
          </w:p>
        </w:tc>
        <w:tc>
          <w:tcPr>
            <w:tcW w:w="908" w:type="dxa"/>
            <w:tcBorders>
              <w:top w:val="single" w:sz="4" w:space="0" w:color="231F20"/>
              <w:left w:val="single" w:sz="4" w:space="0" w:color="231F20"/>
              <w:bottom w:val="single" w:sz="4" w:space="0" w:color="231F20"/>
              <w:right w:val="single" w:sz="4" w:space="0" w:color="231F20"/>
            </w:tcBorders>
          </w:tcPr>
          <w:p w14:paraId="70351AB8" w14:textId="77777777" w:rsidR="00783288" w:rsidRPr="000B7CA5" w:rsidRDefault="00E31420">
            <w:pPr>
              <w:pStyle w:val="TableParagraph"/>
              <w:kinsoku w:val="0"/>
              <w:overflowPunct w:val="0"/>
              <w:spacing w:before="109"/>
              <w:ind w:left="111"/>
              <w:rPr>
                <w:color w:val="231F20"/>
                <w:sz w:val="16"/>
                <w:szCs w:val="16"/>
              </w:rPr>
            </w:pPr>
            <w:r w:rsidRPr="000B7CA5">
              <w:rPr>
                <w:color w:val="231F20"/>
                <w:sz w:val="16"/>
                <w:szCs w:val="16"/>
              </w:rPr>
              <w:t>2.85</w:t>
            </w:r>
          </w:p>
        </w:tc>
        <w:tc>
          <w:tcPr>
            <w:tcW w:w="1549" w:type="dxa"/>
            <w:tcBorders>
              <w:top w:val="single" w:sz="4" w:space="0" w:color="231F20"/>
              <w:left w:val="single" w:sz="4" w:space="0" w:color="231F20"/>
              <w:bottom w:val="single" w:sz="4" w:space="0" w:color="231F20"/>
              <w:right w:val="single" w:sz="4" w:space="0" w:color="231F20"/>
            </w:tcBorders>
          </w:tcPr>
          <w:p w14:paraId="404EF157" w14:textId="77777777" w:rsidR="00783288" w:rsidRPr="000B7CA5" w:rsidRDefault="00E31420">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2F8D710C" w14:textId="77777777" w:rsidR="00783288" w:rsidRPr="000B7CA5" w:rsidRDefault="00E31420">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6036960D" w14:textId="77777777" w:rsidR="00783288" w:rsidRPr="000B7CA5" w:rsidRDefault="00E31420">
            <w:pPr>
              <w:pStyle w:val="TableParagraph"/>
              <w:kinsoku w:val="0"/>
              <w:overflowPunct w:val="0"/>
              <w:spacing w:before="104"/>
              <w:ind w:left="108"/>
              <w:rPr>
                <w:b/>
                <w:bCs/>
                <w:color w:val="231F20"/>
                <w:sz w:val="16"/>
                <w:szCs w:val="16"/>
              </w:rPr>
            </w:pPr>
            <w:r w:rsidRPr="000B7CA5">
              <w:rPr>
                <w:b/>
                <w:bCs/>
                <w:color w:val="231F20"/>
                <w:sz w:val="16"/>
                <w:szCs w:val="16"/>
              </w:rPr>
              <w:t>05l02l2019</w:t>
            </w:r>
          </w:p>
        </w:tc>
        <w:tc>
          <w:tcPr>
            <w:tcW w:w="1070" w:type="dxa"/>
            <w:tcBorders>
              <w:top w:val="single" w:sz="4" w:space="0" w:color="231F20"/>
              <w:left w:val="single" w:sz="4" w:space="0" w:color="231F20"/>
              <w:bottom w:val="single" w:sz="4" w:space="0" w:color="231F20"/>
              <w:right w:val="single" w:sz="8" w:space="0" w:color="231F20"/>
            </w:tcBorders>
          </w:tcPr>
          <w:p w14:paraId="29274F82" w14:textId="5C103F2D" w:rsidR="00783288" w:rsidRPr="000B7CA5" w:rsidRDefault="009C0B35">
            <w:pPr>
              <w:pStyle w:val="TableParagraph"/>
              <w:kinsoku w:val="0"/>
              <w:overflowPunct w:val="0"/>
              <w:spacing w:before="109"/>
              <w:ind w:left="105"/>
              <w:rPr>
                <w:color w:val="231F20"/>
                <w:sz w:val="16"/>
                <w:szCs w:val="16"/>
              </w:rPr>
            </w:pPr>
            <w:r>
              <w:rPr>
                <w:color w:val="231F20"/>
                <w:sz w:val="16"/>
                <w:szCs w:val="16"/>
              </w:rPr>
              <w:t>05/</w:t>
            </w:r>
            <w:r w:rsidRPr="000B7CA5">
              <w:rPr>
                <w:color w:val="231F20"/>
                <w:sz w:val="16"/>
                <w:szCs w:val="16"/>
              </w:rPr>
              <w:t>0</w:t>
            </w:r>
            <w:r>
              <w:rPr>
                <w:color w:val="231F20"/>
                <w:sz w:val="16"/>
                <w:szCs w:val="16"/>
              </w:rPr>
              <w:t>2/2021-04</w:t>
            </w:r>
            <w:r w:rsidRPr="000B7CA5">
              <w:rPr>
                <w:color w:val="231F20"/>
                <w:sz w:val="16"/>
                <w:szCs w:val="16"/>
              </w:rPr>
              <w:t>/02/202</w:t>
            </w:r>
            <w:r>
              <w:rPr>
                <w:color w:val="231F20"/>
                <w:sz w:val="16"/>
                <w:szCs w:val="16"/>
              </w:rPr>
              <w:t>2</w:t>
            </w:r>
          </w:p>
        </w:tc>
      </w:tr>
      <w:tr w:rsidR="00783288" w:rsidRPr="000B7CA5" w14:paraId="1147C11B"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0751B4B9"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AE4659</w:t>
            </w:r>
          </w:p>
        </w:tc>
        <w:tc>
          <w:tcPr>
            <w:tcW w:w="1138" w:type="dxa"/>
            <w:tcBorders>
              <w:top w:val="single" w:sz="4" w:space="0" w:color="231F20"/>
              <w:left w:val="single" w:sz="4" w:space="0" w:color="231F20"/>
              <w:bottom w:val="single" w:sz="4" w:space="0" w:color="231F20"/>
              <w:right w:val="single" w:sz="4" w:space="0" w:color="231F20"/>
            </w:tcBorders>
          </w:tcPr>
          <w:p w14:paraId="648EDDCB" w14:textId="6ABBED4A"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Kynousa</w:t>
            </w:r>
            <w:proofErr w:type="spellEnd"/>
            <w:r>
              <w:rPr>
                <w:color w:val="231F20"/>
                <w:sz w:val="16"/>
                <w:szCs w:val="16"/>
              </w:rPr>
              <w:t xml:space="preserve">, </w:t>
            </w:r>
            <w:proofErr w:type="spellStart"/>
            <w:r w:rsidRPr="000B7CA5">
              <w:rPr>
                <w:color w:val="231F20"/>
                <w:sz w:val="16"/>
                <w:szCs w:val="16"/>
              </w:rPr>
              <w:t>Makounta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57DFA49D"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39BAFC25"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5567DA80" w14:textId="77777777"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3.73</w:t>
            </w:r>
          </w:p>
        </w:tc>
        <w:tc>
          <w:tcPr>
            <w:tcW w:w="1549" w:type="dxa"/>
            <w:tcBorders>
              <w:top w:val="single" w:sz="4" w:space="0" w:color="231F20"/>
              <w:left w:val="single" w:sz="4" w:space="0" w:color="231F20"/>
              <w:bottom w:val="single" w:sz="4" w:space="0" w:color="231F20"/>
              <w:right w:val="single" w:sz="4" w:space="0" w:color="231F20"/>
            </w:tcBorders>
          </w:tcPr>
          <w:p w14:paraId="0C365026"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1AAD67A5"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096DF45E"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10l01l2018</w:t>
            </w:r>
          </w:p>
        </w:tc>
        <w:tc>
          <w:tcPr>
            <w:tcW w:w="1070" w:type="dxa"/>
            <w:tcBorders>
              <w:top w:val="single" w:sz="4" w:space="0" w:color="231F20"/>
              <w:left w:val="single" w:sz="4" w:space="0" w:color="231F20"/>
              <w:bottom w:val="single" w:sz="4" w:space="0" w:color="231F20"/>
              <w:right w:val="single" w:sz="8" w:space="0" w:color="231F20"/>
            </w:tcBorders>
          </w:tcPr>
          <w:p w14:paraId="5A44824E" w14:textId="62F41D18" w:rsidR="00783288" w:rsidRPr="000B7CA5" w:rsidRDefault="009C0B35">
            <w:pPr>
              <w:pStyle w:val="TableParagraph"/>
              <w:kinsoku w:val="0"/>
              <w:overflowPunct w:val="0"/>
              <w:spacing w:before="111"/>
              <w:ind w:left="105"/>
              <w:rPr>
                <w:color w:val="231F20"/>
                <w:sz w:val="16"/>
                <w:szCs w:val="16"/>
              </w:rPr>
            </w:pPr>
            <w:r>
              <w:rPr>
                <w:color w:val="231F20"/>
                <w:sz w:val="16"/>
                <w:szCs w:val="16"/>
              </w:rPr>
              <w:t>10/01/2021-</w:t>
            </w:r>
            <w:r w:rsidRPr="000B7CA5">
              <w:rPr>
                <w:color w:val="231F20"/>
                <w:sz w:val="16"/>
                <w:szCs w:val="16"/>
              </w:rPr>
              <w:t>09/01/202</w:t>
            </w:r>
            <w:r>
              <w:rPr>
                <w:color w:val="231F20"/>
                <w:sz w:val="16"/>
                <w:szCs w:val="16"/>
              </w:rPr>
              <w:t>2</w:t>
            </w:r>
          </w:p>
        </w:tc>
      </w:tr>
      <w:tr w:rsidR="00783288" w:rsidRPr="000B7CA5" w14:paraId="6BDCF732" w14:textId="77777777" w:rsidTr="009C0B35">
        <w:trPr>
          <w:trHeight w:val="448"/>
        </w:trPr>
        <w:tc>
          <w:tcPr>
            <w:tcW w:w="888" w:type="dxa"/>
            <w:tcBorders>
              <w:top w:val="single" w:sz="4" w:space="0" w:color="231F20"/>
              <w:left w:val="single" w:sz="8" w:space="0" w:color="231F20"/>
              <w:bottom w:val="single" w:sz="4" w:space="0" w:color="231F20"/>
              <w:right w:val="single" w:sz="4" w:space="0" w:color="231F20"/>
            </w:tcBorders>
          </w:tcPr>
          <w:p w14:paraId="08C7E953"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AE4660</w:t>
            </w:r>
          </w:p>
        </w:tc>
        <w:tc>
          <w:tcPr>
            <w:tcW w:w="1138" w:type="dxa"/>
            <w:tcBorders>
              <w:top w:val="single" w:sz="4" w:space="0" w:color="231F20"/>
              <w:left w:val="single" w:sz="4" w:space="0" w:color="231F20"/>
              <w:bottom w:val="single" w:sz="4" w:space="0" w:color="231F20"/>
              <w:right w:val="single" w:sz="4" w:space="0" w:color="231F20"/>
            </w:tcBorders>
          </w:tcPr>
          <w:p w14:paraId="784ED7B0" w14:textId="46BDB7EE"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Kynousa</w:t>
            </w:r>
            <w:proofErr w:type="spellEnd"/>
            <w:r>
              <w:rPr>
                <w:color w:val="231F20"/>
                <w:sz w:val="16"/>
                <w:szCs w:val="16"/>
              </w:rPr>
              <w:t xml:space="preserve">, </w:t>
            </w:r>
            <w:proofErr w:type="spellStart"/>
            <w:r>
              <w:rPr>
                <w:color w:val="231F20"/>
                <w:sz w:val="16"/>
                <w:szCs w:val="16"/>
              </w:rPr>
              <w:t>Lysos</w:t>
            </w:r>
            <w:proofErr w:type="spellEnd"/>
            <w:r>
              <w:rPr>
                <w:color w:val="231F20"/>
                <w:sz w:val="16"/>
                <w:szCs w:val="16"/>
              </w:rPr>
              <w:t xml:space="preserve">, </w:t>
            </w:r>
            <w:proofErr w:type="spellStart"/>
            <w:r>
              <w:rPr>
                <w:color w:val="231F20"/>
                <w:sz w:val="16"/>
                <w:szCs w:val="16"/>
              </w:rPr>
              <w:t>Pelathousa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03B5602B"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60371461" w14:textId="77777777" w:rsidR="00783288" w:rsidRPr="000B7CA5" w:rsidRDefault="00E31420">
            <w:pPr>
              <w:pStyle w:val="TableParagraph"/>
              <w:kinsoku w:val="0"/>
              <w:overflowPunct w:val="0"/>
              <w:spacing w:before="16" w:line="206"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3C15C75F" w14:textId="77777777"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5.00</w:t>
            </w:r>
          </w:p>
        </w:tc>
        <w:tc>
          <w:tcPr>
            <w:tcW w:w="1549" w:type="dxa"/>
            <w:tcBorders>
              <w:top w:val="single" w:sz="4" w:space="0" w:color="231F20"/>
              <w:left w:val="single" w:sz="4" w:space="0" w:color="231F20"/>
              <w:bottom w:val="single" w:sz="4" w:space="0" w:color="231F20"/>
              <w:right w:val="single" w:sz="4" w:space="0" w:color="231F20"/>
            </w:tcBorders>
          </w:tcPr>
          <w:p w14:paraId="2A8E6433"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33A6C674"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20182663"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10l01l2018</w:t>
            </w:r>
          </w:p>
        </w:tc>
        <w:tc>
          <w:tcPr>
            <w:tcW w:w="1070" w:type="dxa"/>
            <w:tcBorders>
              <w:top w:val="single" w:sz="4" w:space="0" w:color="231F20"/>
              <w:left w:val="single" w:sz="4" w:space="0" w:color="231F20"/>
              <w:bottom w:val="single" w:sz="4" w:space="0" w:color="231F20"/>
              <w:right w:val="single" w:sz="8" w:space="0" w:color="231F20"/>
            </w:tcBorders>
          </w:tcPr>
          <w:p w14:paraId="59855A10" w14:textId="4205AA7B" w:rsidR="00783288" w:rsidRPr="000B7CA5" w:rsidRDefault="009C0B35">
            <w:pPr>
              <w:pStyle w:val="TableParagraph"/>
              <w:kinsoku w:val="0"/>
              <w:overflowPunct w:val="0"/>
              <w:spacing w:before="111"/>
              <w:ind w:left="105"/>
              <w:rPr>
                <w:color w:val="231F20"/>
                <w:sz w:val="16"/>
                <w:szCs w:val="16"/>
              </w:rPr>
            </w:pPr>
            <w:r>
              <w:rPr>
                <w:color w:val="231F20"/>
                <w:sz w:val="16"/>
                <w:szCs w:val="16"/>
              </w:rPr>
              <w:t>10/01/2021-</w:t>
            </w:r>
            <w:r w:rsidRPr="000B7CA5">
              <w:rPr>
                <w:color w:val="231F20"/>
                <w:sz w:val="16"/>
                <w:szCs w:val="16"/>
              </w:rPr>
              <w:t>09/01/202</w:t>
            </w:r>
            <w:r>
              <w:rPr>
                <w:color w:val="231F20"/>
                <w:sz w:val="16"/>
                <w:szCs w:val="16"/>
              </w:rPr>
              <w:t>2</w:t>
            </w:r>
          </w:p>
        </w:tc>
      </w:tr>
      <w:tr w:rsidR="00783288" w:rsidRPr="000B7CA5" w14:paraId="65CC57F5"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17041BC6" w14:textId="77777777" w:rsidR="00783288" w:rsidRPr="000B7CA5" w:rsidRDefault="00E31420">
            <w:pPr>
              <w:pStyle w:val="TableParagraph"/>
              <w:kinsoku w:val="0"/>
              <w:overflowPunct w:val="0"/>
              <w:spacing w:before="109"/>
              <w:ind w:left="107"/>
              <w:rPr>
                <w:color w:val="231F20"/>
                <w:sz w:val="16"/>
                <w:szCs w:val="16"/>
              </w:rPr>
            </w:pPr>
            <w:r w:rsidRPr="000B7CA5">
              <w:rPr>
                <w:color w:val="231F20"/>
                <w:sz w:val="16"/>
                <w:szCs w:val="16"/>
              </w:rPr>
              <w:t>AE4661</w:t>
            </w:r>
          </w:p>
        </w:tc>
        <w:tc>
          <w:tcPr>
            <w:tcW w:w="1138" w:type="dxa"/>
            <w:tcBorders>
              <w:top w:val="single" w:sz="4" w:space="0" w:color="231F20"/>
              <w:left w:val="single" w:sz="4" w:space="0" w:color="231F20"/>
              <w:bottom w:val="single" w:sz="4" w:space="0" w:color="231F20"/>
              <w:right w:val="single" w:sz="4" w:space="0" w:color="231F20"/>
            </w:tcBorders>
          </w:tcPr>
          <w:p w14:paraId="13AA2FE8" w14:textId="0A394749" w:rsidR="00783288" w:rsidRPr="000B7CA5" w:rsidRDefault="00483DAD">
            <w:pPr>
              <w:pStyle w:val="TableParagraph"/>
              <w:kinsoku w:val="0"/>
              <w:overflowPunct w:val="0"/>
              <w:spacing w:before="109"/>
              <w:ind w:left="112"/>
              <w:rPr>
                <w:color w:val="231F20"/>
                <w:sz w:val="16"/>
                <w:szCs w:val="16"/>
              </w:rPr>
            </w:pPr>
            <w:proofErr w:type="spellStart"/>
            <w:r w:rsidRPr="000B7CA5">
              <w:rPr>
                <w:color w:val="231F20"/>
                <w:sz w:val="16"/>
                <w:szCs w:val="16"/>
              </w:rPr>
              <w:t>K</w:t>
            </w:r>
            <w:r>
              <w:rPr>
                <w:color w:val="231F20"/>
                <w:sz w:val="16"/>
                <w:szCs w:val="16"/>
              </w:rPr>
              <w:t>y</w:t>
            </w:r>
            <w:r w:rsidRPr="000B7CA5">
              <w:rPr>
                <w:color w:val="231F20"/>
                <w:sz w:val="16"/>
                <w:szCs w:val="16"/>
              </w:rPr>
              <w:t>nousa</w:t>
            </w:r>
            <w:proofErr w:type="spellEnd"/>
            <w:r>
              <w:rPr>
                <w:color w:val="231F20"/>
                <w:sz w:val="16"/>
                <w:szCs w:val="16"/>
              </w:rPr>
              <w:t xml:space="preserve">, </w:t>
            </w:r>
            <w:proofErr w:type="spellStart"/>
            <w:r>
              <w:rPr>
                <w:color w:val="231F20"/>
                <w:sz w:val="16"/>
                <w:szCs w:val="16"/>
              </w:rPr>
              <w:t>Lysos</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02FC9ADF"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2FCE0A58"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0E6FA7B1" w14:textId="77777777" w:rsidR="00783288" w:rsidRPr="000B7CA5" w:rsidRDefault="00E31420">
            <w:pPr>
              <w:pStyle w:val="TableParagraph"/>
              <w:kinsoku w:val="0"/>
              <w:overflowPunct w:val="0"/>
              <w:spacing w:before="109"/>
              <w:ind w:left="111"/>
              <w:rPr>
                <w:color w:val="231F20"/>
                <w:sz w:val="16"/>
                <w:szCs w:val="16"/>
              </w:rPr>
            </w:pPr>
            <w:r w:rsidRPr="000B7CA5">
              <w:rPr>
                <w:color w:val="231F20"/>
                <w:sz w:val="16"/>
                <w:szCs w:val="16"/>
              </w:rPr>
              <w:t>4.99</w:t>
            </w:r>
          </w:p>
        </w:tc>
        <w:tc>
          <w:tcPr>
            <w:tcW w:w="1549" w:type="dxa"/>
            <w:tcBorders>
              <w:top w:val="single" w:sz="4" w:space="0" w:color="231F20"/>
              <w:left w:val="single" w:sz="4" w:space="0" w:color="231F20"/>
              <w:bottom w:val="single" w:sz="4" w:space="0" w:color="231F20"/>
              <w:right w:val="single" w:sz="4" w:space="0" w:color="231F20"/>
            </w:tcBorders>
          </w:tcPr>
          <w:p w14:paraId="6C80F3FC" w14:textId="77777777" w:rsidR="00783288" w:rsidRPr="000B7CA5" w:rsidRDefault="00E31420">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2A1CFDB7" w14:textId="77777777" w:rsidR="00783288" w:rsidRPr="000B7CA5" w:rsidRDefault="00E31420">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353E1000" w14:textId="77777777" w:rsidR="00783288" w:rsidRPr="000B7CA5" w:rsidRDefault="00E31420">
            <w:pPr>
              <w:pStyle w:val="TableParagraph"/>
              <w:kinsoku w:val="0"/>
              <w:overflowPunct w:val="0"/>
              <w:spacing w:before="104"/>
              <w:ind w:left="108"/>
              <w:rPr>
                <w:b/>
                <w:bCs/>
                <w:color w:val="231F20"/>
                <w:sz w:val="16"/>
                <w:szCs w:val="16"/>
              </w:rPr>
            </w:pPr>
            <w:r w:rsidRPr="000B7CA5">
              <w:rPr>
                <w:b/>
                <w:bCs/>
                <w:color w:val="231F20"/>
                <w:sz w:val="16"/>
                <w:szCs w:val="16"/>
              </w:rPr>
              <w:t>10l01l2018</w:t>
            </w:r>
          </w:p>
        </w:tc>
        <w:tc>
          <w:tcPr>
            <w:tcW w:w="1070" w:type="dxa"/>
            <w:tcBorders>
              <w:top w:val="single" w:sz="4" w:space="0" w:color="231F20"/>
              <w:left w:val="single" w:sz="4" w:space="0" w:color="231F20"/>
              <w:bottom w:val="single" w:sz="4" w:space="0" w:color="231F20"/>
              <w:right w:val="single" w:sz="8" w:space="0" w:color="231F20"/>
            </w:tcBorders>
          </w:tcPr>
          <w:p w14:paraId="28F8A485" w14:textId="4EA62E4C" w:rsidR="00783288" w:rsidRPr="000B7CA5" w:rsidRDefault="009C0B35">
            <w:pPr>
              <w:pStyle w:val="TableParagraph"/>
              <w:kinsoku w:val="0"/>
              <w:overflowPunct w:val="0"/>
              <w:spacing w:before="109"/>
              <w:ind w:left="105"/>
              <w:rPr>
                <w:color w:val="231F20"/>
                <w:sz w:val="16"/>
                <w:szCs w:val="16"/>
              </w:rPr>
            </w:pPr>
            <w:r>
              <w:rPr>
                <w:color w:val="231F20"/>
                <w:sz w:val="16"/>
                <w:szCs w:val="16"/>
              </w:rPr>
              <w:t>10/01/2021-</w:t>
            </w:r>
            <w:r w:rsidRPr="000B7CA5">
              <w:rPr>
                <w:color w:val="231F20"/>
                <w:sz w:val="16"/>
                <w:szCs w:val="16"/>
              </w:rPr>
              <w:t>09/01/202</w:t>
            </w:r>
            <w:r>
              <w:rPr>
                <w:color w:val="231F20"/>
                <w:sz w:val="16"/>
                <w:szCs w:val="16"/>
              </w:rPr>
              <w:t>2</w:t>
            </w:r>
          </w:p>
        </w:tc>
      </w:tr>
      <w:tr w:rsidR="00783288" w:rsidRPr="000B7CA5" w14:paraId="0EC9ADB7"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6B574371"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AE4664</w:t>
            </w:r>
          </w:p>
        </w:tc>
        <w:tc>
          <w:tcPr>
            <w:tcW w:w="1138" w:type="dxa"/>
            <w:tcBorders>
              <w:top w:val="single" w:sz="4" w:space="0" w:color="231F20"/>
              <w:left w:val="single" w:sz="4" w:space="0" w:color="231F20"/>
              <w:bottom w:val="single" w:sz="4" w:space="0" w:color="231F20"/>
              <w:right w:val="single" w:sz="4" w:space="0" w:color="231F20"/>
            </w:tcBorders>
          </w:tcPr>
          <w:p w14:paraId="0DC34668" w14:textId="49C12F98"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Kynousa</w:t>
            </w:r>
            <w:proofErr w:type="spellEnd"/>
            <w:r>
              <w:rPr>
                <w:color w:val="231F20"/>
                <w:sz w:val="16"/>
                <w:szCs w:val="16"/>
              </w:rPr>
              <w:t xml:space="preserve">, </w:t>
            </w:r>
            <w:proofErr w:type="spellStart"/>
            <w:r w:rsidRPr="000B7CA5">
              <w:rPr>
                <w:color w:val="231F20"/>
                <w:sz w:val="16"/>
                <w:szCs w:val="16"/>
              </w:rPr>
              <w:t>Lysos</w:t>
            </w:r>
            <w:proofErr w:type="spellEnd"/>
            <w:r>
              <w:rPr>
                <w:color w:val="231F20"/>
                <w:sz w:val="16"/>
                <w:szCs w:val="16"/>
              </w:rPr>
              <w:t xml:space="preserve">, </w:t>
            </w:r>
            <w:proofErr w:type="spellStart"/>
            <w:r>
              <w:rPr>
                <w:color w:val="231F20"/>
                <w:sz w:val="16"/>
                <w:szCs w:val="16"/>
              </w:rPr>
              <w:t>Peristerona</w:t>
            </w:r>
            <w:proofErr w:type="spellEnd"/>
            <w:r>
              <w:rPr>
                <w:color w:val="231F20"/>
                <w:sz w:val="16"/>
                <w:szCs w:val="16"/>
              </w:rPr>
              <w:t xml:space="preserve">, </w:t>
            </w:r>
            <w:proofErr w:type="spellStart"/>
            <w:r>
              <w:rPr>
                <w:color w:val="231F20"/>
                <w:sz w:val="16"/>
                <w:szCs w:val="16"/>
              </w:rPr>
              <w:t>Melandra</w:t>
            </w:r>
            <w:proofErr w:type="spellEnd"/>
            <w:r>
              <w:rPr>
                <w:color w:val="231F20"/>
                <w:sz w:val="16"/>
                <w:szCs w:val="16"/>
              </w:rPr>
              <w:t xml:space="preserve">, </w:t>
            </w:r>
            <w:proofErr w:type="spellStart"/>
            <w:r>
              <w:rPr>
                <w:color w:val="231F20"/>
                <w:sz w:val="16"/>
                <w:szCs w:val="16"/>
              </w:rPr>
              <w:t>Filousa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1770BD1B"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5B13668F"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12526D2B" w14:textId="77777777"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3.90</w:t>
            </w:r>
          </w:p>
        </w:tc>
        <w:tc>
          <w:tcPr>
            <w:tcW w:w="1549" w:type="dxa"/>
            <w:tcBorders>
              <w:top w:val="single" w:sz="4" w:space="0" w:color="231F20"/>
              <w:left w:val="single" w:sz="4" w:space="0" w:color="231F20"/>
              <w:bottom w:val="single" w:sz="4" w:space="0" w:color="231F20"/>
              <w:right w:val="single" w:sz="4" w:space="0" w:color="231F20"/>
            </w:tcBorders>
          </w:tcPr>
          <w:p w14:paraId="7F32CFB4"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5B57185C"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374E77E2"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10l01l2018</w:t>
            </w:r>
          </w:p>
        </w:tc>
        <w:tc>
          <w:tcPr>
            <w:tcW w:w="1070" w:type="dxa"/>
            <w:tcBorders>
              <w:top w:val="single" w:sz="4" w:space="0" w:color="231F20"/>
              <w:left w:val="single" w:sz="4" w:space="0" w:color="231F20"/>
              <w:bottom w:val="single" w:sz="4" w:space="0" w:color="231F20"/>
              <w:right w:val="single" w:sz="8" w:space="0" w:color="231F20"/>
            </w:tcBorders>
          </w:tcPr>
          <w:p w14:paraId="5859F99C" w14:textId="5A2937EB" w:rsidR="00783288" w:rsidRPr="000B7CA5" w:rsidRDefault="009C0B35">
            <w:pPr>
              <w:pStyle w:val="TableParagraph"/>
              <w:kinsoku w:val="0"/>
              <w:overflowPunct w:val="0"/>
              <w:spacing w:before="111"/>
              <w:ind w:left="105"/>
              <w:rPr>
                <w:color w:val="231F20"/>
                <w:sz w:val="16"/>
                <w:szCs w:val="16"/>
              </w:rPr>
            </w:pPr>
            <w:r>
              <w:rPr>
                <w:color w:val="231F20"/>
                <w:sz w:val="16"/>
                <w:szCs w:val="16"/>
              </w:rPr>
              <w:t>10/01/2021-</w:t>
            </w:r>
            <w:r w:rsidRPr="000B7CA5">
              <w:rPr>
                <w:color w:val="231F20"/>
                <w:sz w:val="16"/>
                <w:szCs w:val="16"/>
              </w:rPr>
              <w:t>09/01/202</w:t>
            </w:r>
            <w:r>
              <w:rPr>
                <w:color w:val="231F20"/>
                <w:sz w:val="16"/>
                <w:szCs w:val="16"/>
              </w:rPr>
              <w:t>2</w:t>
            </w:r>
          </w:p>
        </w:tc>
      </w:tr>
      <w:tr w:rsidR="00783288" w:rsidRPr="000B7CA5" w14:paraId="1039A43D"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6A1A095D"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AE4665</w:t>
            </w:r>
          </w:p>
        </w:tc>
        <w:tc>
          <w:tcPr>
            <w:tcW w:w="1138" w:type="dxa"/>
            <w:tcBorders>
              <w:top w:val="single" w:sz="4" w:space="0" w:color="231F20"/>
              <w:left w:val="single" w:sz="4" w:space="0" w:color="231F20"/>
              <w:bottom w:val="single" w:sz="4" w:space="0" w:color="231F20"/>
              <w:right w:val="single" w:sz="4" w:space="0" w:color="231F20"/>
            </w:tcBorders>
          </w:tcPr>
          <w:p w14:paraId="03E6245B" w14:textId="1D3859F1"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Lysos</w:t>
            </w:r>
            <w:proofErr w:type="spellEnd"/>
            <w:r>
              <w:rPr>
                <w:color w:val="231F20"/>
                <w:sz w:val="16"/>
                <w:szCs w:val="16"/>
              </w:rPr>
              <w:t xml:space="preserve">, </w:t>
            </w:r>
            <w:proofErr w:type="spellStart"/>
            <w:r w:rsidRPr="000B7CA5">
              <w:rPr>
                <w:color w:val="231F20"/>
                <w:sz w:val="16"/>
                <w:szCs w:val="16"/>
              </w:rPr>
              <w:t>Melandra</w:t>
            </w:r>
            <w:proofErr w:type="spellEnd"/>
            <w:r>
              <w:rPr>
                <w:color w:val="231F20"/>
                <w:sz w:val="16"/>
                <w:szCs w:val="16"/>
              </w:rPr>
              <w:t>, Zacharia</w:t>
            </w:r>
          </w:p>
        </w:tc>
        <w:tc>
          <w:tcPr>
            <w:tcW w:w="1006" w:type="dxa"/>
            <w:tcBorders>
              <w:top w:val="single" w:sz="4" w:space="0" w:color="231F20"/>
              <w:left w:val="single" w:sz="4" w:space="0" w:color="231F20"/>
              <w:bottom w:val="single" w:sz="4" w:space="0" w:color="231F20"/>
              <w:right w:val="single" w:sz="4" w:space="0" w:color="231F20"/>
            </w:tcBorders>
          </w:tcPr>
          <w:p w14:paraId="2F0D7C4B"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33661CCB"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6F6B5F86" w14:textId="77777777" w:rsidR="00783288" w:rsidRPr="000B7CA5" w:rsidRDefault="00E31420">
            <w:pPr>
              <w:pStyle w:val="TableParagraph"/>
              <w:kinsoku w:val="0"/>
              <w:overflowPunct w:val="0"/>
              <w:spacing w:before="111"/>
              <w:ind w:left="111"/>
              <w:rPr>
                <w:color w:val="231F20"/>
                <w:sz w:val="16"/>
                <w:szCs w:val="16"/>
              </w:rPr>
            </w:pPr>
            <w:r w:rsidRPr="000B7CA5">
              <w:rPr>
                <w:color w:val="231F20"/>
                <w:sz w:val="16"/>
                <w:szCs w:val="16"/>
              </w:rPr>
              <w:t>5.00</w:t>
            </w:r>
          </w:p>
        </w:tc>
        <w:tc>
          <w:tcPr>
            <w:tcW w:w="1549" w:type="dxa"/>
            <w:tcBorders>
              <w:top w:val="single" w:sz="4" w:space="0" w:color="231F20"/>
              <w:left w:val="single" w:sz="4" w:space="0" w:color="231F20"/>
              <w:bottom w:val="single" w:sz="4" w:space="0" w:color="231F20"/>
              <w:right w:val="single" w:sz="4" w:space="0" w:color="231F20"/>
            </w:tcBorders>
          </w:tcPr>
          <w:p w14:paraId="053C9856"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0ACCA14"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7FD10288"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10l01l2018</w:t>
            </w:r>
          </w:p>
        </w:tc>
        <w:tc>
          <w:tcPr>
            <w:tcW w:w="1070" w:type="dxa"/>
            <w:tcBorders>
              <w:top w:val="single" w:sz="4" w:space="0" w:color="231F20"/>
              <w:left w:val="single" w:sz="4" w:space="0" w:color="231F20"/>
              <w:bottom w:val="single" w:sz="4" w:space="0" w:color="231F20"/>
              <w:right w:val="single" w:sz="8" w:space="0" w:color="231F20"/>
            </w:tcBorders>
          </w:tcPr>
          <w:p w14:paraId="105B0E20" w14:textId="7D8D6C5A" w:rsidR="00783288" w:rsidRPr="000B7CA5" w:rsidRDefault="009C0B35">
            <w:pPr>
              <w:pStyle w:val="TableParagraph"/>
              <w:kinsoku w:val="0"/>
              <w:overflowPunct w:val="0"/>
              <w:spacing w:before="111"/>
              <w:ind w:left="105"/>
              <w:rPr>
                <w:color w:val="231F20"/>
                <w:sz w:val="16"/>
                <w:szCs w:val="16"/>
              </w:rPr>
            </w:pPr>
            <w:r>
              <w:rPr>
                <w:color w:val="231F20"/>
                <w:sz w:val="16"/>
                <w:szCs w:val="16"/>
              </w:rPr>
              <w:t>10/01/2021-</w:t>
            </w:r>
            <w:r w:rsidRPr="000B7CA5">
              <w:rPr>
                <w:color w:val="231F20"/>
                <w:sz w:val="16"/>
                <w:szCs w:val="16"/>
              </w:rPr>
              <w:t>09/01/202</w:t>
            </w:r>
            <w:r>
              <w:rPr>
                <w:color w:val="231F20"/>
                <w:sz w:val="16"/>
                <w:szCs w:val="16"/>
              </w:rPr>
              <w:t>2</w:t>
            </w:r>
          </w:p>
        </w:tc>
      </w:tr>
      <w:tr w:rsidR="00783288" w:rsidRPr="000B7CA5" w14:paraId="38BD5BBE" w14:textId="77777777" w:rsidTr="009C0B35">
        <w:trPr>
          <w:trHeight w:val="448"/>
        </w:trPr>
        <w:tc>
          <w:tcPr>
            <w:tcW w:w="888" w:type="dxa"/>
            <w:tcBorders>
              <w:top w:val="single" w:sz="4" w:space="0" w:color="231F20"/>
              <w:left w:val="single" w:sz="8" w:space="0" w:color="231F20"/>
              <w:bottom w:val="single" w:sz="4" w:space="0" w:color="231F20"/>
              <w:right w:val="single" w:sz="4" w:space="0" w:color="231F20"/>
            </w:tcBorders>
          </w:tcPr>
          <w:p w14:paraId="0E5E7DFF" w14:textId="77777777" w:rsidR="00783288" w:rsidRPr="000B7CA5" w:rsidRDefault="00E31420">
            <w:pPr>
              <w:pStyle w:val="TableParagraph"/>
              <w:kinsoku w:val="0"/>
              <w:overflowPunct w:val="0"/>
              <w:spacing w:before="111"/>
              <w:ind w:left="107"/>
              <w:rPr>
                <w:color w:val="231F20"/>
                <w:sz w:val="16"/>
                <w:szCs w:val="16"/>
              </w:rPr>
            </w:pPr>
            <w:r w:rsidRPr="000B7CA5">
              <w:rPr>
                <w:color w:val="231F20"/>
                <w:sz w:val="16"/>
                <w:szCs w:val="16"/>
              </w:rPr>
              <w:t>AE4672</w:t>
            </w:r>
          </w:p>
        </w:tc>
        <w:tc>
          <w:tcPr>
            <w:tcW w:w="1138" w:type="dxa"/>
            <w:tcBorders>
              <w:top w:val="single" w:sz="4" w:space="0" w:color="231F20"/>
              <w:left w:val="single" w:sz="4" w:space="0" w:color="231F20"/>
              <w:bottom w:val="single" w:sz="4" w:space="0" w:color="231F20"/>
              <w:right w:val="single" w:sz="4" w:space="0" w:color="231F20"/>
            </w:tcBorders>
          </w:tcPr>
          <w:p w14:paraId="5A145E33" w14:textId="53168DDD" w:rsidR="00783288" w:rsidRPr="000B7CA5" w:rsidRDefault="00483DAD">
            <w:pPr>
              <w:pStyle w:val="TableParagraph"/>
              <w:kinsoku w:val="0"/>
              <w:overflowPunct w:val="0"/>
              <w:spacing w:before="111"/>
              <w:ind w:left="112"/>
              <w:rPr>
                <w:color w:val="231F20"/>
                <w:sz w:val="16"/>
                <w:szCs w:val="16"/>
              </w:rPr>
            </w:pPr>
            <w:proofErr w:type="spellStart"/>
            <w:r>
              <w:rPr>
                <w:color w:val="231F20"/>
                <w:sz w:val="16"/>
                <w:szCs w:val="16"/>
              </w:rPr>
              <w:t>Anadiou</w:t>
            </w:r>
            <w:proofErr w:type="spellEnd"/>
            <w:r>
              <w:rPr>
                <w:color w:val="231F20"/>
                <w:sz w:val="16"/>
                <w:szCs w:val="16"/>
              </w:rPr>
              <w:t xml:space="preserve">, </w:t>
            </w:r>
            <w:proofErr w:type="spellStart"/>
            <w:r>
              <w:rPr>
                <w:color w:val="231F20"/>
                <w:sz w:val="16"/>
                <w:szCs w:val="16"/>
              </w:rPr>
              <w:t>Kios</w:t>
            </w:r>
            <w:proofErr w:type="spellEnd"/>
            <w:r>
              <w:rPr>
                <w:color w:val="231F20"/>
                <w:sz w:val="16"/>
                <w:szCs w:val="16"/>
              </w:rPr>
              <w:t xml:space="preserve">, </w:t>
            </w:r>
            <w:proofErr w:type="spellStart"/>
            <w:r>
              <w:rPr>
                <w:color w:val="231F20"/>
                <w:sz w:val="16"/>
                <w:szCs w:val="16"/>
              </w:rPr>
              <w:t>Filousa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5A6EBE11" w14:textId="77777777" w:rsidR="00783288" w:rsidRPr="00000354" w:rsidRDefault="00E31420">
            <w:pPr>
              <w:pStyle w:val="TableParagraph"/>
              <w:kinsoku w:val="0"/>
              <w:overflowPunct w:val="0"/>
              <w:spacing w:before="1"/>
              <w:ind w:left="109"/>
              <w:rPr>
                <w:color w:val="231F20"/>
                <w:sz w:val="16"/>
                <w:szCs w:val="16"/>
              </w:rPr>
            </w:pPr>
            <w:r w:rsidRPr="00000354">
              <w:rPr>
                <w:color w:val="231F20"/>
                <w:sz w:val="16"/>
                <w:szCs w:val="16"/>
              </w:rPr>
              <w:t>Troodos</w:t>
            </w:r>
          </w:p>
          <w:p w14:paraId="657E6F76" w14:textId="77777777" w:rsidR="00783288" w:rsidRPr="00000354" w:rsidRDefault="00E31420">
            <w:pPr>
              <w:pStyle w:val="TableParagraph"/>
              <w:kinsoku w:val="0"/>
              <w:overflowPunct w:val="0"/>
              <w:spacing w:before="16" w:line="204" w:lineRule="exact"/>
              <w:ind w:left="109"/>
              <w:rPr>
                <w:color w:val="231F20"/>
                <w:sz w:val="16"/>
                <w:szCs w:val="16"/>
              </w:rPr>
            </w:pPr>
            <w:r w:rsidRPr="00000354">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3E86E12D" w14:textId="142A1C08" w:rsidR="00783288" w:rsidRPr="00000354" w:rsidRDefault="007B46B1">
            <w:pPr>
              <w:pStyle w:val="TableParagraph"/>
              <w:kinsoku w:val="0"/>
              <w:overflowPunct w:val="0"/>
              <w:spacing w:before="111"/>
              <w:ind w:left="111"/>
              <w:rPr>
                <w:color w:val="231F20"/>
                <w:sz w:val="16"/>
                <w:szCs w:val="16"/>
              </w:rPr>
            </w:pPr>
            <w:r w:rsidRPr="00000354">
              <w:rPr>
                <w:color w:val="231F20"/>
                <w:sz w:val="16"/>
                <w:szCs w:val="16"/>
              </w:rPr>
              <w:t>4.67</w:t>
            </w:r>
          </w:p>
        </w:tc>
        <w:tc>
          <w:tcPr>
            <w:tcW w:w="1549" w:type="dxa"/>
            <w:tcBorders>
              <w:top w:val="single" w:sz="4" w:space="0" w:color="231F20"/>
              <w:left w:val="single" w:sz="4" w:space="0" w:color="231F20"/>
              <w:bottom w:val="single" w:sz="4" w:space="0" w:color="231F20"/>
              <w:right w:val="single" w:sz="4" w:space="0" w:color="231F20"/>
            </w:tcBorders>
          </w:tcPr>
          <w:p w14:paraId="577956FC" w14:textId="77777777" w:rsidR="00783288" w:rsidRPr="000B7CA5" w:rsidRDefault="00E31420">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650AE101" w14:textId="77777777" w:rsidR="00783288" w:rsidRPr="000B7CA5" w:rsidRDefault="00E31420">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6D66CCEF" w14:textId="77777777" w:rsidR="00783288" w:rsidRPr="000B7CA5" w:rsidRDefault="00E31420">
            <w:pPr>
              <w:pStyle w:val="TableParagraph"/>
              <w:kinsoku w:val="0"/>
              <w:overflowPunct w:val="0"/>
              <w:spacing w:before="107"/>
              <w:ind w:left="108"/>
              <w:rPr>
                <w:b/>
                <w:bCs/>
                <w:color w:val="231F20"/>
                <w:sz w:val="16"/>
                <w:szCs w:val="16"/>
              </w:rPr>
            </w:pPr>
            <w:r w:rsidRPr="000B7CA5">
              <w:rPr>
                <w:b/>
                <w:bCs/>
                <w:color w:val="231F20"/>
                <w:sz w:val="16"/>
                <w:szCs w:val="16"/>
              </w:rPr>
              <w:t>07l03l2018</w:t>
            </w:r>
          </w:p>
        </w:tc>
        <w:tc>
          <w:tcPr>
            <w:tcW w:w="1070" w:type="dxa"/>
            <w:tcBorders>
              <w:top w:val="single" w:sz="4" w:space="0" w:color="231F20"/>
              <w:left w:val="single" w:sz="4" w:space="0" w:color="231F20"/>
              <w:bottom w:val="single" w:sz="4" w:space="0" w:color="231F20"/>
              <w:right w:val="single" w:sz="8" w:space="0" w:color="231F20"/>
            </w:tcBorders>
          </w:tcPr>
          <w:p w14:paraId="1BD0EA68" w14:textId="18BFCB6A" w:rsidR="00783288" w:rsidRPr="000B7CA5" w:rsidRDefault="009C0B35">
            <w:pPr>
              <w:pStyle w:val="TableParagraph"/>
              <w:kinsoku w:val="0"/>
              <w:overflowPunct w:val="0"/>
              <w:spacing w:before="111"/>
              <w:ind w:left="105"/>
              <w:rPr>
                <w:color w:val="231F20"/>
                <w:sz w:val="16"/>
                <w:szCs w:val="16"/>
              </w:rPr>
            </w:pPr>
            <w:r>
              <w:rPr>
                <w:color w:val="231F20"/>
                <w:sz w:val="16"/>
                <w:szCs w:val="16"/>
              </w:rPr>
              <w:t>07/03/2021-</w:t>
            </w:r>
            <w:r w:rsidRPr="000B7CA5">
              <w:rPr>
                <w:color w:val="231F20"/>
                <w:sz w:val="16"/>
                <w:szCs w:val="16"/>
              </w:rPr>
              <w:t>06/03/202</w:t>
            </w:r>
            <w:r>
              <w:rPr>
                <w:color w:val="231F20"/>
                <w:sz w:val="16"/>
                <w:szCs w:val="16"/>
              </w:rPr>
              <w:t>2</w:t>
            </w:r>
          </w:p>
        </w:tc>
      </w:tr>
      <w:tr w:rsidR="00783288" w:rsidRPr="000B7CA5" w14:paraId="5E074C68"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53755832" w14:textId="77777777" w:rsidR="00783288" w:rsidRPr="000B7CA5" w:rsidRDefault="00E31420">
            <w:pPr>
              <w:pStyle w:val="TableParagraph"/>
              <w:kinsoku w:val="0"/>
              <w:overflowPunct w:val="0"/>
              <w:spacing w:before="109"/>
              <w:ind w:left="107"/>
              <w:rPr>
                <w:color w:val="231F20"/>
                <w:sz w:val="16"/>
                <w:szCs w:val="16"/>
              </w:rPr>
            </w:pPr>
            <w:r w:rsidRPr="000B7CA5">
              <w:rPr>
                <w:color w:val="231F20"/>
                <w:sz w:val="16"/>
                <w:szCs w:val="16"/>
              </w:rPr>
              <w:t>AE4673</w:t>
            </w:r>
          </w:p>
        </w:tc>
        <w:tc>
          <w:tcPr>
            <w:tcW w:w="1138" w:type="dxa"/>
            <w:tcBorders>
              <w:top w:val="single" w:sz="4" w:space="0" w:color="231F20"/>
              <w:left w:val="single" w:sz="4" w:space="0" w:color="231F20"/>
              <w:bottom w:val="single" w:sz="4" w:space="0" w:color="231F20"/>
              <w:right w:val="single" w:sz="4" w:space="0" w:color="231F20"/>
            </w:tcBorders>
          </w:tcPr>
          <w:p w14:paraId="57C55DA4" w14:textId="43B15AC4" w:rsidR="00783288" w:rsidRPr="000B7CA5" w:rsidRDefault="00483DAD">
            <w:pPr>
              <w:pStyle w:val="TableParagraph"/>
              <w:kinsoku w:val="0"/>
              <w:overflowPunct w:val="0"/>
              <w:spacing w:before="109"/>
              <w:ind w:left="112"/>
              <w:rPr>
                <w:color w:val="231F20"/>
                <w:sz w:val="16"/>
                <w:szCs w:val="16"/>
              </w:rPr>
            </w:pPr>
            <w:proofErr w:type="spellStart"/>
            <w:r w:rsidRPr="000B7CA5">
              <w:rPr>
                <w:color w:val="231F20"/>
                <w:sz w:val="16"/>
                <w:szCs w:val="16"/>
              </w:rPr>
              <w:t>Anadiou</w:t>
            </w:r>
            <w:proofErr w:type="spellEnd"/>
            <w:r>
              <w:rPr>
                <w:color w:val="231F20"/>
                <w:sz w:val="16"/>
                <w:szCs w:val="16"/>
              </w:rPr>
              <w:t xml:space="preserve">, </w:t>
            </w:r>
            <w:proofErr w:type="spellStart"/>
            <w:r>
              <w:rPr>
                <w:color w:val="231F20"/>
                <w:sz w:val="16"/>
                <w:szCs w:val="16"/>
              </w:rPr>
              <w:t>Saramas</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49A6307F" w14:textId="77777777" w:rsidR="00783288" w:rsidRPr="000B7CA5" w:rsidRDefault="00E31420">
            <w:pPr>
              <w:pStyle w:val="TableParagraph"/>
              <w:kinsoku w:val="0"/>
              <w:overflowPunct w:val="0"/>
              <w:spacing w:line="206" w:lineRule="exact"/>
              <w:ind w:left="109"/>
              <w:rPr>
                <w:color w:val="231F20"/>
                <w:sz w:val="16"/>
                <w:szCs w:val="16"/>
              </w:rPr>
            </w:pPr>
            <w:r w:rsidRPr="000B7CA5">
              <w:rPr>
                <w:color w:val="231F20"/>
                <w:sz w:val="16"/>
                <w:szCs w:val="16"/>
              </w:rPr>
              <w:t>Troodos</w:t>
            </w:r>
          </w:p>
          <w:p w14:paraId="079F62C3" w14:textId="77777777" w:rsidR="00783288" w:rsidRPr="000B7CA5" w:rsidRDefault="00E31420">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089C9887" w14:textId="77777777" w:rsidR="00783288" w:rsidRPr="000B7CA5" w:rsidRDefault="00E31420">
            <w:pPr>
              <w:pStyle w:val="TableParagraph"/>
              <w:kinsoku w:val="0"/>
              <w:overflowPunct w:val="0"/>
              <w:spacing w:before="109"/>
              <w:ind w:left="111"/>
              <w:rPr>
                <w:color w:val="231F20"/>
                <w:sz w:val="16"/>
                <w:szCs w:val="16"/>
              </w:rPr>
            </w:pPr>
            <w:r w:rsidRPr="000B7CA5">
              <w:rPr>
                <w:color w:val="231F20"/>
                <w:sz w:val="16"/>
                <w:szCs w:val="16"/>
              </w:rPr>
              <w:t>4.82</w:t>
            </w:r>
          </w:p>
        </w:tc>
        <w:tc>
          <w:tcPr>
            <w:tcW w:w="1549" w:type="dxa"/>
            <w:tcBorders>
              <w:top w:val="single" w:sz="4" w:space="0" w:color="231F20"/>
              <w:left w:val="single" w:sz="4" w:space="0" w:color="231F20"/>
              <w:bottom w:val="single" w:sz="4" w:space="0" w:color="231F20"/>
              <w:right w:val="single" w:sz="4" w:space="0" w:color="231F20"/>
            </w:tcBorders>
          </w:tcPr>
          <w:p w14:paraId="7A9423AB" w14:textId="77777777" w:rsidR="00783288" w:rsidRPr="000B7CA5" w:rsidRDefault="00E31420">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202952E8" w14:textId="77777777" w:rsidR="00783288" w:rsidRPr="000B7CA5" w:rsidRDefault="00E31420">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6C5E4474" w14:textId="77777777" w:rsidR="00783288" w:rsidRPr="000B7CA5" w:rsidRDefault="00E31420">
            <w:pPr>
              <w:pStyle w:val="TableParagraph"/>
              <w:kinsoku w:val="0"/>
              <w:overflowPunct w:val="0"/>
              <w:spacing w:before="104"/>
              <w:ind w:left="108"/>
              <w:rPr>
                <w:b/>
                <w:bCs/>
                <w:color w:val="231F20"/>
                <w:sz w:val="16"/>
                <w:szCs w:val="16"/>
              </w:rPr>
            </w:pPr>
            <w:r w:rsidRPr="000B7CA5">
              <w:rPr>
                <w:b/>
                <w:bCs/>
                <w:color w:val="231F20"/>
                <w:sz w:val="16"/>
                <w:szCs w:val="16"/>
              </w:rPr>
              <w:t>07l03l2018</w:t>
            </w:r>
          </w:p>
        </w:tc>
        <w:tc>
          <w:tcPr>
            <w:tcW w:w="1070" w:type="dxa"/>
            <w:tcBorders>
              <w:top w:val="single" w:sz="4" w:space="0" w:color="231F20"/>
              <w:left w:val="single" w:sz="4" w:space="0" w:color="231F20"/>
              <w:bottom w:val="single" w:sz="4" w:space="0" w:color="231F20"/>
              <w:right w:val="single" w:sz="8" w:space="0" w:color="231F20"/>
            </w:tcBorders>
          </w:tcPr>
          <w:p w14:paraId="7774FC7D" w14:textId="2131ABE2" w:rsidR="00783288" w:rsidRPr="000B7CA5" w:rsidRDefault="009C0B35">
            <w:pPr>
              <w:pStyle w:val="TableParagraph"/>
              <w:kinsoku w:val="0"/>
              <w:overflowPunct w:val="0"/>
              <w:spacing w:before="109"/>
              <w:ind w:left="105"/>
              <w:rPr>
                <w:color w:val="231F20"/>
                <w:sz w:val="16"/>
                <w:szCs w:val="16"/>
              </w:rPr>
            </w:pPr>
            <w:r>
              <w:rPr>
                <w:color w:val="231F20"/>
                <w:sz w:val="16"/>
                <w:szCs w:val="16"/>
              </w:rPr>
              <w:t>07/03/2021-</w:t>
            </w:r>
            <w:r w:rsidRPr="000B7CA5">
              <w:rPr>
                <w:color w:val="231F20"/>
                <w:sz w:val="16"/>
                <w:szCs w:val="16"/>
              </w:rPr>
              <w:t>06/03/202</w:t>
            </w:r>
            <w:r>
              <w:rPr>
                <w:color w:val="231F20"/>
                <w:sz w:val="16"/>
                <w:szCs w:val="16"/>
              </w:rPr>
              <w:t>2</w:t>
            </w:r>
          </w:p>
        </w:tc>
      </w:tr>
      <w:tr w:rsidR="00483DAD" w:rsidRPr="000B7CA5" w14:paraId="550BB191"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590B1B81" w14:textId="77777777" w:rsidR="00483DAD" w:rsidRPr="000B7CA5" w:rsidRDefault="00483DAD" w:rsidP="00483DAD">
            <w:pPr>
              <w:pStyle w:val="TableParagraph"/>
              <w:kinsoku w:val="0"/>
              <w:overflowPunct w:val="0"/>
              <w:spacing w:before="111"/>
              <w:ind w:left="107"/>
              <w:rPr>
                <w:color w:val="231F20"/>
                <w:sz w:val="16"/>
                <w:szCs w:val="16"/>
              </w:rPr>
            </w:pPr>
            <w:r w:rsidRPr="000B7CA5">
              <w:rPr>
                <w:color w:val="231F20"/>
                <w:sz w:val="16"/>
                <w:szCs w:val="16"/>
              </w:rPr>
              <w:t>AE4722</w:t>
            </w:r>
          </w:p>
        </w:tc>
        <w:tc>
          <w:tcPr>
            <w:tcW w:w="1138" w:type="dxa"/>
            <w:tcBorders>
              <w:top w:val="single" w:sz="4" w:space="0" w:color="231F20"/>
              <w:left w:val="single" w:sz="4" w:space="0" w:color="231F20"/>
              <w:bottom w:val="single" w:sz="4" w:space="0" w:color="231F20"/>
              <w:right w:val="single" w:sz="4" w:space="0" w:color="231F20"/>
            </w:tcBorders>
          </w:tcPr>
          <w:p w14:paraId="1A2B0905" w14:textId="03468E24" w:rsidR="00483DAD" w:rsidRPr="000B7CA5" w:rsidRDefault="00483DAD" w:rsidP="00483DAD">
            <w:pPr>
              <w:pStyle w:val="TableParagraph"/>
              <w:kinsoku w:val="0"/>
              <w:overflowPunct w:val="0"/>
              <w:spacing w:before="111"/>
              <w:ind w:left="112"/>
              <w:rPr>
                <w:color w:val="231F20"/>
                <w:sz w:val="16"/>
                <w:szCs w:val="16"/>
              </w:rPr>
            </w:pPr>
            <w:proofErr w:type="spellStart"/>
            <w:r>
              <w:rPr>
                <w:color w:val="231F20"/>
                <w:sz w:val="16"/>
                <w:szCs w:val="16"/>
              </w:rPr>
              <w:t>Ayios</w:t>
            </w:r>
            <w:proofErr w:type="spellEnd"/>
            <w:r>
              <w:rPr>
                <w:color w:val="231F20"/>
                <w:sz w:val="16"/>
                <w:szCs w:val="16"/>
              </w:rPr>
              <w:t xml:space="preserve"> </w:t>
            </w:r>
            <w:proofErr w:type="spellStart"/>
            <w:r>
              <w:rPr>
                <w:color w:val="231F20"/>
                <w:sz w:val="16"/>
                <w:szCs w:val="16"/>
              </w:rPr>
              <w:t>Isidoros</w:t>
            </w:r>
            <w:proofErr w:type="spellEnd"/>
            <w:r>
              <w:rPr>
                <w:color w:val="231F20"/>
                <w:sz w:val="16"/>
                <w:szCs w:val="16"/>
              </w:rPr>
              <w:t xml:space="preserve">, </w:t>
            </w:r>
            <w:proofErr w:type="spellStart"/>
            <w:r>
              <w:rPr>
                <w:color w:val="231F20"/>
                <w:sz w:val="16"/>
                <w:szCs w:val="16"/>
              </w:rPr>
              <w:t>Lysos</w:t>
            </w:r>
            <w:proofErr w:type="spellEnd"/>
            <w:r>
              <w:rPr>
                <w:color w:val="231F20"/>
                <w:sz w:val="16"/>
                <w:szCs w:val="16"/>
              </w:rPr>
              <w:t xml:space="preserve">, </w:t>
            </w:r>
            <w:proofErr w:type="spellStart"/>
            <w:r>
              <w:rPr>
                <w:color w:val="231F20"/>
                <w:sz w:val="16"/>
                <w:szCs w:val="16"/>
              </w:rPr>
              <w:t>Pelathousa</w:t>
            </w:r>
            <w:proofErr w:type="spellEnd"/>
            <w:r>
              <w:rPr>
                <w:color w:val="231F20"/>
                <w:sz w:val="16"/>
                <w:szCs w:val="16"/>
              </w:rPr>
              <w:t xml:space="preserve">, </w:t>
            </w:r>
            <w:proofErr w:type="spellStart"/>
            <w:r w:rsidRPr="000B7CA5">
              <w:rPr>
                <w:color w:val="231F20"/>
                <w:sz w:val="16"/>
                <w:szCs w:val="16"/>
              </w:rPr>
              <w:t>Peristerona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0005C08A" w14:textId="77777777" w:rsidR="00483DAD" w:rsidRPr="000B7CA5" w:rsidRDefault="00483DAD" w:rsidP="00483DAD">
            <w:pPr>
              <w:pStyle w:val="TableParagraph"/>
              <w:kinsoku w:val="0"/>
              <w:overflowPunct w:val="0"/>
              <w:spacing w:line="206" w:lineRule="exact"/>
              <w:ind w:left="109"/>
              <w:rPr>
                <w:color w:val="231F20"/>
                <w:sz w:val="16"/>
                <w:szCs w:val="16"/>
              </w:rPr>
            </w:pPr>
            <w:r w:rsidRPr="000B7CA5">
              <w:rPr>
                <w:color w:val="231F20"/>
                <w:sz w:val="16"/>
                <w:szCs w:val="16"/>
              </w:rPr>
              <w:t>Troodos</w:t>
            </w:r>
          </w:p>
          <w:p w14:paraId="77B818B0" w14:textId="77777777" w:rsidR="00483DAD" w:rsidRPr="000B7CA5" w:rsidRDefault="00483DAD" w:rsidP="00483DAD">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6C981EBC" w14:textId="77777777" w:rsidR="00483DAD" w:rsidRPr="000B7CA5" w:rsidRDefault="00483DAD" w:rsidP="00483DAD">
            <w:pPr>
              <w:pStyle w:val="TableParagraph"/>
              <w:kinsoku w:val="0"/>
              <w:overflowPunct w:val="0"/>
              <w:spacing w:before="111"/>
              <w:ind w:left="111"/>
              <w:rPr>
                <w:color w:val="231F20"/>
                <w:sz w:val="16"/>
                <w:szCs w:val="16"/>
              </w:rPr>
            </w:pPr>
            <w:r w:rsidRPr="000B7CA5">
              <w:rPr>
                <w:color w:val="231F20"/>
                <w:sz w:val="16"/>
                <w:szCs w:val="16"/>
              </w:rPr>
              <w:t>3.00</w:t>
            </w:r>
          </w:p>
        </w:tc>
        <w:tc>
          <w:tcPr>
            <w:tcW w:w="1549" w:type="dxa"/>
            <w:tcBorders>
              <w:top w:val="single" w:sz="4" w:space="0" w:color="231F20"/>
              <w:left w:val="single" w:sz="4" w:space="0" w:color="231F20"/>
              <w:bottom w:val="single" w:sz="4" w:space="0" w:color="231F20"/>
              <w:right w:val="single" w:sz="4" w:space="0" w:color="231F20"/>
            </w:tcBorders>
          </w:tcPr>
          <w:p w14:paraId="22DFF13C" w14:textId="77777777" w:rsidR="00483DAD" w:rsidRPr="000B7CA5" w:rsidRDefault="00483DAD" w:rsidP="00483DAD">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43643AC" w14:textId="77777777" w:rsidR="00483DAD" w:rsidRPr="000B7CA5" w:rsidRDefault="00483DAD" w:rsidP="00483DAD">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30CECBCB" w14:textId="77777777" w:rsidR="00483DAD" w:rsidRPr="000B7CA5" w:rsidRDefault="00483DAD" w:rsidP="00483DAD">
            <w:pPr>
              <w:pStyle w:val="TableParagraph"/>
              <w:kinsoku w:val="0"/>
              <w:overflowPunct w:val="0"/>
              <w:spacing w:before="107"/>
              <w:ind w:left="108"/>
              <w:rPr>
                <w:b/>
                <w:bCs/>
                <w:color w:val="231F20"/>
                <w:sz w:val="16"/>
                <w:szCs w:val="16"/>
              </w:rPr>
            </w:pPr>
            <w:r w:rsidRPr="000B7CA5">
              <w:rPr>
                <w:b/>
                <w:bCs/>
                <w:color w:val="231F20"/>
                <w:sz w:val="16"/>
                <w:szCs w:val="16"/>
              </w:rPr>
              <w:t>14l12l2019</w:t>
            </w:r>
          </w:p>
        </w:tc>
        <w:tc>
          <w:tcPr>
            <w:tcW w:w="1070" w:type="dxa"/>
            <w:tcBorders>
              <w:top w:val="single" w:sz="4" w:space="0" w:color="231F20"/>
              <w:left w:val="single" w:sz="4" w:space="0" w:color="231F20"/>
              <w:bottom w:val="single" w:sz="4" w:space="0" w:color="231F20"/>
              <w:right w:val="single" w:sz="8" w:space="0" w:color="231F20"/>
            </w:tcBorders>
          </w:tcPr>
          <w:p w14:paraId="086CE7F7" w14:textId="49C07713" w:rsidR="00483DAD" w:rsidRPr="000B7CA5" w:rsidRDefault="002849BA" w:rsidP="00483DAD">
            <w:pPr>
              <w:pStyle w:val="TableParagraph"/>
              <w:kinsoku w:val="0"/>
              <w:overflowPunct w:val="0"/>
              <w:spacing w:before="111"/>
              <w:ind w:left="105"/>
              <w:rPr>
                <w:color w:val="231F20"/>
                <w:sz w:val="16"/>
                <w:szCs w:val="16"/>
              </w:rPr>
            </w:pPr>
            <w:r>
              <w:rPr>
                <w:color w:val="231F20"/>
                <w:sz w:val="16"/>
                <w:szCs w:val="16"/>
              </w:rPr>
              <w:t>14/12/2020-</w:t>
            </w:r>
            <w:r w:rsidRPr="000B7CA5">
              <w:rPr>
                <w:color w:val="231F20"/>
                <w:sz w:val="16"/>
                <w:szCs w:val="16"/>
              </w:rPr>
              <w:t>13/12/202</w:t>
            </w:r>
            <w:r>
              <w:rPr>
                <w:color w:val="231F20"/>
                <w:sz w:val="16"/>
                <w:szCs w:val="16"/>
              </w:rPr>
              <w:t>1</w:t>
            </w:r>
          </w:p>
        </w:tc>
      </w:tr>
      <w:tr w:rsidR="00483DAD" w:rsidRPr="000B7CA5" w14:paraId="34A39241" w14:textId="77777777" w:rsidTr="009C0B35">
        <w:trPr>
          <w:trHeight w:val="448"/>
        </w:trPr>
        <w:tc>
          <w:tcPr>
            <w:tcW w:w="888" w:type="dxa"/>
            <w:tcBorders>
              <w:top w:val="single" w:sz="4" w:space="0" w:color="231F20"/>
              <w:left w:val="single" w:sz="8" w:space="0" w:color="231F20"/>
              <w:bottom w:val="single" w:sz="4" w:space="0" w:color="231F20"/>
              <w:right w:val="single" w:sz="4" w:space="0" w:color="231F20"/>
            </w:tcBorders>
          </w:tcPr>
          <w:p w14:paraId="3CA7E26A" w14:textId="77777777" w:rsidR="00483DAD" w:rsidRPr="000B7CA5" w:rsidRDefault="00483DAD" w:rsidP="00483DAD">
            <w:pPr>
              <w:pStyle w:val="TableParagraph"/>
              <w:kinsoku w:val="0"/>
              <w:overflowPunct w:val="0"/>
              <w:spacing w:before="111"/>
              <w:ind w:left="107"/>
              <w:rPr>
                <w:color w:val="231F20"/>
                <w:sz w:val="16"/>
                <w:szCs w:val="16"/>
              </w:rPr>
            </w:pPr>
            <w:r w:rsidRPr="000B7CA5">
              <w:rPr>
                <w:color w:val="231F20"/>
                <w:sz w:val="16"/>
                <w:szCs w:val="16"/>
              </w:rPr>
              <w:t>AE4724</w:t>
            </w:r>
          </w:p>
        </w:tc>
        <w:tc>
          <w:tcPr>
            <w:tcW w:w="1138" w:type="dxa"/>
            <w:tcBorders>
              <w:top w:val="single" w:sz="4" w:space="0" w:color="231F20"/>
              <w:left w:val="single" w:sz="4" w:space="0" w:color="231F20"/>
              <w:bottom w:val="single" w:sz="4" w:space="0" w:color="231F20"/>
              <w:right w:val="single" w:sz="4" w:space="0" w:color="231F20"/>
            </w:tcBorders>
          </w:tcPr>
          <w:p w14:paraId="67EC0833" w14:textId="3281A4EE" w:rsidR="00483DAD" w:rsidRPr="000B7CA5" w:rsidRDefault="00483DAD" w:rsidP="00483DAD">
            <w:pPr>
              <w:pStyle w:val="TableParagraph"/>
              <w:kinsoku w:val="0"/>
              <w:overflowPunct w:val="0"/>
              <w:spacing w:before="16" w:line="204" w:lineRule="exact"/>
              <w:ind w:left="112"/>
              <w:rPr>
                <w:color w:val="231F20"/>
                <w:sz w:val="16"/>
                <w:szCs w:val="16"/>
              </w:rPr>
            </w:pPr>
            <w:proofErr w:type="spellStart"/>
            <w:r w:rsidRPr="000B7CA5">
              <w:rPr>
                <w:color w:val="231F20"/>
                <w:sz w:val="16"/>
                <w:szCs w:val="16"/>
              </w:rPr>
              <w:t>Lysos</w:t>
            </w:r>
            <w:proofErr w:type="spellEnd"/>
            <w:r>
              <w:rPr>
                <w:color w:val="231F20"/>
                <w:sz w:val="16"/>
                <w:szCs w:val="16"/>
              </w:rPr>
              <w:t xml:space="preserve">, </w:t>
            </w:r>
            <w:proofErr w:type="spellStart"/>
            <w:r>
              <w:rPr>
                <w:color w:val="231F20"/>
                <w:sz w:val="16"/>
                <w:szCs w:val="16"/>
              </w:rPr>
              <w:t>Meladra</w:t>
            </w:r>
            <w:proofErr w:type="spellEnd"/>
            <w:r>
              <w:rPr>
                <w:color w:val="231F20"/>
                <w:sz w:val="16"/>
                <w:szCs w:val="16"/>
              </w:rPr>
              <w:t>, Zacharia</w:t>
            </w:r>
          </w:p>
        </w:tc>
        <w:tc>
          <w:tcPr>
            <w:tcW w:w="1006" w:type="dxa"/>
            <w:tcBorders>
              <w:top w:val="single" w:sz="4" w:space="0" w:color="231F20"/>
              <w:left w:val="single" w:sz="4" w:space="0" w:color="231F20"/>
              <w:bottom w:val="single" w:sz="4" w:space="0" w:color="231F20"/>
              <w:right w:val="single" w:sz="4" w:space="0" w:color="231F20"/>
            </w:tcBorders>
          </w:tcPr>
          <w:p w14:paraId="6503859C" w14:textId="77777777" w:rsidR="00483DAD" w:rsidRPr="000B7CA5" w:rsidRDefault="00483DAD" w:rsidP="00483DAD">
            <w:pPr>
              <w:pStyle w:val="TableParagraph"/>
              <w:kinsoku w:val="0"/>
              <w:overflowPunct w:val="0"/>
              <w:spacing w:before="1"/>
              <w:ind w:left="109"/>
              <w:rPr>
                <w:color w:val="231F20"/>
                <w:sz w:val="16"/>
                <w:szCs w:val="16"/>
              </w:rPr>
            </w:pPr>
            <w:r w:rsidRPr="000B7CA5">
              <w:rPr>
                <w:color w:val="231F20"/>
                <w:sz w:val="16"/>
                <w:szCs w:val="16"/>
              </w:rPr>
              <w:t>Troodos</w:t>
            </w:r>
          </w:p>
          <w:p w14:paraId="53299FE4" w14:textId="77777777" w:rsidR="00483DAD" w:rsidRPr="000B7CA5" w:rsidRDefault="00483DAD" w:rsidP="00483DAD">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7EE7CF15" w14:textId="77777777" w:rsidR="00483DAD" w:rsidRPr="000B7CA5" w:rsidRDefault="00483DAD" w:rsidP="00483DAD">
            <w:pPr>
              <w:pStyle w:val="TableParagraph"/>
              <w:kinsoku w:val="0"/>
              <w:overflowPunct w:val="0"/>
              <w:spacing w:before="111"/>
              <w:ind w:left="111"/>
              <w:rPr>
                <w:color w:val="231F20"/>
                <w:sz w:val="16"/>
                <w:szCs w:val="16"/>
              </w:rPr>
            </w:pPr>
            <w:r w:rsidRPr="000B7CA5">
              <w:rPr>
                <w:color w:val="231F20"/>
                <w:sz w:val="16"/>
                <w:szCs w:val="16"/>
              </w:rPr>
              <w:t>2.45</w:t>
            </w:r>
          </w:p>
        </w:tc>
        <w:tc>
          <w:tcPr>
            <w:tcW w:w="1549" w:type="dxa"/>
            <w:tcBorders>
              <w:top w:val="single" w:sz="4" w:space="0" w:color="231F20"/>
              <w:left w:val="single" w:sz="4" w:space="0" w:color="231F20"/>
              <w:bottom w:val="single" w:sz="4" w:space="0" w:color="231F20"/>
              <w:right w:val="single" w:sz="4" w:space="0" w:color="231F20"/>
            </w:tcBorders>
          </w:tcPr>
          <w:p w14:paraId="1E004FFE" w14:textId="77777777" w:rsidR="00483DAD" w:rsidRPr="000B7CA5" w:rsidRDefault="00483DAD" w:rsidP="00483DAD">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D098464" w14:textId="77777777" w:rsidR="00483DAD" w:rsidRPr="000B7CA5" w:rsidRDefault="00483DAD" w:rsidP="00483DAD">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41289DE3" w14:textId="77777777" w:rsidR="00483DAD" w:rsidRPr="000B7CA5" w:rsidRDefault="00483DAD" w:rsidP="00483DAD">
            <w:pPr>
              <w:pStyle w:val="TableParagraph"/>
              <w:kinsoku w:val="0"/>
              <w:overflowPunct w:val="0"/>
              <w:spacing w:before="107"/>
              <w:ind w:left="108"/>
              <w:rPr>
                <w:b/>
                <w:bCs/>
                <w:color w:val="231F20"/>
                <w:sz w:val="16"/>
                <w:szCs w:val="16"/>
              </w:rPr>
            </w:pPr>
            <w:r w:rsidRPr="000B7CA5">
              <w:rPr>
                <w:b/>
                <w:bCs/>
                <w:color w:val="231F20"/>
                <w:sz w:val="16"/>
                <w:szCs w:val="16"/>
              </w:rPr>
              <w:t>29l03l2019</w:t>
            </w:r>
          </w:p>
        </w:tc>
        <w:tc>
          <w:tcPr>
            <w:tcW w:w="1070" w:type="dxa"/>
            <w:tcBorders>
              <w:top w:val="single" w:sz="4" w:space="0" w:color="231F20"/>
              <w:left w:val="single" w:sz="4" w:space="0" w:color="231F20"/>
              <w:bottom w:val="single" w:sz="4" w:space="0" w:color="231F20"/>
              <w:right w:val="single" w:sz="8" w:space="0" w:color="231F20"/>
            </w:tcBorders>
          </w:tcPr>
          <w:p w14:paraId="4E3DD1B9" w14:textId="37F2FAA8" w:rsidR="00483DAD" w:rsidRPr="000B7CA5" w:rsidRDefault="002849BA" w:rsidP="00483DAD">
            <w:pPr>
              <w:pStyle w:val="TableParagraph"/>
              <w:kinsoku w:val="0"/>
              <w:overflowPunct w:val="0"/>
              <w:spacing w:before="111"/>
              <w:ind w:left="105"/>
              <w:rPr>
                <w:color w:val="231F20"/>
                <w:sz w:val="16"/>
                <w:szCs w:val="16"/>
              </w:rPr>
            </w:pPr>
            <w:r>
              <w:rPr>
                <w:color w:val="231F20"/>
                <w:sz w:val="16"/>
                <w:szCs w:val="16"/>
              </w:rPr>
              <w:t>29/032021-</w:t>
            </w:r>
            <w:r w:rsidRPr="000B7CA5">
              <w:rPr>
                <w:color w:val="231F20"/>
                <w:sz w:val="16"/>
                <w:szCs w:val="16"/>
              </w:rPr>
              <w:t>28/03/202</w:t>
            </w:r>
            <w:r>
              <w:rPr>
                <w:color w:val="231F20"/>
                <w:sz w:val="16"/>
                <w:szCs w:val="16"/>
              </w:rPr>
              <w:t>2</w:t>
            </w:r>
          </w:p>
        </w:tc>
      </w:tr>
      <w:tr w:rsidR="00483DAD" w:rsidRPr="000B7CA5" w14:paraId="06B29FF2"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022E9E9C" w14:textId="77777777" w:rsidR="00483DAD" w:rsidRPr="000B7CA5" w:rsidRDefault="00483DAD" w:rsidP="00483DAD">
            <w:pPr>
              <w:pStyle w:val="TableParagraph"/>
              <w:kinsoku w:val="0"/>
              <w:overflowPunct w:val="0"/>
              <w:spacing w:before="109"/>
              <w:ind w:left="107"/>
              <w:rPr>
                <w:color w:val="231F20"/>
                <w:sz w:val="16"/>
                <w:szCs w:val="16"/>
              </w:rPr>
            </w:pPr>
            <w:r w:rsidRPr="000B7CA5">
              <w:rPr>
                <w:color w:val="231F20"/>
                <w:sz w:val="16"/>
                <w:szCs w:val="16"/>
              </w:rPr>
              <w:t>AE4728</w:t>
            </w:r>
          </w:p>
        </w:tc>
        <w:tc>
          <w:tcPr>
            <w:tcW w:w="1138" w:type="dxa"/>
            <w:tcBorders>
              <w:top w:val="single" w:sz="4" w:space="0" w:color="231F20"/>
              <w:left w:val="single" w:sz="4" w:space="0" w:color="231F20"/>
              <w:bottom w:val="single" w:sz="4" w:space="0" w:color="231F20"/>
              <w:right w:val="single" w:sz="4" w:space="0" w:color="231F20"/>
            </w:tcBorders>
          </w:tcPr>
          <w:p w14:paraId="7F07DAC5" w14:textId="77777777" w:rsidR="00483DAD" w:rsidRPr="000B7CA5" w:rsidRDefault="00483DAD" w:rsidP="00483DAD">
            <w:pPr>
              <w:pStyle w:val="TableParagraph"/>
              <w:kinsoku w:val="0"/>
              <w:overflowPunct w:val="0"/>
              <w:spacing w:line="206" w:lineRule="exact"/>
              <w:ind w:left="112"/>
              <w:rPr>
                <w:color w:val="231F20"/>
                <w:sz w:val="16"/>
                <w:szCs w:val="16"/>
              </w:rPr>
            </w:pPr>
            <w:proofErr w:type="spellStart"/>
            <w:r>
              <w:rPr>
                <w:color w:val="231F20"/>
                <w:sz w:val="16"/>
                <w:szCs w:val="16"/>
              </w:rPr>
              <w:t>Anadiou</w:t>
            </w:r>
            <w:proofErr w:type="spellEnd"/>
            <w:r>
              <w:rPr>
                <w:color w:val="231F20"/>
                <w:sz w:val="16"/>
                <w:szCs w:val="16"/>
              </w:rPr>
              <w:t xml:space="preserve">, </w:t>
            </w:r>
            <w:proofErr w:type="spellStart"/>
            <w:r>
              <w:rPr>
                <w:color w:val="231F20"/>
                <w:sz w:val="16"/>
                <w:szCs w:val="16"/>
              </w:rPr>
              <w:t>Kannaviou</w:t>
            </w:r>
            <w:proofErr w:type="spellEnd"/>
            <w:r>
              <w:rPr>
                <w:color w:val="231F20"/>
                <w:sz w:val="16"/>
                <w:szCs w:val="16"/>
              </w:rPr>
              <w:t xml:space="preserve">, </w:t>
            </w:r>
            <w:proofErr w:type="spellStart"/>
            <w:r w:rsidRPr="000B7CA5">
              <w:rPr>
                <w:color w:val="231F20"/>
                <w:sz w:val="16"/>
                <w:szCs w:val="16"/>
              </w:rPr>
              <w:t>Kritou</w:t>
            </w:r>
            <w:proofErr w:type="spellEnd"/>
          </w:p>
          <w:p w14:paraId="54BC3D1C" w14:textId="6B60B25F" w:rsidR="00483DAD" w:rsidRPr="000B7CA5" w:rsidRDefault="00483DAD" w:rsidP="00483DAD">
            <w:pPr>
              <w:pStyle w:val="TableParagraph"/>
              <w:kinsoku w:val="0"/>
              <w:overflowPunct w:val="0"/>
              <w:spacing w:before="16" w:line="204" w:lineRule="exact"/>
              <w:ind w:left="112"/>
              <w:rPr>
                <w:color w:val="231F20"/>
                <w:sz w:val="16"/>
                <w:szCs w:val="16"/>
              </w:rPr>
            </w:pPr>
            <w:proofErr w:type="spellStart"/>
            <w:r w:rsidRPr="000B7CA5">
              <w:rPr>
                <w:color w:val="231F20"/>
                <w:sz w:val="16"/>
                <w:szCs w:val="16"/>
              </w:rPr>
              <w:t>Marottou</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5481322A" w14:textId="77777777" w:rsidR="00483DAD" w:rsidRPr="000B7CA5" w:rsidRDefault="00483DAD" w:rsidP="00483DAD">
            <w:pPr>
              <w:pStyle w:val="TableParagraph"/>
              <w:kinsoku w:val="0"/>
              <w:overflowPunct w:val="0"/>
              <w:spacing w:line="206" w:lineRule="exact"/>
              <w:ind w:left="109"/>
              <w:rPr>
                <w:color w:val="231F20"/>
                <w:sz w:val="16"/>
                <w:szCs w:val="16"/>
              </w:rPr>
            </w:pPr>
            <w:r w:rsidRPr="000B7CA5">
              <w:rPr>
                <w:color w:val="231F20"/>
                <w:sz w:val="16"/>
                <w:szCs w:val="16"/>
              </w:rPr>
              <w:t>Troodos</w:t>
            </w:r>
          </w:p>
          <w:p w14:paraId="7B6E4AAC" w14:textId="77777777" w:rsidR="00483DAD" w:rsidRPr="000B7CA5" w:rsidRDefault="00483DAD" w:rsidP="00483DAD">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5133AB62" w14:textId="77777777" w:rsidR="00483DAD" w:rsidRPr="000B7CA5" w:rsidRDefault="00483DAD" w:rsidP="00483DAD">
            <w:pPr>
              <w:pStyle w:val="TableParagraph"/>
              <w:kinsoku w:val="0"/>
              <w:overflowPunct w:val="0"/>
              <w:spacing w:before="109"/>
              <w:ind w:left="111"/>
              <w:rPr>
                <w:color w:val="231F20"/>
                <w:sz w:val="16"/>
                <w:szCs w:val="16"/>
              </w:rPr>
            </w:pPr>
            <w:r w:rsidRPr="000B7CA5">
              <w:rPr>
                <w:color w:val="231F20"/>
                <w:sz w:val="16"/>
                <w:szCs w:val="16"/>
              </w:rPr>
              <w:t>4.675</w:t>
            </w:r>
          </w:p>
        </w:tc>
        <w:tc>
          <w:tcPr>
            <w:tcW w:w="1549" w:type="dxa"/>
            <w:tcBorders>
              <w:top w:val="single" w:sz="4" w:space="0" w:color="231F20"/>
              <w:left w:val="single" w:sz="4" w:space="0" w:color="231F20"/>
              <w:bottom w:val="single" w:sz="4" w:space="0" w:color="231F20"/>
              <w:right w:val="single" w:sz="4" w:space="0" w:color="231F20"/>
            </w:tcBorders>
          </w:tcPr>
          <w:p w14:paraId="4642B507" w14:textId="77777777" w:rsidR="00483DAD" w:rsidRPr="000B7CA5" w:rsidRDefault="00483DAD" w:rsidP="00483DAD">
            <w:pPr>
              <w:pStyle w:val="TableParagraph"/>
              <w:kinsoku w:val="0"/>
              <w:overflowPunct w:val="0"/>
              <w:spacing w:before="109"/>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827B300" w14:textId="77777777" w:rsidR="00483DAD" w:rsidRPr="000B7CA5" w:rsidRDefault="00483DAD" w:rsidP="00483DAD">
            <w:pPr>
              <w:pStyle w:val="TableParagraph"/>
              <w:kinsoku w:val="0"/>
              <w:overflowPunct w:val="0"/>
              <w:spacing w:before="109"/>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760AB83A" w14:textId="77777777" w:rsidR="00483DAD" w:rsidRPr="000B7CA5" w:rsidRDefault="00483DAD" w:rsidP="00483DAD">
            <w:pPr>
              <w:pStyle w:val="TableParagraph"/>
              <w:kinsoku w:val="0"/>
              <w:overflowPunct w:val="0"/>
              <w:spacing w:before="104"/>
              <w:ind w:left="108"/>
              <w:rPr>
                <w:b/>
                <w:bCs/>
                <w:color w:val="231F20"/>
                <w:sz w:val="16"/>
                <w:szCs w:val="16"/>
              </w:rPr>
            </w:pPr>
            <w:r w:rsidRPr="000B7CA5">
              <w:rPr>
                <w:b/>
                <w:bCs/>
                <w:color w:val="231F20"/>
                <w:sz w:val="16"/>
                <w:szCs w:val="16"/>
              </w:rPr>
              <w:t>14l12l2019</w:t>
            </w:r>
          </w:p>
        </w:tc>
        <w:tc>
          <w:tcPr>
            <w:tcW w:w="1070" w:type="dxa"/>
            <w:tcBorders>
              <w:top w:val="single" w:sz="4" w:space="0" w:color="231F20"/>
              <w:left w:val="single" w:sz="4" w:space="0" w:color="231F20"/>
              <w:bottom w:val="single" w:sz="4" w:space="0" w:color="231F20"/>
              <w:right w:val="single" w:sz="8" w:space="0" w:color="231F20"/>
            </w:tcBorders>
          </w:tcPr>
          <w:p w14:paraId="144A6FE0" w14:textId="0A0FDAB0" w:rsidR="00483DAD" w:rsidRPr="000B7CA5" w:rsidRDefault="002849BA" w:rsidP="00483DAD">
            <w:pPr>
              <w:pStyle w:val="TableParagraph"/>
              <w:kinsoku w:val="0"/>
              <w:overflowPunct w:val="0"/>
              <w:spacing w:before="109"/>
              <w:ind w:left="105"/>
              <w:rPr>
                <w:color w:val="231F20"/>
                <w:sz w:val="16"/>
                <w:szCs w:val="16"/>
              </w:rPr>
            </w:pPr>
            <w:r>
              <w:rPr>
                <w:color w:val="231F20"/>
                <w:sz w:val="16"/>
                <w:szCs w:val="16"/>
              </w:rPr>
              <w:t>14/12/2020-</w:t>
            </w:r>
            <w:r w:rsidRPr="000B7CA5">
              <w:rPr>
                <w:color w:val="231F20"/>
                <w:sz w:val="16"/>
                <w:szCs w:val="16"/>
              </w:rPr>
              <w:t>13/12/202</w:t>
            </w:r>
            <w:r>
              <w:rPr>
                <w:color w:val="231F20"/>
                <w:sz w:val="16"/>
                <w:szCs w:val="16"/>
              </w:rPr>
              <w:t>1</w:t>
            </w:r>
          </w:p>
        </w:tc>
      </w:tr>
      <w:tr w:rsidR="00483DAD" w:rsidRPr="000B7CA5" w14:paraId="2B210DEA" w14:textId="77777777" w:rsidTr="009C0B35">
        <w:trPr>
          <w:trHeight w:val="445"/>
        </w:trPr>
        <w:tc>
          <w:tcPr>
            <w:tcW w:w="888" w:type="dxa"/>
            <w:tcBorders>
              <w:top w:val="single" w:sz="4" w:space="0" w:color="231F20"/>
              <w:left w:val="single" w:sz="8" w:space="0" w:color="231F20"/>
              <w:bottom w:val="single" w:sz="4" w:space="0" w:color="231F20"/>
              <w:right w:val="single" w:sz="4" w:space="0" w:color="231F20"/>
            </w:tcBorders>
          </w:tcPr>
          <w:p w14:paraId="0DAEC9E7" w14:textId="77777777" w:rsidR="00483DAD" w:rsidRPr="000B7CA5" w:rsidRDefault="00483DAD" w:rsidP="00483DAD">
            <w:pPr>
              <w:pStyle w:val="TableParagraph"/>
              <w:kinsoku w:val="0"/>
              <w:overflowPunct w:val="0"/>
              <w:spacing w:before="111"/>
              <w:ind w:left="107"/>
              <w:rPr>
                <w:color w:val="231F20"/>
                <w:sz w:val="16"/>
                <w:szCs w:val="16"/>
              </w:rPr>
            </w:pPr>
            <w:r w:rsidRPr="000B7CA5">
              <w:rPr>
                <w:color w:val="231F20"/>
                <w:sz w:val="16"/>
                <w:szCs w:val="16"/>
              </w:rPr>
              <w:t>AE4739</w:t>
            </w:r>
          </w:p>
        </w:tc>
        <w:tc>
          <w:tcPr>
            <w:tcW w:w="1138" w:type="dxa"/>
            <w:tcBorders>
              <w:top w:val="single" w:sz="4" w:space="0" w:color="231F20"/>
              <w:left w:val="single" w:sz="4" w:space="0" w:color="231F20"/>
              <w:bottom w:val="single" w:sz="4" w:space="0" w:color="231F20"/>
              <w:right w:val="single" w:sz="4" w:space="0" w:color="231F20"/>
            </w:tcBorders>
          </w:tcPr>
          <w:p w14:paraId="0584653C" w14:textId="55346274" w:rsidR="00483DAD" w:rsidRPr="000B7CA5" w:rsidRDefault="00483DAD" w:rsidP="00483DAD">
            <w:pPr>
              <w:pStyle w:val="TableParagraph"/>
              <w:kinsoku w:val="0"/>
              <w:overflowPunct w:val="0"/>
              <w:spacing w:before="111"/>
              <w:ind w:left="112"/>
              <w:rPr>
                <w:color w:val="231F20"/>
                <w:sz w:val="16"/>
                <w:szCs w:val="16"/>
              </w:rPr>
            </w:pPr>
            <w:proofErr w:type="spellStart"/>
            <w:r>
              <w:rPr>
                <w:color w:val="231F20"/>
                <w:sz w:val="16"/>
                <w:szCs w:val="16"/>
              </w:rPr>
              <w:t>Anadiou</w:t>
            </w:r>
            <w:proofErr w:type="spellEnd"/>
            <w:r>
              <w:rPr>
                <w:color w:val="231F20"/>
                <w:sz w:val="16"/>
                <w:szCs w:val="16"/>
              </w:rPr>
              <w:t xml:space="preserve">, </w:t>
            </w:r>
            <w:proofErr w:type="spellStart"/>
            <w:r>
              <w:rPr>
                <w:color w:val="231F20"/>
                <w:sz w:val="16"/>
                <w:szCs w:val="16"/>
              </w:rPr>
              <w:t>Kios</w:t>
            </w:r>
            <w:proofErr w:type="spellEnd"/>
            <w:r>
              <w:rPr>
                <w:color w:val="231F20"/>
                <w:sz w:val="16"/>
                <w:szCs w:val="16"/>
              </w:rPr>
              <w:t xml:space="preserve">, </w:t>
            </w:r>
            <w:proofErr w:type="spellStart"/>
            <w:r>
              <w:rPr>
                <w:color w:val="231F20"/>
                <w:sz w:val="16"/>
                <w:szCs w:val="16"/>
              </w:rPr>
              <w:t>Saramas</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432C58C2" w14:textId="77777777" w:rsidR="00483DAD" w:rsidRPr="000B7CA5" w:rsidRDefault="00483DAD" w:rsidP="00483DAD">
            <w:pPr>
              <w:pStyle w:val="TableParagraph"/>
              <w:kinsoku w:val="0"/>
              <w:overflowPunct w:val="0"/>
              <w:spacing w:line="206" w:lineRule="exact"/>
              <w:ind w:left="109"/>
              <w:rPr>
                <w:color w:val="231F20"/>
                <w:sz w:val="16"/>
                <w:szCs w:val="16"/>
              </w:rPr>
            </w:pPr>
            <w:r w:rsidRPr="000B7CA5">
              <w:rPr>
                <w:color w:val="231F20"/>
                <w:sz w:val="16"/>
                <w:szCs w:val="16"/>
              </w:rPr>
              <w:t>Troodos</w:t>
            </w:r>
          </w:p>
          <w:p w14:paraId="1755D987" w14:textId="77777777" w:rsidR="00483DAD" w:rsidRPr="000B7CA5" w:rsidRDefault="00483DAD" w:rsidP="00483DAD">
            <w:pPr>
              <w:pStyle w:val="TableParagraph"/>
              <w:kinsoku w:val="0"/>
              <w:overflowPunct w:val="0"/>
              <w:spacing w:before="16" w:line="204" w:lineRule="exact"/>
              <w:ind w:left="109"/>
              <w:rPr>
                <w:color w:val="231F20"/>
                <w:sz w:val="16"/>
                <w:szCs w:val="16"/>
              </w:rPr>
            </w:pPr>
            <w:r w:rsidRPr="000B7CA5">
              <w:rPr>
                <w:color w:val="231F20"/>
                <w:sz w:val="16"/>
                <w:szCs w:val="16"/>
              </w:rPr>
              <w:t>West</w:t>
            </w:r>
          </w:p>
        </w:tc>
        <w:tc>
          <w:tcPr>
            <w:tcW w:w="908" w:type="dxa"/>
            <w:tcBorders>
              <w:top w:val="single" w:sz="4" w:space="0" w:color="231F20"/>
              <w:left w:val="single" w:sz="4" w:space="0" w:color="231F20"/>
              <w:bottom w:val="single" w:sz="4" w:space="0" w:color="231F20"/>
              <w:right w:val="single" w:sz="4" w:space="0" w:color="231F20"/>
            </w:tcBorders>
          </w:tcPr>
          <w:p w14:paraId="5386DBB8" w14:textId="77777777" w:rsidR="00483DAD" w:rsidRPr="000B7CA5" w:rsidRDefault="00483DAD" w:rsidP="00483DAD">
            <w:pPr>
              <w:pStyle w:val="TableParagraph"/>
              <w:kinsoku w:val="0"/>
              <w:overflowPunct w:val="0"/>
              <w:spacing w:before="111"/>
              <w:ind w:left="111"/>
              <w:rPr>
                <w:color w:val="231F20"/>
                <w:sz w:val="16"/>
                <w:szCs w:val="16"/>
              </w:rPr>
            </w:pPr>
            <w:r w:rsidRPr="000B7CA5">
              <w:rPr>
                <w:color w:val="231F20"/>
                <w:sz w:val="16"/>
                <w:szCs w:val="16"/>
              </w:rPr>
              <w:t>4.15</w:t>
            </w:r>
          </w:p>
        </w:tc>
        <w:tc>
          <w:tcPr>
            <w:tcW w:w="1549" w:type="dxa"/>
            <w:tcBorders>
              <w:top w:val="single" w:sz="4" w:space="0" w:color="231F20"/>
              <w:left w:val="single" w:sz="4" w:space="0" w:color="231F20"/>
              <w:bottom w:val="single" w:sz="4" w:space="0" w:color="231F20"/>
              <w:right w:val="single" w:sz="4" w:space="0" w:color="231F20"/>
            </w:tcBorders>
          </w:tcPr>
          <w:p w14:paraId="77A80D37" w14:textId="77777777" w:rsidR="00483DAD" w:rsidRPr="000B7CA5" w:rsidRDefault="00483DAD" w:rsidP="00483DAD">
            <w:pPr>
              <w:pStyle w:val="TableParagraph"/>
              <w:kinsoku w:val="0"/>
              <w:overflowPunct w:val="0"/>
              <w:spacing w:before="11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050FDBFD" w14:textId="77777777" w:rsidR="00483DAD" w:rsidRPr="000B7CA5" w:rsidRDefault="00483DAD" w:rsidP="00483DAD">
            <w:pPr>
              <w:pStyle w:val="TableParagraph"/>
              <w:kinsoku w:val="0"/>
              <w:overflowPunct w:val="0"/>
              <w:spacing w:before="11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4C7726B1" w14:textId="77777777" w:rsidR="00483DAD" w:rsidRPr="000B7CA5" w:rsidRDefault="00483DAD" w:rsidP="00483DAD">
            <w:pPr>
              <w:pStyle w:val="TableParagraph"/>
              <w:kinsoku w:val="0"/>
              <w:overflowPunct w:val="0"/>
              <w:spacing w:before="107"/>
              <w:ind w:left="108"/>
              <w:rPr>
                <w:b/>
                <w:bCs/>
                <w:color w:val="231F20"/>
                <w:sz w:val="16"/>
                <w:szCs w:val="16"/>
              </w:rPr>
            </w:pPr>
            <w:r w:rsidRPr="000B7CA5">
              <w:rPr>
                <w:b/>
                <w:bCs/>
                <w:color w:val="231F20"/>
                <w:sz w:val="16"/>
                <w:szCs w:val="16"/>
              </w:rPr>
              <w:t>09l03l2020</w:t>
            </w:r>
          </w:p>
        </w:tc>
        <w:tc>
          <w:tcPr>
            <w:tcW w:w="1070" w:type="dxa"/>
            <w:tcBorders>
              <w:top w:val="single" w:sz="4" w:space="0" w:color="231F20"/>
              <w:left w:val="single" w:sz="4" w:space="0" w:color="231F20"/>
              <w:bottom w:val="single" w:sz="4" w:space="0" w:color="231F20"/>
              <w:right w:val="single" w:sz="8" w:space="0" w:color="231F20"/>
            </w:tcBorders>
          </w:tcPr>
          <w:p w14:paraId="12142D78" w14:textId="282EB8EA" w:rsidR="00483DAD" w:rsidRPr="000B7CA5" w:rsidRDefault="002849BA" w:rsidP="00483DAD">
            <w:pPr>
              <w:pStyle w:val="TableParagraph"/>
              <w:kinsoku w:val="0"/>
              <w:overflowPunct w:val="0"/>
              <w:spacing w:before="111"/>
              <w:ind w:left="105"/>
              <w:rPr>
                <w:color w:val="231F20"/>
                <w:sz w:val="16"/>
                <w:szCs w:val="16"/>
              </w:rPr>
            </w:pPr>
            <w:r>
              <w:rPr>
                <w:color w:val="231F20"/>
                <w:sz w:val="16"/>
                <w:szCs w:val="16"/>
              </w:rPr>
              <w:t>09/03/2021-</w:t>
            </w:r>
            <w:r w:rsidRPr="000B7CA5">
              <w:rPr>
                <w:color w:val="231F20"/>
                <w:sz w:val="16"/>
                <w:szCs w:val="16"/>
              </w:rPr>
              <w:t>08/03/202</w:t>
            </w:r>
            <w:r>
              <w:rPr>
                <w:color w:val="231F20"/>
                <w:sz w:val="16"/>
                <w:szCs w:val="16"/>
              </w:rPr>
              <w:t>2</w:t>
            </w:r>
          </w:p>
        </w:tc>
      </w:tr>
      <w:tr w:rsidR="00483DAD" w:rsidRPr="000B7CA5" w14:paraId="1A502896" w14:textId="77777777" w:rsidTr="009C0B35">
        <w:trPr>
          <w:trHeight w:val="606"/>
        </w:trPr>
        <w:tc>
          <w:tcPr>
            <w:tcW w:w="888" w:type="dxa"/>
            <w:tcBorders>
              <w:top w:val="single" w:sz="4" w:space="0" w:color="231F20"/>
              <w:left w:val="single" w:sz="8" w:space="0" w:color="231F20"/>
              <w:bottom w:val="single" w:sz="4" w:space="0" w:color="231F20"/>
              <w:right w:val="single" w:sz="4" w:space="0" w:color="231F20"/>
            </w:tcBorders>
          </w:tcPr>
          <w:p w14:paraId="5F02AB57" w14:textId="77777777" w:rsidR="00483DAD" w:rsidRPr="000B7CA5" w:rsidRDefault="00483DAD" w:rsidP="00483DAD">
            <w:pPr>
              <w:pStyle w:val="TableParagraph"/>
              <w:kinsoku w:val="0"/>
              <w:overflowPunct w:val="0"/>
              <w:spacing w:before="6"/>
              <w:rPr>
                <w:sz w:val="16"/>
                <w:szCs w:val="16"/>
              </w:rPr>
            </w:pPr>
          </w:p>
          <w:p w14:paraId="047402E6" w14:textId="77777777" w:rsidR="00483DAD" w:rsidRPr="000B7CA5" w:rsidRDefault="00483DAD" w:rsidP="00483DAD">
            <w:pPr>
              <w:pStyle w:val="TableParagraph"/>
              <w:kinsoku w:val="0"/>
              <w:overflowPunct w:val="0"/>
              <w:spacing w:before="1"/>
              <w:ind w:left="107"/>
              <w:rPr>
                <w:color w:val="231F20"/>
                <w:sz w:val="16"/>
                <w:szCs w:val="16"/>
              </w:rPr>
            </w:pPr>
            <w:r w:rsidRPr="000B7CA5">
              <w:rPr>
                <w:color w:val="231F20"/>
                <w:sz w:val="16"/>
                <w:szCs w:val="16"/>
              </w:rPr>
              <w:t>AE4777</w:t>
            </w:r>
          </w:p>
        </w:tc>
        <w:tc>
          <w:tcPr>
            <w:tcW w:w="1138" w:type="dxa"/>
            <w:tcBorders>
              <w:top w:val="single" w:sz="4" w:space="0" w:color="231F20"/>
              <w:left w:val="single" w:sz="4" w:space="0" w:color="231F20"/>
              <w:bottom w:val="single" w:sz="4" w:space="0" w:color="231F20"/>
              <w:right w:val="single" w:sz="4" w:space="0" w:color="231F20"/>
            </w:tcBorders>
          </w:tcPr>
          <w:p w14:paraId="719FE04F" w14:textId="77777777" w:rsidR="00483DAD" w:rsidRPr="000B7CA5" w:rsidRDefault="00483DAD" w:rsidP="00483DAD">
            <w:pPr>
              <w:pStyle w:val="TableParagraph"/>
              <w:kinsoku w:val="0"/>
              <w:overflowPunct w:val="0"/>
              <w:spacing w:before="6"/>
              <w:rPr>
                <w:sz w:val="16"/>
                <w:szCs w:val="16"/>
              </w:rPr>
            </w:pPr>
          </w:p>
          <w:p w14:paraId="1D6D1DBA" w14:textId="30C21B6C" w:rsidR="00483DAD" w:rsidRPr="000B7CA5" w:rsidRDefault="00483DAD" w:rsidP="00483DAD">
            <w:pPr>
              <w:pStyle w:val="TableParagraph"/>
              <w:kinsoku w:val="0"/>
              <w:overflowPunct w:val="0"/>
              <w:spacing w:before="1"/>
              <w:ind w:left="112"/>
              <w:rPr>
                <w:color w:val="231F20"/>
                <w:sz w:val="16"/>
                <w:szCs w:val="16"/>
              </w:rPr>
            </w:pPr>
            <w:proofErr w:type="spellStart"/>
            <w:r>
              <w:rPr>
                <w:color w:val="231F20"/>
                <w:sz w:val="16"/>
                <w:szCs w:val="16"/>
              </w:rPr>
              <w:t>Lysos</w:t>
            </w:r>
            <w:proofErr w:type="spellEnd"/>
            <w:r>
              <w:rPr>
                <w:color w:val="231F20"/>
                <w:sz w:val="16"/>
                <w:szCs w:val="16"/>
              </w:rPr>
              <w:t xml:space="preserve">, </w:t>
            </w:r>
            <w:proofErr w:type="spellStart"/>
            <w:r w:rsidRPr="000B7CA5">
              <w:rPr>
                <w:color w:val="231F20"/>
                <w:sz w:val="16"/>
                <w:szCs w:val="16"/>
              </w:rPr>
              <w:t>Pelathousa</w:t>
            </w:r>
            <w:proofErr w:type="spellEnd"/>
          </w:p>
        </w:tc>
        <w:tc>
          <w:tcPr>
            <w:tcW w:w="1006" w:type="dxa"/>
            <w:tcBorders>
              <w:top w:val="single" w:sz="4" w:space="0" w:color="231F20"/>
              <w:left w:val="single" w:sz="4" w:space="0" w:color="231F20"/>
              <w:bottom w:val="single" w:sz="4" w:space="0" w:color="231F20"/>
              <w:right w:val="single" w:sz="4" w:space="0" w:color="231F20"/>
            </w:tcBorders>
          </w:tcPr>
          <w:p w14:paraId="7E1A391D" w14:textId="77777777" w:rsidR="00483DAD" w:rsidRPr="000B7CA5" w:rsidRDefault="00483DAD" w:rsidP="00483DAD">
            <w:pPr>
              <w:pStyle w:val="TableParagraph"/>
              <w:kinsoku w:val="0"/>
              <w:overflowPunct w:val="0"/>
              <w:spacing w:before="78" w:line="259" w:lineRule="auto"/>
              <w:ind w:left="109" w:right="206"/>
              <w:rPr>
                <w:color w:val="231F20"/>
                <w:sz w:val="16"/>
                <w:szCs w:val="16"/>
              </w:rPr>
            </w:pPr>
            <w:r w:rsidRPr="000B7CA5">
              <w:rPr>
                <w:color w:val="231F20"/>
                <w:sz w:val="16"/>
                <w:szCs w:val="16"/>
              </w:rPr>
              <w:t>Troodos West</w:t>
            </w:r>
          </w:p>
        </w:tc>
        <w:tc>
          <w:tcPr>
            <w:tcW w:w="908" w:type="dxa"/>
            <w:tcBorders>
              <w:top w:val="single" w:sz="4" w:space="0" w:color="231F20"/>
              <w:left w:val="single" w:sz="4" w:space="0" w:color="231F20"/>
              <w:bottom w:val="single" w:sz="4" w:space="0" w:color="231F20"/>
              <w:right w:val="single" w:sz="4" w:space="0" w:color="231F20"/>
            </w:tcBorders>
          </w:tcPr>
          <w:p w14:paraId="4F0E17DA" w14:textId="77777777" w:rsidR="00483DAD" w:rsidRPr="000B7CA5" w:rsidRDefault="00483DAD" w:rsidP="00483DAD">
            <w:pPr>
              <w:pStyle w:val="TableParagraph"/>
              <w:kinsoku w:val="0"/>
              <w:overflowPunct w:val="0"/>
              <w:spacing w:before="6"/>
              <w:rPr>
                <w:sz w:val="16"/>
                <w:szCs w:val="16"/>
              </w:rPr>
            </w:pPr>
          </w:p>
          <w:p w14:paraId="6AB5EC05" w14:textId="77777777" w:rsidR="00483DAD" w:rsidRPr="000B7CA5" w:rsidRDefault="00483DAD" w:rsidP="00483DAD">
            <w:pPr>
              <w:pStyle w:val="TableParagraph"/>
              <w:kinsoku w:val="0"/>
              <w:overflowPunct w:val="0"/>
              <w:spacing w:before="1"/>
              <w:ind w:left="111"/>
              <w:rPr>
                <w:color w:val="231F20"/>
                <w:sz w:val="16"/>
                <w:szCs w:val="16"/>
              </w:rPr>
            </w:pPr>
            <w:r w:rsidRPr="000B7CA5">
              <w:rPr>
                <w:color w:val="231F20"/>
                <w:sz w:val="16"/>
                <w:szCs w:val="16"/>
              </w:rPr>
              <w:t>0.37</w:t>
            </w:r>
          </w:p>
        </w:tc>
        <w:tc>
          <w:tcPr>
            <w:tcW w:w="1549" w:type="dxa"/>
            <w:tcBorders>
              <w:top w:val="single" w:sz="4" w:space="0" w:color="231F20"/>
              <w:left w:val="single" w:sz="4" w:space="0" w:color="231F20"/>
              <w:bottom w:val="single" w:sz="4" w:space="0" w:color="231F20"/>
              <w:right w:val="single" w:sz="4" w:space="0" w:color="231F20"/>
            </w:tcBorders>
          </w:tcPr>
          <w:p w14:paraId="602C763F" w14:textId="77777777" w:rsidR="00483DAD" w:rsidRPr="000B7CA5" w:rsidRDefault="00483DAD" w:rsidP="00483DAD">
            <w:pPr>
              <w:pStyle w:val="TableParagraph"/>
              <w:kinsoku w:val="0"/>
              <w:overflowPunct w:val="0"/>
              <w:spacing w:before="6"/>
              <w:rPr>
                <w:sz w:val="16"/>
                <w:szCs w:val="16"/>
              </w:rPr>
            </w:pPr>
          </w:p>
          <w:p w14:paraId="24C14773" w14:textId="77777777" w:rsidR="00483DAD" w:rsidRPr="000B7CA5" w:rsidRDefault="00483DAD" w:rsidP="00483DAD">
            <w:pPr>
              <w:pStyle w:val="TableParagraph"/>
              <w:kinsoku w:val="0"/>
              <w:overflowPunct w:val="0"/>
              <w:spacing w:before="1"/>
              <w:ind w:left="110"/>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25DEC438" w14:textId="77777777" w:rsidR="00483DAD" w:rsidRPr="000B7CA5" w:rsidRDefault="00483DAD" w:rsidP="00483DAD">
            <w:pPr>
              <w:pStyle w:val="TableParagraph"/>
              <w:kinsoku w:val="0"/>
              <w:overflowPunct w:val="0"/>
              <w:spacing w:before="6"/>
              <w:rPr>
                <w:sz w:val="16"/>
                <w:szCs w:val="16"/>
              </w:rPr>
            </w:pPr>
          </w:p>
          <w:p w14:paraId="6E1A7015" w14:textId="77777777" w:rsidR="00483DAD" w:rsidRPr="000B7CA5" w:rsidRDefault="00483DAD" w:rsidP="00483DAD">
            <w:pPr>
              <w:pStyle w:val="TableParagraph"/>
              <w:kinsoku w:val="0"/>
              <w:overflowPunct w:val="0"/>
              <w:spacing w:before="1"/>
              <w:ind w:right="409"/>
              <w:jc w:val="right"/>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074ACA5F" w14:textId="409B1117" w:rsidR="00483DAD" w:rsidRPr="000B7CA5" w:rsidRDefault="002849BA" w:rsidP="00483DAD">
            <w:pPr>
              <w:pStyle w:val="TableParagraph"/>
              <w:kinsoku w:val="0"/>
              <w:overflowPunct w:val="0"/>
              <w:spacing w:line="201" w:lineRule="exact"/>
              <w:ind w:left="108"/>
              <w:rPr>
                <w:b/>
                <w:bCs/>
                <w:color w:val="231F20"/>
                <w:sz w:val="16"/>
                <w:szCs w:val="16"/>
              </w:rPr>
            </w:pPr>
            <w:r>
              <w:rPr>
                <w:b/>
                <w:bCs/>
                <w:color w:val="231F20"/>
                <w:sz w:val="16"/>
                <w:szCs w:val="16"/>
              </w:rPr>
              <w:t>30</w:t>
            </w:r>
            <w:r w:rsidRPr="000B7CA5">
              <w:rPr>
                <w:b/>
                <w:bCs/>
                <w:color w:val="231F20"/>
                <w:sz w:val="16"/>
                <w:szCs w:val="16"/>
              </w:rPr>
              <w:t>l11l2020</w:t>
            </w:r>
          </w:p>
        </w:tc>
        <w:tc>
          <w:tcPr>
            <w:tcW w:w="1070" w:type="dxa"/>
            <w:tcBorders>
              <w:top w:val="single" w:sz="4" w:space="0" w:color="231F20"/>
              <w:left w:val="single" w:sz="4" w:space="0" w:color="231F20"/>
              <w:bottom w:val="single" w:sz="4" w:space="0" w:color="231F20"/>
              <w:right w:val="single" w:sz="4" w:space="0" w:color="231F20"/>
            </w:tcBorders>
          </w:tcPr>
          <w:p w14:paraId="5B4251FC" w14:textId="51C954AF" w:rsidR="00483DAD" w:rsidRPr="000B7CA5" w:rsidRDefault="002849BA" w:rsidP="00483DAD">
            <w:pPr>
              <w:pStyle w:val="TableParagraph"/>
              <w:kinsoku w:val="0"/>
              <w:overflowPunct w:val="0"/>
              <w:spacing w:line="206" w:lineRule="exact"/>
              <w:ind w:left="105"/>
              <w:rPr>
                <w:color w:val="231F20"/>
                <w:sz w:val="16"/>
                <w:szCs w:val="16"/>
              </w:rPr>
            </w:pPr>
            <w:r>
              <w:rPr>
                <w:color w:val="231F20"/>
                <w:sz w:val="16"/>
                <w:szCs w:val="16"/>
              </w:rPr>
              <w:t>30/11/2020-29</w:t>
            </w:r>
            <w:r w:rsidRPr="000B7CA5">
              <w:rPr>
                <w:color w:val="231F20"/>
                <w:sz w:val="16"/>
                <w:szCs w:val="16"/>
              </w:rPr>
              <w:t>/11/202</w:t>
            </w:r>
            <w:r>
              <w:rPr>
                <w:color w:val="231F20"/>
                <w:sz w:val="16"/>
                <w:szCs w:val="16"/>
              </w:rPr>
              <w:t>1</w:t>
            </w:r>
          </w:p>
        </w:tc>
      </w:tr>
      <w:tr w:rsidR="00483DAD" w:rsidRPr="000B7CA5" w14:paraId="55AE9316" w14:textId="77777777" w:rsidTr="009C0B35">
        <w:trPr>
          <w:trHeight w:val="606"/>
        </w:trPr>
        <w:tc>
          <w:tcPr>
            <w:tcW w:w="888" w:type="dxa"/>
            <w:tcBorders>
              <w:top w:val="none" w:sz="6" w:space="0" w:color="auto"/>
              <w:left w:val="single" w:sz="8" w:space="0" w:color="231F20"/>
              <w:bottom w:val="single" w:sz="4" w:space="0" w:color="231F20"/>
              <w:right w:val="single" w:sz="4" w:space="0" w:color="231F20"/>
            </w:tcBorders>
          </w:tcPr>
          <w:p w14:paraId="5E0D7D8A" w14:textId="77777777" w:rsidR="00483DAD" w:rsidRPr="000B7CA5" w:rsidRDefault="00483DAD" w:rsidP="00483DAD">
            <w:pPr>
              <w:pStyle w:val="TableParagraph"/>
              <w:kinsoku w:val="0"/>
              <w:overflowPunct w:val="0"/>
              <w:spacing w:before="1"/>
              <w:rPr>
                <w:sz w:val="16"/>
                <w:szCs w:val="16"/>
              </w:rPr>
            </w:pPr>
          </w:p>
          <w:p w14:paraId="46960940" w14:textId="79EBD8C7" w:rsidR="00483DAD" w:rsidRPr="000B7CA5" w:rsidRDefault="00483DAD" w:rsidP="00483DAD">
            <w:pPr>
              <w:pStyle w:val="TableParagraph"/>
              <w:kinsoku w:val="0"/>
              <w:overflowPunct w:val="0"/>
              <w:ind w:left="107"/>
              <w:rPr>
                <w:color w:val="231F20"/>
                <w:sz w:val="16"/>
                <w:szCs w:val="16"/>
              </w:rPr>
            </w:pPr>
            <w:r w:rsidRPr="000B7CA5">
              <w:rPr>
                <w:color w:val="231F20"/>
                <w:sz w:val="16"/>
                <w:szCs w:val="16"/>
              </w:rPr>
              <w:t>AE4778</w:t>
            </w:r>
          </w:p>
        </w:tc>
        <w:tc>
          <w:tcPr>
            <w:tcW w:w="1138" w:type="dxa"/>
            <w:tcBorders>
              <w:top w:val="none" w:sz="6" w:space="0" w:color="auto"/>
              <w:left w:val="single" w:sz="4" w:space="0" w:color="231F20"/>
              <w:bottom w:val="single" w:sz="4" w:space="0" w:color="231F20"/>
              <w:right w:val="single" w:sz="4" w:space="0" w:color="231F20"/>
            </w:tcBorders>
          </w:tcPr>
          <w:p w14:paraId="04EDA83B" w14:textId="77777777" w:rsidR="00483DAD" w:rsidRPr="000B7CA5" w:rsidRDefault="00483DAD" w:rsidP="00483DAD">
            <w:pPr>
              <w:pStyle w:val="TableParagraph"/>
              <w:kinsoku w:val="0"/>
              <w:overflowPunct w:val="0"/>
              <w:spacing w:before="1"/>
              <w:rPr>
                <w:sz w:val="16"/>
                <w:szCs w:val="16"/>
              </w:rPr>
            </w:pPr>
          </w:p>
          <w:p w14:paraId="2C5B99F4" w14:textId="2738EC61" w:rsidR="00483DAD" w:rsidRPr="000B7CA5" w:rsidRDefault="00483DAD" w:rsidP="00483DAD">
            <w:pPr>
              <w:pStyle w:val="TableParagraph"/>
              <w:kinsoku w:val="0"/>
              <w:overflowPunct w:val="0"/>
              <w:ind w:left="112"/>
              <w:rPr>
                <w:color w:val="231F20"/>
                <w:sz w:val="16"/>
                <w:szCs w:val="16"/>
              </w:rPr>
            </w:pPr>
            <w:proofErr w:type="spellStart"/>
            <w:r>
              <w:rPr>
                <w:color w:val="231F20"/>
                <w:sz w:val="16"/>
                <w:szCs w:val="16"/>
              </w:rPr>
              <w:t>Melandra</w:t>
            </w:r>
            <w:proofErr w:type="spellEnd"/>
            <w:r>
              <w:rPr>
                <w:color w:val="231F20"/>
                <w:sz w:val="16"/>
                <w:szCs w:val="16"/>
              </w:rPr>
              <w:t xml:space="preserve">, </w:t>
            </w:r>
            <w:proofErr w:type="spellStart"/>
            <w:r>
              <w:rPr>
                <w:color w:val="231F20"/>
                <w:sz w:val="16"/>
                <w:szCs w:val="16"/>
              </w:rPr>
              <w:t>Peristerona</w:t>
            </w:r>
            <w:proofErr w:type="spellEnd"/>
            <w:r>
              <w:rPr>
                <w:color w:val="231F20"/>
                <w:sz w:val="16"/>
                <w:szCs w:val="16"/>
              </w:rPr>
              <w:t xml:space="preserve">, </w:t>
            </w:r>
            <w:proofErr w:type="spellStart"/>
            <w:r w:rsidRPr="000B7CA5">
              <w:rPr>
                <w:color w:val="231F20"/>
                <w:sz w:val="16"/>
                <w:szCs w:val="16"/>
              </w:rPr>
              <w:t>Filousa</w:t>
            </w:r>
            <w:proofErr w:type="spellEnd"/>
          </w:p>
        </w:tc>
        <w:tc>
          <w:tcPr>
            <w:tcW w:w="1006" w:type="dxa"/>
            <w:tcBorders>
              <w:top w:val="none" w:sz="6" w:space="0" w:color="auto"/>
              <w:left w:val="single" w:sz="4" w:space="0" w:color="231F20"/>
              <w:bottom w:val="single" w:sz="4" w:space="0" w:color="231F20"/>
              <w:right w:val="single" w:sz="4" w:space="0" w:color="231F20"/>
            </w:tcBorders>
          </w:tcPr>
          <w:p w14:paraId="512DFA29" w14:textId="77777777" w:rsidR="00483DAD" w:rsidRPr="000B7CA5" w:rsidRDefault="00483DAD" w:rsidP="00483DAD">
            <w:pPr>
              <w:pStyle w:val="TableParagraph"/>
              <w:kinsoku w:val="0"/>
              <w:overflowPunct w:val="0"/>
              <w:spacing w:before="74" w:line="259" w:lineRule="auto"/>
              <w:ind w:left="109" w:right="206"/>
              <w:rPr>
                <w:color w:val="231F20"/>
                <w:sz w:val="16"/>
                <w:szCs w:val="16"/>
              </w:rPr>
            </w:pPr>
            <w:r w:rsidRPr="000B7CA5">
              <w:rPr>
                <w:color w:val="231F20"/>
                <w:sz w:val="16"/>
                <w:szCs w:val="16"/>
              </w:rPr>
              <w:t>Troodos West</w:t>
            </w:r>
          </w:p>
        </w:tc>
        <w:tc>
          <w:tcPr>
            <w:tcW w:w="908" w:type="dxa"/>
            <w:tcBorders>
              <w:top w:val="none" w:sz="6" w:space="0" w:color="auto"/>
              <w:left w:val="single" w:sz="4" w:space="0" w:color="231F20"/>
              <w:bottom w:val="single" w:sz="4" w:space="0" w:color="231F20"/>
              <w:right w:val="single" w:sz="4" w:space="0" w:color="231F20"/>
            </w:tcBorders>
          </w:tcPr>
          <w:p w14:paraId="6BE2CC89" w14:textId="77777777" w:rsidR="00483DAD" w:rsidRPr="000B7CA5" w:rsidRDefault="00483DAD" w:rsidP="00483DAD">
            <w:pPr>
              <w:pStyle w:val="TableParagraph"/>
              <w:kinsoku w:val="0"/>
              <w:overflowPunct w:val="0"/>
              <w:spacing w:before="1"/>
              <w:rPr>
                <w:sz w:val="16"/>
                <w:szCs w:val="16"/>
              </w:rPr>
            </w:pPr>
          </w:p>
          <w:p w14:paraId="76CD9535" w14:textId="55B8394C" w:rsidR="00483DAD" w:rsidRPr="000B7CA5" w:rsidRDefault="00483DAD" w:rsidP="00483DAD">
            <w:pPr>
              <w:pStyle w:val="TableParagraph"/>
              <w:kinsoku w:val="0"/>
              <w:overflowPunct w:val="0"/>
              <w:ind w:left="111"/>
              <w:rPr>
                <w:color w:val="231F20"/>
                <w:sz w:val="16"/>
                <w:szCs w:val="16"/>
              </w:rPr>
            </w:pPr>
            <w:r w:rsidRPr="000B7CA5">
              <w:rPr>
                <w:color w:val="231F20"/>
                <w:sz w:val="16"/>
                <w:szCs w:val="16"/>
              </w:rPr>
              <w:t>2.87</w:t>
            </w:r>
          </w:p>
        </w:tc>
        <w:tc>
          <w:tcPr>
            <w:tcW w:w="1549" w:type="dxa"/>
            <w:tcBorders>
              <w:top w:val="none" w:sz="6" w:space="0" w:color="auto"/>
              <w:left w:val="single" w:sz="4" w:space="0" w:color="231F20"/>
              <w:bottom w:val="single" w:sz="4" w:space="0" w:color="231F20"/>
              <w:right w:val="single" w:sz="4" w:space="0" w:color="231F20"/>
            </w:tcBorders>
          </w:tcPr>
          <w:p w14:paraId="47E212C1" w14:textId="77777777" w:rsidR="00483DAD" w:rsidRPr="000B7CA5" w:rsidRDefault="00483DAD" w:rsidP="00483DAD">
            <w:pPr>
              <w:pStyle w:val="TableParagraph"/>
              <w:kinsoku w:val="0"/>
              <w:overflowPunct w:val="0"/>
              <w:spacing w:before="1"/>
              <w:rPr>
                <w:sz w:val="16"/>
                <w:szCs w:val="16"/>
              </w:rPr>
            </w:pPr>
          </w:p>
          <w:p w14:paraId="46F663BC" w14:textId="77777777" w:rsidR="00483DAD" w:rsidRPr="000B7CA5" w:rsidRDefault="00483DAD" w:rsidP="00483DAD">
            <w:pPr>
              <w:pStyle w:val="TableParagraph"/>
              <w:kinsoku w:val="0"/>
              <w:overflowPunct w:val="0"/>
              <w:ind w:right="525"/>
              <w:jc w:val="right"/>
              <w:rPr>
                <w:color w:val="231F20"/>
                <w:sz w:val="16"/>
                <w:szCs w:val="16"/>
              </w:rPr>
            </w:pPr>
            <w:r w:rsidRPr="000B7CA5">
              <w:rPr>
                <w:color w:val="231F20"/>
                <w:sz w:val="16"/>
                <w:szCs w:val="16"/>
              </w:rPr>
              <w:t>Exploration</w:t>
            </w:r>
          </w:p>
        </w:tc>
        <w:tc>
          <w:tcPr>
            <w:tcW w:w="1407" w:type="dxa"/>
            <w:tcBorders>
              <w:top w:val="single" w:sz="4" w:space="0" w:color="231F20"/>
              <w:left w:val="single" w:sz="4" w:space="0" w:color="231F20"/>
              <w:bottom w:val="single" w:sz="4" w:space="0" w:color="231F20"/>
              <w:right w:val="single" w:sz="4" w:space="0" w:color="231F20"/>
            </w:tcBorders>
          </w:tcPr>
          <w:p w14:paraId="755CF32B" w14:textId="77777777" w:rsidR="00483DAD" w:rsidRPr="000B7CA5" w:rsidRDefault="00483DAD" w:rsidP="00483DAD">
            <w:pPr>
              <w:pStyle w:val="TableParagraph"/>
              <w:kinsoku w:val="0"/>
              <w:overflowPunct w:val="0"/>
              <w:spacing w:before="1"/>
              <w:rPr>
                <w:sz w:val="16"/>
                <w:szCs w:val="16"/>
              </w:rPr>
            </w:pPr>
          </w:p>
          <w:p w14:paraId="09E9AA97" w14:textId="77777777" w:rsidR="00483DAD" w:rsidRPr="000B7CA5" w:rsidRDefault="00483DAD" w:rsidP="00483DAD">
            <w:pPr>
              <w:pStyle w:val="TableParagraph"/>
              <w:kinsoku w:val="0"/>
              <w:overflowPunct w:val="0"/>
              <w:ind w:left="106"/>
              <w:rPr>
                <w:color w:val="231F20"/>
                <w:sz w:val="16"/>
                <w:szCs w:val="16"/>
              </w:rPr>
            </w:pPr>
            <w:r w:rsidRPr="000B7CA5">
              <w:rPr>
                <w:color w:val="231F20"/>
                <w:sz w:val="16"/>
                <w:szCs w:val="16"/>
              </w:rPr>
              <w:t>GRANTED</w:t>
            </w:r>
          </w:p>
        </w:tc>
        <w:tc>
          <w:tcPr>
            <w:tcW w:w="1129" w:type="dxa"/>
            <w:tcBorders>
              <w:top w:val="single" w:sz="4" w:space="0" w:color="231F20"/>
              <w:left w:val="single" w:sz="4" w:space="0" w:color="231F20"/>
              <w:bottom w:val="single" w:sz="4" w:space="0" w:color="231F20"/>
              <w:right w:val="single" w:sz="4" w:space="0" w:color="231F20"/>
            </w:tcBorders>
          </w:tcPr>
          <w:p w14:paraId="644220F8" w14:textId="0B09E0EB" w:rsidR="00483DAD" w:rsidRPr="000B7CA5" w:rsidRDefault="002849BA" w:rsidP="00483DAD">
            <w:pPr>
              <w:pStyle w:val="TableParagraph"/>
              <w:kinsoku w:val="0"/>
              <w:overflowPunct w:val="0"/>
              <w:spacing w:line="195" w:lineRule="exact"/>
              <w:ind w:left="108"/>
              <w:rPr>
                <w:b/>
                <w:bCs/>
                <w:color w:val="231F20"/>
                <w:sz w:val="16"/>
                <w:szCs w:val="16"/>
              </w:rPr>
            </w:pPr>
            <w:r>
              <w:rPr>
                <w:b/>
                <w:bCs/>
                <w:color w:val="231F20"/>
                <w:sz w:val="16"/>
                <w:szCs w:val="16"/>
              </w:rPr>
              <w:t>30</w:t>
            </w:r>
            <w:r w:rsidRPr="000B7CA5">
              <w:rPr>
                <w:b/>
                <w:bCs/>
                <w:color w:val="231F20"/>
                <w:sz w:val="16"/>
                <w:szCs w:val="16"/>
              </w:rPr>
              <w:t>l11l2020</w:t>
            </w:r>
          </w:p>
        </w:tc>
        <w:tc>
          <w:tcPr>
            <w:tcW w:w="1070" w:type="dxa"/>
            <w:tcBorders>
              <w:top w:val="single" w:sz="4" w:space="0" w:color="231F20"/>
              <w:left w:val="single" w:sz="4" w:space="0" w:color="231F20"/>
              <w:bottom w:val="single" w:sz="4" w:space="0" w:color="231F20"/>
              <w:right w:val="single" w:sz="4" w:space="0" w:color="231F20"/>
            </w:tcBorders>
          </w:tcPr>
          <w:p w14:paraId="57F7BA2F" w14:textId="7E1544D2" w:rsidR="00483DAD" w:rsidRPr="000B7CA5" w:rsidRDefault="002849BA" w:rsidP="00483DAD">
            <w:pPr>
              <w:pStyle w:val="TableParagraph"/>
              <w:kinsoku w:val="0"/>
              <w:overflowPunct w:val="0"/>
              <w:spacing w:line="200" w:lineRule="exact"/>
              <w:ind w:left="105"/>
              <w:rPr>
                <w:color w:val="231F20"/>
                <w:sz w:val="16"/>
                <w:szCs w:val="16"/>
              </w:rPr>
            </w:pPr>
            <w:r>
              <w:rPr>
                <w:color w:val="231F20"/>
                <w:sz w:val="16"/>
                <w:szCs w:val="16"/>
              </w:rPr>
              <w:t>30</w:t>
            </w:r>
            <w:r w:rsidRPr="000B7CA5">
              <w:rPr>
                <w:color w:val="231F20"/>
                <w:sz w:val="16"/>
                <w:szCs w:val="16"/>
              </w:rPr>
              <w:t>/11/202</w:t>
            </w:r>
            <w:r>
              <w:rPr>
                <w:color w:val="231F20"/>
                <w:sz w:val="16"/>
                <w:szCs w:val="16"/>
              </w:rPr>
              <w:t>0-29/11/2021</w:t>
            </w:r>
          </w:p>
        </w:tc>
      </w:tr>
      <w:tr w:rsidR="00483DAD" w:rsidRPr="000B7CA5" w14:paraId="472D3932" w14:textId="77777777" w:rsidTr="009C0B35">
        <w:trPr>
          <w:trHeight w:val="606"/>
        </w:trPr>
        <w:tc>
          <w:tcPr>
            <w:tcW w:w="888" w:type="dxa"/>
            <w:tcBorders>
              <w:top w:val="none" w:sz="6" w:space="0" w:color="auto"/>
              <w:left w:val="single" w:sz="8" w:space="0" w:color="231F20"/>
              <w:bottom w:val="single" w:sz="4" w:space="0" w:color="231F20"/>
              <w:right w:val="single" w:sz="4" w:space="0" w:color="231F20"/>
            </w:tcBorders>
          </w:tcPr>
          <w:p w14:paraId="0D64F06C" w14:textId="77777777" w:rsidR="00483DAD" w:rsidRPr="000B7CA5" w:rsidRDefault="00483DAD" w:rsidP="00483DAD">
            <w:pPr>
              <w:pStyle w:val="TableParagraph"/>
              <w:kinsoku w:val="0"/>
              <w:overflowPunct w:val="0"/>
              <w:spacing w:before="1"/>
              <w:rPr>
                <w:sz w:val="16"/>
                <w:szCs w:val="16"/>
              </w:rPr>
            </w:pPr>
          </w:p>
          <w:p w14:paraId="760C6474" w14:textId="56832EB8" w:rsidR="00483DAD" w:rsidRPr="000B7CA5" w:rsidRDefault="00483DAD" w:rsidP="00483DAD">
            <w:pPr>
              <w:pStyle w:val="TableParagraph"/>
              <w:kinsoku w:val="0"/>
              <w:overflowPunct w:val="0"/>
              <w:spacing w:before="1"/>
              <w:jc w:val="center"/>
              <w:rPr>
                <w:sz w:val="16"/>
                <w:szCs w:val="16"/>
              </w:rPr>
            </w:pPr>
            <w:r w:rsidRPr="000B7CA5">
              <w:rPr>
                <w:color w:val="231F20"/>
                <w:sz w:val="16"/>
                <w:szCs w:val="16"/>
              </w:rPr>
              <w:t>AE4788</w:t>
            </w:r>
          </w:p>
        </w:tc>
        <w:tc>
          <w:tcPr>
            <w:tcW w:w="1138" w:type="dxa"/>
            <w:tcBorders>
              <w:top w:val="none" w:sz="6" w:space="0" w:color="auto"/>
              <w:left w:val="single" w:sz="4" w:space="0" w:color="231F20"/>
              <w:bottom w:val="single" w:sz="4" w:space="0" w:color="231F20"/>
              <w:right w:val="single" w:sz="4" w:space="0" w:color="231F20"/>
            </w:tcBorders>
          </w:tcPr>
          <w:p w14:paraId="549E9775" w14:textId="77777777" w:rsidR="00483DAD" w:rsidRPr="000B7CA5" w:rsidRDefault="00483DAD" w:rsidP="00483DAD">
            <w:pPr>
              <w:pStyle w:val="TableParagraph"/>
              <w:kinsoku w:val="0"/>
              <w:overflowPunct w:val="0"/>
              <w:spacing w:before="1"/>
              <w:rPr>
                <w:sz w:val="16"/>
                <w:szCs w:val="16"/>
              </w:rPr>
            </w:pPr>
          </w:p>
          <w:p w14:paraId="4DD416C3" w14:textId="445AEF46" w:rsidR="00483DAD" w:rsidRDefault="00483DAD" w:rsidP="00483DAD">
            <w:pPr>
              <w:pStyle w:val="TableParagraph"/>
              <w:kinsoku w:val="0"/>
              <w:overflowPunct w:val="0"/>
              <w:spacing w:line="200" w:lineRule="exact"/>
              <w:ind w:left="133"/>
              <w:rPr>
                <w:color w:val="231F20"/>
                <w:sz w:val="16"/>
                <w:szCs w:val="16"/>
              </w:rPr>
            </w:pPr>
            <w:proofErr w:type="spellStart"/>
            <w:r>
              <w:rPr>
                <w:color w:val="231F20"/>
                <w:sz w:val="16"/>
                <w:szCs w:val="16"/>
              </w:rPr>
              <w:t>Makounta</w:t>
            </w:r>
            <w:proofErr w:type="spellEnd"/>
            <w:r>
              <w:rPr>
                <w:color w:val="231F20"/>
                <w:sz w:val="16"/>
                <w:szCs w:val="16"/>
              </w:rPr>
              <w:t xml:space="preserve">, </w:t>
            </w:r>
            <w:proofErr w:type="spellStart"/>
            <w:r>
              <w:rPr>
                <w:color w:val="231F20"/>
                <w:sz w:val="16"/>
                <w:szCs w:val="16"/>
              </w:rPr>
              <w:t>Pelathousa</w:t>
            </w:r>
            <w:proofErr w:type="spellEnd"/>
            <w:r>
              <w:rPr>
                <w:color w:val="231F20"/>
                <w:sz w:val="16"/>
                <w:szCs w:val="16"/>
              </w:rPr>
              <w:t xml:space="preserve">, </w:t>
            </w:r>
          </w:p>
          <w:p w14:paraId="5476BBBD" w14:textId="5C7A10D4" w:rsidR="00483DAD" w:rsidRPr="000B7CA5" w:rsidRDefault="00483DAD" w:rsidP="00483DAD">
            <w:pPr>
              <w:pStyle w:val="TableParagraph"/>
              <w:kinsoku w:val="0"/>
              <w:overflowPunct w:val="0"/>
              <w:spacing w:before="1"/>
              <w:ind w:left="269" w:hanging="142"/>
              <w:rPr>
                <w:sz w:val="16"/>
                <w:szCs w:val="16"/>
              </w:rPr>
            </w:pPr>
            <w:r>
              <w:rPr>
                <w:color w:val="231F20"/>
                <w:sz w:val="16"/>
                <w:szCs w:val="16"/>
              </w:rPr>
              <w:t>Polis</w:t>
            </w:r>
          </w:p>
        </w:tc>
        <w:tc>
          <w:tcPr>
            <w:tcW w:w="1006" w:type="dxa"/>
            <w:tcBorders>
              <w:top w:val="none" w:sz="6" w:space="0" w:color="auto"/>
              <w:left w:val="single" w:sz="4" w:space="0" w:color="231F20"/>
              <w:bottom w:val="single" w:sz="4" w:space="0" w:color="231F20"/>
              <w:right w:val="single" w:sz="4" w:space="0" w:color="231F20"/>
            </w:tcBorders>
          </w:tcPr>
          <w:p w14:paraId="6A0D1667" w14:textId="3BB3D7F3" w:rsidR="00483DAD" w:rsidRPr="000B7CA5" w:rsidRDefault="00483DAD" w:rsidP="00483DAD">
            <w:pPr>
              <w:pStyle w:val="TableParagraph"/>
              <w:kinsoku w:val="0"/>
              <w:overflowPunct w:val="0"/>
              <w:spacing w:before="74" w:line="259" w:lineRule="auto"/>
              <w:ind w:left="109" w:right="206"/>
              <w:rPr>
                <w:color w:val="231F20"/>
                <w:sz w:val="16"/>
                <w:szCs w:val="16"/>
              </w:rPr>
            </w:pPr>
            <w:r w:rsidRPr="000B7CA5">
              <w:rPr>
                <w:color w:val="231F20"/>
                <w:sz w:val="16"/>
                <w:szCs w:val="16"/>
              </w:rPr>
              <w:t>Troodos West</w:t>
            </w:r>
          </w:p>
        </w:tc>
        <w:tc>
          <w:tcPr>
            <w:tcW w:w="908" w:type="dxa"/>
            <w:tcBorders>
              <w:top w:val="none" w:sz="6" w:space="0" w:color="auto"/>
              <w:left w:val="single" w:sz="4" w:space="0" w:color="231F20"/>
              <w:bottom w:val="single" w:sz="4" w:space="0" w:color="231F20"/>
              <w:right w:val="single" w:sz="4" w:space="0" w:color="231F20"/>
            </w:tcBorders>
          </w:tcPr>
          <w:p w14:paraId="4102FEA2" w14:textId="77777777" w:rsidR="00483DAD" w:rsidRPr="000B7CA5" w:rsidRDefault="00483DAD" w:rsidP="00483DAD">
            <w:pPr>
              <w:pStyle w:val="TableParagraph"/>
              <w:kinsoku w:val="0"/>
              <w:overflowPunct w:val="0"/>
              <w:spacing w:before="1"/>
              <w:rPr>
                <w:sz w:val="16"/>
                <w:szCs w:val="16"/>
              </w:rPr>
            </w:pPr>
          </w:p>
          <w:p w14:paraId="132157F8" w14:textId="6999D8BC" w:rsidR="00483DAD" w:rsidRPr="000B7CA5" w:rsidRDefault="00483DAD" w:rsidP="00483DAD">
            <w:pPr>
              <w:pStyle w:val="TableParagraph"/>
              <w:kinsoku w:val="0"/>
              <w:overflowPunct w:val="0"/>
              <w:spacing w:before="1"/>
              <w:ind w:left="80"/>
              <w:rPr>
                <w:sz w:val="16"/>
                <w:szCs w:val="16"/>
              </w:rPr>
            </w:pPr>
            <w:r w:rsidRPr="000B7CA5">
              <w:rPr>
                <w:color w:val="231F20"/>
                <w:sz w:val="16"/>
                <w:szCs w:val="16"/>
              </w:rPr>
              <w:t>3.25</w:t>
            </w:r>
          </w:p>
        </w:tc>
        <w:tc>
          <w:tcPr>
            <w:tcW w:w="1549" w:type="dxa"/>
            <w:tcBorders>
              <w:top w:val="none" w:sz="6" w:space="0" w:color="auto"/>
              <w:left w:val="single" w:sz="4" w:space="0" w:color="231F20"/>
              <w:bottom w:val="single" w:sz="4" w:space="0" w:color="231F20"/>
              <w:right w:val="single" w:sz="4" w:space="0" w:color="231F20"/>
            </w:tcBorders>
          </w:tcPr>
          <w:p w14:paraId="47AFACDA" w14:textId="77777777" w:rsidR="00483DAD" w:rsidRPr="000B7CA5" w:rsidRDefault="00483DAD" w:rsidP="00483DAD">
            <w:pPr>
              <w:pStyle w:val="TableParagraph"/>
              <w:kinsoku w:val="0"/>
              <w:overflowPunct w:val="0"/>
              <w:spacing w:before="1"/>
              <w:rPr>
                <w:sz w:val="16"/>
                <w:szCs w:val="16"/>
              </w:rPr>
            </w:pPr>
          </w:p>
          <w:p w14:paraId="013883D0" w14:textId="4D6EAF5B" w:rsidR="00483DAD" w:rsidRPr="000B7CA5" w:rsidRDefault="00483DAD" w:rsidP="00483DAD">
            <w:pPr>
              <w:pStyle w:val="TableParagraph"/>
              <w:kinsoku w:val="0"/>
              <w:overflowPunct w:val="0"/>
              <w:spacing w:before="1"/>
              <w:rPr>
                <w:sz w:val="16"/>
                <w:szCs w:val="16"/>
              </w:rPr>
            </w:pPr>
            <w:r w:rsidRPr="000B7CA5">
              <w:rPr>
                <w:color w:val="231F20"/>
                <w:sz w:val="16"/>
                <w:szCs w:val="16"/>
              </w:rPr>
              <w:t xml:space="preserve">  Exploration</w:t>
            </w:r>
          </w:p>
        </w:tc>
        <w:tc>
          <w:tcPr>
            <w:tcW w:w="1407" w:type="dxa"/>
            <w:tcBorders>
              <w:top w:val="single" w:sz="4" w:space="0" w:color="231F20"/>
              <w:left w:val="single" w:sz="4" w:space="0" w:color="231F20"/>
              <w:bottom w:val="single" w:sz="4" w:space="0" w:color="231F20"/>
              <w:right w:val="single" w:sz="4" w:space="0" w:color="231F20"/>
            </w:tcBorders>
          </w:tcPr>
          <w:p w14:paraId="33380017" w14:textId="77777777" w:rsidR="00483DAD" w:rsidRPr="000B7CA5" w:rsidRDefault="00483DAD" w:rsidP="00483DAD">
            <w:pPr>
              <w:pStyle w:val="TableParagraph"/>
              <w:kinsoku w:val="0"/>
              <w:overflowPunct w:val="0"/>
              <w:spacing w:before="1"/>
              <w:rPr>
                <w:sz w:val="16"/>
                <w:szCs w:val="16"/>
              </w:rPr>
            </w:pPr>
          </w:p>
          <w:p w14:paraId="7025774F" w14:textId="199ACD9F" w:rsidR="00483DAD" w:rsidRPr="000B7CA5" w:rsidRDefault="00483DAD" w:rsidP="00483DAD">
            <w:pPr>
              <w:pStyle w:val="TableParagraph"/>
              <w:kinsoku w:val="0"/>
              <w:overflowPunct w:val="0"/>
              <w:spacing w:before="1"/>
              <w:rPr>
                <w:sz w:val="16"/>
                <w:szCs w:val="16"/>
              </w:rPr>
            </w:pPr>
            <w:r w:rsidRPr="000B7CA5">
              <w:rPr>
                <w:color w:val="231F20"/>
                <w:sz w:val="16"/>
                <w:szCs w:val="16"/>
              </w:rPr>
              <w:t xml:space="preserve">  GRANTED</w:t>
            </w:r>
          </w:p>
        </w:tc>
        <w:tc>
          <w:tcPr>
            <w:tcW w:w="1129" w:type="dxa"/>
            <w:tcBorders>
              <w:top w:val="single" w:sz="4" w:space="0" w:color="231F20"/>
              <w:left w:val="single" w:sz="4" w:space="0" w:color="231F20"/>
              <w:bottom w:val="single" w:sz="4" w:space="0" w:color="231F20"/>
              <w:right w:val="single" w:sz="4" w:space="0" w:color="231F20"/>
            </w:tcBorders>
          </w:tcPr>
          <w:p w14:paraId="39D5FB01" w14:textId="77777777" w:rsidR="00483DAD" w:rsidRPr="000B7CA5" w:rsidRDefault="00483DAD" w:rsidP="00483DAD">
            <w:pPr>
              <w:pStyle w:val="TableParagraph"/>
              <w:kinsoku w:val="0"/>
              <w:overflowPunct w:val="0"/>
              <w:spacing w:line="195" w:lineRule="exact"/>
              <w:ind w:left="108"/>
              <w:rPr>
                <w:b/>
                <w:bCs/>
                <w:color w:val="231F20"/>
                <w:sz w:val="16"/>
                <w:szCs w:val="16"/>
              </w:rPr>
            </w:pPr>
          </w:p>
          <w:p w14:paraId="685F0D1B" w14:textId="1FC9CD7D" w:rsidR="00483DAD" w:rsidRPr="000B7CA5" w:rsidRDefault="002849BA" w:rsidP="00483DAD">
            <w:pPr>
              <w:pStyle w:val="TableParagraph"/>
              <w:kinsoku w:val="0"/>
              <w:overflowPunct w:val="0"/>
              <w:spacing w:line="195" w:lineRule="exact"/>
              <w:ind w:left="108"/>
              <w:rPr>
                <w:b/>
                <w:bCs/>
                <w:color w:val="231F20"/>
                <w:sz w:val="16"/>
                <w:szCs w:val="16"/>
              </w:rPr>
            </w:pPr>
            <w:r>
              <w:rPr>
                <w:b/>
                <w:bCs/>
                <w:color w:val="231F20"/>
                <w:sz w:val="16"/>
                <w:szCs w:val="16"/>
              </w:rPr>
              <w:t>01/03/2021</w:t>
            </w:r>
          </w:p>
        </w:tc>
        <w:tc>
          <w:tcPr>
            <w:tcW w:w="1070" w:type="dxa"/>
            <w:tcBorders>
              <w:top w:val="single" w:sz="4" w:space="0" w:color="231F20"/>
              <w:left w:val="single" w:sz="4" w:space="0" w:color="231F20"/>
              <w:bottom w:val="single" w:sz="4" w:space="0" w:color="231F20"/>
              <w:right w:val="single" w:sz="4" w:space="0" w:color="231F20"/>
            </w:tcBorders>
          </w:tcPr>
          <w:p w14:paraId="2186B07C" w14:textId="182E17DE" w:rsidR="00483DAD" w:rsidRPr="000B7CA5" w:rsidRDefault="002849BA" w:rsidP="00483DAD">
            <w:pPr>
              <w:pStyle w:val="TableParagraph"/>
              <w:kinsoku w:val="0"/>
              <w:overflowPunct w:val="0"/>
              <w:spacing w:line="200" w:lineRule="exact"/>
              <w:ind w:left="105"/>
              <w:rPr>
                <w:color w:val="231F20"/>
                <w:sz w:val="16"/>
                <w:szCs w:val="16"/>
              </w:rPr>
            </w:pPr>
            <w:r>
              <w:rPr>
                <w:color w:val="231F20"/>
                <w:sz w:val="16"/>
                <w:szCs w:val="16"/>
              </w:rPr>
              <w:t>01/03/2021-28/02/2022</w:t>
            </w:r>
          </w:p>
        </w:tc>
      </w:tr>
      <w:tr w:rsidR="00483DAD" w:rsidRPr="000B7CA5" w14:paraId="5086FF2C" w14:textId="77777777" w:rsidTr="009C0B35">
        <w:trPr>
          <w:trHeight w:val="445"/>
        </w:trPr>
        <w:tc>
          <w:tcPr>
            <w:tcW w:w="2026" w:type="dxa"/>
            <w:gridSpan w:val="2"/>
            <w:tcBorders>
              <w:top w:val="single" w:sz="4" w:space="0" w:color="231F20"/>
              <w:left w:val="single" w:sz="4" w:space="0" w:color="231F20"/>
              <w:bottom w:val="single" w:sz="4" w:space="0" w:color="231F20"/>
              <w:right w:val="single" w:sz="4" w:space="0" w:color="231F20"/>
            </w:tcBorders>
          </w:tcPr>
          <w:p w14:paraId="254D900E" w14:textId="77777777" w:rsidR="00483DAD" w:rsidRPr="000B7CA5" w:rsidRDefault="00483DAD" w:rsidP="00483DAD">
            <w:pPr>
              <w:pStyle w:val="TableParagraph"/>
              <w:kinsoku w:val="0"/>
              <w:overflowPunct w:val="0"/>
              <w:rPr>
                <w:rFonts w:ascii="Times New Roman" w:hAnsi="Times New Roman" w:cs="Times New Roman"/>
                <w:sz w:val="16"/>
                <w:szCs w:val="16"/>
              </w:rPr>
            </w:pPr>
          </w:p>
        </w:tc>
        <w:tc>
          <w:tcPr>
            <w:tcW w:w="1006" w:type="dxa"/>
            <w:tcBorders>
              <w:top w:val="single" w:sz="4" w:space="0" w:color="231F20"/>
              <w:left w:val="single" w:sz="4" w:space="0" w:color="231F20"/>
              <w:bottom w:val="single" w:sz="4" w:space="0" w:color="231F20"/>
              <w:right w:val="single" w:sz="4" w:space="0" w:color="231F20"/>
            </w:tcBorders>
            <w:shd w:val="clear" w:color="auto" w:fill="F2F2F3"/>
          </w:tcPr>
          <w:p w14:paraId="2B9C337E" w14:textId="77777777" w:rsidR="00483DAD" w:rsidRPr="000B7CA5" w:rsidRDefault="00483DAD" w:rsidP="00483DAD">
            <w:pPr>
              <w:pStyle w:val="TableParagraph"/>
              <w:kinsoku w:val="0"/>
              <w:overflowPunct w:val="0"/>
              <w:spacing w:line="195" w:lineRule="exact"/>
              <w:ind w:left="109"/>
              <w:rPr>
                <w:b/>
                <w:bCs/>
                <w:color w:val="231F20"/>
                <w:sz w:val="16"/>
                <w:szCs w:val="16"/>
              </w:rPr>
            </w:pPr>
            <w:r w:rsidRPr="000B7CA5">
              <w:rPr>
                <w:b/>
                <w:bCs/>
                <w:color w:val="231F20"/>
                <w:sz w:val="16"/>
                <w:szCs w:val="16"/>
              </w:rPr>
              <w:t>Total</w:t>
            </w:r>
          </w:p>
          <w:p w14:paraId="22702A6A" w14:textId="77777777" w:rsidR="00483DAD" w:rsidRPr="000B7CA5" w:rsidRDefault="00483DAD" w:rsidP="00483DAD">
            <w:pPr>
              <w:pStyle w:val="TableParagraph"/>
              <w:kinsoku w:val="0"/>
              <w:overflowPunct w:val="0"/>
              <w:spacing w:before="16"/>
              <w:ind w:left="109"/>
              <w:rPr>
                <w:b/>
                <w:bCs/>
                <w:color w:val="231F20"/>
                <w:sz w:val="16"/>
                <w:szCs w:val="16"/>
              </w:rPr>
            </w:pPr>
            <w:r w:rsidRPr="000B7CA5">
              <w:rPr>
                <w:b/>
                <w:bCs/>
                <w:color w:val="231F20"/>
                <w:sz w:val="16"/>
                <w:szCs w:val="16"/>
              </w:rPr>
              <w:t>Area</w:t>
            </w:r>
          </w:p>
        </w:tc>
        <w:tc>
          <w:tcPr>
            <w:tcW w:w="908" w:type="dxa"/>
            <w:tcBorders>
              <w:top w:val="single" w:sz="4" w:space="0" w:color="231F20"/>
              <w:left w:val="single" w:sz="4" w:space="0" w:color="231F20"/>
              <w:bottom w:val="single" w:sz="4" w:space="0" w:color="231F20"/>
              <w:right w:val="single" w:sz="4" w:space="0" w:color="231F20"/>
            </w:tcBorders>
            <w:shd w:val="clear" w:color="auto" w:fill="F2F2F3"/>
          </w:tcPr>
          <w:p w14:paraId="4417DC7B" w14:textId="4F1CDF9A" w:rsidR="00483DAD" w:rsidRPr="000B7CA5" w:rsidRDefault="00167306" w:rsidP="00483DAD">
            <w:pPr>
              <w:pStyle w:val="TableParagraph"/>
              <w:kinsoku w:val="0"/>
              <w:overflowPunct w:val="0"/>
              <w:spacing w:before="101"/>
              <w:ind w:left="111"/>
              <w:rPr>
                <w:b/>
                <w:bCs/>
                <w:color w:val="231F20"/>
                <w:sz w:val="16"/>
                <w:szCs w:val="16"/>
              </w:rPr>
            </w:pPr>
            <w:r w:rsidRPr="00000354">
              <w:rPr>
                <w:b/>
                <w:bCs/>
                <w:color w:val="231F20"/>
                <w:sz w:val="16"/>
                <w:szCs w:val="16"/>
              </w:rPr>
              <w:t>95.3</w:t>
            </w:r>
            <w:r w:rsidR="00F2354D" w:rsidRPr="00000354">
              <w:rPr>
                <w:b/>
                <w:bCs/>
                <w:color w:val="231F20"/>
                <w:sz w:val="16"/>
                <w:szCs w:val="16"/>
              </w:rPr>
              <w:t>8</w:t>
            </w:r>
            <w:r w:rsidRPr="00000354">
              <w:rPr>
                <w:b/>
                <w:bCs/>
                <w:color w:val="231F20"/>
                <w:sz w:val="16"/>
                <w:szCs w:val="16"/>
              </w:rPr>
              <w:t>2</w:t>
            </w:r>
          </w:p>
        </w:tc>
        <w:tc>
          <w:tcPr>
            <w:tcW w:w="5155" w:type="dxa"/>
            <w:gridSpan w:val="4"/>
            <w:tcBorders>
              <w:top w:val="single" w:sz="4" w:space="0" w:color="231F20"/>
              <w:left w:val="single" w:sz="4" w:space="0" w:color="231F20"/>
              <w:bottom w:val="single" w:sz="4" w:space="0" w:color="231F20"/>
              <w:right w:val="single" w:sz="4" w:space="0" w:color="231F20"/>
            </w:tcBorders>
          </w:tcPr>
          <w:p w14:paraId="62722875" w14:textId="1819B2E1" w:rsidR="00483DAD" w:rsidRPr="000B7CA5" w:rsidRDefault="00483DAD" w:rsidP="00483DAD">
            <w:pPr>
              <w:pStyle w:val="TableParagraph"/>
              <w:kinsoku w:val="0"/>
              <w:overflowPunct w:val="0"/>
              <w:rPr>
                <w:rFonts w:ascii="Times New Roman" w:hAnsi="Times New Roman" w:cs="Times New Roman"/>
                <w:b/>
                <w:i/>
                <w:sz w:val="16"/>
                <w:szCs w:val="16"/>
                <w:highlight w:val="yellow"/>
              </w:rPr>
            </w:pPr>
          </w:p>
        </w:tc>
      </w:tr>
    </w:tbl>
    <w:p w14:paraId="48370833" w14:textId="7F7EA02E" w:rsidR="00783288" w:rsidRDefault="00783288">
      <w:pPr>
        <w:pStyle w:val="BodyText"/>
        <w:kinsoku w:val="0"/>
        <w:overflowPunct w:val="0"/>
        <w:spacing w:before="7"/>
        <w:rPr>
          <w:sz w:val="29"/>
          <w:szCs w:val="29"/>
        </w:rPr>
      </w:pPr>
    </w:p>
    <w:p w14:paraId="74DD6799" w14:textId="4F45A583" w:rsidR="00021854" w:rsidRPr="003865BA" w:rsidRDefault="00E441AC" w:rsidP="003865BA">
      <w:pPr>
        <w:pStyle w:val="BodyText"/>
        <w:kinsoku w:val="0"/>
        <w:overflowPunct w:val="0"/>
        <w:spacing w:before="1"/>
        <w:ind w:left="839" w:right="1038"/>
        <w:jc w:val="both"/>
        <w:rPr>
          <w:color w:val="231F20"/>
        </w:rPr>
      </w:pPr>
      <w:r>
        <w:rPr>
          <w:color w:val="231F20"/>
        </w:rPr>
        <w:t>A summary of the Granted Map-Staked Mineral Licences in which the Group has a 100% interest and their particulars are set out in the table below.</w:t>
      </w:r>
    </w:p>
    <w:p w14:paraId="5C5B07EF" w14:textId="2B4C4CBE" w:rsidR="00021854" w:rsidRDefault="00021854" w:rsidP="00727924">
      <w:pPr>
        <w:pStyle w:val="BodyText"/>
        <w:kinsoku w:val="0"/>
        <w:overflowPunct w:val="0"/>
        <w:spacing w:before="1"/>
        <w:ind w:left="839" w:right="1038"/>
        <w:jc w:val="both"/>
        <w:rPr>
          <w:b/>
          <w:i/>
          <w:color w:val="231F20"/>
        </w:rPr>
      </w:pPr>
    </w:p>
    <w:p w14:paraId="2928E499" w14:textId="20D697AD" w:rsidR="00021854" w:rsidRDefault="00021854" w:rsidP="00727924">
      <w:pPr>
        <w:pStyle w:val="BodyText"/>
        <w:kinsoku w:val="0"/>
        <w:overflowPunct w:val="0"/>
        <w:spacing w:before="1"/>
        <w:ind w:left="839" w:right="1038"/>
        <w:jc w:val="both"/>
        <w:rPr>
          <w:b/>
          <w:i/>
          <w:color w:val="231F20"/>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03"/>
        <w:gridCol w:w="576"/>
        <w:gridCol w:w="670"/>
        <w:gridCol w:w="863"/>
        <w:gridCol w:w="876"/>
        <w:gridCol w:w="876"/>
        <w:gridCol w:w="590"/>
        <w:gridCol w:w="876"/>
        <w:gridCol w:w="696"/>
        <w:gridCol w:w="836"/>
        <w:gridCol w:w="810"/>
      </w:tblGrid>
      <w:tr w:rsidR="00021854" w:rsidRPr="00021854" w14:paraId="1A251A6D" w14:textId="77777777" w:rsidTr="00021854">
        <w:trPr>
          <w:trHeight w:val="448"/>
          <w:jc w:val="center"/>
        </w:trPr>
        <w:tc>
          <w:tcPr>
            <w:tcW w:w="0" w:type="auto"/>
            <w:shd w:val="clear" w:color="auto" w:fill="auto"/>
            <w:hideMark/>
          </w:tcPr>
          <w:p w14:paraId="4027956C"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Licence</w:t>
            </w:r>
            <w:r w:rsidRPr="00021854">
              <w:rPr>
                <w:rFonts w:ascii="Times New Roman" w:eastAsia="Times New Roman" w:hAnsi="Times New Roman" w:cstheme="minorHAnsi"/>
                <w:b/>
                <w:bCs/>
                <w:sz w:val="12"/>
                <w:szCs w:val="12"/>
                <w:lang w:val="en-US" w:eastAsia="en-CA"/>
              </w:rPr>
              <w:br/>
              <w:t>Number</w:t>
            </w:r>
          </w:p>
        </w:tc>
        <w:tc>
          <w:tcPr>
            <w:tcW w:w="0" w:type="auto"/>
            <w:shd w:val="clear" w:color="auto" w:fill="auto"/>
            <w:hideMark/>
          </w:tcPr>
          <w:p w14:paraId="499C16AB"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License Status</w:t>
            </w:r>
          </w:p>
        </w:tc>
        <w:tc>
          <w:tcPr>
            <w:tcW w:w="0" w:type="auto"/>
            <w:shd w:val="clear" w:color="auto" w:fill="auto"/>
            <w:hideMark/>
          </w:tcPr>
          <w:p w14:paraId="041E6E13"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No. of Claims</w:t>
            </w:r>
          </w:p>
        </w:tc>
        <w:tc>
          <w:tcPr>
            <w:tcW w:w="0" w:type="auto"/>
            <w:shd w:val="clear" w:color="auto" w:fill="auto"/>
            <w:hideMark/>
          </w:tcPr>
          <w:p w14:paraId="1E717B1D"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No. of</w:t>
            </w:r>
            <w:r w:rsidRPr="00021854">
              <w:rPr>
                <w:rFonts w:ascii="Times New Roman" w:eastAsia="Times New Roman" w:hAnsi="Times New Roman" w:cstheme="minorHAnsi"/>
                <w:b/>
                <w:bCs/>
                <w:sz w:val="12"/>
                <w:szCs w:val="12"/>
                <w:lang w:val="en-US" w:eastAsia="en-CA"/>
              </w:rPr>
              <w:br/>
              <w:t>Hectares</w:t>
            </w:r>
          </w:p>
        </w:tc>
        <w:tc>
          <w:tcPr>
            <w:tcW w:w="0" w:type="auto"/>
            <w:shd w:val="clear" w:color="auto" w:fill="auto"/>
            <w:hideMark/>
          </w:tcPr>
          <w:p w14:paraId="028CC175"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Application</w:t>
            </w:r>
            <w:r w:rsidRPr="00021854">
              <w:rPr>
                <w:rFonts w:ascii="Times New Roman" w:eastAsia="Times New Roman" w:hAnsi="Times New Roman" w:cstheme="minorHAnsi"/>
                <w:b/>
                <w:bCs/>
                <w:sz w:val="12"/>
                <w:szCs w:val="12"/>
                <w:lang w:val="en-US" w:eastAsia="en-CA"/>
              </w:rPr>
              <w:br/>
              <w:t>Date</w:t>
            </w:r>
          </w:p>
        </w:tc>
        <w:tc>
          <w:tcPr>
            <w:tcW w:w="0" w:type="auto"/>
            <w:shd w:val="clear" w:color="auto" w:fill="auto"/>
            <w:hideMark/>
          </w:tcPr>
          <w:p w14:paraId="6CE668A3"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Issuance</w:t>
            </w:r>
            <w:r w:rsidRPr="00021854">
              <w:rPr>
                <w:rFonts w:ascii="Times New Roman" w:eastAsia="Times New Roman" w:hAnsi="Times New Roman" w:cstheme="minorHAnsi"/>
                <w:b/>
                <w:bCs/>
                <w:sz w:val="12"/>
                <w:szCs w:val="12"/>
                <w:lang w:val="en-US" w:eastAsia="en-CA"/>
              </w:rPr>
              <w:br/>
              <w:t>Date</w:t>
            </w:r>
          </w:p>
        </w:tc>
        <w:tc>
          <w:tcPr>
            <w:tcW w:w="0" w:type="auto"/>
            <w:shd w:val="clear" w:color="auto" w:fill="auto"/>
            <w:hideMark/>
          </w:tcPr>
          <w:p w14:paraId="5E492BD4"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Renewal</w:t>
            </w:r>
            <w:r w:rsidRPr="00021854">
              <w:rPr>
                <w:rFonts w:ascii="Times New Roman" w:eastAsia="Times New Roman" w:hAnsi="Times New Roman" w:cstheme="minorHAnsi"/>
                <w:b/>
                <w:bCs/>
                <w:sz w:val="12"/>
                <w:szCs w:val="12"/>
                <w:lang w:val="en-US" w:eastAsia="en-CA"/>
              </w:rPr>
              <w:br/>
              <w:t>Date</w:t>
            </w:r>
          </w:p>
        </w:tc>
        <w:tc>
          <w:tcPr>
            <w:tcW w:w="0" w:type="auto"/>
            <w:shd w:val="clear" w:color="auto" w:fill="auto"/>
            <w:hideMark/>
          </w:tcPr>
          <w:p w14:paraId="3823431A"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Tenure</w:t>
            </w:r>
            <w:r w:rsidRPr="00021854">
              <w:rPr>
                <w:rFonts w:ascii="Times New Roman" w:eastAsia="Times New Roman" w:hAnsi="Times New Roman" w:cstheme="minorHAnsi"/>
                <w:b/>
                <w:bCs/>
                <w:sz w:val="12"/>
                <w:szCs w:val="12"/>
                <w:lang w:val="en-US" w:eastAsia="en-CA"/>
              </w:rPr>
              <w:br/>
              <w:t>Year</w:t>
            </w:r>
          </w:p>
        </w:tc>
        <w:tc>
          <w:tcPr>
            <w:tcW w:w="0" w:type="auto"/>
            <w:shd w:val="clear" w:color="auto" w:fill="auto"/>
            <w:hideMark/>
          </w:tcPr>
          <w:p w14:paraId="3BD2032E"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Work Due</w:t>
            </w:r>
            <w:r w:rsidRPr="00021854">
              <w:rPr>
                <w:rFonts w:ascii="Times New Roman" w:eastAsia="Times New Roman" w:hAnsi="Times New Roman" w:cstheme="minorHAnsi"/>
                <w:b/>
                <w:bCs/>
                <w:sz w:val="12"/>
                <w:szCs w:val="12"/>
                <w:lang w:val="en-US" w:eastAsia="en-CA"/>
              </w:rPr>
              <w:br/>
              <w:t>Date</w:t>
            </w:r>
          </w:p>
        </w:tc>
        <w:tc>
          <w:tcPr>
            <w:tcW w:w="0" w:type="auto"/>
            <w:shd w:val="clear" w:color="auto" w:fill="auto"/>
            <w:hideMark/>
          </w:tcPr>
          <w:p w14:paraId="02D0C12C"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Work</w:t>
            </w:r>
            <w:r w:rsidRPr="00021854">
              <w:rPr>
                <w:rFonts w:ascii="Times New Roman" w:eastAsia="Times New Roman" w:hAnsi="Times New Roman" w:cstheme="minorHAnsi"/>
                <w:b/>
                <w:bCs/>
                <w:sz w:val="12"/>
                <w:szCs w:val="12"/>
                <w:lang w:val="en-US" w:eastAsia="en-CA"/>
              </w:rPr>
              <w:br/>
              <w:t>Required</w:t>
            </w:r>
          </w:p>
          <w:p w14:paraId="1D8F7713"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(CDN$)</w:t>
            </w:r>
          </w:p>
        </w:tc>
        <w:tc>
          <w:tcPr>
            <w:tcW w:w="0" w:type="auto"/>
            <w:shd w:val="clear" w:color="auto" w:fill="auto"/>
            <w:hideMark/>
          </w:tcPr>
          <w:p w14:paraId="23D7CF53"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Report</w:t>
            </w:r>
            <w:r w:rsidRPr="00021854">
              <w:rPr>
                <w:rFonts w:ascii="Times New Roman" w:eastAsia="Times New Roman" w:hAnsi="Times New Roman" w:cstheme="minorHAnsi"/>
                <w:b/>
                <w:bCs/>
                <w:sz w:val="12"/>
                <w:szCs w:val="12"/>
                <w:lang w:val="en-US" w:eastAsia="en-CA"/>
              </w:rPr>
              <w:br/>
              <w:t>Due Date</w:t>
            </w:r>
          </w:p>
        </w:tc>
        <w:tc>
          <w:tcPr>
            <w:tcW w:w="0" w:type="auto"/>
            <w:shd w:val="clear" w:color="auto" w:fill="auto"/>
            <w:hideMark/>
          </w:tcPr>
          <w:p w14:paraId="29396F35"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Refundable Deposits</w:t>
            </w:r>
          </w:p>
          <w:p w14:paraId="1B6C05BE"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(CDN$)</w:t>
            </w:r>
          </w:p>
        </w:tc>
      </w:tr>
      <w:tr w:rsidR="00021854" w:rsidRPr="00021854" w14:paraId="0D8A82BF" w14:textId="77777777" w:rsidTr="00021854">
        <w:trPr>
          <w:trHeight w:val="292"/>
          <w:jc w:val="center"/>
        </w:trPr>
        <w:tc>
          <w:tcPr>
            <w:tcW w:w="0" w:type="auto"/>
            <w:shd w:val="clear" w:color="auto" w:fill="auto"/>
            <w:noWrap/>
            <w:vAlign w:val="center"/>
            <w:hideMark/>
          </w:tcPr>
          <w:p w14:paraId="1C737741"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1" w:history="1">
              <w:r w:rsidR="00021854" w:rsidRPr="00021854">
                <w:rPr>
                  <w:rFonts w:ascii="Times New Roman" w:eastAsia="Times New Roman" w:hAnsi="Times New Roman" w:cstheme="minorHAnsi"/>
                  <w:b/>
                  <w:bCs/>
                  <w:color w:val="0563C1" w:themeColor="hyperlink"/>
                  <w:sz w:val="12"/>
                  <w:szCs w:val="12"/>
                  <w:u w:val="single"/>
                  <w:lang w:val="en-US" w:eastAsia="en-CA"/>
                </w:rPr>
                <w:t>031789M</w:t>
              </w:r>
            </w:hyperlink>
          </w:p>
        </w:tc>
        <w:tc>
          <w:tcPr>
            <w:tcW w:w="0" w:type="auto"/>
            <w:shd w:val="clear" w:color="auto" w:fill="auto"/>
            <w:noWrap/>
            <w:vAlign w:val="center"/>
            <w:hideMark/>
          </w:tcPr>
          <w:p w14:paraId="14B2C02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28831D5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256</w:t>
            </w:r>
          </w:p>
        </w:tc>
        <w:tc>
          <w:tcPr>
            <w:tcW w:w="0" w:type="auto"/>
            <w:shd w:val="clear" w:color="auto" w:fill="auto"/>
            <w:noWrap/>
            <w:vAlign w:val="center"/>
            <w:hideMark/>
          </w:tcPr>
          <w:p w14:paraId="490A80A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6,400</w:t>
            </w:r>
          </w:p>
        </w:tc>
        <w:tc>
          <w:tcPr>
            <w:tcW w:w="0" w:type="auto"/>
            <w:shd w:val="clear" w:color="auto" w:fill="auto"/>
            <w:noWrap/>
            <w:vAlign w:val="center"/>
            <w:hideMark/>
          </w:tcPr>
          <w:p w14:paraId="32F5866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2020-Nov-27</w:t>
            </w:r>
          </w:p>
        </w:tc>
        <w:tc>
          <w:tcPr>
            <w:tcW w:w="0" w:type="auto"/>
            <w:shd w:val="clear" w:color="auto" w:fill="auto"/>
            <w:noWrap/>
            <w:vAlign w:val="center"/>
            <w:hideMark/>
          </w:tcPr>
          <w:p w14:paraId="1031855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2020-Dec-27</w:t>
            </w:r>
          </w:p>
        </w:tc>
        <w:tc>
          <w:tcPr>
            <w:tcW w:w="0" w:type="auto"/>
            <w:shd w:val="clear" w:color="auto" w:fill="auto"/>
            <w:noWrap/>
            <w:vAlign w:val="center"/>
            <w:hideMark/>
          </w:tcPr>
          <w:p w14:paraId="56D6353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2025-Dec-27</w:t>
            </w:r>
          </w:p>
        </w:tc>
        <w:tc>
          <w:tcPr>
            <w:tcW w:w="0" w:type="auto"/>
            <w:shd w:val="clear" w:color="auto" w:fill="auto"/>
            <w:noWrap/>
            <w:vAlign w:val="center"/>
            <w:hideMark/>
          </w:tcPr>
          <w:p w14:paraId="72C4AFE2"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7E9C6BAE"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2021-Dec-27</w:t>
            </w:r>
          </w:p>
        </w:tc>
        <w:tc>
          <w:tcPr>
            <w:tcW w:w="0" w:type="auto"/>
            <w:shd w:val="clear" w:color="auto" w:fill="auto"/>
            <w:noWrap/>
            <w:vAlign w:val="center"/>
            <w:hideMark/>
          </w:tcPr>
          <w:p w14:paraId="51DBF8B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51,200</w:t>
            </w:r>
          </w:p>
        </w:tc>
        <w:tc>
          <w:tcPr>
            <w:tcW w:w="0" w:type="auto"/>
            <w:shd w:val="clear" w:color="auto" w:fill="auto"/>
            <w:noWrap/>
            <w:vAlign w:val="center"/>
            <w:hideMark/>
          </w:tcPr>
          <w:p w14:paraId="7EE1136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2022-Feb-25</w:t>
            </w:r>
          </w:p>
        </w:tc>
        <w:tc>
          <w:tcPr>
            <w:tcW w:w="0" w:type="auto"/>
            <w:shd w:val="clear" w:color="auto" w:fill="auto"/>
            <w:noWrap/>
            <w:vAlign w:val="center"/>
            <w:hideMark/>
          </w:tcPr>
          <w:p w14:paraId="1BB1C2C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12,800</w:t>
            </w:r>
          </w:p>
        </w:tc>
      </w:tr>
      <w:tr w:rsidR="00021854" w:rsidRPr="00021854" w14:paraId="114E0009" w14:textId="77777777" w:rsidTr="00021854">
        <w:trPr>
          <w:trHeight w:val="292"/>
          <w:jc w:val="center"/>
        </w:trPr>
        <w:tc>
          <w:tcPr>
            <w:tcW w:w="0" w:type="auto"/>
            <w:shd w:val="clear" w:color="auto" w:fill="auto"/>
            <w:noWrap/>
            <w:vAlign w:val="center"/>
            <w:hideMark/>
          </w:tcPr>
          <w:p w14:paraId="15C6982E"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2" w:history="1">
              <w:r w:rsidR="00021854" w:rsidRPr="00021854">
                <w:rPr>
                  <w:rFonts w:ascii="Times New Roman" w:eastAsia="Times New Roman" w:hAnsi="Times New Roman" w:cstheme="minorHAnsi"/>
                  <w:b/>
                  <w:bCs/>
                  <w:color w:val="0563C1" w:themeColor="hyperlink"/>
                  <w:sz w:val="12"/>
                  <w:szCs w:val="12"/>
                  <w:u w:val="single"/>
                  <w:lang w:val="en-US" w:eastAsia="en-CA"/>
                </w:rPr>
                <w:t>031790M</w:t>
              </w:r>
            </w:hyperlink>
          </w:p>
        </w:tc>
        <w:tc>
          <w:tcPr>
            <w:tcW w:w="0" w:type="auto"/>
            <w:shd w:val="clear" w:color="auto" w:fill="auto"/>
            <w:noWrap/>
            <w:vAlign w:val="center"/>
            <w:hideMark/>
          </w:tcPr>
          <w:p w14:paraId="7EC8D86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7A23C4E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229</w:t>
            </w:r>
          </w:p>
        </w:tc>
        <w:tc>
          <w:tcPr>
            <w:tcW w:w="0" w:type="auto"/>
            <w:shd w:val="clear" w:color="auto" w:fill="auto"/>
            <w:noWrap/>
            <w:vAlign w:val="center"/>
            <w:hideMark/>
          </w:tcPr>
          <w:p w14:paraId="4944F28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5,725</w:t>
            </w:r>
          </w:p>
        </w:tc>
        <w:tc>
          <w:tcPr>
            <w:tcW w:w="0" w:type="auto"/>
            <w:shd w:val="clear" w:color="auto" w:fill="auto"/>
            <w:noWrap/>
            <w:vAlign w:val="center"/>
            <w:hideMark/>
          </w:tcPr>
          <w:p w14:paraId="751942E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2020-Nov-27</w:t>
            </w:r>
          </w:p>
        </w:tc>
        <w:tc>
          <w:tcPr>
            <w:tcW w:w="0" w:type="auto"/>
            <w:shd w:val="clear" w:color="auto" w:fill="auto"/>
            <w:noWrap/>
            <w:vAlign w:val="center"/>
            <w:hideMark/>
          </w:tcPr>
          <w:p w14:paraId="6529005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2020-Dec-27</w:t>
            </w:r>
          </w:p>
        </w:tc>
        <w:tc>
          <w:tcPr>
            <w:tcW w:w="0" w:type="auto"/>
            <w:shd w:val="clear" w:color="auto" w:fill="auto"/>
            <w:noWrap/>
            <w:vAlign w:val="center"/>
            <w:hideMark/>
          </w:tcPr>
          <w:p w14:paraId="70FF1B30"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2025-Dec-27</w:t>
            </w:r>
          </w:p>
        </w:tc>
        <w:tc>
          <w:tcPr>
            <w:tcW w:w="0" w:type="auto"/>
            <w:shd w:val="clear" w:color="auto" w:fill="auto"/>
            <w:noWrap/>
            <w:vAlign w:val="center"/>
            <w:hideMark/>
          </w:tcPr>
          <w:p w14:paraId="05C2FDD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24920A30"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2021-Dec-27</w:t>
            </w:r>
          </w:p>
        </w:tc>
        <w:tc>
          <w:tcPr>
            <w:tcW w:w="0" w:type="auto"/>
            <w:shd w:val="clear" w:color="auto" w:fill="auto"/>
            <w:noWrap/>
            <w:vAlign w:val="center"/>
            <w:hideMark/>
          </w:tcPr>
          <w:p w14:paraId="119D936E"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45,800</w:t>
            </w:r>
          </w:p>
        </w:tc>
        <w:tc>
          <w:tcPr>
            <w:tcW w:w="0" w:type="auto"/>
            <w:shd w:val="clear" w:color="auto" w:fill="auto"/>
            <w:noWrap/>
            <w:vAlign w:val="center"/>
            <w:hideMark/>
          </w:tcPr>
          <w:p w14:paraId="652D9B1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2022-Feb-25</w:t>
            </w:r>
          </w:p>
        </w:tc>
        <w:tc>
          <w:tcPr>
            <w:tcW w:w="0" w:type="auto"/>
            <w:shd w:val="clear" w:color="auto" w:fill="auto"/>
            <w:noWrap/>
            <w:vAlign w:val="center"/>
            <w:hideMark/>
          </w:tcPr>
          <w:p w14:paraId="21A3505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11,450</w:t>
            </w:r>
          </w:p>
        </w:tc>
      </w:tr>
      <w:tr w:rsidR="00021854" w:rsidRPr="00021854" w14:paraId="57989ED5" w14:textId="77777777" w:rsidTr="00021854">
        <w:trPr>
          <w:trHeight w:val="292"/>
          <w:jc w:val="center"/>
        </w:trPr>
        <w:tc>
          <w:tcPr>
            <w:tcW w:w="0" w:type="auto"/>
            <w:shd w:val="clear" w:color="auto" w:fill="auto"/>
            <w:noWrap/>
            <w:vAlign w:val="center"/>
            <w:hideMark/>
          </w:tcPr>
          <w:p w14:paraId="7864185B"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3" w:history="1">
              <w:r w:rsidR="00021854" w:rsidRPr="00021854">
                <w:rPr>
                  <w:rFonts w:ascii="Times New Roman" w:eastAsia="Times New Roman" w:hAnsi="Times New Roman" w:cstheme="minorHAnsi"/>
                  <w:b/>
                  <w:bCs/>
                  <w:color w:val="0563C1" w:themeColor="hyperlink"/>
                  <w:sz w:val="12"/>
                  <w:szCs w:val="12"/>
                  <w:u w:val="single"/>
                  <w:lang w:val="en-US" w:eastAsia="en-CA"/>
                </w:rPr>
                <w:t>031791M</w:t>
              </w:r>
            </w:hyperlink>
          </w:p>
        </w:tc>
        <w:tc>
          <w:tcPr>
            <w:tcW w:w="0" w:type="auto"/>
            <w:shd w:val="clear" w:color="auto" w:fill="auto"/>
            <w:noWrap/>
            <w:vAlign w:val="center"/>
            <w:hideMark/>
          </w:tcPr>
          <w:p w14:paraId="3307590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3BEEAEF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4</w:t>
            </w:r>
          </w:p>
        </w:tc>
        <w:tc>
          <w:tcPr>
            <w:tcW w:w="0" w:type="auto"/>
            <w:shd w:val="clear" w:color="auto" w:fill="auto"/>
            <w:noWrap/>
            <w:vAlign w:val="center"/>
            <w:hideMark/>
          </w:tcPr>
          <w:p w14:paraId="4EBB22A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100</w:t>
            </w:r>
          </w:p>
        </w:tc>
        <w:tc>
          <w:tcPr>
            <w:tcW w:w="0" w:type="auto"/>
            <w:shd w:val="clear" w:color="auto" w:fill="auto"/>
            <w:noWrap/>
            <w:vAlign w:val="center"/>
            <w:hideMark/>
          </w:tcPr>
          <w:p w14:paraId="7C2C5FB7"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2020-Nov-27</w:t>
            </w:r>
          </w:p>
        </w:tc>
        <w:tc>
          <w:tcPr>
            <w:tcW w:w="0" w:type="auto"/>
            <w:shd w:val="clear" w:color="auto" w:fill="auto"/>
            <w:noWrap/>
            <w:vAlign w:val="center"/>
            <w:hideMark/>
          </w:tcPr>
          <w:p w14:paraId="4D60D88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2020-Dec-27</w:t>
            </w:r>
          </w:p>
        </w:tc>
        <w:tc>
          <w:tcPr>
            <w:tcW w:w="0" w:type="auto"/>
            <w:shd w:val="clear" w:color="auto" w:fill="auto"/>
            <w:noWrap/>
            <w:vAlign w:val="center"/>
            <w:hideMark/>
          </w:tcPr>
          <w:p w14:paraId="175FA65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2025-Dec-27</w:t>
            </w:r>
          </w:p>
        </w:tc>
        <w:tc>
          <w:tcPr>
            <w:tcW w:w="0" w:type="auto"/>
            <w:shd w:val="clear" w:color="auto" w:fill="auto"/>
            <w:noWrap/>
            <w:vAlign w:val="center"/>
            <w:hideMark/>
          </w:tcPr>
          <w:p w14:paraId="4B7DDFC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36FFA72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2021-Dec-27</w:t>
            </w:r>
          </w:p>
        </w:tc>
        <w:tc>
          <w:tcPr>
            <w:tcW w:w="0" w:type="auto"/>
            <w:shd w:val="clear" w:color="auto" w:fill="auto"/>
            <w:noWrap/>
            <w:vAlign w:val="center"/>
            <w:hideMark/>
          </w:tcPr>
          <w:p w14:paraId="08BC10F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800</w:t>
            </w:r>
          </w:p>
        </w:tc>
        <w:tc>
          <w:tcPr>
            <w:tcW w:w="0" w:type="auto"/>
            <w:shd w:val="clear" w:color="auto" w:fill="auto"/>
            <w:noWrap/>
            <w:vAlign w:val="center"/>
            <w:hideMark/>
          </w:tcPr>
          <w:p w14:paraId="31E34AA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2022-Feb-25</w:t>
            </w:r>
          </w:p>
        </w:tc>
        <w:tc>
          <w:tcPr>
            <w:tcW w:w="0" w:type="auto"/>
            <w:shd w:val="clear" w:color="auto" w:fill="auto"/>
            <w:noWrap/>
            <w:vAlign w:val="center"/>
            <w:hideMark/>
          </w:tcPr>
          <w:p w14:paraId="77B4366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200</w:t>
            </w:r>
          </w:p>
        </w:tc>
      </w:tr>
      <w:tr w:rsidR="00021854" w:rsidRPr="00021854" w14:paraId="5910D059" w14:textId="77777777" w:rsidTr="00021854">
        <w:trPr>
          <w:trHeight w:val="292"/>
          <w:jc w:val="center"/>
        </w:trPr>
        <w:tc>
          <w:tcPr>
            <w:tcW w:w="0" w:type="auto"/>
            <w:shd w:val="clear" w:color="auto" w:fill="auto"/>
            <w:noWrap/>
            <w:vAlign w:val="center"/>
            <w:hideMark/>
          </w:tcPr>
          <w:p w14:paraId="151223E1"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4" w:history="1">
              <w:r w:rsidR="00021854" w:rsidRPr="00021854">
                <w:rPr>
                  <w:rFonts w:ascii="Times New Roman" w:eastAsia="Times New Roman" w:hAnsi="Times New Roman" w:cstheme="minorHAnsi"/>
                  <w:b/>
                  <w:bCs/>
                  <w:color w:val="0563C1" w:themeColor="hyperlink"/>
                  <w:sz w:val="12"/>
                  <w:szCs w:val="12"/>
                  <w:u w:val="single"/>
                  <w:lang w:val="en-US" w:eastAsia="en-CA"/>
                </w:rPr>
                <w:t>031792M</w:t>
              </w:r>
            </w:hyperlink>
          </w:p>
        </w:tc>
        <w:tc>
          <w:tcPr>
            <w:tcW w:w="0" w:type="auto"/>
            <w:shd w:val="clear" w:color="auto" w:fill="auto"/>
            <w:noWrap/>
            <w:vAlign w:val="center"/>
            <w:hideMark/>
          </w:tcPr>
          <w:p w14:paraId="73F721B0"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6AD44A8E"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12</w:t>
            </w:r>
          </w:p>
        </w:tc>
        <w:tc>
          <w:tcPr>
            <w:tcW w:w="0" w:type="auto"/>
            <w:shd w:val="clear" w:color="auto" w:fill="auto"/>
            <w:noWrap/>
            <w:vAlign w:val="center"/>
            <w:hideMark/>
          </w:tcPr>
          <w:p w14:paraId="6D3D1FE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300</w:t>
            </w:r>
          </w:p>
        </w:tc>
        <w:tc>
          <w:tcPr>
            <w:tcW w:w="0" w:type="auto"/>
            <w:shd w:val="clear" w:color="auto" w:fill="auto"/>
            <w:noWrap/>
            <w:vAlign w:val="center"/>
            <w:hideMark/>
          </w:tcPr>
          <w:p w14:paraId="5CFD8D3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2020-Nov-27</w:t>
            </w:r>
          </w:p>
        </w:tc>
        <w:tc>
          <w:tcPr>
            <w:tcW w:w="0" w:type="auto"/>
            <w:shd w:val="clear" w:color="auto" w:fill="auto"/>
            <w:noWrap/>
            <w:vAlign w:val="center"/>
            <w:hideMark/>
          </w:tcPr>
          <w:p w14:paraId="061EC4D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2020-Dec-27</w:t>
            </w:r>
          </w:p>
        </w:tc>
        <w:tc>
          <w:tcPr>
            <w:tcW w:w="0" w:type="auto"/>
            <w:shd w:val="clear" w:color="auto" w:fill="auto"/>
            <w:noWrap/>
            <w:vAlign w:val="center"/>
            <w:hideMark/>
          </w:tcPr>
          <w:p w14:paraId="6572CB8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2025-Dec-27</w:t>
            </w:r>
          </w:p>
        </w:tc>
        <w:tc>
          <w:tcPr>
            <w:tcW w:w="0" w:type="auto"/>
            <w:shd w:val="clear" w:color="auto" w:fill="auto"/>
            <w:noWrap/>
            <w:vAlign w:val="center"/>
            <w:hideMark/>
          </w:tcPr>
          <w:p w14:paraId="7FF75FF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502AA4E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2021-Dec-27</w:t>
            </w:r>
          </w:p>
        </w:tc>
        <w:tc>
          <w:tcPr>
            <w:tcW w:w="0" w:type="auto"/>
            <w:shd w:val="clear" w:color="auto" w:fill="auto"/>
            <w:noWrap/>
            <w:vAlign w:val="center"/>
            <w:hideMark/>
          </w:tcPr>
          <w:p w14:paraId="0F0642D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2,400</w:t>
            </w:r>
          </w:p>
        </w:tc>
        <w:tc>
          <w:tcPr>
            <w:tcW w:w="0" w:type="auto"/>
            <w:shd w:val="clear" w:color="auto" w:fill="auto"/>
            <w:noWrap/>
            <w:vAlign w:val="center"/>
            <w:hideMark/>
          </w:tcPr>
          <w:p w14:paraId="7E3FCA2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2022-Feb-25</w:t>
            </w:r>
          </w:p>
        </w:tc>
        <w:tc>
          <w:tcPr>
            <w:tcW w:w="0" w:type="auto"/>
            <w:shd w:val="clear" w:color="auto" w:fill="auto"/>
            <w:noWrap/>
            <w:vAlign w:val="center"/>
            <w:hideMark/>
          </w:tcPr>
          <w:p w14:paraId="703C6C3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600</w:t>
            </w:r>
          </w:p>
        </w:tc>
      </w:tr>
      <w:tr w:rsidR="00021854" w:rsidRPr="00021854" w14:paraId="1783C522" w14:textId="77777777" w:rsidTr="00021854">
        <w:trPr>
          <w:trHeight w:val="292"/>
          <w:jc w:val="center"/>
        </w:trPr>
        <w:tc>
          <w:tcPr>
            <w:tcW w:w="0" w:type="auto"/>
            <w:shd w:val="clear" w:color="auto" w:fill="auto"/>
            <w:noWrap/>
            <w:vAlign w:val="center"/>
            <w:hideMark/>
          </w:tcPr>
          <w:p w14:paraId="7515DA18"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5" w:history="1">
              <w:r w:rsidR="00021854" w:rsidRPr="00021854">
                <w:rPr>
                  <w:rFonts w:ascii="Times New Roman" w:eastAsia="Times New Roman" w:hAnsi="Times New Roman" w:cstheme="minorHAnsi"/>
                  <w:b/>
                  <w:bCs/>
                  <w:color w:val="0563C1" w:themeColor="hyperlink"/>
                  <w:sz w:val="12"/>
                  <w:szCs w:val="12"/>
                  <w:u w:val="single"/>
                  <w:lang w:val="en-US" w:eastAsia="en-CA"/>
                </w:rPr>
                <w:t>031793M</w:t>
              </w:r>
            </w:hyperlink>
          </w:p>
        </w:tc>
        <w:tc>
          <w:tcPr>
            <w:tcW w:w="0" w:type="auto"/>
            <w:shd w:val="clear" w:color="auto" w:fill="auto"/>
            <w:noWrap/>
            <w:vAlign w:val="center"/>
            <w:hideMark/>
          </w:tcPr>
          <w:p w14:paraId="625CBCE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1AC8099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16</w:t>
            </w:r>
          </w:p>
        </w:tc>
        <w:tc>
          <w:tcPr>
            <w:tcW w:w="0" w:type="auto"/>
            <w:shd w:val="clear" w:color="auto" w:fill="auto"/>
            <w:noWrap/>
            <w:vAlign w:val="center"/>
            <w:hideMark/>
          </w:tcPr>
          <w:p w14:paraId="0724C29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400</w:t>
            </w:r>
          </w:p>
        </w:tc>
        <w:tc>
          <w:tcPr>
            <w:tcW w:w="0" w:type="auto"/>
            <w:shd w:val="clear" w:color="auto" w:fill="auto"/>
            <w:noWrap/>
            <w:vAlign w:val="center"/>
            <w:hideMark/>
          </w:tcPr>
          <w:p w14:paraId="284AFC4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2020-Nov-27</w:t>
            </w:r>
          </w:p>
        </w:tc>
        <w:tc>
          <w:tcPr>
            <w:tcW w:w="0" w:type="auto"/>
            <w:shd w:val="clear" w:color="auto" w:fill="auto"/>
            <w:noWrap/>
            <w:vAlign w:val="center"/>
            <w:hideMark/>
          </w:tcPr>
          <w:p w14:paraId="5FBD9B5E"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2020-Dec-27</w:t>
            </w:r>
          </w:p>
        </w:tc>
        <w:tc>
          <w:tcPr>
            <w:tcW w:w="0" w:type="auto"/>
            <w:shd w:val="clear" w:color="auto" w:fill="auto"/>
            <w:noWrap/>
            <w:vAlign w:val="center"/>
            <w:hideMark/>
          </w:tcPr>
          <w:p w14:paraId="07FE41F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2025-Dec-27</w:t>
            </w:r>
          </w:p>
        </w:tc>
        <w:tc>
          <w:tcPr>
            <w:tcW w:w="0" w:type="auto"/>
            <w:shd w:val="clear" w:color="auto" w:fill="auto"/>
            <w:noWrap/>
            <w:vAlign w:val="center"/>
            <w:hideMark/>
          </w:tcPr>
          <w:p w14:paraId="40363C6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7BB8562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2021-Dec-27</w:t>
            </w:r>
          </w:p>
        </w:tc>
        <w:tc>
          <w:tcPr>
            <w:tcW w:w="0" w:type="auto"/>
            <w:shd w:val="clear" w:color="auto" w:fill="auto"/>
            <w:noWrap/>
            <w:vAlign w:val="center"/>
            <w:hideMark/>
          </w:tcPr>
          <w:p w14:paraId="69CDA6A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3,200</w:t>
            </w:r>
          </w:p>
        </w:tc>
        <w:tc>
          <w:tcPr>
            <w:tcW w:w="0" w:type="auto"/>
            <w:shd w:val="clear" w:color="auto" w:fill="auto"/>
            <w:noWrap/>
            <w:vAlign w:val="center"/>
            <w:hideMark/>
          </w:tcPr>
          <w:p w14:paraId="117F2D0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2022-Feb-25</w:t>
            </w:r>
          </w:p>
        </w:tc>
        <w:tc>
          <w:tcPr>
            <w:tcW w:w="0" w:type="auto"/>
            <w:shd w:val="clear" w:color="auto" w:fill="auto"/>
            <w:noWrap/>
            <w:vAlign w:val="center"/>
            <w:hideMark/>
          </w:tcPr>
          <w:p w14:paraId="56EE857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800</w:t>
            </w:r>
          </w:p>
        </w:tc>
      </w:tr>
      <w:tr w:rsidR="00021854" w:rsidRPr="00021854" w14:paraId="6EADB9A2" w14:textId="77777777" w:rsidTr="00021854">
        <w:trPr>
          <w:trHeight w:val="292"/>
          <w:jc w:val="center"/>
        </w:trPr>
        <w:tc>
          <w:tcPr>
            <w:tcW w:w="0" w:type="auto"/>
            <w:shd w:val="clear" w:color="auto" w:fill="auto"/>
            <w:noWrap/>
            <w:vAlign w:val="center"/>
            <w:hideMark/>
          </w:tcPr>
          <w:p w14:paraId="352E7016"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6" w:history="1">
              <w:r w:rsidR="00021854" w:rsidRPr="00021854">
                <w:rPr>
                  <w:rFonts w:ascii="Times New Roman" w:eastAsia="Times New Roman" w:hAnsi="Times New Roman" w:cstheme="minorHAnsi"/>
                  <w:b/>
                  <w:bCs/>
                  <w:color w:val="0563C1" w:themeColor="hyperlink"/>
                  <w:sz w:val="12"/>
                  <w:szCs w:val="12"/>
                  <w:u w:val="single"/>
                  <w:lang w:val="en-US" w:eastAsia="en-CA"/>
                </w:rPr>
                <w:t>032466M</w:t>
              </w:r>
            </w:hyperlink>
          </w:p>
        </w:tc>
        <w:tc>
          <w:tcPr>
            <w:tcW w:w="0" w:type="auto"/>
            <w:shd w:val="clear" w:color="auto" w:fill="auto"/>
            <w:noWrap/>
            <w:vAlign w:val="center"/>
            <w:hideMark/>
          </w:tcPr>
          <w:p w14:paraId="518EC17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Issued</w:t>
            </w:r>
          </w:p>
        </w:tc>
        <w:tc>
          <w:tcPr>
            <w:tcW w:w="0" w:type="auto"/>
            <w:shd w:val="clear" w:color="auto" w:fill="auto"/>
            <w:noWrap/>
            <w:vAlign w:val="center"/>
            <w:hideMark/>
          </w:tcPr>
          <w:p w14:paraId="6CA0413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69</w:t>
            </w:r>
          </w:p>
        </w:tc>
        <w:tc>
          <w:tcPr>
            <w:tcW w:w="0" w:type="auto"/>
            <w:shd w:val="clear" w:color="auto" w:fill="auto"/>
            <w:noWrap/>
            <w:vAlign w:val="center"/>
            <w:hideMark/>
          </w:tcPr>
          <w:p w14:paraId="5AF32FD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1,725</w:t>
            </w:r>
          </w:p>
        </w:tc>
        <w:tc>
          <w:tcPr>
            <w:tcW w:w="0" w:type="auto"/>
            <w:shd w:val="clear" w:color="auto" w:fill="auto"/>
            <w:noWrap/>
            <w:vAlign w:val="center"/>
            <w:hideMark/>
          </w:tcPr>
          <w:p w14:paraId="3E7F99A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2021-Apr-21</w:t>
            </w:r>
          </w:p>
        </w:tc>
        <w:tc>
          <w:tcPr>
            <w:tcW w:w="0" w:type="auto"/>
            <w:shd w:val="clear" w:color="auto" w:fill="auto"/>
            <w:noWrap/>
            <w:vAlign w:val="center"/>
            <w:hideMark/>
          </w:tcPr>
          <w:p w14:paraId="4037A01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2021-May-21</w:t>
            </w:r>
          </w:p>
        </w:tc>
        <w:tc>
          <w:tcPr>
            <w:tcW w:w="0" w:type="auto"/>
            <w:shd w:val="clear" w:color="auto" w:fill="auto"/>
            <w:noWrap/>
            <w:vAlign w:val="center"/>
            <w:hideMark/>
          </w:tcPr>
          <w:p w14:paraId="3105AA8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2026-May-21</w:t>
            </w:r>
          </w:p>
        </w:tc>
        <w:tc>
          <w:tcPr>
            <w:tcW w:w="0" w:type="auto"/>
            <w:shd w:val="clear" w:color="auto" w:fill="auto"/>
            <w:noWrap/>
            <w:vAlign w:val="center"/>
            <w:hideMark/>
          </w:tcPr>
          <w:p w14:paraId="416C203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6C1D8F2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2022-May-21</w:t>
            </w:r>
          </w:p>
        </w:tc>
        <w:tc>
          <w:tcPr>
            <w:tcW w:w="0" w:type="auto"/>
            <w:shd w:val="clear" w:color="auto" w:fill="auto"/>
            <w:noWrap/>
            <w:vAlign w:val="center"/>
            <w:hideMark/>
          </w:tcPr>
          <w:p w14:paraId="450A1147"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13,800</w:t>
            </w:r>
          </w:p>
        </w:tc>
        <w:tc>
          <w:tcPr>
            <w:tcW w:w="0" w:type="auto"/>
            <w:shd w:val="clear" w:color="auto" w:fill="auto"/>
            <w:noWrap/>
            <w:vAlign w:val="center"/>
            <w:hideMark/>
          </w:tcPr>
          <w:p w14:paraId="2E45B48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2022-Jul-21</w:t>
            </w:r>
          </w:p>
        </w:tc>
        <w:tc>
          <w:tcPr>
            <w:tcW w:w="0" w:type="auto"/>
            <w:shd w:val="clear" w:color="auto" w:fill="auto"/>
            <w:noWrap/>
            <w:vAlign w:val="center"/>
            <w:hideMark/>
          </w:tcPr>
          <w:p w14:paraId="432B497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3,450</w:t>
            </w:r>
          </w:p>
        </w:tc>
      </w:tr>
      <w:tr w:rsidR="00021854" w:rsidRPr="00021854" w14:paraId="3822B174" w14:textId="77777777" w:rsidTr="00021854">
        <w:trPr>
          <w:trHeight w:val="292"/>
          <w:jc w:val="center"/>
        </w:trPr>
        <w:tc>
          <w:tcPr>
            <w:tcW w:w="0" w:type="auto"/>
            <w:shd w:val="clear" w:color="auto" w:fill="auto"/>
            <w:noWrap/>
            <w:vAlign w:val="center"/>
            <w:hideMark/>
          </w:tcPr>
          <w:p w14:paraId="19B77B88"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7" w:history="1">
              <w:r w:rsidR="00021854" w:rsidRPr="00021854">
                <w:rPr>
                  <w:rFonts w:ascii="Times New Roman" w:eastAsia="Times New Roman" w:hAnsi="Times New Roman" w:cstheme="minorHAnsi"/>
                  <w:b/>
                  <w:bCs/>
                  <w:color w:val="0563C1" w:themeColor="hyperlink"/>
                  <w:sz w:val="12"/>
                  <w:szCs w:val="12"/>
                  <w:u w:val="single"/>
                  <w:lang w:val="en-US" w:eastAsia="en-CA"/>
                </w:rPr>
                <w:t>032467M</w:t>
              </w:r>
            </w:hyperlink>
          </w:p>
        </w:tc>
        <w:tc>
          <w:tcPr>
            <w:tcW w:w="0" w:type="auto"/>
            <w:shd w:val="clear" w:color="auto" w:fill="auto"/>
            <w:noWrap/>
            <w:vAlign w:val="center"/>
            <w:hideMark/>
          </w:tcPr>
          <w:p w14:paraId="2F0AD7A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 xml:space="preserve">Issued </w:t>
            </w:r>
          </w:p>
        </w:tc>
        <w:tc>
          <w:tcPr>
            <w:tcW w:w="0" w:type="auto"/>
            <w:shd w:val="clear" w:color="auto" w:fill="auto"/>
            <w:noWrap/>
            <w:vAlign w:val="center"/>
            <w:hideMark/>
          </w:tcPr>
          <w:p w14:paraId="4E0064A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161</w:t>
            </w:r>
          </w:p>
        </w:tc>
        <w:tc>
          <w:tcPr>
            <w:tcW w:w="0" w:type="auto"/>
            <w:shd w:val="clear" w:color="auto" w:fill="auto"/>
            <w:noWrap/>
            <w:vAlign w:val="center"/>
            <w:hideMark/>
          </w:tcPr>
          <w:p w14:paraId="0021667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4,025</w:t>
            </w:r>
          </w:p>
        </w:tc>
        <w:tc>
          <w:tcPr>
            <w:tcW w:w="0" w:type="auto"/>
            <w:shd w:val="clear" w:color="auto" w:fill="auto"/>
            <w:noWrap/>
            <w:vAlign w:val="center"/>
            <w:hideMark/>
          </w:tcPr>
          <w:p w14:paraId="1C64548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2021-Apr-21</w:t>
            </w:r>
          </w:p>
        </w:tc>
        <w:tc>
          <w:tcPr>
            <w:tcW w:w="0" w:type="auto"/>
            <w:shd w:val="clear" w:color="auto" w:fill="auto"/>
            <w:noWrap/>
            <w:vAlign w:val="center"/>
            <w:hideMark/>
          </w:tcPr>
          <w:p w14:paraId="500C419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2021-May-21</w:t>
            </w:r>
          </w:p>
        </w:tc>
        <w:tc>
          <w:tcPr>
            <w:tcW w:w="0" w:type="auto"/>
            <w:shd w:val="clear" w:color="auto" w:fill="auto"/>
            <w:noWrap/>
            <w:vAlign w:val="center"/>
            <w:hideMark/>
          </w:tcPr>
          <w:p w14:paraId="013E52E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2026-May-21</w:t>
            </w:r>
          </w:p>
        </w:tc>
        <w:tc>
          <w:tcPr>
            <w:tcW w:w="0" w:type="auto"/>
            <w:shd w:val="clear" w:color="auto" w:fill="auto"/>
            <w:noWrap/>
            <w:vAlign w:val="center"/>
            <w:hideMark/>
          </w:tcPr>
          <w:p w14:paraId="4EFFD94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483EBBA7"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2022-May-21</w:t>
            </w:r>
          </w:p>
        </w:tc>
        <w:tc>
          <w:tcPr>
            <w:tcW w:w="0" w:type="auto"/>
            <w:shd w:val="clear" w:color="auto" w:fill="auto"/>
            <w:noWrap/>
            <w:vAlign w:val="center"/>
            <w:hideMark/>
          </w:tcPr>
          <w:p w14:paraId="29B1D29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32,200</w:t>
            </w:r>
          </w:p>
        </w:tc>
        <w:tc>
          <w:tcPr>
            <w:tcW w:w="0" w:type="auto"/>
            <w:shd w:val="clear" w:color="auto" w:fill="auto"/>
            <w:noWrap/>
            <w:vAlign w:val="center"/>
            <w:hideMark/>
          </w:tcPr>
          <w:p w14:paraId="25E85A9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2022-Jul-21</w:t>
            </w:r>
          </w:p>
        </w:tc>
        <w:tc>
          <w:tcPr>
            <w:tcW w:w="0" w:type="auto"/>
            <w:shd w:val="clear" w:color="auto" w:fill="auto"/>
            <w:noWrap/>
            <w:vAlign w:val="center"/>
            <w:hideMark/>
          </w:tcPr>
          <w:p w14:paraId="5DE8697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8,050</w:t>
            </w:r>
          </w:p>
        </w:tc>
      </w:tr>
      <w:tr w:rsidR="00021854" w:rsidRPr="00021854" w14:paraId="1F5C1DDB" w14:textId="77777777" w:rsidTr="00021854">
        <w:trPr>
          <w:trHeight w:val="292"/>
          <w:jc w:val="center"/>
        </w:trPr>
        <w:tc>
          <w:tcPr>
            <w:tcW w:w="0" w:type="auto"/>
            <w:shd w:val="clear" w:color="auto" w:fill="auto"/>
            <w:noWrap/>
            <w:vAlign w:val="center"/>
            <w:hideMark/>
          </w:tcPr>
          <w:p w14:paraId="25FE83F6"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8" w:history="1">
              <w:r w:rsidR="00021854" w:rsidRPr="00021854">
                <w:rPr>
                  <w:rFonts w:ascii="Times New Roman" w:eastAsia="Times New Roman" w:hAnsi="Times New Roman" w:cstheme="minorHAnsi"/>
                  <w:b/>
                  <w:bCs/>
                  <w:color w:val="0563C1" w:themeColor="hyperlink"/>
                  <w:sz w:val="12"/>
                  <w:szCs w:val="12"/>
                  <w:u w:val="single"/>
                  <w:lang w:val="en-US" w:eastAsia="en-CA"/>
                </w:rPr>
                <w:t>032468M</w:t>
              </w:r>
            </w:hyperlink>
          </w:p>
        </w:tc>
        <w:tc>
          <w:tcPr>
            <w:tcW w:w="0" w:type="auto"/>
            <w:shd w:val="clear" w:color="auto" w:fill="auto"/>
            <w:noWrap/>
            <w:vAlign w:val="center"/>
            <w:hideMark/>
          </w:tcPr>
          <w:p w14:paraId="30193F8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 xml:space="preserve">Issued </w:t>
            </w:r>
          </w:p>
        </w:tc>
        <w:tc>
          <w:tcPr>
            <w:tcW w:w="0" w:type="auto"/>
            <w:shd w:val="clear" w:color="auto" w:fill="auto"/>
            <w:noWrap/>
            <w:vAlign w:val="center"/>
            <w:hideMark/>
          </w:tcPr>
          <w:p w14:paraId="53A6B24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151</w:t>
            </w:r>
          </w:p>
        </w:tc>
        <w:tc>
          <w:tcPr>
            <w:tcW w:w="0" w:type="auto"/>
            <w:shd w:val="clear" w:color="auto" w:fill="auto"/>
            <w:noWrap/>
            <w:vAlign w:val="center"/>
            <w:hideMark/>
          </w:tcPr>
          <w:p w14:paraId="3D1202E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3,775</w:t>
            </w:r>
          </w:p>
        </w:tc>
        <w:tc>
          <w:tcPr>
            <w:tcW w:w="0" w:type="auto"/>
            <w:shd w:val="clear" w:color="auto" w:fill="auto"/>
            <w:noWrap/>
            <w:vAlign w:val="center"/>
            <w:hideMark/>
          </w:tcPr>
          <w:p w14:paraId="7706C2E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2021-Apr-21</w:t>
            </w:r>
          </w:p>
        </w:tc>
        <w:tc>
          <w:tcPr>
            <w:tcW w:w="0" w:type="auto"/>
            <w:shd w:val="clear" w:color="auto" w:fill="auto"/>
            <w:noWrap/>
            <w:vAlign w:val="center"/>
            <w:hideMark/>
          </w:tcPr>
          <w:p w14:paraId="596F96A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2021-May-21</w:t>
            </w:r>
          </w:p>
        </w:tc>
        <w:tc>
          <w:tcPr>
            <w:tcW w:w="0" w:type="auto"/>
            <w:shd w:val="clear" w:color="auto" w:fill="auto"/>
            <w:noWrap/>
            <w:vAlign w:val="center"/>
            <w:hideMark/>
          </w:tcPr>
          <w:p w14:paraId="28F30E7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2026-May-21</w:t>
            </w:r>
          </w:p>
        </w:tc>
        <w:tc>
          <w:tcPr>
            <w:tcW w:w="0" w:type="auto"/>
            <w:shd w:val="clear" w:color="auto" w:fill="auto"/>
            <w:noWrap/>
            <w:vAlign w:val="center"/>
            <w:hideMark/>
          </w:tcPr>
          <w:p w14:paraId="0F7F7D0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28EBF7B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2022-May-21</w:t>
            </w:r>
          </w:p>
        </w:tc>
        <w:tc>
          <w:tcPr>
            <w:tcW w:w="0" w:type="auto"/>
            <w:shd w:val="clear" w:color="auto" w:fill="auto"/>
            <w:noWrap/>
            <w:vAlign w:val="center"/>
            <w:hideMark/>
          </w:tcPr>
          <w:p w14:paraId="7F8B0B9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30,200</w:t>
            </w:r>
          </w:p>
        </w:tc>
        <w:tc>
          <w:tcPr>
            <w:tcW w:w="0" w:type="auto"/>
            <w:shd w:val="clear" w:color="auto" w:fill="auto"/>
            <w:noWrap/>
            <w:vAlign w:val="center"/>
            <w:hideMark/>
          </w:tcPr>
          <w:p w14:paraId="144846B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2022-Jul-21</w:t>
            </w:r>
          </w:p>
        </w:tc>
        <w:tc>
          <w:tcPr>
            <w:tcW w:w="0" w:type="auto"/>
            <w:shd w:val="clear" w:color="auto" w:fill="auto"/>
            <w:noWrap/>
            <w:vAlign w:val="center"/>
            <w:hideMark/>
          </w:tcPr>
          <w:p w14:paraId="33CECB5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7,550</w:t>
            </w:r>
          </w:p>
        </w:tc>
      </w:tr>
      <w:tr w:rsidR="00021854" w:rsidRPr="00021854" w14:paraId="6EA330E0" w14:textId="77777777" w:rsidTr="00021854">
        <w:trPr>
          <w:trHeight w:val="292"/>
          <w:jc w:val="center"/>
        </w:trPr>
        <w:tc>
          <w:tcPr>
            <w:tcW w:w="0" w:type="auto"/>
            <w:shd w:val="clear" w:color="auto" w:fill="auto"/>
            <w:noWrap/>
            <w:vAlign w:val="center"/>
            <w:hideMark/>
          </w:tcPr>
          <w:p w14:paraId="2BF20C16"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39" w:history="1">
              <w:r w:rsidR="00021854" w:rsidRPr="00021854">
                <w:rPr>
                  <w:rFonts w:ascii="Times New Roman" w:eastAsia="Times New Roman" w:hAnsi="Times New Roman" w:cstheme="minorHAnsi"/>
                  <w:b/>
                  <w:bCs/>
                  <w:color w:val="0563C1" w:themeColor="hyperlink"/>
                  <w:sz w:val="12"/>
                  <w:szCs w:val="12"/>
                  <w:u w:val="single"/>
                  <w:lang w:val="en-US" w:eastAsia="en-CA"/>
                </w:rPr>
                <w:t>032469M</w:t>
              </w:r>
            </w:hyperlink>
          </w:p>
        </w:tc>
        <w:tc>
          <w:tcPr>
            <w:tcW w:w="0" w:type="auto"/>
            <w:shd w:val="clear" w:color="auto" w:fill="auto"/>
            <w:noWrap/>
            <w:vAlign w:val="center"/>
            <w:hideMark/>
          </w:tcPr>
          <w:p w14:paraId="7FC6844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 xml:space="preserve">Issued </w:t>
            </w:r>
          </w:p>
        </w:tc>
        <w:tc>
          <w:tcPr>
            <w:tcW w:w="0" w:type="auto"/>
            <w:shd w:val="clear" w:color="auto" w:fill="auto"/>
            <w:noWrap/>
            <w:vAlign w:val="center"/>
            <w:hideMark/>
          </w:tcPr>
          <w:p w14:paraId="7DCE75C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150</w:t>
            </w:r>
          </w:p>
        </w:tc>
        <w:tc>
          <w:tcPr>
            <w:tcW w:w="0" w:type="auto"/>
            <w:shd w:val="clear" w:color="auto" w:fill="auto"/>
            <w:noWrap/>
            <w:vAlign w:val="center"/>
            <w:hideMark/>
          </w:tcPr>
          <w:p w14:paraId="74896493"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3,750</w:t>
            </w:r>
          </w:p>
        </w:tc>
        <w:tc>
          <w:tcPr>
            <w:tcW w:w="0" w:type="auto"/>
            <w:shd w:val="clear" w:color="auto" w:fill="auto"/>
            <w:noWrap/>
            <w:vAlign w:val="center"/>
            <w:hideMark/>
          </w:tcPr>
          <w:p w14:paraId="55E46365"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2021-Apr-21</w:t>
            </w:r>
          </w:p>
        </w:tc>
        <w:tc>
          <w:tcPr>
            <w:tcW w:w="0" w:type="auto"/>
            <w:shd w:val="clear" w:color="auto" w:fill="auto"/>
            <w:noWrap/>
            <w:vAlign w:val="center"/>
            <w:hideMark/>
          </w:tcPr>
          <w:p w14:paraId="35C60D9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2021-May-21</w:t>
            </w:r>
          </w:p>
        </w:tc>
        <w:tc>
          <w:tcPr>
            <w:tcW w:w="0" w:type="auto"/>
            <w:shd w:val="clear" w:color="auto" w:fill="auto"/>
            <w:noWrap/>
            <w:vAlign w:val="center"/>
            <w:hideMark/>
          </w:tcPr>
          <w:p w14:paraId="0A04CD1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2026-May-21</w:t>
            </w:r>
          </w:p>
        </w:tc>
        <w:tc>
          <w:tcPr>
            <w:tcW w:w="0" w:type="auto"/>
            <w:shd w:val="clear" w:color="auto" w:fill="auto"/>
            <w:noWrap/>
            <w:vAlign w:val="center"/>
            <w:hideMark/>
          </w:tcPr>
          <w:p w14:paraId="753C1C9A"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1E2243D2"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2022-May-21</w:t>
            </w:r>
          </w:p>
        </w:tc>
        <w:tc>
          <w:tcPr>
            <w:tcW w:w="0" w:type="auto"/>
            <w:shd w:val="clear" w:color="auto" w:fill="auto"/>
            <w:noWrap/>
            <w:vAlign w:val="center"/>
            <w:hideMark/>
          </w:tcPr>
          <w:p w14:paraId="23909D24"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30,000</w:t>
            </w:r>
          </w:p>
        </w:tc>
        <w:tc>
          <w:tcPr>
            <w:tcW w:w="0" w:type="auto"/>
            <w:shd w:val="clear" w:color="auto" w:fill="auto"/>
            <w:noWrap/>
            <w:vAlign w:val="center"/>
            <w:hideMark/>
          </w:tcPr>
          <w:p w14:paraId="7DE93D5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2022-Jul-21</w:t>
            </w:r>
          </w:p>
        </w:tc>
        <w:tc>
          <w:tcPr>
            <w:tcW w:w="0" w:type="auto"/>
            <w:shd w:val="clear" w:color="auto" w:fill="auto"/>
            <w:noWrap/>
            <w:vAlign w:val="center"/>
            <w:hideMark/>
          </w:tcPr>
          <w:p w14:paraId="77E3864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7,500</w:t>
            </w:r>
          </w:p>
        </w:tc>
      </w:tr>
      <w:tr w:rsidR="00021854" w:rsidRPr="00021854" w14:paraId="79C517A3" w14:textId="77777777" w:rsidTr="00021854">
        <w:trPr>
          <w:trHeight w:val="292"/>
          <w:jc w:val="center"/>
        </w:trPr>
        <w:tc>
          <w:tcPr>
            <w:tcW w:w="0" w:type="auto"/>
            <w:shd w:val="clear" w:color="auto" w:fill="auto"/>
            <w:noWrap/>
            <w:vAlign w:val="center"/>
            <w:hideMark/>
          </w:tcPr>
          <w:p w14:paraId="0596EE8D" w14:textId="77777777" w:rsidR="00021854" w:rsidRPr="00021854" w:rsidRDefault="00170424" w:rsidP="00021854">
            <w:pPr>
              <w:widowControl/>
              <w:autoSpaceDE/>
              <w:autoSpaceDN/>
              <w:adjustRightInd/>
              <w:jc w:val="center"/>
              <w:rPr>
                <w:rFonts w:ascii="Times New Roman" w:eastAsia="Times New Roman" w:hAnsi="Times New Roman" w:cstheme="minorHAnsi"/>
                <w:b/>
                <w:bCs/>
                <w:sz w:val="12"/>
                <w:szCs w:val="12"/>
                <w:lang w:val="en-US" w:eastAsia="en-CA"/>
              </w:rPr>
            </w:pPr>
            <w:hyperlink r:id="rId40" w:history="1">
              <w:r w:rsidR="00021854" w:rsidRPr="00021854">
                <w:rPr>
                  <w:rFonts w:ascii="Times New Roman" w:eastAsia="Times New Roman" w:hAnsi="Times New Roman" w:cstheme="minorHAnsi"/>
                  <w:b/>
                  <w:bCs/>
                  <w:color w:val="0563C1" w:themeColor="hyperlink"/>
                  <w:sz w:val="12"/>
                  <w:szCs w:val="12"/>
                  <w:u w:val="single"/>
                  <w:lang w:val="en-US" w:eastAsia="en-CA"/>
                </w:rPr>
                <w:t>032470M</w:t>
              </w:r>
            </w:hyperlink>
          </w:p>
        </w:tc>
        <w:tc>
          <w:tcPr>
            <w:tcW w:w="0" w:type="auto"/>
            <w:shd w:val="clear" w:color="auto" w:fill="auto"/>
            <w:noWrap/>
            <w:vAlign w:val="center"/>
            <w:hideMark/>
          </w:tcPr>
          <w:p w14:paraId="0A4A3D5D"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 xml:space="preserve">Issued </w:t>
            </w:r>
          </w:p>
        </w:tc>
        <w:tc>
          <w:tcPr>
            <w:tcW w:w="0" w:type="auto"/>
            <w:shd w:val="clear" w:color="auto" w:fill="auto"/>
            <w:noWrap/>
            <w:vAlign w:val="center"/>
            <w:hideMark/>
          </w:tcPr>
          <w:p w14:paraId="5D20DDB8"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141</w:t>
            </w:r>
          </w:p>
        </w:tc>
        <w:tc>
          <w:tcPr>
            <w:tcW w:w="0" w:type="auto"/>
            <w:shd w:val="clear" w:color="auto" w:fill="auto"/>
            <w:noWrap/>
            <w:vAlign w:val="center"/>
            <w:hideMark/>
          </w:tcPr>
          <w:p w14:paraId="50E6B9E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3,525</w:t>
            </w:r>
          </w:p>
        </w:tc>
        <w:tc>
          <w:tcPr>
            <w:tcW w:w="0" w:type="auto"/>
            <w:shd w:val="clear" w:color="auto" w:fill="auto"/>
            <w:noWrap/>
            <w:vAlign w:val="center"/>
            <w:hideMark/>
          </w:tcPr>
          <w:p w14:paraId="3E75C501"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2021-Apr-21</w:t>
            </w:r>
          </w:p>
        </w:tc>
        <w:tc>
          <w:tcPr>
            <w:tcW w:w="0" w:type="auto"/>
            <w:shd w:val="clear" w:color="auto" w:fill="auto"/>
            <w:noWrap/>
            <w:vAlign w:val="center"/>
            <w:hideMark/>
          </w:tcPr>
          <w:p w14:paraId="47139027"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2021-May-21</w:t>
            </w:r>
          </w:p>
        </w:tc>
        <w:tc>
          <w:tcPr>
            <w:tcW w:w="0" w:type="auto"/>
            <w:shd w:val="clear" w:color="auto" w:fill="auto"/>
            <w:noWrap/>
            <w:vAlign w:val="center"/>
            <w:hideMark/>
          </w:tcPr>
          <w:p w14:paraId="548E0B5F"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2026-May-21</w:t>
            </w:r>
          </w:p>
        </w:tc>
        <w:tc>
          <w:tcPr>
            <w:tcW w:w="0" w:type="auto"/>
            <w:shd w:val="clear" w:color="auto" w:fill="auto"/>
            <w:noWrap/>
            <w:vAlign w:val="center"/>
            <w:hideMark/>
          </w:tcPr>
          <w:p w14:paraId="6857283B"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1</w:t>
            </w:r>
          </w:p>
        </w:tc>
        <w:tc>
          <w:tcPr>
            <w:tcW w:w="0" w:type="auto"/>
            <w:shd w:val="clear" w:color="auto" w:fill="auto"/>
            <w:noWrap/>
            <w:vAlign w:val="center"/>
            <w:hideMark/>
          </w:tcPr>
          <w:p w14:paraId="72AF4EC6"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2022-May-21</w:t>
            </w:r>
          </w:p>
        </w:tc>
        <w:tc>
          <w:tcPr>
            <w:tcW w:w="0" w:type="auto"/>
            <w:shd w:val="clear" w:color="auto" w:fill="auto"/>
            <w:noWrap/>
            <w:vAlign w:val="center"/>
            <w:hideMark/>
          </w:tcPr>
          <w:p w14:paraId="4A6DFEFC"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28,200</w:t>
            </w:r>
          </w:p>
        </w:tc>
        <w:tc>
          <w:tcPr>
            <w:tcW w:w="0" w:type="auto"/>
            <w:shd w:val="clear" w:color="auto" w:fill="auto"/>
            <w:noWrap/>
            <w:vAlign w:val="center"/>
            <w:hideMark/>
          </w:tcPr>
          <w:p w14:paraId="78DBE987"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2022-Jul-21</w:t>
            </w:r>
          </w:p>
        </w:tc>
        <w:tc>
          <w:tcPr>
            <w:tcW w:w="0" w:type="auto"/>
            <w:shd w:val="clear" w:color="auto" w:fill="auto"/>
            <w:noWrap/>
            <w:vAlign w:val="center"/>
            <w:hideMark/>
          </w:tcPr>
          <w:p w14:paraId="279AD409" w14:textId="77777777" w:rsidR="00021854" w:rsidRPr="00021854" w:rsidRDefault="00021854" w:rsidP="00021854">
            <w:pPr>
              <w:widowControl/>
              <w:autoSpaceDE/>
              <w:autoSpaceDN/>
              <w:adjustRightInd/>
              <w:jc w:val="center"/>
              <w:rPr>
                <w:rFonts w:ascii="Times New Roman" w:eastAsia="Times New Roman" w:hAnsi="Times New Roman" w:cstheme="minorHAnsi"/>
                <w:sz w:val="12"/>
                <w:szCs w:val="12"/>
                <w:lang w:val="en-US" w:eastAsia="en-CA"/>
              </w:rPr>
            </w:pPr>
            <w:r w:rsidRPr="00021854">
              <w:rPr>
                <w:rFonts w:ascii="Times New Roman" w:eastAsia="Times New Roman" w:hAnsi="Times New Roman" w:cstheme="minorHAnsi"/>
                <w:sz w:val="12"/>
                <w:szCs w:val="12"/>
                <w:lang w:val="en-US" w:eastAsia="en-CA"/>
              </w:rPr>
              <w:t>7,050</w:t>
            </w:r>
          </w:p>
        </w:tc>
      </w:tr>
      <w:tr w:rsidR="00021854" w:rsidRPr="00021854" w14:paraId="4F2DF12E" w14:textId="77777777" w:rsidTr="00021854">
        <w:trPr>
          <w:trHeight w:val="292"/>
          <w:jc w:val="center"/>
        </w:trPr>
        <w:tc>
          <w:tcPr>
            <w:tcW w:w="0" w:type="auto"/>
            <w:shd w:val="clear" w:color="auto" w:fill="auto"/>
            <w:noWrap/>
            <w:vAlign w:val="center"/>
          </w:tcPr>
          <w:p w14:paraId="1928B52A"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TOTALS</w:t>
            </w:r>
          </w:p>
        </w:tc>
        <w:tc>
          <w:tcPr>
            <w:tcW w:w="0" w:type="auto"/>
            <w:shd w:val="clear" w:color="auto" w:fill="E7E6E6" w:themeFill="background2"/>
            <w:noWrap/>
            <w:vAlign w:val="center"/>
          </w:tcPr>
          <w:p w14:paraId="49BAC3EE"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auto"/>
            <w:noWrap/>
            <w:vAlign w:val="center"/>
          </w:tcPr>
          <w:p w14:paraId="1CFB59BB"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1,189</w:t>
            </w:r>
          </w:p>
        </w:tc>
        <w:tc>
          <w:tcPr>
            <w:tcW w:w="0" w:type="auto"/>
            <w:shd w:val="clear" w:color="auto" w:fill="auto"/>
            <w:noWrap/>
            <w:vAlign w:val="center"/>
          </w:tcPr>
          <w:p w14:paraId="71AE0D5C"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29,725</w:t>
            </w:r>
          </w:p>
        </w:tc>
        <w:tc>
          <w:tcPr>
            <w:tcW w:w="0" w:type="auto"/>
            <w:shd w:val="clear" w:color="auto" w:fill="E7E6E6" w:themeFill="background2"/>
            <w:noWrap/>
            <w:vAlign w:val="center"/>
          </w:tcPr>
          <w:p w14:paraId="3D4365A1"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E7E6E6" w:themeFill="background2"/>
            <w:noWrap/>
            <w:vAlign w:val="center"/>
          </w:tcPr>
          <w:p w14:paraId="5D9E97D8"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E7E6E6" w:themeFill="background2"/>
            <w:noWrap/>
            <w:vAlign w:val="center"/>
          </w:tcPr>
          <w:p w14:paraId="283428D0"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E7E6E6" w:themeFill="background2"/>
            <w:noWrap/>
            <w:vAlign w:val="center"/>
          </w:tcPr>
          <w:p w14:paraId="740E8A40"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E7E6E6" w:themeFill="background2"/>
            <w:noWrap/>
            <w:vAlign w:val="center"/>
          </w:tcPr>
          <w:p w14:paraId="6CDABF85"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auto"/>
            <w:noWrap/>
            <w:vAlign w:val="center"/>
          </w:tcPr>
          <w:p w14:paraId="1EF23E57"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237,800</w:t>
            </w:r>
          </w:p>
        </w:tc>
        <w:tc>
          <w:tcPr>
            <w:tcW w:w="0" w:type="auto"/>
            <w:shd w:val="clear" w:color="auto" w:fill="E7E6E6" w:themeFill="background2"/>
            <w:noWrap/>
            <w:vAlign w:val="center"/>
          </w:tcPr>
          <w:p w14:paraId="4E4E4E2C"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p>
        </w:tc>
        <w:tc>
          <w:tcPr>
            <w:tcW w:w="0" w:type="auto"/>
            <w:shd w:val="clear" w:color="auto" w:fill="auto"/>
            <w:noWrap/>
            <w:vAlign w:val="center"/>
          </w:tcPr>
          <w:p w14:paraId="2D19BB29" w14:textId="77777777" w:rsidR="00021854" w:rsidRPr="00021854" w:rsidRDefault="00021854" w:rsidP="00021854">
            <w:pPr>
              <w:widowControl/>
              <w:autoSpaceDE/>
              <w:autoSpaceDN/>
              <w:adjustRightInd/>
              <w:jc w:val="center"/>
              <w:rPr>
                <w:rFonts w:ascii="Times New Roman" w:eastAsia="Times New Roman" w:hAnsi="Times New Roman" w:cstheme="minorHAnsi"/>
                <w:b/>
                <w:bCs/>
                <w:sz w:val="12"/>
                <w:szCs w:val="12"/>
                <w:lang w:val="en-US" w:eastAsia="en-CA"/>
              </w:rPr>
            </w:pPr>
            <w:r w:rsidRPr="00021854">
              <w:rPr>
                <w:rFonts w:ascii="Times New Roman" w:eastAsia="Times New Roman" w:hAnsi="Times New Roman" w:cstheme="minorHAnsi"/>
                <w:b/>
                <w:bCs/>
                <w:sz w:val="12"/>
                <w:szCs w:val="12"/>
                <w:lang w:val="en-US" w:eastAsia="en-CA"/>
              </w:rPr>
              <w:t>59,450</w:t>
            </w:r>
          </w:p>
        </w:tc>
      </w:tr>
    </w:tbl>
    <w:p w14:paraId="33B496B5" w14:textId="77777777" w:rsidR="00E441AC" w:rsidRPr="00021854" w:rsidRDefault="00E441AC" w:rsidP="001A7287">
      <w:pPr>
        <w:rPr>
          <w:sz w:val="12"/>
          <w:szCs w:val="12"/>
        </w:rPr>
      </w:pPr>
    </w:p>
    <w:p w14:paraId="02425D4E" w14:textId="77777777" w:rsidR="00783288" w:rsidRDefault="00E31420" w:rsidP="00512495">
      <w:pPr>
        <w:pStyle w:val="Heading1"/>
        <w:numPr>
          <w:ilvl w:val="0"/>
          <w:numId w:val="13"/>
        </w:numPr>
        <w:tabs>
          <w:tab w:val="left" w:pos="840"/>
        </w:tabs>
        <w:kinsoku w:val="0"/>
        <w:overflowPunct w:val="0"/>
        <w:spacing w:before="94"/>
        <w:ind w:left="839"/>
        <w:rPr>
          <w:color w:val="231F20"/>
        </w:rPr>
      </w:pPr>
      <w:r>
        <w:rPr>
          <w:color w:val="231F20"/>
        </w:rPr>
        <w:t>Related Party</w:t>
      </w:r>
      <w:r>
        <w:rPr>
          <w:color w:val="231F20"/>
          <w:spacing w:val="-9"/>
        </w:rPr>
        <w:t xml:space="preserve"> </w:t>
      </w:r>
      <w:r>
        <w:rPr>
          <w:color w:val="231F20"/>
        </w:rPr>
        <w:t>Transactions</w:t>
      </w:r>
    </w:p>
    <w:p w14:paraId="47022578" w14:textId="77777777" w:rsidR="00783288" w:rsidRDefault="00783288">
      <w:pPr>
        <w:pStyle w:val="BodyText"/>
        <w:kinsoku w:val="0"/>
        <w:overflowPunct w:val="0"/>
        <w:spacing w:before="3"/>
        <w:rPr>
          <w:b/>
          <w:bCs/>
          <w:sz w:val="21"/>
          <w:szCs w:val="21"/>
        </w:rPr>
      </w:pPr>
    </w:p>
    <w:p w14:paraId="386445E9" w14:textId="3F78C50F" w:rsidR="00783288" w:rsidRPr="00CC6DB5" w:rsidRDefault="00E31420">
      <w:pPr>
        <w:pStyle w:val="BodyText"/>
        <w:kinsoku w:val="0"/>
        <w:overflowPunct w:val="0"/>
        <w:ind w:left="827" w:right="1037"/>
        <w:jc w:val="both"/>
        <w:rPr>
          <w:b/>
          <w:i/>
          <w:color w:val="231F20"/>
        </w:rPr>
      </w:pPr>
      <w:r>
        <w:rPr>
          <w:color w:val="231F20"/>
        </w:rPr>
        <w:t xml:space="preserve">Save for the issue of share capital and </w:t>
      </w:r>
      <w:r w:rsidR="00E03C6C">
        <w:rPr>
          <w:color w:val="231F20"/>
        </w:rPr>
        <w:t>O</w:t>
      </w:r>
      <w:r>
        <w:rPr>
          <w:color w:val="231F20"/>
        </w:rPr>
        <w:t>ptions to the Directors disclosed in paragraphs 6.1 and 10 of this Part VII of this Document, the Company has not been a party to any related party transactions.</w:t>
      </w:r>
      <w:r w:rsidR="00501C1D">
        <w:rPr>
          <w:b/>
          <w:i/>
          <w:color w:val="231F20"/>
        </w:rPr>
        <w:t xml:space="preserve"> </w:t>
      </w:r>
    </w:p>
    <w:p w14:paraId="79DAD9E7" w14:textId="77777777" w:rsidR="00783288" w:rsidRDefault="00783288">
      <w:pPr>
        <w:pStyle w:val="BodyText"/>
        <w:kinsoku w:val="0"/>
        <w:overflowPunct w:val="0"/>
        <w:spacing w:before="6"/>
        <w:rPr>
          <w:sz w:val="20"/>
          <w:szCs w:val="20"/>
        </w:rPr>
      </w:pPr>
    </w:p>
    <w:p w14:paraId="5BE66016"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Working Capital</w:t>
      </w:r>
    </w:p>
    <w:p w14:paraId="30011EDC" w14:textId="77777777" w:rsidR="00783288" w:rsidRDefault="00783288">
      <w:pPr>
        <w:pStyle w:val="BodyText"/>
        <w:kinsoku w:val="0"/>
        <w:overflowPunct w:val="0"/>
        <w:spacing w:before="3"/>
        <w:rPr>
          <w:b/>
          <w:bCs/>
          <w:sz w:val="21"/>
          <w:szCs w:val="21"/>
        </w:rPr>
      </w:pPr>
    </w:p>
    <w:p w14:paraId="3609A2DB" w14:textId="6E5BD329" w:rsidR="00783288" w:rsidRDefault="00E31420">
      <w:pPr>
        <w:pStyle w:val="BodyText"/>
        <w:kinsoku w:val="0"/>
        <w:overflowPunct w:val="0"/>
        <w:ind w:left="827" w:right="1037" w:firstLine="12"/>
        <w:jc w:val="both"/>
        <w:rPr>
          <w:color w:val="231F20"/>
        </w:rPr>
      </w:pPr>
      <w:r>
        <w:rPr>
          <w:color w:val="231F20"/>
        </w:rPr>
        <w:t>As</w:t>
      </w:r>
      <w:r>
        <w:rPr>
          <w:color w:val="231F20"/>
          <w:spacing w:val="-7"/>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date</w:t>
      </w:r>
      <w:r>
        <w:rPr>
          <w:color w:val="231F20"/>
          <w:spacing w:val="-7"/>
        </w:rPr>
        <w:t xml:space="preserve"> </w:t>
      </w:r>
      <w:r>
        <w:rPr>
          <w:color w:val="231F20"/>
        </w:rPr>
        <w:t>of</w:t>
      </w:r>
      <w:r>
        <w:rPr>
          <w:color w:val="231F20"/>
          <w:spacing w:val="-9"/>
        </w:rPr>
        <w:t xml:space="preserve"> </w:t>
      </w:r>
      <w:r>
        <w:rPr>
          <w:color w:val="231F20"/>
        </w:rPr>
        <w:t>this</w:t>
      </w:r>
      <w:r>
        <w:rPr>
          <w:color w:val="231F20"/>
          <w:spacing w:val="-6"/>
        </w:rPr>
        <w:t xml:space="preserve"> </w:t>
      </w:r>
      <w:r>
        <w:rPr>
          <w:color w:val="231F20"/>
        </w:rPr>
        <w:t>Document,</w:t>
      </w:r>
      <w:r>
        <w:rPr>
          <w:color w:val="231F20"/>
          <w:spacing w:val="-7"/>
        </w:rPr>
        <w:t xml:space="preserve"> </w:t>
      </w:r>
      <w:r>
        <w:rPr>
          <w:color w:val="231F20"/>
        </w:rPr>
        <w:t>the</w:t>
      </w:r>
      <w:r>
        <w:rPr>
          <w:color w:val="231F20"/>
          <w:spacing w:val="-9"/>
        </w:rPr>
        <w:t xml:space="preserve"> </w:t>
      </w:r>
      <w:r>
        <w:rPr>
          <w:color w:val="231F20"/>
        </w:rPr>
        <w:t>Company</w:t>
      </w:r>
      <w:r>
        <w:rPr>
          <w:color w:val="231F20"/>
          <w:spacing w:val="-8"/>
        </w:rPr>
        <w:t xml:space="preserve"> </w:t>
      </w:r>
      <w:r>
        <w:rPr>
          <w:color w:val="231F20"/>
        </w:rPr>
        <w:t>is</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opinion</w:t>
      </w:r>
      <w:r>
        <w:rPr>
          <w:color w:val="231F20"/>
          <w:spacing w:val="-5"/>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working</w:t>
      </w:r>
      <w:r>
        <w:rPr>
          <w:color w:val="231F20"/>
          <w:spacing w:val="-9"/>
        </w:rPr>
        <w:t xml:space="preserve"> </w:t>
      </w:r>
      <w:r>
        <w:rPr>
          <w:color w:val="231F20"/>
        </w:rPr>
        <w:t>capital</w:t>
      </w:r>
      <w:r>
        <w:rPr>
          <w:color w:val="231F20"/>
          <w:spacing w:val="-9"/>
        </w:rPr>
        <w:t xml:space="preserve"> </w:t>
      </w:r>
      <w:r>
        <w:rPr>
          <w:color w:val="231F20"/>
        </w:rPr>
        <w:t>available</w:t>
      </w:r>
      <w:r>
        <w:rPr>
          <w:color w:val="231F20"/>
          <w:spacing w:val="-10"/>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 xml:space="preserve">Group, taking into account the Net Proceeds of the </w:t>
      </w:r>
      <w:r w:rsidR="00E51307">
        <w:rPr>
          <w:color w:val="231F20"/>
        </w:rPr>
        <w:t xml:space="preserve">Placing </w:t>
      </w:r>
      <w:r>
        <w:rPr>
          <w:color w:val="231F20"/>
        </w:rPr>
        <w:t>is sufficient for the Group’s present requirements (that is, for at least the next twelve months from the date of this</w:t>
      </w:r>
      <w:r>
        <w:rPr>
          <w:color w:val="231F20"/>
          <w:spacing w:val="-8"/>
        </w:rPr>
        <w:t xml:space="preserve"> </w:t>
      </w:r>
      <w:r>
        <w:rPr>
          <w:color w:val="231F20"/>
        </w:rPr>
        <w:t>Document).</w:t>
      </w:r>
    </w:p>
    <w:p w14:paraId="2AB98998" w14:textId="77777777" w:rsidR="00783288" w:rsidRDefault="00783288">
      <w:pPr>
        <w:pStyle w:val="BodyText"/>
        <w:kinsoku w:val="0"/>
        <w:overflowPunct w:val="0"/>
        <w:spacing w:before="6"/>
        <w:rPr>
          <w:sz w:val="20"/>
          <w:szCs w:val="20"/>
        </w:rPr>
      </w:pPr>
    </w:p>
    <w:p w14:paraId="2AE0647C"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Significant</w:t>
      </w:r>
      <w:r>
        <w:rPr>
          <w:color w:val="231F20"/>
          <w:spacing w:val="-1"/>
        </w:rPr>
        <w:t xml:space="preserve"> </w:t>
      </w:r>
      <w:r>
        <w:rPr>
          <w:color w:val="231F20"/>
        </w:rPr>
        <w:t>Change</w:t>
      </w:r>
    </w:p>
    <w:p w14:paraId="7D7BC1D5" w14:textId="77777777" w:rsidR="00783288" w:rsidRDefault="00783288">
      <w:pPr>
        <w:pStyle w:val="BodyText"/>
        <w:kinsoku w:val="0"/>
        <w:overflowPunct w:val="0"/>
        <w:spacing w:before="2"/>
        <w:rPr>
          <w:b/>
          <w:bCs/>
          <w:sz w:val="21"/>
          <w:szCs w:val="21"/>
        </w:rPr>
      </w:pPr>
    </w:p>
    <w:p w14:paraId="0FC811F3" w14:textId="65D28CFF" w:rsidR="00783288" w:rsidRDefault="00E31420" w:rsidP="00512495">
      <w:pPr>
        <w:pStyle w:val="ListParagraph"/>
        <w:numPr>
          <w:ilvl w:val="1"/>
          <w:numId w:val="13"/>
        </w:numPr>
        <w:tabs>
          <w:tab w:val="left" w:pos="840"/>
        </w:tabs>
        <w:kinsoku w:val="0"/>
        <w:overflowPunct w:val="0"/>
        <w:ind w:left="839" w:right="1034"/>
        <w:jc w:val="both"/>
        <w:rPr>
          <w:color w:val="231F20"/>
          <w:sz w:val="18"/>
          <w:szCs w:val="18"/>
        </w:rPr>
      </w:pPr>
      <w:r>
        <w:rPr>
          <w:color w:val="231F20"/>
          <w:sz w:val="18"/>
          <w:szCs w:val="18"/>
        </w:rPr>
        <w:t xml:space="preserve">Since </w:t>
      </w:r>
      <w:r w:rsidR="00663DA7">
        <w:rPr>
          <w:color w:val="231F20"/>
          <w:sz w:val="18"/>
          <w:szCs w:val="18"/>
        </w:rPr>
        <w:t xml:space="preserve">31 December </w:t>
      </w:r>
      <w:r>
        <w:rPr>
          <w:color w:val="231F20"/>
          <w:sz w:val="18"/>
          <w:szCs w:val="18"/>
        </w:rPr>
        <w:t>2020 (being the end of the last financial period of the Company for which financial information has</w:t>
      </w:r>
      <w:r>
        <w:rPr>
          <w:color w:val="231F20"/>
          <w:spacing w:val="-14"/>
          <w:sz w:val="18"/>
          <w:szCs w:val="18"/>
        </w:rPr>
        <w:t xml:space="preserve"> </w:t>
      </w:r>
      <w:r>
        <w:rPr>
          <w:color w:val="231F20"/>
          <w:sz w:val="18"/>
          <w:szCs w:val="18"/>
        </w:rPr>
        <w:t>been</w:t>
      </w:r>
      <w:r>
        <w:rPr>
          <w:color w:val="231F20"/>
          <w:spacing w:val="-13"/>
          <w:sz w:val="18"/>
          <w:szCs w:val="18"/>
        </w:rPr>
        <w:t xml:space="preserve"> </w:t>
      </w:r>
      <w:r>
        <w:rPr>
          <w:color w:val="231F20"/>
          <w:sz w:val="18"/>
          <w:szCs w:val="18"/>
        </w:rPr>
        <w:t>published)</w:t>
      </w:r>
      <w:r>
        <w:rPr>
          <w:color w:val="231F20"/>
          <w:spacing w:val="-14"/>
          <w:sz w:val="18"/>
          <w:szCs w:val="18"/>
        </w:rPr>
        <w:t xml:space="preserve"> </w:t>
      </w:r>
      <w:r>
        <w:rPr>
          <w:color w:val="231F20"/>
          <w:sz w:val="18"/>
          <w:szCs w:val="18"/>
        </w:rPr>
        <w:t>to</w:t>
      </w:r>
      <w:r>
        <w:rPr>
          <w:color w:val="231F20"/>
          <w:spacing w:val="-13"/>
          <w:sz w:val="18"/>
          <w:szCs w:val="18"/>
        </w:rPr>
        <w:t xml:space="preserve"> </w:t>
      </w:r>
      <w:r>
        <w:rPr>
          <w:color w:val="231F20"/>
          <w:sz w:val="18"/>
          <w:szCs w:val="18"/>
        </w:rPr>
        <w:t>the</w:t>
      </w:r>
      <w:r>
        <w:rPr>
          <w:color w:val="231F20"/>
          <w:spacing w:val="-13"/>
          <w:sz w:val="18"/>
          <w:szCs w:val="18"/>
        </w:rPr>
        <w:t xml:space="preserve"> </w:t>
      </w:r>
      <w:r>
        <w:rPr>
          <w:color w:val="231F20"/>
          <w:sz w:val="18"/>
          <w:szCs w:val="18"/>
        </w:rPr>
        <w:t>date</w:t>
      </w:r>
      <w:r>
        <w:rPr>
          <w:color w:val="231F20"/>
          <w:spacing w:val="-13"/>
          <w:sz w:val="18"/>
          <w:szCs w:val="18"/>
        </w:rPr>
        <w:t xml:space="preserve"> </w:t>
      </w:r>
      <w:r>
        <w:rPr>
          <w:color w:val="231F20"/>
          <w:sz w:val="18"/>
          <w:szCs w:val="18"/>
        </w:rPr>
        <w:t>of</w:t>
      </w:r>
      <w:r>
        <w:rPr>
          <w:color w:val="231F20"/>
          <w:spacing w:val="-14"/>
          <w:sz w:val="18"/>
          <w:szCs w:val="18"/>
        </w:rPr>
        <w:t xml:space="preserve"> </w:t>
      </w:r>
      <w:r>
        <w:rPr>
          <w:color w:val="231F20"/>
          <w:sz w:val="18"/>
          <w:szCs w:val="18"/>
        </w:rPr>
        <w:t>this</w:t>
      </w:r>
      <w:r>
        <w:rPr>
          <w:color w:val="231F20"/>
          <w:spacing w:val="-13"/>
          <w:sz w:val="18"/>
          <w:szCs w:val="18"/>
        </w:rPr>
        <w:t xml:space="preserve"> </w:t>
      </w:r>
      <w:r>
        <w:rPr>
          <w:color w:val="231F20"/>
          <w:sz w:val="18"/>
          <w:szCs w:val="18"/>
        </w:rPr>
        <w:t>Document,</w:t>
      </w:r>
      <w:r>
        <w:rPr>
          <w:color w:val="231F20"/>
          <w:spacing w:val="-14"/>
          <w:sz w:val="18"/>
          <w:szCs w:val="18"/>
        </w:rPr>
        <w:t xml:space="preserve"> </w:t>
      </w:r>
      <w:r>
        <w:rPr>
          <w:color w:val="231F20"/>
          <w:sz w:val="18"/>
          <w:szCs w:val="18"/>
        </w:rPr>
        <w:t>there</w:t>
      </w:r>
      <w:r>
        <w:rPr>
          <w:color w:val="231F20"/>
          <w:spacing w:val="-13"/>
          <w:sz w:val="18"/>
          <w:szCs w:val="18"/>
        </w:rPr>
        <w:t xml:space="preserve"> </w:t>
      </w:r>
      <w:r>
        <w:rPr>
          <w:color w:val="231F20"/>
          <w:sz w:val="18"/>
          <w:szCs w:val="18"/>
        </w:rPr>
        <w:t>has</w:t>
      </w:r>
      <w:r>
        <w:rPr>
          <w:color w:val="231F20"/>
          <w:spacing w:val="-14"/>
          <w:sz w:val="18"/>
          <w:szCs w:val="18"/>
        </w:rPr>
        <w:t xml:space="preserve"> </w:t>
      </w:r>
      <w:r>
        <w:rPr>
          <w:color w:val="231F20"/>
          <w:sz w:val="18"/>
          <w:szCs w:val="18"/>
        </w:rPr>
        <w:t>been</w:t>
      </w:r>
      <w:r>
        <w:rPr>
          <w:color w:val="231F20"/>
          <w:spacing w:val="-13"/>
          <w:sz w:val="18"/>
          <w:szCs w:val="18"/>
        </w:rPr>
        <w:t xml:space="preserve"> </w:t>
      </w:r>
      <w:r>
        <w:rPr>
          <w:color w:val="231F20"/>
          <w:sz w:val="18"/>
          <w:szCs w:val="18"/>
        </w:rPr>
        <w:t>no</w:t>
      </w:r>
      <w:r>
        <w:rPr>
          <w:color w:val="231F20"/>
          <w:spacing w:val="-13"/>
          <w:sz w:val="18"/>
          <w:szCs w:val="18"/>
        </w:rPr>
        <w:t xml:space="preserve"> </w:t>
      </w:r>
      <w:r>
        <w:rPr>
          <w:color w:val="231F20"/>
          <w:sz w:val="18"/>
          <w:szCs w:val="18"/>
        </w:rPr>
        <w:t>significant</w:t>
      </w:r>
      <w:r>
        <w:rPr>
          <w:color w:val="231F20"/>
          <w:spacing w:val="-14"/>
          <w:sz w:val="18"/>
          <w:szCs w:val="18"/>
        </w:rPr>
        <w:t xml:space="preserve"> </w:t>
      </w:r>
      <w:r>
        <w:rPr>
          <w:color w:val="231F20"/>
          <w:sz w:val="18"/>
          <w:szCs w:val="18"/>
        </w:rPr>
        <w:t>change</w:t>
      </w:r>
      <w:r>
        <w:rPr>
          <w:color w:val="231F20"/>
          <w:spacing w:val="-13"/>
          <w:sz w:val="18"/>
          <w:szCs w:val="18"/>
        </w:rPr>
        <w:t xml:space="preserve"> </w:t>
      </w:r>
      <w:r>
        <w:rPr>
          <w:color w:val="231F20"/>
          <w:sz w:val="18"/>
          <w:szCs w:val="18"/>
        </w:rPr>
        <w:t>in</w:t>
      </w:r>
      <w:r>
        <w:rPr>
          <w:color w:val="231F20"/>
          <w:spacing w:val="-13"/>
          <w:sz w:val="18"/>
          <w:szCs w:val="18"/>
        </w:rPr>
        <w:t xml:space="preserve"> </w:t>
      </w:r>
      <w:r>
        <w:rPr>
          <w:color w:val="231F20"/>
          <w:sz w:val="18"/>
          <w:szCs w:val="18"/>
        </w:rPr>
        <w:t>the</w:t>
      </w:r>
      <w:r>
        <w:rPr>
          <w:color w:val="231F20"/>
          <w:spacing w:val="-13"/>
          <w:sz w:val="18"/>
          <w:szCs w:val="18"/>
        </w:rPr>
        <w:t xml:space="preserve"> </w:t>
      </w:r>
      <w:r>
        <w:rPr>
          <w:color w:val="231F20"/>
          <w:sz w:val="18"/>
          <w:szCs w:val="18"/>
        </w:rPr>
        <w:t>financial</w:t>
      </w:r>
      <w:r>
        <w:rPr>
          <w:color w:val="231F20"/>
          <w:spacing w:val="-13"/>
          <w:sz w:val="18"/>
          <w:szCs w:val="18"/>
        </w:rPr>
        <w:t xml:space="preserve"> </w:t>
      </w:r>
      <w:r>
        <w:rPr>
          <w:color w:val="231F20"/>
          <w:sz w:val="18"/>
          <w:szCs w:val="18"/>
        </w:rPr>
        <w:t>position or</w:t>
      </w:r>
      <w:r>
        <w:rPr>
          <w:color w:val="231F20"/>
          <w:spacing w:val="-5"/>
          <w:sz w:val="18"/>
          <w:szCs w:val="18"/>
        </w:rPr>
        <w:t xml:space="preserve"> </w:t>
      </w:r>
      <w:r>
        <w:rPr>
          <w:color w:val="231F20"/>
          <w:sz w:val="18"/>
          <w:szCs w:val="18"/>
        </w:rPr>
        <w:t>financial</w:t>
      </w:r>
      <w:r>
        <w:rPr>
          <w:color w:val="231F20"/>
          <w:spacing w:val="-7"/>
          <w:sz w:val="18"/>
          <w:szCs w:val="18"/>
        </w:rPr>
        <w:t xml:space="preserve"> </w:t>
      </w:r>
      <w:r>
        <w:rPr>
          <w:color w:val="231F20"/>
          <w:sz w:val="18"/>
          <w:szCs w:val="18"/>
        </w:rPr>
        <w:t>performance</w:t>
      </w:r>
      <w:r>
        <w:rPr>
          <w:color w:val="231F20"/>
          <w:spacing w:val="-4"/>
          <w:sz w:val="18"/>
          <w:szCs w:val="18"/>
        </w:rPr>
        <w:t xml:space="preserve"> </w:t>
      </w:r>
      <w:r>
        <w:rPr>
          <w:color w:val="231F20"/>
          <w:sz w:val="18"/>
          <w:szCs w:val="18"/>
        </w:rPr>
        <w:t>of</w:t>
      </w:r>
      <w:r>
        <w:rPr>
          <w:color w:val="231F20"/>
          <w:spacing w:val="-7"/>
          <w:sz w:val="18"/>
          <w:szCs w:val="18"/>
        </w:rPr>
        <w:t xml:space="preserve"> </w:t>
      </w:r>
      <w:r>
        <w:rPr>
          <w:color w:val="231F20"/>
          <w:sz w:val="18"/>
          <w:szCs w:val="18"/>
        </w:rPr>
        <w:t>the</w:t>
      </w:r>
      <w:r>
        <w:rPr>
          <w:color w:val="231F20"/>
          <w:spacing w:val="-6"/>
          <w:sz w:val="18"/>
          <w:szCs w:val="18"/>
        </w:rPr>
        <w:t xml:space="preserve"> </w:t>
      </w:r>
      <w:r>
        <w:rPr>
          <w:color w:val="231F20"/>
          <w:sz w:val="18"/>
          <w:szCs w:val="18"/>
        </w:rPr>
        <w:t>Company</w:t>
      </w:r>
      <w:r w:rsidR="001C1E31">
        <w:rPr>
          <w:color w:val="231F20"/>
          <w:sz w:val="18"/>
          <w:szCs w:val="18"/>
        </w:rPr>
        <w:t xml:space="preserve"> or the Group</w:t>
      </w:r>
      <w:r>
        <w:rPr>
          <w:color w:val="231F20"/>
          <w:sz w:val="18"/>
          <w:szCs w:val="18"/>
        </w:rPr>
        <w:t>.</w:t>
      </w:r>
    </w:p>
    <w:p w14:paraId="09655DA3" w14:textId="77777777" w:rsidR="00783288" w:rsidRDefault="00783288">
      <w:pPr>
        <w:pStyle w:val="BodyText"/>
        <w:kinsoku w:val="0"/>
        <w:overflowPunct w:val="0"/>
        <w:spacing w:before="10"/>
        <w:rPr>
          <w:sz w:val="20"/>
          <w:szCs w:val="20"/>
        </w:rPr>
      </w:pPr>
    </w:p>
    <w:p w14:paraId="16DBF7DC" w14:textId="414C7043" w:rsidR="00783288" w:rsidRPr="008C3D69" w:rsidRDefault="00E31420" w:rsidP="00663DA7">
      <w:pPr>
        <w:pStyle w:val="BodyText"/>
        <w:kinsoku w:val="0"/>
        <w:overflowPunct w:val="0"/>
        <w:spacing w:before="2"/>
        <w:ind w:left="839" w:right="1037"/>
        <w:jc w:val="both"/>
        <w:rPr>
          <w:color w:val="231F20"/>
        </w:rPr>
      </w:pPr>
      <w:r w:rsidRPr="00663DA7">
        <w:rPr>
          <w:color w:val="231F20"/>
        </w:rPr>
        <w:t xml:space="preserve">On </w:t>
      </w:r>
      <w:r w:rsidR="009A7B0A">
        <w:t>12 July</w:t>
      </w:r>
      <w:r w:rsidR="00663DA7" w:rsidRPr="00663DA7">
        <w:rPr>
          <w:color w:val="231F20"/>
        </w:rPr>
        <w:t xml:space="preserve"> 2021</w:t>
      </w:r>
      <w:r w:rsidRPr="00663DA7">
        <w:rPr>
          <w:color w:val="231F20"/>
        </w:rPr>
        <w:t xml:space="preserve">, the Company intends to issue </w:t>
      </w:r>
      <w:r w:rsidR="00663DA7" w:rsidRPr="00663DA7">
        <w:rPr>
          <w:color w:val="231F20"/>
        </w:rPr>
        <w:t>of 10,089,199 Labrador Consideration Shares and 11,100,000 Labrador Consideration Warrants pursuant to the Labrador Acquisition</w:t>
      </w:r>
      <w:r w:rsidR="001C1E31">
        <w:rPr>
          <w:color w:val="231F20"/>
        </w:rPr>
        <w:t xml:space="preserve">. </w:t>
      </w:r>
      <w:r w:rsidRPr="00663DA7">
        <w:rPr>
          <w:color w:val="231F20"/>
        </w:rPr>
        <w:t>Further</w:t>
      </w:r>
      <w:r w:rsidRPr="00663DA7">
        <w:rPr>
          <w:color w:val="231F20"/>
          <w:spacing w:val="-15"/>
        </w:rPr>
        <w:t xml:space="preserve"> </w:t>
      </w:r>
      <w:r w:rsidRPr="00663DA7">
        <w:rPr>
          <w:color w:val="231F20"/>
        </w:rPr>
        <w:t>information</w:t>
      </w:r>
      <w:r w:rsidRPr="00663DA7">
        <w:rPr>
          <w:color w:val="231F20"/>
          <w:spacing w:val="-14"/>
        </w:rPr>
        <w:t xml:space="preserve"> </w:t>
      </w:r>
      <w:r w:rsidRPr="00663DA7">
        <w:rPr>
          <w:color w:val="231F20"/>
        </w:rPr>
        <w:t>regarding</w:t>
      </w:r>
      <w:r w:rsidRPr="00663DA7">
        <w:rPr>
          <w:color w:val="231F20"/>
          <w:spacing w:val="-14"/>
        </w:rPr>
        <w:t xml:space="preserve"> </w:t>
      </w:r>
      <w:r w:rsidRPr="00663DA7">
        <w:rPr>
          <w:color w:val="231F20"/>
        </w:rPr>
        <w:t>the</w:t>
      </w:r>
      <w:r w:rsidRPr="00663DA7">
        <w:rPr>
          <w:color w:val="231F20"/>
          <w:spacing w:val="-14"/>
        </w:rPr>
        <w:t xml:space="preserve"> </w:t>
      </w:r>
      <w:r w:rsidRPr="00663DA7">
        <w:rPr>
          <w:color w:val="231F20"/>
        </w:rPr>
        <w:t>issue</w:t>
      </w:r>
      <w:r w:rsidRPr="00663DA7">
        <w:rPr>
          <w:color w:val="231F20"/>
          <w:spacing w:val="-14"/>
        </w:rPr>
        <w:t xml:space="preserve"> </w:t>
      </w:r>
      <w:r w:rsidRPr="00663DA7">
        <w:rPr>
          <w:color w:val="231F20"/>
        </w:rPr>
        <w:t>of</w:t>
      </w:r>
      <w:r w:rsidRPr="00663DA7">
        <w:rPr>
          <w:color w:val="231F20"/>
          <w:spacing w:val="-15"/>
        </w:rPr>
        <w:t xml:space="preserve"> </w:t>
      </w:r>
      <w:r w:rsidRPr="00663DA7">
        <w:rPr>
          <w:color w:val="231F20"/>
        </w:rPr>
        <w:t>the</w:t>
      </w:r>
      <w:r w:rsidR="00663DA7">
        <w:rPr>
          <w:color w:val="231F20"/>
          <w:spacing w:val="-14"/>
        </w:rPr>
        <w:t xml:space="preserve"> </w:t>
      </w:r>
      <w:r w:rsidR="00663DA7" w:rsidRPr="000B2AF8">
        <w:t xml:space="preserve">Labrador Consideration Shares </w:t>
      </w:r>
      <w:r w:rsidR="00663DA7">
        <w:t xml:space="preserve">and Labrador Consideration Warrants </w:t>
      </w:r>
      <w:r w:rsidRPr="008C3D69">
        <w:rPr>
          <w:color w:val="231F20"/>
        </w:rPr>
        <w:t xml:space="preserve">is set out in </w:t>
      </w:r>
      <w:r w:rsidR="008C3D69">
        <w:rPr>
          <w:color w:val="231F20"/>
        </w:rPr>
        <w:t xml:space="preserve">paragraph 14.1 of this </w:t>
      </w:r>
      <w:r w:rsidRPr="008C3D69">
        <w:rPr>
          <w:color w:val="231F20"/>
        </w:rPr>
        <w:t xml:space="preserve">Part </w:t>
      </w:r>
      <w:r w:rsidR="008C3D69">
        <w:rPr>
          <w:color w:val="231F20"/>
        </w:rPr>
        <w:t>V</w:t>
      </w:r>
      <w:r w:rsidRPr="008C3D69">
        <w:rPr>
          <w:color w:val="231F20"/>
        </w:rPr>
        <w:t>II of this</w:t>
      </w:r>
      <w:r w:rsidRPr="008C3D69">
        <w:rPr>
          <w:color w:val="231F20"/>
          <w:spacing w:val="-14"/>
        </w:rPr>
        <w:t xml:space="preserve"> </w:t>
      </w:r>
      <w:r w:rsidRPr="008C3D69">
        <w:rPr>
          <w:color w:val="231F20"/>
        </w:rPr>
        <w:t>Document.</w:t>
      </w:r>
    </w:p>
    <w:p w14:paraId="0FC06C78" w14:textId="77777777" w:rsidR="00FF0F69" w:rsidRDefault="00FF0F69">
      <w:pPr>
        <w:pStyle w:val="BodyText"/>
        <w:kinsoku w:val="0"/>
        <w:overflowPunct w:val="0"/>
        <w:spacing w:before="2"/>
        <w:ind w:left="839" w:right="1037"/>
        <w:jc w:val="both"/>
        <w:rPr>
          <w:color w:val="231F20"/>
        </w:rPr>
      </w:pPr>
    </w:p>
    <w:p w14:paraId="07DFC21B" w14:textId="19C89337" w:rsidR="00FF0F69" w:rsidRPr="001A7287" w:rsidRDefault="00FF0F69" w:rsidP="00512495">
      <w:pPr>
        <w:pStyle w:val="ListParagraph"/>
        <w:numPr>
          <w:ilvl w:val="1"/>
          <w:numId w:val="13"/>
        </w:numPr>
        <w:tabs>
          <w:tab w:val="left" w:pos="840"/>
        </w:tabs>
        <w:kinsoku w:val="0"/>
        <w:overflowPunct w:val="0"/>
        <w:ind w:right="1037"/>
        <w:jc w:val="both"/>
        <w:rPr>
          <w:color w:val="231F20"/>
        </w:rPr>
      </w:pPr>
      <w:r>
        <w:rPr>
          <w:color w:val="231F20"/>
          <w:sz w:val="18"/>
          <w:szCs w:val="18"/>
        </w:rPr>
        <w:t xml:space="preserve">On </w:t>
      </w:r>
      <w:r w:rsidR="009A7B0A">
        <w:rPr>
          <w:sz w:val="18"/>
          <w:szCs w:val="18"/>
        </w:rPr>
        <w:t>12 July</w:t>
      </w:r>
      <w:r>
        <w:rPr>
          <w:color w:val="231F20"/>
          <w:sz w:val="18"/>
          <w:szCs w:val="18"/>
        </w:rPr>
        <w:t xml:space="preserve"> 2021, subject to Admission, the Company intends to issue </w:t>
      </w:r>
      <w:r w:rsidR="00520F27">
        <w:rPr>
          <w:sz w:val="18"/>
          <w:szCs w:val="18"/>
        </w:rPr>
        <w:t>8,000,000</w:t>
      </w:r>
      <w:r>
        <w:rPr>
          <w:color w:val="231F20"/>
          <w:sz w:val="18"/>
          <w:szCs w:val="18"/>
        </w:rPr>
        <w:t xml:space="preserve"> Placing Shares to raise approximately £</w:t>
      </w:r>
      <w:r w:rsidR="00520F27">
        <w:rPr>
          <w:sz w:val="18"/>
          <w:szCs w:val="18"/>
        </w:rPr>
        <w:t>800,000</w:t>
      </w:r>
      <w:r>
        <w:rPr>
          <w:color w:val="231F20"/>
          <w:sz w:val="18"/>
          <w:szCs w:val="18"/>
        </w:rPr>
        <w:t xml:space="preserve"> (before expenses). Further information regarding the issue of the Placing Shares is set out in Part III of this Document. </w:t>
      </w:r>
    </w:p>
    <w:p w14:paraId="2E264C05" w14:textId="77777777" w:rsidR="00783288" w:rsidRDefault="00783288">
      <w:pPr>
        <w:pStyle w:val="BodyText"/>
        <w:kinsoku w:val="0"/>
        <w:overflowPunct w:val="0"/>
        <w:spacing w:before="3"/>
        <w:rPr>
          <w:sz w:val="20"/>
          <w:szCs w:val="20"/>
        </w:rPr>
      </w:pPr>
    </w:p>
    <w:p w14:paraId="0E3F16DD" w14:textId="77777777" w:rsidR="00783288" w:rsidRDefault="00E31420" w:rsidP="00512495">
      <w:pPr>
        <w:pStyle w:val="Heading1"/>
        <w:numPr>
          <w:ilvl w:val="0"/>
          <w:numId w:val="13"/>
        </w:numPr>
        <w:tabs>
          <w:tab w:val="left" w:pos="840"/>
        </w:tabs>
        <w:kinsoku w:val="0"/>
        <w:overflowPunct w:val="0"/>
        <w:spacing w:before="1"/>
        <w:ind w:left="839"/>
        <w:rPr>
          <w:color w:val="231F20"/>
        </w:rPr>
      </w:pPr>
      <w:r>
        <w:rPr>
          <w:color w:val="231F20"/>
        </w:rPr>
        <w:t>Legal and Arbitration</w:t>
      </w:r>
      <w:r>
        <w:rPr>
          <w:color w:val="231F20"/>
          <w:spacing w:val="-1"/>
        </w:rPr>
        <w:t xml:space="preserve"> </w:t>
      </w:r>
      <w:r>
        <w:rPr>
          <w:color w:val="231F20"/>
        </w:rPr>
        <w:t>Proceedings</w:t>
      </w:r>
    </w:p>
    <w:p w14:paraId="255CD4DC" w14:textId="77777777" w:rsidR="00783288" w:rsidRDefault="00783288">
      <w:pPr>
        <w:pStyle w:val="BodyText"/>
        <w:kinsoku w:val="0"/>
        <w:overflowPunct w:val="0"/>
        <w:spacing w:before="2"/>
        <w:rPr>
          <w:b/>
          <w:bCs/>
          <w:sz w:val="21"/>
          <w:szCs w:val="21"/>
        </w:rPr>
      </w:pPr>
    </w:p>
    <w:p w14:paraId="755EB4B7" w14:textId="0C3B1C6C" w:rsidR="00783288" w:rsidRDefault="003E4EB9" w:rsidP="00512495">
      <w:pPr>
        <w:pStyle w:val="ListParagraph"/>
        <w:numPr>
          <w:ilvl w:val="1"/>
          <w:numId w:val="13"/>
        </w:numPr>
        <w:tabs>
          <w:tab w:val="left" w:pos="840"/>
        </w:tabs>
        <w:kinsoku w:val="0"/>
        <w:overflowPunct w:val="0"/>
        <w:ind w:left="839" w:right="1039"/>
        <w:jc w:val="both"/>
        <w:rPr>
          <w:color w:val="231F20"/>
          <w:sz w:val="18"/>
          <w:szCs w:val="18"/>
        </w:rPr>
      </w:pPr>
      <w:r>
        <w:rPr>
          <w:color w:val="040505"/>
          <w:sz w:val="18"/>
          <w:szCs w:val="18"/>
        </w:rPr>
        <w:t>Save for the dispute with the surface rights owner detailed at Part A of the Risk Factors</w:t>
      </w:r>
      <w:r>
        <w:rPr>
          <w:color w:val="070808"/>
          <w:sz w:val="18"/>
          <w:szCs w:val="18"/>
        </w:rPr>
        <w:t>,</w:t>
      </w:r>
      <w:r w:rsidR="008D1FAE">
        <w:rPr>
          <w:color w:val="070808"/>
          <w:sz w:val="18"/>
          <w:szCs w:val="18"/>
        </w:rPr>
        <w:t xml:space="preserve"> </w:t>
      </w:r>
      <w:r>
        <w:rPr>
          <w:color w:val="231F20"/>
          <w:sz w:val="18"/>
          <w:szCs w:val="18"/>
        </w:rPr>
        <w:t>t</w:t>
      </w:r>
      <w:r w:rsidR="00E31420">
        <w:rPr>
          <w:color w:val="231F20"/>
          <w:sz w:val="18"/>
          <w:szCs w:val="18"/>
        </w:rPr>
        <w:t>here are no governmental, legal or arbitration proceedings (including any such proceedings which are pending or threatened of which the Company is aware) during the last 12 months which may have, or have had in the recent past, significant effects on the financial position or profitability of the</w:t>
      </w:r>
      <w:r w:rsidR="00E31420">
        <w:rPr>
          <w:color w:val="231F20"/>
          <w:spacing w:val="-14"/>
          <w:sz w:val="18"/>
          <w:szCs w:val="18"/>
        </w:rPr>
        <w:t xml:space="preserve"> </w:t>
      </w:r>
      <w:r w:rsidR="00E31420">
        <w:rPr>
          <w:color w:val="231F20"/>
          <w:sz w:val="18"/>
          <w:szCs w:val="18"/>
        </w:rPr>
        <w:t>Group.</w:t>
      </w:r>
    </w:p>
    <w:p w14:paraId="4D47C48B" w14:textId="77777777" w:rsidR="00783288" w:rsidRDefault="00783288">
      <w:pPr>
        <w:pStyle w:val="BodyText"/>
        <w:kinsoku w:val="0"/>
        <w:overflowPunct w:val="0"/>
        <w:spacing w:before="6"/>
        <w:rPr>
          <w:sz w:val="20"/>
          <w:szCs w:val="20"/>
        </w:rPr>
      </w:pPr>
    </w:p>
    <w:p w14:paraId="554BF045" w14:textId="77777777" w:rsidR="00783288" w:rsidRDefault="00E31420" w:rsidP="00512495">
      <w:pPr>
        <w:pStyle w:val="Heading1"/>
        <w:numPr>
          <w:ilvl w:val="0"/>
          <w:numId w:val="13"/>
        </w:numPr>
        <w:tabs>
          <w:tab w:val="left" w:pos="840"/>
        </w:tabs>
        <w:kinsoku w:val="0"/>
        <w:overflowPunct w:val="0"/>
        <w:rPr>
          <w:color w:val="231F20"/>
        </w:rPr>
      </w:pPr>
      <w:r>
        <w:rPr>
          <w:color w:val="231F20"/>
        </w:rPr>
        <w:t>General</w:t>
      </w:r>
    </w:p>
    <w:p w14:paraId="5D4D76DC" w14:textId="77777777" w:rsidR="00783288" w:rsidRDefault="00783288">
      <w:pPr>
        <w:pStyle w:val="BodyText"/>
        <w:kinsoku w:val="0"/>
        <w:overflowPunct w:val="0"/>
        <w:spacing w:before="3"/>
        <w:rPr>
          <w:b/>
          <w:bCs/>
          <w:sz w:val="21"/>
          <w:szCs w:val="21"/>
        </w:rPr>
      </w:pPr>
    </w:p>
    <w:p w14:paraId="7FD5B00F" w14:textId="2F02F9C7" w:rsidR="00783288" w:rsidRPr="00210C71"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 xml:space="preserve">The total costs (including fees and commissions) (exclusive of VAT) payable by the Company in connection </w:t>
      </w:r>
      <w:r>
        <w:rPr>
          <w:color w:val="231F20"/>
          <w:sz w:val="18"/>
          <w:szCs w:val="18"/>
        </w:rPr>
        <w:lastRenderedPageBreak/>
        <w:t>with</w:t>
      </w:r>
      <w:r>
        <w:rPr>
          <w:color w:val="231F20"/>
          <w:spacing w:val="-7"/>
          <w:sz w:val="18"/>
          <w:szCs w:val="18"/>
        </w:rPr>
        <w:t xml:space="preserve"> </w:t>
      </w:r>
      <w:r>
        <w:rPr>
          <w:color w:val="231F20"/>
          <w:sz w:val="18"/>
          <w:szCs w:val="18"/>
        </w:rPr>
        <w:t>the</w:t>
      </w:r>
      <w:r>
        <w:rPr>
          <w:color w:val="231F20"/>
          <w:spacing w:val="-7"/>
          <w:sz w:val="18"/>
          <w:szCs w:val="18"/>
        </w:rPr>
        <w:t xml:space="preserve"> </w:t>
      </w:r>
      <w:r w:rsidR="00E51307">
        <w:rPr>
          <w:color w:val="231F20"/>
          <w:sz w:val="18"/>
          <w:szCs w:val="18"/>
        </w:rPr>
        <w:t>Placing</w:t>
      </w:r>
      <w:r w:rsidR="00341A58">
        <w:rPr>
          <w:color w:val="231F20"/>
          <w:spacing w:val="-7"/>
          <w:sz w:val="18"/>
          <w:szCs w:val="18"/>
        </w:rPr>
        <w:t xml:space="preserve">, the Labrador Acquisition and </w:t>
      </w:r>
      <w:r>
        <w:rPr>
          <w:color w:val="231F20"/>
          <w:sz w:val="18"/>
          <w:szCs w:val="18"/>
        </w:rPr>
        <w:t>Admission</w:t>
      </w:r>
      <w:r>
        <w:rPr>
          <w:color w:val="231F20"/>
          <w:spacing w:val="-7"/>
          <w:sz w:val="18"/>
          <w:szCs w:val="18"/>
        </w:rPr>
        <w:t xml:space="preserve"> </w:t>
      </w:r>
      <w:r>
        <w:rPr>
          <w:color w:val="231F20"/>
          <w:sz w:val="18"/>
          <w:szCs w:val="18"/>
        </w:rPr>
        <w:t>are</w:t>
      </w:r>
      <w:r>
        <w:rPr>
          <w:color w:val="231F20"/>
          <w:spacing w:val="-9"/>
          <w:sz w:val="18"/>
          <w:szCs w:val="18"/>
        </w:rPr>
        <w:t xml:space="preserve"> </w:t>
      </w:r>
      <w:r>
        <w:rPr>
          <w:color w:val="231F20"/>
          <w:sz w:val="18"/>
          <w:szCs w:val="18"/>
        </w:rPr>
        <w:t>estimated</w:t>
      </w:r>
      <w:r>
        <w:rPr>
          <w:color w:val="231F20"/>
          <w:spacing w:val="-7"/>
          <w:sz w:val="18"/>
          <w:szCs w:val="18"/>
        </w:rPr>
        <w:t xml:space="preserve"> </w:t>
      </w:r>
      <w:r>
        <w:rPr>
          <w:color w:val="231F20"/>
          <w:sz w:val="18"/>
          <w:szCs w:val="18"/>
        </w:rPr>
        <w:t>to</w:t>
      </w:r>
      <w:r>
        <w:rPr>
          <w:color w:val="231F20"/>
          <w:spacing w:val="-7"/>
          <w:sz w:val="18"/>
          <w:szCs w:val="18"/>
        </w:rPr>
        <w:t xml:space="preserve"> </w:t>
      </w:r>
      <w:r>
        <w:rPr>
          <w:color w:val="231F20"/>
          <w:sz w:val="18"/>
          <w:szCs w:val="18"/>
        </w:rPr>
        <w:t>be</w:t>
      </w:r>
      <w:r>
        <w:rPr>
          <w:color w:val="231F20"/>
          <w:spacing w:val="-6"/>
          <w:sz w:val="18"/>
          <w:szCs w:val="18"/>
        </w:rPr>
        <w:t xml:space="preserve"> </w:t>
      </w:r>
      <w:r>
        <w:rPr>
          <w:color w:val="231F20"/>
          <w:sz w:val="18"/>
          <w:szCs w:val="18"/>
        </w:rPr>
        <w:t>approximately</w:t>
      </w:r>
      <w:r>
        <w:rPr>
          <w:color w:val="231F20"/>
          <w:spacing w:val="-9"/>
          <w:sz w:val="18"/>
          <w:szCs w:val="18"/>
        </w:rPr>
        <w:t xml:space="preserve"> </w:t>
      </w:r>
      <w:r>
        <w:rPr>
          <w:color w:val="231F20"/>
          <w:sz w:val="18"/>
          <w:szCs w:val="18"/>
        </w:rPr>
        <w:t>£</w:t>
      </w:r>
      <w:r w:rsidR="007375BD">
        <w:rPr>
          <w:sz w:val="18"/>
          <w:szCs w:val="18"/>
        </w:rPr>
        <w:t>150,000</w:t>
      </w:r>
      <w:r>
        <w:rPr>
          <w:color w:val="231F20"/>
          <w:sz w:val="18"/>
          <w:szCs w:val="18"/>
        </w:rPr>
        <w:t>.</w:t>
      </w:r>
      <w:r>
        <w:rPr>
          <w:color w:val="231F20"/>
          <w:spacing w:val="-7"/>
          <w:sz w:val="18"/>
          <w:szCs w:val="18"/>
        </w:rPr>
        <w:t xml:space="preserve"> </w:t>
      </w:r>
    </w:p>
    <w:p w14:paraId="60B6F83F" w14:textId="77777777" w:rsidR="00210C71" w:rsidRPr="00210C71" w:rsidRDefault="00210C71" w:rsidP="00210C71">
      <w:pPr>
        <w:pStyle w:val="ListParagraph"/>
        <w:tabs>
          <w:tab w:val="left" w:pos="840"/>
        </w:tabs>
        <w:kinsoku w:val="0"/>
        <w:overflowPunct w:val="0"/>
        <w:ind w:right="1037" w:firstLine="0"/>
        <w:jc w:val="both"/>
        <w:rPr>
          <w:color w:val="231F20"/>
          <w:sz w:val="18"/>
          <w:szCs w:val="18"/>
        </w:rPr>
      </w:pPr>
    </w:p>
    <w:p w14:paraId="06086FD5" w14:textId="724569ED" w:rsidR="00210C71" w:rsidRDefault="00210C71"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The estimated Net Proceeds accruing to the Company from the Placing are approximately £</w:t>
      </w:r>
      <w:r>
        <w:rPr>
          <w:color w:val="231F20"/>
          <w:sz w:val="18"/>
          <w:szCs w:val="18"/>
        </w:rPr>
        <w:softHyphen/>
      </w:r>
      <w:r w:rsidR="007375BD">
        <w:rPr>
          <w:sz w:val="18"/>
          <w:szCs w:val="18"/>
        </w:rPr>
        <w:t>700,000</w:t>
      </w:r>
      <w:r>
        <w:rPr>
          <w:color w:val="231F20"/>
          <w:sz w:val="18"/>
          <w:szCs w:val="18"/>
        </w:rPr>
        <w:t>.</w:t>
      </w:r>
    </w:p>
    <w:p w14:paraId="43D01CFF" w14:textId="77777777" w:rsidR="00783288" w:rsidRDefault="00783288">
      <w:pPr>
        <w:pStyle w:val="BodyText"/>
        <w:kinsoku w:val="0"/>
        <w:overflowPunct w:val="0"/>
        <w:rPr>
          <w:sz w:val="21"/>
          <w:szCs w:val="21"/>
        </w:rPr>
      </w:pPr>
    </w:p>
    <w:p w14:paraId="523C9F05" w14:textId="129C57D0" w:rsidR="00783288" w:rsidRDefault="00E31420" w:rsidP="00512495">
      <w:pPr>
        <w:pStyle w:val="ListParagraph"/>
        <w:numPr>
          <w:ilvl w:val="1"/>
          <w:numId w:val="13"/>
        </w:numPr>
        <w:tabs>
          <w:tab w:val="left" w:pos="840"/>
        </w:tabs>
        <w:kinsoku w:val="0"/>
        <w:overflowPunct w:val="0"/>
        <w:spacing w:before="78"/>
        <w:ind w:left="839" w:right="1038"/>
        <w:jc w:val="both"/>
        <w:rPr>
          <w:color w:val="231F20"/>
          <w:sz w:val="18"/>
          <w:szCs w:val="18"/>
        </w:rPr>
      </w:pPr>
      <w:r>
        <w:rPr>
          <w:color w:val="231F20"/>
          <w:sz w:val="18"/>
          <w:szCs w:val="18"/>
        </w:rPr>
        <w:t xml:space="preserve">The nominal value of the Ordinary Shares is denominated in sterling and the </w:t>
      </w:r>
      <w:r w:rsidR="00E51307">
        <w:rPr>
          <w:color w:val="231F20"/>
          <w:sz w:val="18"/>
          <w:szCs w:val="18"/>
        </w:rPr>
        <w:t xml:space="preserve">Placing </w:t>
      </w:r>
      <w:r>
        <w:rPr>
          <w:color w:val="231F20"/>
          <w:sz w:val="18"/>
          <w:szCs w:val="18"/>
        </w:rPr>
        <w:t>Price is payable in sterling.</w:t>
      </w:r>
    </w:p>
    <w:p w14:paraId="7AAD680B" w14:textId="77777777" w:rsidR="00783288" w:rsidRDefault="00783288">
      <w:pPr>
        <w:pStyle w:val="BodyText"/>
        <w:kinsoku w:val="0"/>
        <w:overflowPunct w:val="0"/>
        <w:spacing w:before="11"/>
        <w:rPr>
          <w:sz w:val="20"/>
          <w:szCs w:val="20"/>
        </w:rPr>
      </w:pPr>
    </w:p>
    <w:p w14:paraId="697D570B" w14:textId="2B4F93D0"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The</w:t>
      </w:r>
      <w:r>
        <w:rPr>
          <w:color w:val="231F20"/>
          <w:spacing w:val="-2"/>
          <w:sz w:val="18"/>
          <w:szCs w:val="18"/>
        </w:rPr>
        <w:t xml:space="preserve"> </w:t>
      </w:r>
      <w:r>
        <w:rPr>
          <w:color w:val="231F20"/>
          <w:sz w:val="18"/>
          <w:szCs w:val="18"/>
        </w:rPr>
        <w:t>issue</w:t>
      </w:r>
      <w:r>
        <w:rPr>
          <w:color w:val="231F20"/>
          <w:spacing w:val="-1"/>
          <w:sz w:val="18"/>
          <w:szCs w:val="18"/>
        </w:rPr>
        <w:t xml:space="preserve"> </w:t>
      </w:r>
      <w:r>
        <w:rPr>
          <w:color w:val="231F20"/>
          <w:sz w:val="18"/>
          <w:szCs w:val="18"/>
        </w:rPr>
        <w:t>of</w:t>
      </w:r>
      <w:r>
        <w:rPr>
          <w:color w:val="231F20"/>
          <w:spacing w:val="-2"/>
          <w:sz w:val="18"/>
          <w:szCs w:val="18"/>
        </w:rPr>
        <w:t xml:space="preserve"> </w:t>
      </w:r>
      <w:r>
        <w:rPr>
          <w:color w:val="231F20"/>
          <w:sz w:val="18"/>
          <w:szCs w:val="18"/>
        </w:rPr>
        <w:t>the</w:t>
      </w:r>
      <w:r>
        <w:rPr>
          <w:color w:val="231F20"/>
          <w:spacing w:val="-1"/>
          <w:sz w:val="18"/>
          <w:szCs w:val="18"/>
        </w:rPr>
        <w:t xml:space="preserve"> </w:t>
      </w:r>
      <w:r w:rsidR="00E51307">
        <w:rPr>
          <w:color w:val="231F20"/>
          <w:sz w:val="18"/>
          <w:szCs w:val="18"/>
        </w:rPr>
        <w:t>Placing</w:t>
      </w:r>
      <w:r w:rsidR="00E51307">
        <w:rPr>
          <w:color w:val="231F20"/>
          <w:spacing w:val="-4"/>
          <w:sz w:val="18"/>
          <w:szCs w:val="18"/>
        </w:rPr>
        <w:t xml:space="preserve"> </w:t>
      </w:r>
      <w:r>
        <w:rPr>
          <w:color w:val="231F20"/>
          <w:sz w:val="18"/>
          <w:szCs w:val="18"/>
        </w:rPr>
        <w:t>Shares</w:t>
      </w:r>
      <w:r>
        <w:rPr>
          <w:color w:val="231F20"/>
          <w:spacing w:val="-2"/>
          <w:sz w:val="18"/>
          <w:szCs w:val="18"/>
        </w:rPr>
        <w:t xml:space="preserve"> </w:t>
      </w:r>
      <w:r w:rsidR="008C3D69">
        <w:rPr>
          <w:color w:val="231F20"/>
          <w:spacing w:val="-2"/>
          <w:sz w:val="18"/>
          <w:szCs w:val="18"/>
        </w:rPr>
        <w:t xml:space="preserve">and the Labrador Consideration Shares </w:t>
      </w:r>
      <w:r>
        <w:rPr>
          <w:color w:val="231F20"/>
          <w:sz w:val="18"/>
          <w:szCs w:val="18"/>
        </w:rPr>
        <w:t>will</w:t>
      </w:r>
      <w:r>
        <w:rPr>
          <w:color w:val="231F20"/>
          <w:spacing w:val="-1"/>
          <w:sz w:val="18"/>
          <w:szCs w:val="18"/>
        </w:rPr>
        <w:t xml:space="preserve"> </w:t>
      </w:r>
      <w:r>
        <w:rPr>
          <w:color w:val="231F20"/>
          <w:sz w:val="18"/>
          <w:szCs w:val="18"/>
        </w:rPr>
        <w:t>result</w:t>
      </w:r>
      <w:r>
        <w:rPr>
          <w:color w:val="231F20"/>
          <w:spacing w:val="-4"/>
          <w:sz w:val="18"/>
          <w:szCs w:val="18"/>
        </w:rPr>
        <w:t xml:space="preserve"> </w:t>
      </w:r>
      <w:r>
        <w:rPr>
          <w:color w:val="231F20"/>
          <w:sz w:val="18"/>
          <w:szCs w:val="18"/>
        </w:rPr>
        <w:t>in</w:t>
      </w:r>
      <w:r>
        <w:rPr>
          <w:color w:val="231F20"/>
          <w:spacing w:val="-2"/>
          <w:sz w:val="18"/>
          <w:szCs w:val="18"/>
        </w:rPr>
        <w:t xml:space="preserve"> </w:t>
      </w:r>
      <w:r>
        <w:rPr>
          <w:color w:val="231F20"/>
          <w:sz w:val="18"/>
          <w:szCs w:val="18"/>
        </w:rPr>
        <w:t>the</w:t>
      </w:r>
      <w:r>
        <w:rPr>
          <w:color w:val="231F20"/>
          <w:spacing w:val="-1"/>
          <w:sz w:val="18"/>
          <w:szCs w:val="18"/>
        </w:rPr>
        <w:t xml:space="preserve"> </w:t>
      </w:r>
      <w:r>
        <w:rPr>
          <w:color w:val="231F20"/>
          <w:sz w:val="18"/>
          <w:szCs w:val="18"/>
        </w:rPr>
        <w:t>Existing</w:t>
      </w:r>
      <w:r>
        <w:rPr>
          <w:color w:val="231F20"/>
          <w:spacing w:val="-6"/>
          <w:sz w:val="18"/>
          <w:szCs w:val="18"/>
        </w:rPr>
        <w:t xml:space="preserve"> </w:t>
      </w:r>
      <w:r>
        <w:rPr>
          <w:color w:val="231F20"/>
          <w:sz w:val="18"/>
          <w:szCs w:val="18"/>
        </w:rPr>
        <w:t>Ordinary</w:t>
      </w:r>
      <w:r>
        <w:rPr>
          <w:color w:val="231F20"/>
          <w:spacing w:val="-4"/>
          <w:sz w:val="18"/>
          <w:szCs w:val="18"/>
        </w:rPr>
        <w:t xml:space="preserve"> </w:t>
      </w:r>
      <w:r>
        <w:rPr>
          <w:color w:val="231F20"/>
          <w:sz w:val="18"/>
          <w:szCs w:val="18"/>
        </w:rPr>
        <w:t>Shares</w:t>
      </w:r>
      <w:r>
        <w:rPr>
          <w:color w:val="231F20"/>
          <w:spacing w:val="-3"/>
          <w:sz w:val="18"/>
          <w:szCs w:val="18"/>
        </w:rPr>
        <w:t xml:space="preserve"> </w:t>
      </w:r>
      <w:r>
        <w:rPr>
          <w:color w:val="231F20"/>
          <w:sz w:val="18"/>
          <w:szCs w:val="18"/>
        </w:rPr>
        <w:t>being</w:t>
      </w:r>
      <w:r>
        <w:rPr>
          <w:color w:val="231F20"/>
          <w:spacing w:val="-1"/>
          <w:sz w:val="18"/>
          <w:szCs w:val="18"/>
        </w:rPr>
        <w:t xml:space="preserve"> </w:t>
      </w:r>
      <w:r>
        <w:rPr>
          <w:color w:val="231F20"/>
          <w:sz w:val="18"/>
          <w:szCs w:val="18"/>
        </w:rPr>
        <w:t>diluted</w:t>
      </w:r>
      <w:r>
        <w:rPr>
          <w:color w:val="231F20"/>
          <w:spacing w:val="-5"/>
          <w:sz w:val="18"/>
          <w:szCs w:val="18"/>
        </w:rPr>
        <w:t xml:space="preserve"> </w:t>
      </w:r>
      <w:proofErr w:type="gramStart"/>
      <w:r>
        <w:rPr>
          <w:color w:val="231F20"/>
          <w:sz w:val="18"/>
          <w:szCs w:val="18"/>
        </w:rPr>
        <w:t>so</w:t>
      </w:r>
      <w:r>
        <w:rPr>
          <w:color w:val="231F20"/>
          <w:spacing w:val="-1"/>
          <w:sz w:val="18"/>
          <w:szCs w:val="18"/>
        </w:rPr>
        <w:t xml:space="preserve"> </w:t>
      </w:r>
      <w:r>
        <w:rPr>
          <w:color w:val="231F20"/>
          <w:sz w:val="18"/>
          <w:szCs w:val="18"/>
        </w:rPr>
        <w:t>as to</w:t>
      </w:r>
      <w:proofErr w:type="gramEnd"/>
      <w:r>
        <w:rPr>
          <w:color w:val="231F20"/>
          <w:spacing w:val="-4"/>
          <w:sz w:val="18"/>
          <w:szCs w:val="18"/>
        </w:rPr>
        <w:t xml:space="preserve"> </w:t>
      </w:r>
      <w:r>
        <w:rPr>
          <w:color w:val="231F20"/>
          <w:sz w:val="18"/>
          <w:szCs w:val="18"/>
        </w:rPr>
        <w:t xml:space="preserve">constitute approximately </w:t>
      </w:r>
      <w:r w:rsidR="001832E4">
        <w:rPr>
          <w:sz w:val="18"/>
          <w:szCs w:val="18"/>
        </w:rPr>
        <w:t xml:space="preserve">15.07 </w:t>
      </w:r>
      <w:r>
        <w:rPr>
          <w:color w:val="231F20"/>
          <w:sz w:val="18"/>
          <w:szCs w:val="18"/>
        </w:rPr>
        <w:t>per cent. of the Enlarged Ordinary Share</w:t>
      </w:r>
      <w:r>
        <w:rPr>
          <w:color w:val="231F20"/>
          <w:spacing w:val="-6"/>
          <w:sz w:val="18"/>
          <w:szCs w:val="18"/>
        </w:rPr>
        <w:t xml:space="preserve"> </w:t>
      </w:r>
      <w:r>
        <w:rPr>
          <w:color w:val="231F20"/>
          <w:sz w:val="18"/>
          <w:szCs w:val="18"/>
        </w:rPr>
        <w:t>Capital.</w:t>
      </w:r>
    </w:p>
    <w:p w14:paraId="08813450" w14:textId="77777777" w:rsidR="00783288" w:rsidRDefault="00783288">
      <w:pPr>
        <w:pStyle w:val="BodyText"/>
        <w:kinsoku w:val="0"/>
        <w:overflowPunct w:val="0"/>
        <w:spacing w:before="9"/>
        <w:rPr>
          <w:sz w:val="20"/>
          <w:szCs w:val="20"/>
        </w:rPr>
      </w:pPr>
    </w:p>
    <w:p w14:paraId="5FC0A971" w14:textId="77777777" w:rsidR="00783288" w:rsidRDefault="00E31420" w:rsidP="00512495">
      <w:pPr>
        <w:pStyle w:val="ListParagraph"/>
        <w:numPr>
          <w:ilvl w:val="1"/>
          <w:numId w:val="13"/>
        </w:numPr>
        <w:tabs>
          <w:tab w:val="left" w:pos="840"/>
        </w:tabs>
        <w:kinsoku w:val="0"/>
        <w:overflowPunct w:val="0"/>
        <w:ind w:left="839" w:right="1035"/>
        <w:jc w:val="both"/>
        <w:rPr>
          <w:color w:val="231F20"/>
          <w:sz w:val="18"/>
          <w:szCs w:val="18"/>
        </w:rPr>
      </w:pPr>
      <w:r>
        <w:rPr>
          <w:color w:val="231F20"/>
          <w:sz w:val="18"/>
          <w:szCs w:val="18"/>
        </w:rPr>
        <w:t xml:space="preserve">PKF Littlejohn LLP of 15 </w:t>
      </w:r>
      <w:proofErr w:type="spellStart"/>
      <w:r>
        <w:rPr>
          <w:color w:val="231F20"/>
          <w:sz w:val="18"/>
          <w:szCs w:val="18"/>
        </w:rPr>
        <w:t>Westferry</w:t>
      </w:r>
      <w:proofErr w:type="spellEnd"/>
      <w:r>
        <w:rPr>
          <w:color w:val="231F20"/>
          <w:sz w:val="18"/>
          <w:szCs w:val="18"/>
        </w:rPr>
        <w:t xml:space="preserve"> Circus, Canary Wharf, London, United Kingdom, E14 4HD is the auditor of the Company. PKF Littlejohn LLP is a member firm of the Institute of Chartered Accountants in England and Wales and registered under the Statutory Audit Directive, Register of Statutory Auditors number C002139029.</w:t>
      </w:r>
    </w:p>
    <w:p w14:paraId="7D313FB8" w14:textId="77777777" w:rsidR="00783288" w:rsidRDefault="00783288">
      <w:pPr>
        <w:pStyle w:val="BodyText"/>
        <w:kinsoku w:val="0"/>
        <w:overflowPunct w:val="0"/>
        <w:spacing w:before="10"/>
        <w:rPr>
          <w:sz w:val="20"/>
          <w:szCs w:val="20"/>
        </w:rPr>
      </w:pPr>
    </w:p>
    <w:p w14:paraId="656676B8" w14:textId="44A2B163" w:rsidR="00783288" w:rsidRDefault="00E31420" w:rsidP="00512495">
      <w:pPr>
        <w:pStyle w:val="ListParagraph"/>
        <w:numPr>
          <w:ilvl w:val="1"/>
          <w:numId w:val="13"/>
        </w:numPr>
        <w:tabs>
          <w:tab w:val="left" w:pos="840"/>
        </w:tabs>
        <w:kinsoku w:val="0"/>
        <w:overflowPunct w:val="0"/>
        <w:ind w:left="839" w:right="1037"/>
        <w:jc w:val="both"/>
        <w:rPr>
          <w:color w:val="020303"/>
          <w:sz w:val="18"/>
          <w:szCs w:val="18"/>
        </w:rPr>
      </w:pPr>
      <w:r>
        <w:rPr>
          <w:color w:val="020303"/>
          <w:sz w:val="18"/>
          <w:szCs w:val="18"/>
        </w:rPr>
        <w:t>PKF Littlejohn LLP, acting in its capacity as the auditor to the Company, has no material interest in the Company and has gi</w:t>
      </w:r>
      <w:r>
        <w:rPr>
          <w:color w:val="161618"/>
          <w:sz w:val="18"/>
          <w:szCs w:val="18"/>
        </w:rPr>
        <w:t>v</w:t>
      </w:r>
      <w:r>
        <w:rPr>
          <w:color w:val="020303"/>
          <w:sz w:val="18"/>
          <w:szCs w:val="18"/>
        </w:rPr>
        <w:t>en and not withdrawn its written consent to</w:t>
      </w:r>
      <w:r w:rsidR="00440FAF">
        <w:rPr>
          <w:color w:val="020303"/>
          <w:sz w:val="18"/>
          <w:szCs w:val="18"/>
        </w:rPr>
        <w:t xml:space="preserve"> the issue of this Document with</w:t>
      </w:r>
      <w:r>
        <w:rPr>
          <w:color w:val="020303"/>
          <w:sz w:val="18"/>
          <w:szCs w:val="18"/>
        </w:rPr>
        <w:t xml:space="preserve"> the in</w:t>
      </w:r>
      <w:r>
        <w:rPr>
          <w:color w:val="161618"/>
          <w:sz w:val="18"/>
          <w:szCs w:val="18"/>
        </w:rPr>
        <w:t>c</w:t>
      </w:r>
      <w:r>
        <w:rPr>
          <w:color w:val="020303"/>
          <w:sz w:val="18"/>
          <w:szCs w:val="18"/>
        </w:rPr>
        <w:t>lu</w:t>
      </w:r>
      <w:r>
        <w:rPr>
          <w:color w:val="161618"/>
          <w:sz w:val="18"/>
          <w:szCs w:val="18"/>
        </w:rPr>
        <w:t>s</w:t>
      </w:r>
      <w:r>
        <w:rPr>
          <w:color w:val="020303"/>
          <w:sz w:val="18"/>
          <w:szCs w:val="18"/>
        </w:rPr>
        <w:t>ion of its name</w:t>
      </w:r>
      <w:r w:rsidR="00440FAF">
        <w:rPr>
          <w:color w:val="020303"/>
          <w:sz w:val="18"/>
          <w:szCs w:val="18"/>
        </w:rPr>
        <w:t xml:space="preserve"> in it and has authorised the contents of </w:t>
      </w:r>
      <w:r w:rsidR="00E67750">
        <w:rPr>
          <w:sz w:val="18"/>
          <w:szCs w:val="18"/>
        </w:rPr>
        <w:t xml:space="preserve">Part </w:t>
      </w:r>
      <w:r w:rsidR="00DE6051">
        <w:rPr>
          <w:sz w:val="18"/>
          <w:szCs w:val="18"/>
        </w:rPr>
        <w:t>IV</w:t>
      </w:r>
      <w:r w:rsidR="00440FAF">
        <w:rPr>
          <w:color w:val="020303"/>
          <w:sz w:val="18"/>
          <w:szCs w:val="18"/>
        </w:rPr>
        <w:t xml:space="preserve"> of this Document</w:t>
      </w:r>
      <w:r w:rsidR="00E67750">
        <w:rPr>
          <w:color w:val="020303"/>
          <w:sz w:val="18"/>
          <w:szCs w:val="18"/>
        </w:rPr>
        <w:t xml:space="preserve"> for the purpose of the Prospectus</w:t>
      </w:r>
      <w:r>
        <w:rPr>
          <w:color w:val="020303"/>
          <w:sz w:val="18"/>
          <w:szCs w:val="18"/>
        </w:rPr>
        <w:t>.</w:t>
      </w:r>
    </w:p>
    <w:p w14:paraId="26E55ADE" w14:textId="77777777" w:rsidR="00783288" w:rsidRDefault="00783288">
      <w:pPr>
        <w:pStyle w:val="BodyText"/>
        <w:kinsoku w:val="0"/>
        <w:overflowPunct w:val="0"/>
        <w:spacing w:before="10"/>
        <w:rPr>
          <w:sz w:val="20"/>
          <w:szCs w:val="20"/>
        </w:rPr>
      </w:pPr>
    </w:p>
    <w:p w14:paraId="47DBD150" w14:textId="6EE96E0F"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 xml:space="preserve">The </w:t>
      </w:r>
      <w:r w:rsidR="00C85BE0">
        <w:rPr>
          <w:color w:val="231F20"/>
          <w:sz w:val="18"/>
          <w:szCs w:val="18"/>
        </w:rPr>
        <w:t>Historical Financial Information of the Group</w:t>
      </w:r>
      <w:r>
        <w:rPr>
          <w:color w:val="231F20"/>
          <w:sz w:val="18"/>
          <w:szCs w:val="18"/>
        </w:rPr>
        <w:t xml:space="preserve"> included in this Document has been incorporated by reference from the Company’s annual accounts as set out in Part IV of this Document. In relation to such financial information, no audit reports have been refused by the auditors of the Company and no audit reports contain qualifications or disclaimers, to the extent that they have been</w:t>
      </w:r>
      <w:r>
        <w:rPr>
          <w:color w:val="231F20"/>
          <w:spacing w:val="-6"/>
          <w:sz w:val="18"/>
          <w:szCs w:val="18"/>
        </w:rPr>
        <w:t xml:space="preserve"> </w:t>
      </w:r>
      <w:r>
        <w:rPr>
          <w:color w:val="231F20"/>
          <w:sz w:val="18"/>
          <w:szCs w:val="18"/>
        </w:rPr>
        <w:t>audited.</w:t>
      </w:r>
    </w:p>
    <w:p w14:paraId="56F9BBA9" w14:textId="77777777" w:rsidR="00783288" w:rsidRDefault="00783288">
      <w:pPr>
        <w:pStyle w:val="BodyText"/>
        <w:kinsoku w:val="0"/>
        <w:overflowPunct w:val="0"/>
        <w:spacing w:before="10"/>
        <w:rPr>
          <w:sz w:val="20"/>
          <w:szCs w:val="20"/>
        </w:rPr>
      </w:pPr>
    </w:p>
    <w:p w14:paraId="45A114D1" w14:textId="77777777" w:rsidR="00783288" w:rsidRDefault="00E31420" w:rsidP="00512495">
      <w:pPr>
        <w:pStyle w:val="ListParagraph"/>
        <w:numPr>
          <w:ilvl w:val="1"/>
          <w:numId w:val="13"/>
        </w:numPr>
        <w:tabs>
          <w:tab w:val="left" w:pos="840"/>
        </w:tabs>
        <w:kinsoku w:val="0"/>
        <w:overflowPunct w:val="0"/>
        <w:ind w:left="839" w:right="1037"/>
        <w:jc w:val="both"/>
        <w:rPr>
          <w:color w:val="231F20"/>
          <w:sz w:val="18"/>
          <w:szCs w:val="18"/>
        </w:rPr>
      </w:pPr>
      <w:r>
        <w:rPr>
          <w:color w:val="231F20"/>
          <w:sz w:val="18"/>
          <w:szCs w:val="18"/>
        </w:rPr>
        <w:t xml:space="preserve">The Company’s previous auditors </w:t>
      </w:r>
      <w:proofErr w:type="spellStart"/>
      <w:r>
        <w:rPr>
          <w:color w:val="231F20"/>
          <w:sz w:val="18"/>
          <w:szCs w:val="18"/>
        </w:rPr>
        <w:t>Saffery</w:t>
      </w:r>
      <w:proofErr w:type="spellEnd"/>
      <w:r>
        <w:rPr>
          <w:color w:val="231F20"/>
          <w:sz w:val="18"/>
          <w:szCs w:val="18"/>
        </w:rPr>
        <w:t xml:space="preserve"> </w:t>
      </w:r>
      <w:proofErr w:type="spellStart"/>
      <w:r>
        <w:rPr>
          <w:color w:val="231F20"/>
          <w:sz w:val="18"/>
          <w:szCs w:val="18"/>
        </w:rPr>
        <w:t>Champness</w:t>
      </w:r>
      <w:proofErr w:type="spellEnd"/>
      <w:r>
        <w:rPr>
          <w:color w:val="231F20"/>
          <w:sz w:val="18"/>
          <w:szCs w:val="18"/>
        </w:rPr>
        <w:t xml:space="preserve"> LLP resigned as auditors for the Company on 10 September 2018. </w:t>
      </w:r>
      <w:proofErr w:type="spellStart"/>
      <w:r>
        <w:rPr>
          <w:color w:val="231F20"/>
          <w:sz w:val="18"/>
          <w:szCs w:val="18"/>
        </w:rPr>
        <w:t>Saffery</w:t>
      </w:r>
      <w:proofErr w:type="spellEnd"/>
      <w:r>
        <w:rPr>
          <w:color w:val="231F20"/>
          <w:sz w:val="18"/>
          <w:szCs w:val="18"/>
        </w:rPr>
        <w:t xml:space="preserve"> </w:t>
      </w:r>
      <w:proofErr w:type="spellStart"/>
      <w:r>
        <w:rPr>
          <w:color w:val="231F20"/>
          <w:sz w:val="18"/>
          <w:szCs w:val="18"/>
        </w:rPr>
        <w:t>Champness</w:t>
      </w:r>
      <w:proofErr w:type="spellEnd"/>
      <w:r>
        <w:rPr>
          <w:color w:val="231F20"/>
          <w:sz w:val="18"/>
          <w:szCs w:val="18"/>
        </w:rPr>
        <w:t xml:space="preserve"> LLP confirmed in their letter of resignation they do not consider their resignation a matter to bring to the attention of creditors or members of the</w:t>
      </w:r>
      <w:r>
        <w:rPr>
          <w:color w:val="231F20"/>
          <w:spacing w:val="-15"/>
          <w:sz w:val="18"/>
          <w:szCs w:val="18"/>
        </w:rPr>
        <w:t xml:space="preserve"> </w:t>
      </w:r>
      <w:r>
        <w:rPr>
          <w:color w:val="231F20"/>
          <w:sz w:val="18"/>
          <w:szCs w:val="18"/>
        </w:rPr>
        <w:t>Company.</w:t>
      </w:r>
    </w:p>
    <w:p w14:paraId="5F52A4B2" w14:textId="77777777" w:rsidR="00F86037" w:rsidRPr="005545A6" w:rsidRDefault="00F86037" w:rsidP="005545A6">
      <w:pPr>
        <w:rPr>
          <w:color w:val="231F20"/>
          <w:sz w:val="18"/>
          <w:szCs w:val="18"/>
        </w:rPr>
      </w:pPr>
    </w:p>
    <w:p w14:paraId="1AC74B4D" w14:textId="4383901D" w:rsidR="008550F9" w:rsidRDefault="00F86037"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 xml:space="preserve">Panmure Gordon, acting in the capacity as the Company’s broker, </w:t>
      </w:r>
      <w:r w:rsidR="00FA2234">
        <w:rPr>
          <w:color w:val="231F20"/>
          <w:sz w:val="18"/>
          <w:szCs w:val="18"/>
        </w:rPr>
        <w:t xml:space="preserve">has </w:t>
      </w:r>
      <w:r>
        <w:rPr>
          <w:color w:val="231F20"/>
          <w:sz w:val="18"/>
          <w:szCs w:val="18"/>
        </w:rPr>
        <w:t>given and has not withdrawn its written consent to the</w:t>
      </w:r>
      <w:r w:rsidR="00440FAF">
        <w:rPr>
          <w:color w:val="231F20"/>
          <w:sz w:val="18"/>
          <w:szCs w:val="18"/>
        </w:rPr>
        <w:t xml:space="preserve"> issue of this Document with the</w:t>
      </w:r>
      <w:r>
        <w:rPr>
          <w:color w:val="231F20"/>
          <w:sz w:val="18"/>
          <w:szCs w:val="18"/>
        </w:rPr>
        <w:t xml:space="preserve"> inclusion of its name</w:t>
      </w:r>
      <w:r w:rsidR="001A28C4">
        <w:rPr>
          <w:color w:val="231F20"/>
          <w:sz w:val="18"/>
          <w:szCs w:val="18"/>
        </w:rPr>
        <w:t xml:space="preserve"> in it</w:t>
      </w:r>
      <w:r>
        <w:rPr>
          <w:color w:val="231F20"/>
          <w:sz w:val="18"/>
          <w:szCs w:val="18"/>
        </w:rPr>
        <w:t xml:space="preserve">. </w:t>
      </w:r>
    </w:p>
    <w:p w14:paraId="5908A4AD" w14:textId="77777777" w:rsidR="00BA7472" w:rsidRPr="00BA7472" w:rsidRDefault="00BA7472" w:rsidP="00BA7472">
      <w:pPr>
        <w:pStyle w:val="ListParagraph"/>
        <w:rPr>
          <w:color w:val="231F20"/>
          <w:sz w:val="18"/>
          <w:szCs w:val="18"/>
        </w:rPr>
      </w:pPr>
    </w:p>
    <w:p w14:paraId="4AD52F6C" w14:textId="35B7C483" w:rsidR="00321E9C" w:rsidRPr="001A7287" w:rsidRDefault="00BA7472" w:rsidP="00512495">
      <w:pPr>
        <w:pStyle w:val="ListParagraph"/>
        <w:numPr>
          <w:ilvl w:val="1"/>
          <w:numId w:val="13"/>
        </w:numPr>
        <w:tabs>
          <w:tab w:val="left" w:pos="840"/>
        </w:tabs>
        <w:kinsoku w:val="0"/>
        <w:overflowPunct w:val="0"/>
        <w:ind w:left="839" w:right="1038"/>
        <w:jc w:val="both"/>
        <w:rPr>
          <w:color w:val="231F20"/>
          <w:sz w:val="18"/>
          <w:szCs w:val="18"/>
        </w:rPr>
      </w:pPr>
      <w:r>
        <w:rPr>
          <w:color w:val="231F20"/>
          <w:sz w:val="18"/>
          <w:szCs w:val="18"/>
        </w:rPr>
        <w:t xml:space="preserve">The Competent Person, acting in his capacity as the Company’s competent person, </w:t>
      </w:r>
      <w:r w:rsidR="009F7FA2">
        <w:rPr>
          <w:color w:val="231F20"/>
          <w:sz w:val="18"/>
          <w:szCs w:val="18"/>
        </w:rPr>
        <w:t xml:space="preserve">has </w:t>
      </w:r>
      <w:r>
        <w:rPr>
          <w:color w:val="231F20"/>
          <w:sz w:val="18"/>
          <w:szCs w:val="18"/>
        </w:rPr>
        <w:t xml:space="preserve">given and has not withdrawn his written consent to </w:t>
      </w:r>
      <w:r w:rsidR="00440FAF">
        <w:rPr>
          <w:color w:val="231F20"/>
          <w:sz w:val="18"/>
          <w:szCs w:val="18"/>
        </w:rPr>
        <w:t xml:space="preserve">the issue of this Document with the inclusion in it of the Competent Person’s Report in Annex I and the references to his report </w:t>
      </w:r>
      <w:r w:rsidR="008A20DC">
        <w:rPr>
          <w:color w:val="231F20"/>
          <w:sz w:val="18"/>
          <w:szCs w:val="18"/>
        </w:rPr>
        <w:t xml:space="preserve">and </w:t>
      </w:r>
      <w:r w:rsidR="00FA2234">
        <w:rPr>
          <w:color w:val="231F20"/>
          <w:sz w:val="18"/>
          <w:szCs w:val="18"/>
        </w:rPr>
        <w:t>to</w:t>
      </w:r>
      <w:r w:rsidR="00440FAF">
        <w:rPr>
          <w:color w:val="231F20"/>
          <w:sz w:val="18"/>
          <w:szCs w:val="18"/>
        </w:rPr>
        <w:t xml:space="preserve"> </w:t>
      </w:r>
      <w:r w:rsidR="00FA2234">
        <w:rPr>
          <w:color w:val="231F20"/>
          <w:sz w:val="18"/>
          <w:szCs w:val="18"/>
        </w:rPr>
        <w:t>his</w:t>
      </w:r>
      <w:r w:rsidR="00440FAF">
        <w:rPr>
          <w:color w:val="231F20"/>
          <w:sz w:val="18"/>
          <w:szCs w:val="18"/>
        </w:rPr>
        <w:t xml:space="preserve"> name</w:t>
      </w:r>
      <w:r w:rsidR="009F7FA2">
        <w:rPr>
          <w:color w:val="231F20"/>
          <w:sz w:val="18"/>
          <w:szCs w:val="18"/>
        </w:rPr>
        <w:t xml:space="preserve"> in it</w:t>
      </w:r>
      <w:r w:rsidR="00440FAF">
        <w:rPr>
          <w:color w:val="231F20"/>
          <w:sz w:val="18"/>
          <w:szCs w:val="18"/>
        </w:rPr>
        <w:t xml:space="preserve"> and has authorised the contents of Annex I of this Document</w:t>
      </w:r>
      <w:r w:rsidR="00E67750">
        <w:rPr>
          <w:color w:val="231F20"/>
          <w:sz w:val="18"/>
          <w:szCs w:val="18"/>
        </w:rPr>
        <w:t xml:space="preserve"> for the purpose of the Prospectus</w:t>
      </w:r>
      <w:r>
        <w:rPr>
          <w:color w:val="231F20"/>
          <w:sz w:val="18"/>
          <w:szCs w:val="18"/>
        </w:rPr>
        <w:t xml:space="preserve">. </w:t>
      </w:r>
    </w:p>
    <w:p w14:paraId="117B48D1" w14:textId="77777777" w:rsidR="00783288" w:rsidRDefault="00783288">
      <w:pPr>
        <w:pStyle w:val="BodyText"/>
        <w:kinsoku w:val="0"/>
        <w:overflowPunct w:val="0"/>
        <w:spacing w:before="4"/>
        <w:rPr>
          <w:sz w:val="20"/>
          <w:szCs w:val="20"/>
        </w:rPr>
      </w:pPr>
    </w:p>
    <w:p w14:paraId="41A53AD1"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Documents Available for</w:t>
      </w:r>
      <w:r>
        <w:rPr>
          <w:color w:val="231F20"/>
          <w:spacing w:val="1"/>
        </w:rPr>
        <w:t xml:space="preserve"> </w:t>
      </w:r>
      <w:r>
        <w:rPr>
          <w:color w:val="231F20"/>
        </w:rPr>
        <w:t>Inspection</w:t>
      </w:r>
    </w:p>
    <w:p w14:paraId="7ACE2E70" w14:textId="77777777" w:rsidR="00783288" w:rsidRDefault="00783288">
      <w:pPr>
        <w:pStyle w:val="BodyText"/>
        <w:kinsoku w:val="0"/>
        <w:overflowPunct w:val="0"/>
        <w:spacing w:before="3"/>
        <w:rPr>
          <w:b/>
          <w:bCs/>
          <w:sz w:val="21"/>
          <w:szCs w:val="21"/>
        </w:rPr>
      </w:pPr>
    </w:p>
    <w:p w14:paraId="52D8845C" w14:textId="77777777" w:rsidR="00783288" w:rsidRDefault="00E31420" w:rsidP="00512495">
      <w:pPr>
        <w:pStyle w:val="ListParagraph"/>
        <w:numPr>
          <w:ilvl w:val="1"/>
          <w:numId w:val="13"/>
        </w:numPr>
        <w:tabs>
          <w:tab w:val="left" w:pos="840"/>
        </w:tabs>
        <w:kinsoku w:val="0"/>
        <w:overflowPunct w:val="0"/>
        <w:ind w:left="839" w:right="1036"/>
        <w:jc w:val="both"/>
        <w:rPr>
          <w:color w:val="231F20"/>
          <w:sz w:val="18"/>
          <w:szCs w:val="18"/>
        </w:rPr>
      </w:pPr>
      <w:r>
        <w:rPr>
          <w:color w:val="231F20"/>
          <w:sz w:val="18"/>
          <w:szCs w:val="18"/>
        </w:rPr>
        <w:t>Copies of the following Documents will be available for inspection during normal business hours on any weekday</w:t>
      </w:r>
      <w:r>
        <w:rPr>
          <w:color w:val="231F20"/>
          <w:spacing w:val="-7"/>
          <w:sz w:val="18"/>
          <w:szCs w:val="18"/>
        </w:rPr>
        <w:t xml:space="preserve"> </w:t>
      </w:r>
      <w:r>
        <w:rPr>
          <w:color w:val="231F20"/>
          <w:sz w:val="18"/>
          <w:szCs w:val="18"/>
        </w:rPr>
        <w:t>(excluding</w:t>
      </w:r>
      <w:r>
        <w:rPr>
          <w:color w:val="231F20"/>
          <w:spacing w:val="-6"/>
          <w:sz w:val="18"/>
          <w:szCs w:val="18"/>
        </w:rPr>
        <w:t xml:space="preserve"> </w:t>
      </w:r>
      <w:r>
        <w:rPr>
          <w:color w:val="231F20"/>
          <w:sz w:val="18"/>
          <w:szCs w:val="18"/>
        </w:rPr>
        <w:t>public</w:t>
      </w:r>
      <w:r>
        <w:rPr>
          <w:color w:val="231F20"/>
          <w:spacing w:val="-6"/>
          <w:sz w:val="18"/>
          <w:szCs w:val="18"/>
        </w:rPr>
        <w:t xml:space="preserve"> </w:t>
      </w:r>
      <w:r>
        <w:rPr>
          <w:color w:val="231F20"/>
          <w:sz w:val="18"/>
          <w:szCs w:val="18"/>
        </w:rPr>
        <w:t>holidays)</w:t>
      </w:r>
      <w:r>
        <w:rPr>
          <w:color w:val="231F20"/>
          <w:spacing w:val="-8"/>
          <w:sz w:val="18"/>
          <w:szCs w:val="18"/>
        </w:rPr>
        <w:t xml:space="preserve"> </w:t>
      </w:r>
      <w:r>
        <w:rPr>
          <w:color w:val="231F20"/>
          <w:sz w:val="18"/>
          <w:szCs w:val="18"/>
        </w:rPr>
        <w:t>at</w:t>
      </w:r>
      <w:r>
        <w:rPr>
          <w:color w:val="231F20"/>
          <w:spacing w:val="-4"/>
          <w:sz w:val="18"/>
          <w:szCs w:val="18"/>
        </w:rPr>
        <w:t xml:space="preserve"> </w:t>
      </w:r>
      <w:r>
        <w:rPr>
          <w:color w:val="231F20"/>
          <w:sz w:val="18"/>
          <w:szCs w:val="18"/>
        </w:rPr>
        <w:t>the</w:t>
      </w:r>
      <w:r>
        <w:rPr>
          <w:color w:val="231F20"/>
          <w:spacing w:val="-6"/>
          <w:sz w:val="18"/>
          <w:szCs w:val="18"/>
        </w:rPr>
        <w:t xml:space="preserve"> </w:t>
      </w:r>
      <w:r>
        <w:rPr>
          <w:color w:val="231F20"/>
          <w:sz w:val="18"/>
          <w:szCs w:val="18"/>
        </w:rPr>
        <w:t>offices</w:t>
      </w:r>
      <w:r>
        <w:rPr>
          <w:color w:val="231F20"/>
          <w:spacing w:val="-7"/>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6"/>
          <w:sz w:val="18"/>
          <w:szCs w:val="18"/>
        </w:rPr>
        <w:t xml:space="preserve"> </w:t>
      </w:r>
      <w:r>
        <w:rPr>
          <w:color w:val="231F20"/>
          <w:sz w:val="18"/>
          <w:szCs w:val="18"/>
        </w:rPr>
        <w:t>registered</w:t>
      </w:r>
      <w:r>
        <w:rPr>
          <w:color w:val="231F20"/>
          <w:spacing w:val="-7"/>
          <w:sz w:val="18"/>
          <w:szCs w:val="18"/>
        </w:rPr>
        <w:t xml:space="preserve"> </w:t>
      </w:r>
      <w:r>
        <w:rPr>
          <w:color w:val="231F20"/>
          <w:sz w:val="18"/>
          <w:szCs w:val="18"/>
        </w:rPr>
        <w:t>office</w:t>
      </w:r>
      <w:r>
        <w:rPr>
          <w:color w:val="231F20"/>
          <w:spacing w:val="-6"/>
          <w:sz w:val="18"/>
          <w:szCs w:val="18"/>
        </w:rPr>
        <w:t xml:space="preserve"> </w:t>
      </w:r>
      <w:r>
        <w:rPr>
          <w:color w:val="231F20"/>
          <w:sz w:val="18"/>
          <w:szCs w:val="18"/>
        </w:rPr>
        <w:t>of</w:t>
      </w:r>
      <w:r>
        <w:rPr>
          <w:color w:val="231F20"/>
          <w:spacing w:val="-6"/>
          <w:sz w:val="18"/>
          <w:szCs w:val="18"/>
        </w:rPr>
        <w:t xml:space="preserve"> </w:t>
      </w:r>
      <w:r>
        <w:rPr>
          <w:color w:val="231F20"/>
          <w:sz w:val="18"/>
          <w:szCs w:val="18"/>
        </w:rPr>
        <w:t>the</w:t>
      </w:r>
      <w:r>
        <w:rPr>
          <w:color w:val="231F20"/>
          <w:spacing w:val="-7"/>
          <w:sz w:val="18"/>
          <w:szCs w:val="18"/>
        </w:rPr>
        <w:t xml:space="preserve"> </w:t>
      </w:r>
      <w:r>
        <w:rPr>
          <w:color w:val="231F20"/>
          <w:sz w:val="18"/>
          <w:szCs w:val="18"/>
        </w:rPr>
        <w:t>Company,</w:t>
      </w:r>
      <w:r>
        <w:rPr>
          <w:color w:val="231F20"/>
          <w:spacing w:val="-4"/>
          <w:sz w:val="18"/>
          <w:szCs w:val="18"/>
        </w:rPr>
        <w:t xml:space="preserve"> </w:t>
      </w:r>
      <w:r>
        <w:rPr>
          <w:color w:val="231F20"/>
          <w:sz w:val="18"/>
          <w:szCs w:val="18"/>
        </w:rPr>
        <w:t>for</w:t>
      </w:r>
      <w:r>
        <w:rPr>
          <w:color w:val="231F20"/>
          <w:spacing w:val="-4"/>
          <w:sz w:val="18"/>
          <w:szCs w:val="18"/>
        </w:rPr>
        <w:t xml:space="preserve"> </w:t>
      </w:r>
      <w:r>
        <w:rPr>
          <w:color w:val="231F20"/>
          <w:sz w:val="18"/>
          <w:szCs w:val="18"/>
        </w:rPr>
        <w:t>the</w:t>
      </w:r>
      <w:r>
        <w:rPr>
          <w:color w:val="231F20"/>
          <w:spacing w:val="-7"/>
          <w:sz w:val="18"/>
          <w:szCs w:val="18"/>
        </w:rPr>
        <w:t xml:space="preserve"> </w:t>
      </w:r>
      <w:r>
        <w:rPr>
          <w:color w:val="231F20"/>
          <w:sz w:val="18"/>
          <w:szCs w:val="18"/>
        </w:rPr>
        <w:t>period</w:t>
      </w:r>
      <w:r>
        <w:rPr>
          <w:color w:val="231F20"/>
          <w:spacing w:val="-4"/>
          <w:sz w:val="18"/>
          <w:szCs w:val="18"/>
        </w:rPr>
        <w:t xml:space="preserve"> </w:t>
      </w:r>
      <w:r>
        <w:rPr>
          <w:color w:val="231F20"/>
          <w:sz w:val="18"/>
          <w:szCs w:val="18"/>
        </w:rPr>
        <w:t>of</w:t>
      </w:r>
      <w:r>
        <w:rPr>
          <w:color w:val="231F20"/>
          <w:spacing w:val="-7"/>
          <w:sz w:val="18"/>
          <w:szCs w:val="18"/>
        </w:rPr>
        <w:t xml:space="preserve"> </w:t>
      </w:r>
      <w:r>
        <w:rPr>
          <w:color w:val="231F20"/>
          <w:sz w:val="18"/>
          <w:szCs w:val="18"/>
        </w:rPr>
        <w:t>14 days following the date of this</w:t>
      </w:r>
      <w:r>
        <w:rPr>
          <w:color w:val="231F20"/>
          <w:spacing w:val="2"/>
          <w:sz w:val="18"/>
          <w:szCs w:val="18"/>
        </w:rPr>
        <w:t xml:space="preserve"> </w:t>
      </w:r>
      <w:r>
        <w:rPr>
          <w:color w:val="231F20"/>
          <w:sz w:val="18"/>
          <w:szCs w:val="18"/>
        </w:rPr>
        <w:t>Document:</w:t>
      </w:r>
    </w:p>
    <w:p w14:paraId="575A990F" w14:textId="77777777" w:rsidR="00783288" w:rsidRDefault="00783288">
      <w:pPr>
        <w:pStyle w:val="BodyText"/>
        <w:kinsoku w:val="0"/>
        <w:overflowPunct w:val="0"/>
        <w:spacing w:before="10"/>
        <w:rPr>
          <w:sz w:val="20"/>
          <w:szCs w:val="20"/>
        </w:rPr>
      </w:pPr>
    </w:p>
    <w:p w14:paraId="49AEB3E8" w14:textId="77777777"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 xml:space="preserve">the </w:t>
      </w:r>
      <w:proofErr w:type="gramStart"/>
      <w:r>
        <w:rPr>
          <w:color w:val="231F20"/>
          <w:sz w:val="18"/>
          <w:szCs w:val="18"/>
        </w:rPr>
        <w:t>Articles;</w:t>
      </w:r>
      <w:proofErr w:type="gramEnd"/>
    </w:p>
    <w:p w14:paraId="4E38B4DB" w14:textId="77777777" w:rsidR="00783288" w:rsidRDefault="00783288">
      <w:pPr>
        <w:pStyle w:val="BodyText"/>
        <w:kinsoku w:val="0"/>
        <w:overflowPunct w:val="0"/>
        <w:spacing w:before="10"/>
        <w:rPr>
          <w:sz w:val="20"/>
          <w:szCs w:val="20"/>
        </w:rPr>
      </w:pPr>
    </w:p>
    <w:p w14:paraId="707F0CC6" w14:textId="69B13AF8" w:rsidR="00783288" w:rsidRDefault="00E31420" w:rsidP="00512495">
      <w:pPr>
        <w:pStyle w:val="ListParagraph"/>
        <w:numPr>
          <w:ilvl w:val="2"/>
          <w:numId w:val="13"/>
        </w:numPr>
        <w:tabs>
          <w:tab w:val="left" w:pos="1822"/>
        </w:tabs>
        <w:kinsoku w:val="0"/>
        <w:overflowPunct w:val="0"/>
        <w:ind w:right="1037"/>
        <w:rPr>
          <w:color w:val="231F20"/>
          <w:sz w:val="18"/>
          <w:szCs w:val="18"/>
        </w:rPr>
      </w:pPr>
      <w:r>
        <w:rPr>
          <w:color w:val="231F20"/>
          <w:sz w:val="18"/>
          <w:szCs w:val="18"/>
        </w:rPr>
        <w:t xml:space="preserve">the audited annual accounts of the Company incorporated into this document by reference at Part IV of this </w:t>
      </w:r>
      <w:proofErr w:type="gramStart"/>
      <w:r>
        <w:rPr>
          <w:color w:val="231F20"/>
          <w:sz w:val="18"/>
          <w:szCs w:val="18"/>
        </w:rPr>
        <w:t>Document;</w:t>
      </w:r>
      <w:proofErr w:type="gramEnd"/>
      <w:r>
        <w:rPr>
          <w:color w:val="231F20"/>
          <w:spacing w:val="-12"/>
          <w:sz w:val="18"/>
          <w:szCs w:val="18"/>
        </w:rPr>
        <w:t xml:space="preserve"> </w:t>
      </w:r>
    </w:p>
    <w:p w14:paraId="5519F241" w14:textId="77777777" w:rsidR="00783288" w:rsidRDefault="00783288">
      <w:pPr>
        <w:pStyle w:val="BodyText"/>
        <w:kinsoku w:val="0"/>
        <w:overflowPunct w:val="0"/>
        <w:spacing w:before="11"/>
        <w:rPr>
          <w:sz w:val="20"/>
          <w:szCs w:val="20"/>
        </w:rPr>
      </w:pPr>
    </w:p>
    <w:p w14:paraId="5F6F77DC" w14:textId="47DAF8BF" w:rsidR="00783288" w:rsidRDefault="00E31420"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the letters of consent referred to in paragraphs 20.</w:t>
      </w:r>
      <w:r w:rsidR="00210C71">
        <w:rPr>
          <w:color w:val="231F20"/>
          <w:sz w:val="18"/>
          <w:szCs w:val="18"/>
        </w:rPr>
        <w:t>6</w:t>
      </w:r>
      <w:r w:rsidR="00F86037">
        <w:rPr>
          <w:color w:val="231F20"/>
          <w:sz w:val="18"/>
          <w:szCs w:val="18"/>
        </w:rPr>
        <w:t>,</w:t>
      </w:r>
      <w:r>
        <w:rPr>
          <w:color w:val="231F20"/>
          <w:sz w:val="18"/>
          <w:szCs w:val="18"/>
        </w:rPr>
        <w:t xml:space="preserve"> 20.</w:t>
      </w:r>
      <w:r w:rsidR="00210C71">
        <w:rPr>
          <w:color w:val="231F20"/>
          <w:sz w:val="18"/>
          <w:szCs w:val="18"/>
        </w:rPr>
        <w:t>9</w:t>
      </w:r>
      <w:r w:rsidR="00F86037">
        <w:rPr>
          <w:color w:val="231F20"/>
          <w:sz w:val="18"/>
          <w:szCs w:val="18"/>
        </w:rPr>
        <w:t xml:space="preserve"> and 20.</w:t>
      </w:r>
      <w:r w:rsidR="00210C71">
        <w:rPr>
          <w:color w:val="231F20"/>
          <w:sz w:val="18"/>
          <w:szCs w:val="18"/>
        </w:rPr>
        <w:t>10</w:t>
      </w:r>
      <w:r>
        <w:rPr>
          <w:color w:val="231F20"/>
          <w:sz w:val="18"/>
          <w:szCs w:val="18"/>
        </w:rPr>
        <w:t xml:space="preserve"> of Part VII of this</w:t>
      </w:r>
      <w:r>
        <w:rPr>
          <w:color w:val="231F20"/>
          <w:spacing w:val="-13"/>
          <w:sz w:val="18"/>
          <w:szCs w:val="18"/>
        </w:rPr>
        <w:t xml:space="preserve"> </w:t>
      </w:r>
      <w:r>
        <w:rPr>
          <w:color w:val="231F20"/>
          <w:sz w:val="18"/>
          <w:szCs w:val="18"/>
        </w:rPr>
        <w:t>Document</w:t>
      </w:r>
      <w:r w:rsidR="00DE6632">
        <w:rPr>
          <w:color w:val="231F20"/>
          <w:sz w:val="18"/>
          <w:szCs w:val="18"/>
        </w:rPr>
        <w:t xml:space="preserve">; and </w:t>
      </w:r>
    </w:p>
    <w:p w14:paraId="3C665826" w14:textId="77777777" w:rsidR="00DE6632" w:rsidRPr="00DE6632" w:rsidRDefault="00DE6632" w:rsidP="00DE6632">
      <w:pPr>
        <w:pStyle w:val="ListParagraph"/>
        <w:rPr>
          <w:color w:val="231F20"/>
          <w:sz w:val="18"/>
          <w:szCs w:val="18"/>
        </w:rPr>
      </w:pPr>
    </w:p>
    <w:p w14:paraId="36858C5B" w14:textId="444D32D4" w:rsidR="00DE6632" w:rsidRDefault="00DE6632" w:rsidP="00512495">
      <w:pPr>
        <w:pStyle w:val="ListParagraph"/>
        <w:numPr>
          <w:ilvl w:val="2"/>
          <w:numId w:val="13"/>
        </w:numPr>
        <w:tabs>
          <w:tab w:val="left" w:pos="1822"/>
        </w:tabs>
        <w:kinsoku w:val="0"/>
        <w:overflowPunct w:val="0"/>
        <w:ind w:hanging="983"/>
        <w:rPr>
          <w:color w:val="231F20"/>
          <w:sz w:val="18"/>
          <w:szCs w:val="18"/>
        </w:rPr>
      </w:pPr>
      <w:r>
        <w:rPr>
          <w:color w:val="231F20"/>
          <w:sz w:val="18"/>
          <w:szCs w:val="18"/>
        </w:rPr>
        <w:t xml:space="preserve">the Share Purchase Agreement referred to in paragraph 14.1 of Part VII of this Document. </w:t>
      </w:r>
    </w:p>
    <w:p w14:paraId="5256215E" w14:textId="77777777" w:rsidR="00783288" w:rsidRDefault="00783288">
      <w:pPr>
        <w:pStyle w:val="BodyText"/>
        <w:kinsoku w:val="0"/>
        <w:overflowPunct w:val="0"/>
        <w:spacing w:before="9"/>
        <w:rPr>
          <w:sz w:val="20"/>
          <w:szCs w:val="20"/>
        </w:rPr>
      </w:pPr>
    </w:p>
    <w:p w14:paraId="4D4AE2F2" w14:textId="2E6DE0CF" w:rsidR="00783288" w:rsidRDefault="00E31420">
      <w:pPr>
        <w:pStyle w:val="BodyText"/>
        <w:kinsoku w:val="0"/>
        <w:overflowPunct w:val="0"/>
        <w:ind w:left="839" w:right="1037"/>
        <w:jc w:val="both"/>
        <w:rPr>
          <w:color w:val="231F20"/>
        </w:rPr>
      </w:pPr>
      <w:r>
        <w:rPr>
          <w:color w:val="231F20"/>
        </w:rPr>
        <w:t>Certain of the above documents may also be inspected at the Company’s website: https</w:t>
      </w:r>
      <w:hyperlink r:id="rId41" w:history="1">
        <w:r>
          <w:rPr>
            <w:color w:val="231F20"/>
          </w:rPr>
          <w:t>://w</w:t>
        </w:r>
      </w:hyperlink>
      <w:r>
        <w:rPr>
          <w:color w:val="231F20"/>
        </w:rPr>
        <w:t>ww</w:t>
      </w:r>
      <w:hyperlink r:id="rId42" w:history="1">
        <w:r>
          <w:rPr>
            <w:color w:val="231F20"/>
          </w:rPr>
          <w:t>.c</w:t>
        </w:r>
      </w:hyperlink>
      <w:r>
        <w:rPr>
          <w:color w:val="231F20"/>
        </w:rPr>
        <w:t>h</w:t>
      </w:r>
      <w:hyperlink r:id="rId43" w:history="1">
        <w:r>
          <w:rPr>
            <w:color w:val="231F20"/>
          </w:rPr>
          <w:t xml:space="preserve">esterfieldresourcesplc.com/. </w:t>
        </w:r>
      </w:hyperlink>
      <w:r>
        <w:rPr>
          <w:color w:val="231F20"/>
        </w:rPr>
        <w:t>The contents of the website do not form part of this Document</w:t>
      </w:r>
      <w:r w:rsidR="006A4BE6">
        <w:rPr>
          <w:color w:val="231F20"/>
        </w:rPr>
        <w:t>, save for any documents incorporated by reference from the website</w:t>
      </w:r>
      <w:r>
        <w:rPr>
          <w:color w:val="231F20"/>
        </w:rPr>
        <w:t>.</w:t>
      </w:r>
    </w:p>
    <w:p w14:paraId="4CF148E9" w14:textId="77777777" w:rsidR="00783288" w:rsidRDefault="00783288">
      <w:pPr>
        <w:pStyle w:val="BodyText"/>
        <w:kinsoku w:val="0"/>
        <w:overflowPunct w:val="0"/>
        <w:spacing w:before="4"/>
        <w:rPr>
          <w:sz w:val="20"/>
          <w:szCs w:val="20"/>
        </w:rPr>
      </w:pPr>
    </w:p>
    <w:p w14:paraId="5F86FB2B" w14:textId="77777777" w:rsidR="00783288" w:rsidRDefault="00E31420" w:rsidP="00512495">
      <w:pPr>
        <w:pStyle w:val="Heading1"/>
        <w:numPr>
          <w:ilvl w:val="0"/>
          <w:numId w:val="13"/>
        </w:numPr>
        <w:tabs>
          <w:tab w:val="left" w:pos="840"/>
        </w:tabs>
        <w:kinsoku w:val="0"/>
        <w:overflowPunct w:val="0"/>
        <w:ind w:left="839"/>
        <w:rPr>
          <w:color w:val="231F20"/>
        </w:rPr>
      </w:pPr>
      <w:r>
        <w:rPr>
          <w:color w:val="231F20"/>
        </w:rPr>
        <w:t>Third Party</w:t>
      </w:r>
      <w:r>
        <w:rPr>
          <w:color w:val="231F20"/>
          <w:spacing w:val="-7"/>
        </w:rPr>
        <w:t xml:space="preserve"> </w:t>
      </w:r>
      <w:r>
        <w:rPr>
          <w:color w:val="231F20"/>
        </w:rPr>
        <w:t>Information</w:t>
      </w:r>
    </w:p>
    <w:p w14:paraId="585E895F" w14:textId="77777777" w:rsidR="00783288" w:rsidRDefault="00783288">
      <w:pPr>
        <w:pStyle w:val="BodyText"/>
        <w:kinsoku w:val="0"/>
        <w:overflowPunct w:val="0"/>
        <w:spacing w:before="5"/>
        <w:rPr>
          <w:b/>
          <w:bCs/>
          <w:sz w:val="21"/>
          <w:szCs w:val="21"/>
        </w:rPr>
      </w:pPr>
    </w:p>
    <w:p w14:paraId="3DC8D8CE" w14:textId="77777777" w:rsidR="00783288" w:rsidRDefault="00E31420">
      <w:pPr>
        <w:pStyle w:val="BodyText"/>
        <w:kinsoku w:val="0"/>
        <w:overflowPunct w:val="0"/>
        <w:ind w:left="839" w:right="1037"/>
        <w:jc w:val="both"/>
        <w:rPr>
          <w:color w:val="231F20"/>
        </w:rPr>
      </w:pPr>
      <w:r>
        <w:rPr>
          <w:color w:val="231F20"/>
        </w:rPr>
        <w:t>Where</w:t>
      </w:r>
      <w:r>
        <w:rPr>
          <w:color w:val="231F20"/>
          <w:spacing w:val="-7"/>
        </w:rPr>
        <w:t xml:space="preserve"> </w:t>
      </w:r>
      <w:r>
        <w:rPr>
          <w:color w:val="231F20"/>
        </w:rPr>
        <w:t>inf</w:t>
      </w:r>
      <w:r>
        <w:rPr>
          <w:color w:val="161618"/>
        </w:rPr>
        <w:t>or</w:t>
      </w:r>
      <w:r>
        <w:rPr>
          <w:color w:val="231F20"/>
        </w:rPr>
        <w:t>mati</w:t>
      </w:r>
      <w:r>
        <w:rPr>
          <w:color w:val="161618"/>
        </w:rPr>
        <w:t>o</w:t>
      </w:r>
      <w:r>
        <w:rPr>
          <w:color w:val="231F20"/>
        </w:rPr>
        <w:t>n</w:t>
      </w:r>
      <w:r>
        <w:rPr>
          <w:color w:val="231F20"/>
          <w:spacing w:val="-6"/>
        </w:rPr>
        <w:t xml:space="preserve"> </w:t>
      </w:r>
      <w:r>
        <w:rPr>
          <w:color w:val="231F20"/>
        </w:rPr>
        <w:t>has</w:t>
      </w:r>
      <w:r>
        <w:rPr>
          <w:color w:val="231F20"/>
          <w:spacing w:val="-7"/>
        </w:rPr>
        <w:t xml:space="preserve"> </w:t>
      </w:r>
      <w:r>
        <w:rPr>
          <w:color w:val="231F20"/>
        </w:rPr>
        <w:t>been</w:t>
      </w:r>
      <w:r>
        <w:rPr>
          <w:color w:val="231F20"/>
          <w:spacing w:val="-4"/>
        </w:rPr>
        <w:t xml:space="preserve"> </w:t>
      </w:r>
      <w:r>
        <w:rPr>
          <w:color w:val="231F20"/>
        </w:rPr>
        <w:t>sourced</w:t>
      </w:r>
      <w:r>
        <w:rPr>
          <w:color w:val="231F20"/>
          <w:spacing w:val="-4"/>
        </w:rPr>
        <w:t xml:space="preserve"> </w:t>
      </w:r>
      <w:r>
        <w:rPr>
          <w:color w:val="161618"/>
        </w:rPr>
        <w:t>f</w:t>
      </w:r>
      <w:r>
        <w:rPr>
          <w:color w:val="231F20"/>
        </w:rPr>
        <w:t>rom</w:t>
      </w:r>
      <w:r>
        <w:rPr>
          <w:color w:val="231F20"/>
          <w:spacing w:val="-4"/>
        </w:rPr>
        <w:t xml:space="preserve"> </w:t>
      </w:r>
      <w:r>
        <w:rPr>
          <w:color w:val="231F20"/>
        </w:rPr>
        <w:t>a</w:t>
      </w:r>
      <w:r>
        <w:rPr>
          <w:color w:val="231F20"/>
          <w:spacing w:val="-4"/>
        </w:rPr>
        <w:t xml:space="preserve"> </w:t>
      </w:r>
      <w:r>
        <w:rPr>
          <w:color w:val="231F20"/>
        </w:rPr>
        <w:t>third</w:t>
      </w:r>
      <w:r>
        <w:rPr>
          <w:color w:val="231F20"/>
          <w:spacing w:val="-7"/>
        </w:rPr>
        <w:t xml:space="preserve"> </w:t>
      </w:r>
      <w:r>
        <w:rPr>
          <w:color w:val="231F20"/>
        </w:rPr>
        <w:t>p</w:t>
      </w:r>
      <w:r>
        <w:rPr>
          <w:color w:val="161618"/>
        </w:rPr>
        <w:t>a</w:t>
      </w:r>
      <w:r>
        <w:rPr>
          <w:color w:val="231F20"/>
        </w:rPr>
        <w:t>rty,</w:t>
      </w:r>
      <w:r>
        <w:rPr>
          <w:color w:val="231F20"/>
          <w:spacing w:val="-4"/>
        </w:rPr>
        <w:t xml:space="preserve"> </w:t>
      </w:r>
      <w:r>
        <w:rPr>
          <w:color w:val="231F20"/>
        </w:rPr>
        <w:t>the</w:t>
      </w:r>
      <w:r>
        <w:rPr>
          <w:color w:val="231F20"/>
          <w:spacing w:val="-5"/>
        </w:rPr>
        <w:t xml:space="preserve"> </w:t>
      </w:r>
      <w:r>
        <w:rPr>
          <w:color w:val="231F20"/>
        </w:rPr>
        <w:t>information</w:t>
      </w:r>
      <w:r>
        <w:rPr>
          <w:color w:val="231F20"/>
          <w:spacing w:val="-4"/>
        </w:rPr>
        <w:t xml:space="preserve"> </w:t>
      </w:r>
      <w:r>
        <w:rPr>
          <w:color w:val="231F20"/>
        </w:rPr>
        <w:t>h</w:t>
      </w:r>
      <w:r>
        <w:rPr>
          <w:color w:val="161618"/>
        </w:rPr>
        <w:t>a</w:t>
      </w:r>
      <w:r>
        <w:rPr>
          <w:color w:val="231F20"/>
        </w:rPr>
        <w:t>s</w:t>
      </w:r>
      <w:r>
        <w:rPr>
          <w:color w:val="231F20"/>
          <w:spacing w:val="-4"/>
        </w:rPr>
        <w:t xml:space="preserve"> </w:t>
      </w:r>
      <w:r>
        <w:rPr>
          <w:color w:val="231F20"/>
        </w:rPr>
        <w:t>be</w:t>
      </w:r>
      <w:r>
        <w:rPr>
          <w:color w:val="161618"/>
        </w:rPr>
        <w:t>e</w:t>
      </w:r>
      <w:r>
        <w:rPr>
          <w:color w:val="231F20"/>
        </w:rPr>
        <w:t>n</w:t>
      </w:r>
      <w:r>
        <w:rPr>
          <w:color w:val="231F20"/>
          <w:spacing w:val="-5"/>
        </w:rPr>
        <w:t xml:space="preserve"> </w:t>
      </w:r>
      <w:r>
        <w:rPr>
          <w:color w:val="231F20"/>
        </w:rPr>
        <w:t>accurately</w:t>
      </w:r>
      <w:r>
        <w:rPr>
          <w:color w:val="231F20"/>
          <w:spacing w:val="-6"/>
        </w:rPr>
        <w:t xml:space="preserve"> </w:t>
      </w:r>
      <w:r>
        <w:rPr>
          <w:color w:val="231F20"/>
        </w:rPr>
        <w:t>reproduced</w:t>
      </w:r>
      <w:r>
        <w:rPr>
          <w:color w:val="231F20"/>
          <w:spacing w:val="-6"/>
        </w:rPr>
        <w:t xml:space="preserve"> </w:t>
      </w:r>
      <w:r>
        <w:rPr>
          <w:color w:val="231F20"/>
        </w:rPr>
        <w:t>and, a</w:t>
      </w:r>
      <w:r>
        <w:rPr>
          <w:color w:val="161618"/>
        </w:rPr>
        <w:t>s</w:t>
      </w:r>
      <w:r>
        <w:rPr>
          <w:color w:val="161618"/>
          <w:spacing w:val="-8"/>
        </w:rPr>
        <w:t xml:space="preserve"> </w:t>
      </w:r>
      <w:r>
        <w:rPr>
          <w:color w:val="231F20"/>
        </w:rPr>
        <w:t>f</w:t>
      </w:r>
      <w:r>
        <w:rPr>
          <w:color w:val="161618"/>
        </w:rPr>
        <w:t>a</w:t>
      </w:r>
      <w:r>
        <w:rPr>
          <w:color w:val="231F20"/>
        </w:rPr>
        <w:t>r</w:t>
      </w:r>
      <w:r>
        <w:rPr>
          <w:color w:val="231F20"/>
          <w:spacing w:val="-9"/>
        </w:rPr>
        <w:t xml:space="preserve"> </w:t>
      </w:r>
      <w:r>
        <w:rPr>
          <w:color w:val="231F20"/>
        </w:rPr>
        <w:t>a</w:t>
      </w:r>
      <w:r>
        <w:rPr>
          <w:color w:val="161618"/>
        </w:rPr>
        <w:t>s</w:t>
      </w:r>
      <w:r>
        <w:rPr>
          <w:color w:val="161618"/>
          <w:spacing w:val="-8"/>
        </w:rPr>
        <w:t xml:space="preserve"> </w:t>
      </w:r>
      <w:r>
        <w:rPr>
          <w:color w:val="231F20"/>
        </w:rPr>
        <w:t>the</w:t>
      </w:r>
      <w:r>
        <w:rPr>
          <w:color w:val="231F20"/>
          <w:spacing w:val="-9"/>
        </w:rPr>
        <w:t xml:space="preserve"> </w:t>
      </w:r>
      <w:r>
        <w:rPr>
          <w:color w:val="231F20"/>
        </w:rPr>
        <w:t>Compan</w:t>
      </w:r>
      <w:r>
        <w:rPr>
          <w:color w:val="161618"/>
        </w:rPr>
        <w:t>y</w:t>
      </w:r>
      <w:r>
        <w:rPr>
          <w:color w:val="161618"/>
          <w:spacing w:val="-10"/>
        </w:rPr>
        <w:t xml:space="preserve"> </w:t>
      </w:r>
      <w:r>
        <w:rPr>
          <w:color w:val="231F20"/>
        </w:rPr>
        <w:t>is</w:t>
      </w:r>
      <w:r>
        <w:rPr>
          <w:color w:val="231F20"/>
          <w:spacing w:val="-9"/>
        </w:rPr>
        <w:t xml:space="preserve"> </w:t>
      </w:r>
      <w:r>
        <w:rPr>
          <w:color w:val="231F20"/>
        </w:rPr>
        <w:t>aware</w:t>
      </w:r>
      <w:r>
        <w:rPr>
          <w:color w:val="231F20"/>
          <w:spacing w:val="-9"/>
        </w:rPr>
        <w:t xml:space="preserve"> </w:t>
      </w:r>
      <w:r>
        <w:rPr>
          <w:color w:val="231F20"/>
        </w:rPr>
        <w:t>and</w:t>
      </w:r>
      <w:r>
        <w:rPr>
          <w:color w:val="231F20"/>
          <w:spacing w:val="-9"/>
        </w:rPr>
        <w:t xml:space="preserve"> </w:t>
      </w:r>
      <w:r>
        <w:rPr>
          <w:color w:val="231F20"/>
        </w:rPr>
        <w:t>is</w:t>
      </w:r>
      <w:r>
        <w:rPr>
          <w:color w:val="231F20"/>
          <w:spacing w:val="-8"/>
        </w:rPr>
        <w:t xml:space="preserve"> </w:t>
      </w:r>
      <w:r>
        <w:rPr>
          <w:color w:val="231F20"/>
        </w:rPr>
        <w:t>able</w:t>
      </w:r>
      <w:r>
        <w:rPr>
          <w:color w:val="231F20"/>
          <w:spacing w:val="-9"/>
        </w:rPr>
        <w:t xml:space="preserve"> </w:t>
      </w:r>
      <w:r>
        <w:rPr>
          <w:color w:val="231F20"/>
        </w:rPr>
        <w:t>to</w:t>
      </w:r>
      <w:r>
        <w:rPr>
          <w:color w:val="231F20"/>
          <w:spacing w:val="-11"/>
        </w:rPr>
        <w:t xml:space="preserve"> </w:t>
      </w:r>
      <w:r>
        <w:rPr>
          <w:color w:val="231F20"/>
        </w:rPr>
        <w:t>a</w:t>
      </w:r>
      <w:r>
        <w:rPr>
          <w:color w:val="161618"/>
        </w:rPr>
        <w:t>sc</w:t>
      </w:r>
      <w:r>
        <w:rPr>
          <w:color w:val="231F20"/>
        </w:rPr>
        <w:t>ert</w:t>
      </w:r>
      <w:r>
        <w:rPr>
          <w:color w:val="161618"/>
        </w:rPr>
        <w:t>a</w:t>
      </w:r>
      <w:r>
        <w:rPr>
          <w:color w:val="231F20"/>
        </w:rPr>
        <w:t>in</w:t>
      </w:r>
      <w:r>
        <w:rPr>
          <w:color w:val="231F20"/>
          <w:spacing w:val="-8"/>
        </w:rPr>
        <w:t xml:space="preserve"> </w:t>
      </w:r>
      <w:r>
        <w:rPr>
          <w:color w:val="231F20"/>
        </w:rPr>
        <w:t>from</w:t>
      </w:r>
      <w:r>
        <w:rPr>
          <w:color w:val="231F20"/>
          <w:spacing w:val="-8"/>
        </w:rPr>
        <w:t xml:space="preserve"> </w:t>
      </w:r>
      <w:r>
        <w:rPr>
          <w:color w:val="231F20"/>
        </w:rPr>
        <w:t>information</w:t>
      </w:r>
      <w:r>
        <w:rPr>
          <w:color w:val="231F20"/>
          <w:spacing w:val="-9"/>
        </w:rPr>
        <w:t xml:space="preserve"> </w:t>
      </w:r>
      <w:r>
        <w:rPr>
          <w:color w:val="231F20"/>
        </w:rPr>
        <w:t>published</w:t>
      </w:r>
      <w:r>
        <w:rPr>
          <w:color w:val="231F20"/>
          <w:spacing w:val="-11"/>
        </w:rPr>
        <w:t xml:space="preserve"> </w:t>
      </w:r>
      <w:r>
        <w:rPr>
          <w:color w:val="231F20"/>
        </w:rPr>
        <w:t>b</w:t>
      </w:r>
      <w:r>
        <w:rPr>
          <w:color w:val="161618"/>
        </w:rPr>
        <w:t>y</w:t>
      </w:r>
      <w:r>
        <w:rPr>
          <w:color w:val="161618"/>
          <w:spacing w:val="-10"/>
        </w:rPr>
        <w:t xml:space="preserve"> </w:t>
      </w:r>
      <w:r>
        <w:rPr>
          <w:color w:val="231F20"/>
        </w:rPr>
        <w:t>th</w:t>
      </w:r>
      <w:r>
        <w:rPr>
          <w:color w:val="161618"/>
        </w:rPr>
        <w:t>a</w:t>
      </w:r>
      <w:r>
        <w:rPr>
          <w:color w:val="231F20"/>
        </w:rPr>
        <w:t>t</w:t>
      </w:r>
      <w:r>
        <w:rPr>
          <w:color w:val="231F20"/>
          <w:spacing w:val="-8"/>
        </w:rPr>
        <w:t xml:space="preserve"> </w:t>
      </w:r>
      <w:r>
        <w:rPr>
          <w:color w:val="231F20"/>
        </w:rPr>
        <w:t>third</w:t>
      </w:r>
      <w:r>
        <w:rPr>
          <w:color w:val="231F20"/>
          <w:spacing w:val="-9"/>
        </w:rPr>
        <w:t xml:space="preserve"> </w:t>
      </w:r>
      <w:r>
        <w:rPr>
          <w:color w:val="231F20"/>
        </w:rPr>
        <w:t>part</w:t>
      </w:r>
      <w:r>
        <w:rPr>
          <w:color w:val="161618"/>
        </w:rPr>
        <w:t>y,</w:t>
      </w:r>
      <w:r>
        <w:rPr>
          <w:color w:val="161618"/>
          <w:spacing w:val="-9"/>
        </w:rPr>
        <w:t xml:space="preserve"> </w:t>
      </w:r>
      <w:r>
        <w:rPr>
          <w:color w:val="231F20"/>
        </w:rPr>
        <w:t>no</w:t>
      </w:r>
      <w:r>
        <w:rPr>
          <w:color w:val="231F20"/>
          <w:spacing w:val="-9"/>
        </w:rPr>
        <w:t xml:space="preserve"> </w:t>
      </w:r>
      <w:r>
        <w:rPr>
          <w:color w:val="231F20"/>
        </w:rPr>
        <w:t>f</w:t>
      </w:r>
      <w:r>
        <w:rPr>
          <w:color w:val="161618"/>
        </w:rPr>
        <w:t>a</w:t>
      </w:r>
      <w:r>
        <w:rPr>
          <w:color w:val="231F20"/>
        </w:rPr>
        <w:t>cts h</w:t>
      </w:r>
      <w:r>
        <w:rPr>
          <w:color w:val="161618"/>
        </w:rPr>
        <w:t>a</w:t>
      </w:r>
      <w:r>
        <w:rPr>
          <w:color w:val="231F20"/>
        </w:rPr>
        <w:t>ve been o</w:t>
      </w:r>
      <w:r>
        <w:rPr>
          <w:color w:val="161618"/>
        </w:rPr>
        <w:t>m</w:t>
      </w:r>
      <w:r>
        <w:rPr>
          <w:color w:val="231F20"/>
        </w:rPr>
        <w:t>itted whi</w:t>
      </w:r>
      <w:r>
        <w:rPr>
          <w:color w:val="161618"/>
        </w:rPr>
        <w:t>c</w:t>
      </w:r>
      <w:r>
        <w:rPr>
          <w:color w:val="231F20"/>
        </w:rPr>
        <w:t>h would render the rep</w:t>
      </w:r>
      <w:r>
        <w:rPr>
          <w:color w:val="161618"/>
        </w:rPr>
        <w:t>r</w:t>
      </w:r>
      <w:r>
        <w:rPr>
          <w:color w:val="231F20"/>
        </w:rPr>
        <w:t>oduced i</w:t>
      </w:r>
      <w:r>
        <w:rPr>
          <w:color w:val="161618"/>
        </w:rPr>
        <w:t>n</w:t>
      </w:r>
      <w:r>
        <w:rPr>
          <w:color w:val="231F20"/>
        </w:rPr>
        <w:t>form</w:t>
      </w:r>
      <w:r>
        <w:rPr>
          <w:color w:val="161618"/>
        </w:rPr>
        <w:t>a</w:t>
      </w:r>
      <w:r>
        <w:rPr>
          <w:color w:val="231F20"/>
        </w:rPr>
        <w:t>tion in</w:t>
      </w:r>
      <w:r>
        <w:rPr>
          <w:color w:val="161618"/>
        </w:rPr>
        <w:t>a</w:t>
      </w:r>
      <w:r>
        <w:rPr>
          <w:color w:val="231F20"/>
        </w:rPr>
        <w:t>c</w:t>
      </w:r>
      <w:r>
        <w:rPr>
          <w:color w:val="161618"/>
        </w:rPr>
        <w:t>c</w:t>
      </w:r>
      <w:r>
        <w:rPr>
          <w:color w:val="231F20"/>
        </w:rPr>
        <w:t>urate or</w:t>
      </w:r>
      <w:r>
        <w:rPr>
          <w:color w:val="231F20"/>
          <w:spacing w:val="-8"/>
        </w:rPr>
        <w:t xml:space="preserve"> </w:t>
      </w:r>
      <w:r>
        <w:rPr>
          <w:color w:val="231F20"/>
        </w:rPr>
        <w:t>mi</w:t>
      </w:r>
      <w:r>
        <w:rPr>
          <w:color w:val="161618"/>
        </w:rPr>
        <w:t>s</w:t>
      </w:r>
      <w:r>
        <w:rPr>
          <w:color w:val="231F20"/>
        </w:rPr>
        <w:t>leading.</w:t>
      </w:r>
    </w:p>
    <w:p w14:paraId="5D3221C3" w14:textId="77777777" w:rsidR="00783288" w:rsidRDefault="00783288">
      <w:pPr>
        <w:pStyle w:val="BodyText"/>
        <w:kinsoku w:val="0"/>
        <w:overflowPunct w:val="0"/>
        <w:spacing w:before="8"/>
        <w:rPr>
          <w:sz w:val="20"/>
          <w:szCs w:val="20"/>
        </w:rPr>
      </w:pPr>
    </w:p>
    <w:p w14:paraId="67462841" w14:textId="1108E992" w:rsidR="00783288" w:rsidRDefault="00E31420">
      <w:pPr>
        <w:pStyle w:val="BodyText"/>
        <w:kinsoku w:val="0"/>
        <w:overflowPunct w:val="0"/>
        <w:spacing w:before="1"/>
        <w:ind w:left="120"/>
        <w:rPr>
          <w:color w:val="231F20"/>
        </w:rPr>
      </w:pPr>
      <w:r>
        <w:rPr>
          <w:color w:val="231F20"/>
        </w:rPr>
        <w:t xml:space="preserve">Dated: </w:t>
      </w:r>
      <w:r w:rsidR="00002F84">
        <w:t>7</w:t>
      </w:r>
      <w:r w:rsidR="0037407F">
        <w:rPr>
          <w:color w:val="231F20"/>
        </w:rPr>
        <w:t xml:space="preserve"> </w:t>
      </w:r>
      <w:r w:rsidR="00A96071">
        <w:rPr>
          <w:color w:val="231F20"/>
        </w:rPr>
        <w:t xml:space="preserve">July </w:t>
      </w:r>
      <w:r w:rsidR="0037407F">
        <w:rPr>
          <w:color w:val="231F20"/>
        </w:rPr>
        <w:t>2021</w:t>
      </w:r>
    </w:p>
    <w:p w14:paraId="09832D78" w14:textId="77777777" w:rsidR="00783288" w:rsidRDefault="00783288">
      <w:pPr>
        <w:pStyle w:val="BodyText"/>
        <w:kinsoku w:val="0"/>
        <w:overflowPunct w:val="0"/>
        <w:spacing w:before="1"/>
        <w:ind w:left="120"/>
        <w:rPr>
          <w:color w:val="231F20"/>
        </w:rPr>
        <w:sectPr w:rsidR="00783288" w:rsidSect="002A46A1">
          <w:type w:val="continuous"/>
          <w:pgSz w:w="11900" w:h="16840"/>
          <w:pgMar w:top="1380" w:right="240" w:bottom="1160" w:left="1140" w:header="0" w:footer="891" w:gutter="0"/>
          <w:cols w:space="720"/>
          <w:noEndnote/>
        </w:sectPr>
      </w:pPr>
    </w:p>
    <w:p w14:paraId="0873FEA2" w14:textId="77777777" w:rsidR="00783288" w:rsidRDefault="00E31420">
      <w:pPr>
        <w:pStyle w:val="Heading1"/>
        <w:kinsoku w:val="0"/>
        <w:overflowPunct w:val="0"/>
        <w:spacing w:before="73"/>
        <w:ind w:left="120"/>
        <w:jc w:val="both"/>
        <w:rPr>
          <w:color w:val="231F20"/>
        </w:rPr>
      </w:pPr>
      <w:r>
        <w:rPr>
          <w:color w:val="231F20"/>
        </w:rPr>
        <w:lastRenderedPageBreak/>
        <w:t>NOTICES TO INVESTORS AND DISTRIBUTORS</w:t>
      </w:r>
    </w:p>
    <w:p w14:paraId="64FC3C81" w14:textId="77777777" w:rsidR="00783288" w:rsidRDefault="00783288">
      <w:pPr>
        <w:pStyle w:val="BodyText"/>
        <w:kinsoku w:val="0"/>
        <w:overflowPunct w:val="0"/>
        <w:spacing w:before="3"/>
        <w:rPr>
          <w:b/>
          <w:bCs/>
          <w:sz w:val="21"/>
          <w:szCs w:val="21"/>
        </w:rPr>
      </w:pPr>
    </w:p>
    <w:p w14:paraId="3BAA0EC9" w14:textId="77777777" w:rsidR="00783288" w:rsidRDefault="00E31420">
      <w:pPr>
        <w:pStyle w:val="BodyText"/>
        <w:kinsoku w:val="0"/>
        <w:overflowPunct w:val="0"/>
        <w:ind w:left="120" w:right="1038"/>
        <w:jc w:val="both"/>
        <w:rPr>
          <w:color w:val="231F20"/>
        </w:rPr>
      </w:pPr>
      <w:r>
        <w:rPr>
          <w:color w:val="231F20"/>
        </w:rPr>
        <w:t>The distribution of this Document may be restricted by law in certain jurisdictions and therefore persons into whose possession</w:t>
      </w:r>
      <w:r>
        <w:rPr>
          <w:color w:val="231F20"/>
          <w:spacing w:val="-10"/>
        </w:rPr>
        <w:t xml:space="preserve"> </w:t>
      </w:r>
      <w:r>
        <w:rPr>
          <w:color w:val="231F20"/>
        </w:rPr>
        <w:t>this</w:t>
      </w:r>
      <w:r>
        <w:rPr>
          <w:color w:val="231F20"/>
          <w:spacing w:val="-9"/>
        </w:rPr>
        <w:t xml:space="preserve"> </w:t>
      </w:r>
      <w:r>
        <w:rPr>
          <w:color w:val="231F20"/>
        </w:rPr>
        <w:t>Document</w:t>
      </w:r>
      <w:r>
        <w:rPr>
          <w:color w:val="231F20"/>
          <w:spacing w:val="-12"/>
        </w:rPr>
        <w:t xml:space="preserve"> </w:t>
      </w:r>
      <w:r>
        <w:rPr>
          <w:color w:val="231F20"/>
        </w:rPr>
        <w:t>comes</w:t>
      </w:r>
      <w:r>
        <w:rPr>
          <w:color w:val="231F20"/>
          <w:spacing w:val="-10"/>
        </w:rPr>
        <w:t xml:space="preserve"> </w:t>
      </w:r>
      <w:r>
        <w:rPr>
          <w:color w:val="231F20"/>
        </w:rPr>
        <w:t>should</w:t>
      </w:r>
      <w:r>
        <w:rPr>
          <w:color w:val="231F20"/>
          <w:spacing w:val="-12"/>
        </w:rPr>
        <w:t xml:space="preserve"> </w:t>
      </w:r>
      <w:r>
        <w:rPr>
          <w:color w:val="231F20"/>
        </w:rPr>
        <w:t>inform</w:t>
      </w:r>
      <w:r>
        <w:rPr>
          <w:color w:val="231F20"/>
          <w:spacing w:val="-9"/>
        </w:rPr>
        <w:t xml:space="preserve"> </w:t>
      </w:r>
      <w:r>
        <w:rPr>
          <w:color w:val="231F20"/>
        </w:rPr>
        <w:t>themselves</w:t>
      </w:r>
      <w:r>
        <w:rPr>
          <w:color w:val="231F20"/>
          <w:spacing w:val="-10"/>
        </w:rPr>
        <w:t xml:space="preserve"> </w:t>
      </w:r>
      <w:r>
        <w:rPr>
          <w:color w:val="231F20"/>
        </w:rPr>
        <w:t>about</w:t>
      </w:r>
      <w:r>
        <w:rPr>
          <w:color w:val="231F20"/>
          <w:spacing w:val="-12"/>
        </w:rPr>
        <w:t xml:space="preserve"> </w:t>
      </w:r>
      <w:r>
        <w:rPr>
          <w:color w:val="231F20"/>
        </w:rPr>
        <w:t>and</w:t>
      </w:r>
      <w:r>
        <w:rPr>
          <w:color w:val="231F20"/>
          <w:spacing w:val="-12"/>
        </w:rPr>
        <w:t xml:space="preserve"> </w:t>
      </w:r>
      <w:r>
        <w:rPr>
          <w:color w:val="231F20"/>
        </w:rPr>
        <w:t>observe</w:t>
      </w:r>
      <w:r>
        <w:rPr>
          <w:color w:val="231F20"/>
          <w:spacing w:val="-9"/>
        </w:rPr>
        <w:t xml:space="preserve"> </w:t>
      </w:r>
      <w:r>
        <w:rPr>
          <w:color w:val="231F20"/>
        </w:rPr>
        <w:t>any</w:t>
      </w:r>
      <w:r>
        <w:rPr>
          <w:color w:val="231F20"/>
          <w:spacing w:val="-11"/>
        </w:rPr>
        <w:t xml:space="preserve"> </w:t>
      </w:r>
      <w:r>
        <w:rPr>
          <w:color w:val="231F20"/>
        </w:rPr>
        <w:t>restrictions,</w:t>
      </w:r>
      <w:r>
        <w:rPr>
          <w:color w:val="231F20"/>
          <w:spacing w:val="-12"/>
        </w:rPr>
        <w:t xml:space="preserve"> </w:t>
      </w:r>
      <w:r>
        <w:rPr>
          <w:color w:val="231F20"/>
        </w:rPr>
        <w:t>including</w:t>
      </w:r>
      <w:r>
        <w:rPr>
          <w:color w:val="231F20"/>
          <w:spacing w:val="-9"/>
        </w:rPr>
        <w:t xml:space="preserve"> </w:t>
      </w:r>
      <w:r>
        <w:rPr>
          <w:color w:val="231F20"/>
        </w:rPr>
        <w:t>those</w:t>
      </w:r>
      <w:r>
        <w:rPr>
          <w:color w:val="231F20"/>
          <w:spacing w:val="-10"/>
        </w:rPr>
        <w:t xml:space="preserve"> </w:t>
      </w:r>
      <w:r>
        <w:rPr>
          <w:color w:val="231F20"/>
        </w:rPr>
        <w:t>set</w:t>
      </w:r>
      <w:r>
        <w:rPr>
          <w:color w:val="231F20"/>
          <w:spacing w:val="-10"/>
        </w:rPr>
        <w:t xml:space="preserve"> </w:t>
      </w:r>
      <w:r>
        <w:rPr>
          <w:color w:val="231F20"/>
        </w:rPr>
        <w:t>out below. Any failure to comply with these restrictions may constitute a violation of the securities laws of any such jurisdiction.</w:t>
      </w:r>
    </w:p>
    <w:p w14:paraId="0605FA68" w14:textId="77777777" w:rsidR="00783288" w:rsidRDefault="00783288">
      <w:pPr>
        <w:pStyle w:val="BodyText"/>
        <w:kinsoku w:val="0"/>
        <w:overflowPunct w:val="0"/>
        <w:spacing w:before="5"/>
        <w:rPr>
          <w:sz w:val="20"/>
          <w:szCs w:val="20"/>
        </w:rPr>
      </w:pPr>
    </w:p>
    <w:p w14:paraId="2E6422E7" w14:textId="77777777" w:rsidR="00783288" w:rsidRDefault="00E31420">
      <w:pPr>
        <w:pStyle w:val="Heading1"/>
        <w:numPr>
          <w:ilvl w:val="0"/>
          <w:numId w:val="2"/>
        </w:numPr>
        <w:tabs>
          <w:tab w:val="left" w:pos="828"/>
        </w:tabs>
        <w:kinsoku w:val="0"/>
        <w:overflowPunct w:val="0"/>
        <w:rPr>
          <w:color w:val="231F20"/>
        </w:rPr>
      </w:pPr>
      <w:r>
        <w:rPr>
          <w:color w:val="231F20"/>
        </w:rPr>
        <w:t>General</w:t>
      </w:r>
    </w:p>
    <w:p w14:paraId="529BB775" w14:textId="77777777" w:rsidR="00783288" w:rsidRDefault="00783288">
      <w:pPr>
        <w:pStyle w:val="BodyText"/>
        <w:kinsoku w:val="0"/>
        <w:overflowPunct w:val="0"/>
        <w:spacing w:before="5"/>
        <w:rPr>
          <w:b/>
          <w:bCs/>
          <w:sz w:val="21"/>
          <w:szCs w:val="21"/>
        </w:rPr>
      </w:pPr>
    </w:p>
    <w:p w14:paraId="3AD9DE8B" w14:textId="77777777" w:rsidR="00783288" w:rsidRDefault="00E31420">
      <w:pPr>
        <w:pStyle w:val="BodyText"/>
        <w:kinsoku w:val="0"/>
        <w:overflowPunct w:val="0"/>
        <w:ind w:left="120" w:right="1036"/>
        <w:jc w:val="both"/>
        <w:rPr>
          <w:color w:val="231F20"/>
        </w:rPr>
      </w:pPr>
      <w:r>
        <w:rPr>
          <w:color w:val="231F20"/>
        </w:rPr>
        <w:t>No action has been or will be taken in any jurisdiction that would permit a public offering of the Ordinary Shares, or possession</w:t>
      </w:r>
      <w:r>
        <w:rPr>
          <w:color w:val="231F20"/>
          <w:spacing w:val="-5"/>
        </w:rPr>
        <w:t xml:space="preserve"> </w:t>
      </w:r>
      <w:r>
        <w:rPr>
          <w:color w:val="231F20"/>
        </w:rPr>
        <w:t>or</w:t>
      </w:r>
      <w:r>
        <w:rPr>
          <w:color w:val="231F20"/>
          <w:spacing w:val="-4"/>
        </w:rPr>
        <w:t xml:space="preserve"> </w:t>
      </w:r>
      <w:r>
        <w:rPr>
          <w:color w:val="231F20"/>
        </w:rPr>
        <w:t>distribution</w:t>
      </w:r>
      <w:r>
        <w:rPr>
          <w:color w:val="231F20"/>
          <w:spacing w:val="-4"/>
        </w:rPr>
        <w:t xml:space="preserve"> </w:t>
      </w:r>
      <w:r>
        <w:rPr>
          <w:color w:val="231F20"/>
        </w:rPr>
        <w:t>of</w:t>
      </w:r>
      <w:r>
        <w:rPr>
          <w:color w:val="231F20"/>
          <w:spacing w:val="-5"/>
        </w:rPr>
        <w:t xml:space="preserve"> </w:t>
      </w:r>
      <w:r>
        <w:rPr>
          <w:color w:val="231F20"/>
        </w:rPr>
        <w:t>this</w:t>
      </w:r>
      <w:r>
        <w:rPr>
          <w:color w:val="231F20"/>
          <w:spacing w:val="-3"/>
        </w:rPr>
        <w:t xml:space="preserve"> </w:t>
      </w:r>
      <w:r>
        <w:rPr>
          <w:color w:val="231F20"/>
        </w:rPr>
        <w:t>Document</w:t>
      </w:r>
      <w:r>
        <w:rPr>
          <w:color w:val="231F20"/>
          <w:spacing w:val="-4"/>
        </w:rPr>
        <w:t xml:space="preserve"> </w:t>
      </w:r>
      <w:r>
        <w:rPr>
          <w:color w:val="231F20"/>
        </w:rPr>
        <w:t>or</w:t>
      </w:r>
      <w:r>
        <w:rPr>
          <w:color w:val="231F20"/>
          <w:spacing w:val="-4"/>
        </w:rPr>
        <w:t xml:space="preserve"> </w:t>
      </w:r>
      <w:r>
        <w:rPr>
          <w:color w:val="231F20"/>
        </w:rPr>
        <w:t>any</w:t>
      </w:r>
      <w:r>
        <w:rPr>
          <w:color w:val="231F20"/>
          <w:spacing w:val="-7"/>
        </w:rPr>
        <w:t xml:space="preserve"> </w:t>
      </w:r>
      <w:r>
        <w:rPr>
          <w:color w:val="231F20"/>
        </w:rPr>
        <w:t>other</w:t>
      </w:r>
      <w:r>
        <w:rPr>
          <w:color w:val="231F20"/>
          <w:spacing w:val="-4"/>
        </w:rPr>
        <w:t xml:space="preserve"> </w:t>
      </w:r>
      <w:r>
        <w:rPr>
          <w:color w:val="231F20"/>
        </w:rPr>
        <w:t>offering</w:t>
      </w:r>
      <w:r>
        <w:rPr>
          <w:color w:val="231F20"/>
          <w:spacing w:val="-4"/>
        </w:rPr>
        <w:t xml:space="preserve"> </w:t>
      </w:r>
      <w:r>
        <w:rPr>
          <w:color w:val="231F20"/>
        </w:rPr>
        <w:t>material</w:t>
      </w:r>
      <w:r>
        <w:rPr>
          <w:color w:val="231F20"/>
          <w:spacing w:val="-4"/>
        </w:rPr>
        <w:t xml:space="preserve"> </w:t>
      </w:r>
      <w:r>
        <w:rPr>
          <w:color w:val="231F20"/>
        </w:rPr>
        <w:t>in</w:t>
      </w:r>
      <w:r>
        <w:rPr>
          <w:color w:val="231F20"/>
          <w:spacing w:val="-6"/>
        </w:rPr>
        <w:t xml:space="preserve"> </w:t>
      </w:r>
      <w:r>
        <w:rPr>
          <w:color w:val="231F20"/>
        </w:rPr>
        <w:t>any</w:t>
      </w:r>
      <w:r>
        <w:rPr>
          <w:color w:val="231F20"/>
          <w:spacing w:val="-7"/>
        </w:rPr>
        <w:t xml:space="preserve"> </w:t>
      </w:r>
      <w:r>
        <w:rPr>
          <w:color w:val="231F20"/>
        </w:rPr>
        <w:t>country</w:t>
      </w:r>
      <w:r>
        <w:rPr>
          <w:color w:val="231F20"/>
          <w:spacing w:val="-6"/>
        </w:rPr>
        <w:t xml:space="preserve"> </w:t>
      </w:r>
      <w:r>
        <w:rPr>
          <w:color w:val="231F20"/>
        </w:rPr>
        <w:t>or</w:t>
      </w:r>
      <w:r>
        <w:rPr>
          <w:color w:val="231F20"/>
          <w:spacing w:val="-4"/>
        </w:rPr>
        <w:t xml:space="preserve"> </w:t>
      </w:r>
      <w:r>
        <w:rPr>
          <w:color w:val="231F20"/>
        </w:rPr>
        <w:t>jurisdiction</w:t>
      </w:r>
      <w:r>
        <w:rPr>
          <w:color w:val="231F20"/>
          <w:spacing w:val="-4"/>
        </w:rPr>
        <w:t xml:space="preserve"> </w:t>
      </w:r>
      <w:r>
        <w:rPr>
          <w:color w:val="231F20"/>
        </w:rPr>
        <w:t>where</w:t>
      </w:r>
      <w:r>
        <w:rPr>
          <w:color w:val="231F20"/>
          <w:spacing w:val="-5"/>
        </w:rPr>
        <w:t xml:space="preserve"> </w:t>
      </w:r>
      <w:r>
        <w:rPr>
          <w:color w:val="231F20"/>
        </w:rPr>
        <w:t>action</w:t>
      </w:r>
      <w:r>
        <w:rPr>
          <w:color w:val="231F20"/>
          <w:spacing w:val="-6"/>
        </w:rPr>
        <w:t xml:space="preserve"> </w:t>
      </w:r>
      <w:r>
        <w:rPr>
          <w:color w:val="231F20"/>
        </w:rPr>
        <w:t>for that</w:t>
      </w:r>
      <w:r>
        <w:rPr>
          <w:color w:val="231F20"/>
          <w:spacing w:val="-7"/>
        </w:rPr>
        <w:t xml:space="preserve"> </w:t>
      </w:r>
      <w:r>
        <w:rPr>
          <w:color w:val="231F20"/>
        </w:rPr>
        <w:t>purpose</w:t>
      </w:r>
      <w:r>
        <w:rPr>
          <w:color w:val="231F20"/>
          <w:spacing w:val="-7"/>
        </w:rPr>
        <w:t xml:space="preserve"> </w:t>
      </w:r>
      <w:r>
        <w:rPr>
          <w:color w:val="231F20"/>
        </w:rPr>
        <w:t>is</w:t>
      </w:r>
      <w:r>
        <w:rPr>
          <w:color w:val="231F20"/>
          <w:spacing w:val="-7"/>
        </w:rPr>
        <w:t xml:space="preserve"> </w:t>
      </w:r>
      <w:r>
        <w:rPr>
          <w:color w:val="231F20"/>
        </w:rPr>
        <w:t>required.</w:t>
      </w:r>
      <w:r>
        <w:rPr>
          <w:color w:val="231F20"/>
          <w:spacing w:val="-4"/>
        </w:rPr>
        <w:t xml:space="preserve"> </w:t>
      </w:r>
      <w:r>
        <w:rPr>
          <w:color w:val="231F20"/>
        </w:rPr>
        <w:t>Accordingly,</w:t>
      </w:r>
      <w:r>
        <w:rPr>
          <w:color w:val="231F20"/>
          <w:spacing w:val="-5"/>
        </w:rPr>
        <w:t xml:space="preserve"> </w:t>
      </w:r>
      <w:r>
        <w:rPr>
          <w:color w:val="231F20"/>
        </w:rPr>
        <w:t>the</w:t>
      </w:r>
      <w:r>
        <w:rPr>
          <w:color w:val="231F20"/>
          <w:spacing w:val="-7"/>
        </w:rPr>
        <w:t xml:space="preserve"> </w:t>
      </w:r>
      <w:r>
        <w:rPr>
          <w:color w:val="231F20"/>
        </w:rPr>
        <w:t>Ordinary</w:t>
      </w:r>
      <w:r>
        <w:rPr>
          <w:color w:val="231F20"/>
          <w:spacing w:val="-7"/>
        </w:rPr>
        <w:t xml:space="preserve"> </w:t>
      </w:r>
      <w:r>
        <w:rPr>
          <w:color w:val="231F20"/>
        </w:rPr>
        <w:t>Shares</w:t>
      </w:r>
      <w:r>
        <w:rPr>
          <w:color w:val="231F20"/>
          <w:spacing w:val="-6"/>
        </w:rPr>
        <w:t xml:space="preserve"> </w:t>
      </w:r>
      <w:r>
        <w:rPr>
          <w:color w:val="231F20"/>
        </w:rPr>
        <w:t>may</w:t>
      </w:r>
      <w:r>
        <w:rPr>
          <w:color w:val="231F20"/>
          <w:spacing w:val="-6"/>
        </w:rPr>
        <w:t xml:space="preserve"> </w:t>
      </w:r>
      <w:r>
        <w:rPr>
          <w:color w:val="231F20"/>
        </w:rPr>
        <w:t>not</w:t>
      </w:r>
      <w:r>
        <w:rPr>
          <w:color w:val="231F20"/>
          <w:spacing w:val="-7"/>
        </w:rPr>
        <w:t xml:space="preserve"> </w:t>
      </w:r>
      <w:r>
        <w:rPr>
          <w:color w:val="231F20"/>
        </w:rPr>
        <w:t>be</w:t>
      </w:r>
      <w:r>
        <w:rPr>
          <w:color w:val="231F20"/>
          <w:spacing w:val="-6"/>
        </w:rPr>
        <w:t xml:space="preserve"> </w:t>
      </w:r>
      <w:r>
        <w:rPr>
          <w:color w:val="231F20"/>
        </w:rPr>
        <w:t>offered</w:t>
      </w:r>
      <w:r>
        <w:rPr>
          <w:color w:val="231F20"/>
          <w:spacing w:val="-5"/>
        </w:rPr>
        <w:t xml:space="preserve"> </w:t>
      </w:r>
      <w:r>
        <w:rPr>
          <w:color w:val="231F20"/>
        </w:rPr>
        <w:t>or</w:t>
      </w:r>
      <w:r>
        <w:rPr>
          <w:color w:val="231F20"/>
          <w:spacing w:val="-5"/>
        </w:rPr>
        <w:t xml:space="preserve"> </w:t>
      </w:r>
      <w:r>
        <w:rPr>
          <w:color w:val="231F20"/>
        </w:rPr>
        <w:t>sold,</w:t>
      </w:r>
      <w:r>
        <w:rPr>
          <w:color w:val="231F20"/>
          <w:spacing w:val="-7"/>
        </w:rPr>
        <w:t xml:space="preserve"> </w:t>
      </w:r>
      <w:r>
        <w:rPr>
          <w:color w:val="231F20"/>
        </w:rPr>
        <w:t>directly</w:t>
      </w:r>
      <w:r>
        <w:rPr>
          <w:color w:val="231F20"/>
          <w:spacing w:val="-7"/>
        </w:rPr>
        <w:t xml:space="preserve"> </w:t>
      </w:r>
      <w:r>
        <w:rPr>
          <w:color w:val="231F20"/>
        </w:rPr>
        <w:t>or</w:t>
      </w:r>
      <w:r>
        <w:rPr>
          <w:color w:val="231F20"/>
          <w:spacing w:val="-4"/>
        </w:rPr>
        <w:t xml:space="preserve"> </w:t>
      </w:r>
      <w:r>
        <w:rPr>
          <w:color w:val="231F20"/>
        </w:rPr>
        <w:t>indirectly,</w:t>
      </w:r>
      <w:r>
        <w:rPr>
          <w:color w:val="231F20"/>
          <w:spacing w:val="-5"/>
        </w:rPr>
        <w:t xml:space="preserve"> </w:t>
      </w:r>
      <w:r>
        <w:rPr>
          <w:color w:val="231F20"/>
        </w:rPr>
        <w:t>and</w:t>
      </w:r>
      <w:r>
        <w:rPr>
          <w:color w:val="231F20"/>
          <w:spacing w:val="-5"/>
        </w:rPr>
        <w:t xml:space="preserve"> </w:t>
      </w:r>
      <w:r>
        <w:rPr>
          <w:color w:val="231F20"/>
        </w:rPr>
        <w:t>neither this Document nor any other offering material or advertisement in connection with the Ordinary Shares may be distributed or published in or from any country or jurisdiction except under circumstances that will result in compliance with any and all applicable rules and regulations of any such country or jurisdiction. Any failure to comply with these restrictions</w:t>
      </w:r>
      <w:r>
        <w:rPr>
          <w:color w:val="231F20"/>
          <w:spacing w:val="-7"/>
        </w:rPr>
        <w:t xml:space="preserve"> </w:t>
      </w:r>
      <w:r>
        <w:rPr>
          <w:color w:val="231F20"/>
        </w:rPr>
        <w:t>may</w:t>
      </w:r>
      <w:r>
        <w:rPr>
          <w:color w:val="231F20"/>
          <w:spacing w:val="-9"/>
        </w:rPr>
        <w:t xml:space="preserve"> </w:t>
      </w:r>
      <w:r>
        <w:rPr>
          <w:color w:val="231F20"/>
        </w:rPr>
        <w:t>constitute</w:t>
      </w:r>
      <w:r>
        <w:rPr>
          <w:color w:val="231F20"/>
          <w:spacing w:val="-6"/>
        </w:rPr>
        <w:t xml:space="preserve"> </w:t>
      </w:r>
      <w:r>
        <w:rPr>
          <w:color w:val="231F20"/>
        </w:rPr>
        <w:t>a</w:t>
      </w:r>
      <w:r>
        <w:rPr>
          <w:color w:val="231F20"/>
          <w:spacing w:val="-5"/>
        </w:rPr>
        <w:t xml:space="preserve"> </w:t>
      </w:r>
      <w:r>
        <w:rPr>
          <w:color w:val="231F20"/>
        </w:rPr>
        <w:t>violation</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securities</w:t>
      </w:r>
      <w:r>
        <w:rPr>
          <w:color w:val="231F20"/>
          <w:spacing w:val="-7"/>
        </w:rPr>
        <w:t xml:space="preserve"> </w:t>
      </w:r>
      <w:r>
        <w:rPr>
          <w:color w:val="231F20"/>
        </w:rPr>
        <w:t>laws</w:t>
      </w:r>
      <w:r>
        <w:rPr>
          <w:color w:val="231F20"/>
          <w:spacing w:val="-3"/>
        </w:rPr>
        <w:t xml:space="preserve"> </w:t>
      </w:r>
      <w:r>
        <w:rPr>
          <w:color w:val="231F20"/>
        </w:rPr>
        <w:t>of</w:t>
      </w:r>
      <w:r>
        <w:rPr>
          <w:color w:val="231F20"/>
          <w:spacing w:val="-6"/>
        </w:rPr>
        <w:t xml:space="preserve"> </w:t>
      </w:r>
      <w:r>
        <w:rPr>
          <w:color w:val="231F20"/>
        </w:rPr>
        <w:t>any</w:t>
      </w:r>
      <w:r>
        <w:rPr>
          <w:color w:val="231F20"/>
          <w:spacing w:val="-7"/>
        </w:rPr>
        <w:t xml:space="preserve"> </w:t>
      </w:r>
      <w:r>
        <w:rPr>
          <w:color w:val="231F20"/>
        </w:rPr>
        <w:t>such</w:t>
      </w:r>
      <w:r>
        <w:rPr>
          <w:color w:val="231F20"/>
          <w:spacing w:val="-7"/>
        </w:rPr>
        <w:t xml:space="preserve"> </w:t>
      </w:r>
      <w:r>
        <w:rPr>
          <w:color w:val="231F20"/>
        </w:rPr>
        <w:t>jurisdiction.</w:t>
      </w:r>
      <w:r>
        <w:rPr>
          <w:color w:val="231F20"/>
          <w:spacing w:val="-4"/>
        </w:rPr>
        <w:t xml:space="preserve"> </w:t>
      </w:r>
      <w:r>
        <w:rPr>
          <w:color w:val="231F20"/>
        </w:rPr>
        <w:t>This</w:t>
      </w:r>
      <w:r>
        <w:rPr>
          <w:color w:val="231F20"/>
          <w:spacing w:val="-4"/>
        </w:rPr>
        <w:t xml:space="preserve"> </w:t>
      </w:r>
      <w:r>
        <w:rPr>
          <w:color w:val="231F20"/>
        </w:rPr>
        <w:t>Document</w:t>
      </w:r>
      <w:r>
        <w:rPr>
          <w:color w:val="231F20"/>
          <w:spacing w:val="-7"/>
        </w:rPr>
        <w:t xml:space="preserve"> </w:t>
      </w:r>
      <w:r>
        <w:rPr>
          <w:color w:val="231F20"/>
        </w:rPr>
        <w:t>does</w:t>
      </w:r>
      <w:r>
        <w:rPr>
          <w:color w:val="231F20"/>
          <w:spacing w:val="-3"/>
        </w:rPr>
        <w:t xml:space="preserve"> </w:t>
      </w:r>
      <w:r>
        <w:rPr>
          <w:color w:val="231F20"/>
        </w:rPr>
        <w:t>not</w:t>
      </w:r>
      <w:r>
        <w:rPr>
          <w:color w:val="231F20"/>
          <w:spacing w:val="-5"/>
        </w:rPr>
        <w:t xml:space="preserve"> </w:t>
      </w:r>
      <w:r>
        <w:rPr>
          <w:color w:val="231F20"/>
        </w:rPr>
        <w:t>constitute an offer to subscribe for any of the Ordinary Shares offered hereby to any person in any jurisdiction to whom it is unlawful to make such offer or solicitation in such</w:t>
      </w:r>
      <w:r>
        <w:rPr>
          <w:color w:val="231F20"/>
          <w:spacing w:val="-9"/>
        </w:rPr>
        <w:t xml:space="preserve"> </w:t>
      </w:r>
      <w:r>
        <w:rPr>
          <w:color w:val="231F20"/>
        </w:rPr>
        <w:t>jurisdiction.</w:t>
      </w:r>
    </w:p>
    <w:p w14:paraId="533B4892" w14:textId="77777777" w:rsidR="00783288" w:rsidRDefault="00783288">
      <w:pPr>
        <w:pStyle w:val="BodyText"/>
        <w:kinsoku w:val="0"/>
        <w:overflowPunct w:val="0"/>
        <w:spacing w:before="9"/>
        <w:rPr>
          <w:sz w:val="20"/>
          <w:szCs w:val="20"/>
        </w:rPr>
      </w:pPr>
    </w:p>
    <w:p w14:paraId="245BED38" w14:textId="6F70DB4C" w:rsidR="00783288" w:rsidRDefault="00E31420">
      <w:pPr>
        <w:pStyle w:val="BodyText"/>
        <w:kinsoku w:val="0"/>
        <w:overflowPunct w:val="0"/>
        <w:spacing w:before="1"/>
        <w:ind w:left="120" w:right="1034"/>
        <w:jc w:val="both"/>
        <w:rPr>
          <w:color w:val="231F20"/>
        </w:rPr>
      </w:pPr>
      <w:r>
        <w:rPr>
          <w:color w:val="231F20"/>
        </w:rPr>
        <w:t xml:space="preserve">This Document has been approved by the FCA as a prospectus for the purposes of the </w:t>
      </w:r>
      <w:r w:rsidR="000F0D89" w:rsidRPr="000F0D89">
        <w:rPr>
          <w:color w:val="231F20"/>
        </w:rPr>
        <w:t>UK Prospectus Regulation</w:t>
      </w:r>
      <w:r w:rsidR="00F26E51" w:rsidRPr="000F0D89">
        <w:rPr>
          <w:color w:val="231F20"/>
        </w:rPr>
        <w:t xml:space="preserve"> </w:t>
      </w:r>
      <w:r w:rsidR="00F26E51">
        <w:rPr>
          <w:color w:val="231F20"/>
        </w:rPr>
        <w:t>and the Prospectus Regulation Rules</w:t>
      </w:r>
      <w:r>
        <w:rPr>
          <w:color w:val="231F20"/>
        </w:rPr>
        <w:t xml:space="preserve">. </w:t>
      </w:r>
      <w:r w:rsidR="00F26E51">
        <w:rPr>
          <w:color w:val="231F20"/>
        </w:rPr>
        <w:t xml:space="preserve">This Document has not been approved as a prospectus by the competent authority in any EEA State and no </w:t>
      </w:r>
      <w:r>
        <w:rPr>
          <w:color w:val="231F20"/>
        </w:rPr>
        <w:t>arrangement has been made with the competent authority in any other jurisdiction for the use of this Document as an approved prospectus in such jurisdiction</w:t>
      </w:r>
      <w:r w:rsidR="00F26E51">
        <w:rPr>
          <w:color w:val="231F20"/>
        </w:rPr>
        <w:t>.</w:t>
      </w:r>
      <w:r>
        <w:rPr>
          <w:color w:val="231F20"/>
        </w:rPr>
        <w:t xml:space="preserve"> </w:t>
      </w:r>
      <w:proofErr w:type="gramStart"/>
      <w:r w:rsidR="00F26E51">
        <w:rPr>
          <w:color w:val="231F20"/>
        </w:rPr>
        <w:t>A</w:t>
      </w:r>
      <w:r>
        <w:rPr>
          <w:color w:val="231F20"/>
        </w:rPr>
        <w:t>ccordingly</w:t>
      </w:r>
      <w:proofErr w:type="gramEnd"/>
      <w:r>
        <w:rPr>
          <w:color w:val="231F20"/>
        </w:rPr>
        <w:t xml:space="preserve"> no public offer is to be made in any EEA state (or in any other jurisdiction). Issue or circulation of this Document may be prohibited in countries other than those in relation to which notices are given below.</w:t>
      </w:r>
    </w:p>
    <w:p w14:paraId="75A8518F" w14:textId="77777777" w:rsidR="00783288" w:rsidRDefault="00783288">
      <w:pPr>
        <w:pStyle w:val="BodyText"/>
        <w:kinsoku w:val="0"/>
        <w:overflowPunct w:val="0"/>
        <w:spacing w:before="4"/>
        <w:rPr>
          <w:sz w:val="20"/>
          <w:szCs w:val="20"/>
        </w:rPr>
      </w:pPr>
    </w:p>
    <w:p w14:paraId="554DE172" w14:textId="77777777" w:rsidR="00783288" w:rsidRDefault="00E31420">
      <w:pPr>
        <w:pStyle w:val="Heading1"/>
        <w:numPr>
          <w:ilvl w:val="0"/>
          <w:numId w:val="2"/>
        </w:numPr>
        <w:tabs>
          <w:tab w:val="left" w:pos="828"/>
        </w:tabs>
        <w:kinsoku w:val="0"/>
        <w:overflowPunct w:val="0"/>
        <w:rPr>
          <w:color w:val="231F20"/>
        </w:rPr>
      </w:pPr>
      <w:r>
        <w:rPr>
          <w:color w:val="231F20"/>
        </w:rPr>
        <w:t>For the attention of European Economic Area Investors</w:t>
      </w:r>
    </w:p>
    <w:p w14:paraId="27CEAE0E" w14:textId="77777777" w:rsidR="00783288" w:rsidRDefault="00783288">
      <w:pPr>
        <w:pStyle w:val="BodyText"/>
        <w:kinsoku w:val="0"/>
        <w:overflowPunct w:val="0"/>
        <w:spacing w:before="9"/>
        <w:rPr>
          <w:b/>
          <w:bCs/>
          <w:sz w:val="20"/>
          <w:szCs w:val="20"/>
        </w:rPr>
      </w:pPr>
    </w:p>
    <w:p w14:paraId="3EF8082F" w14:textId="40C0E5DB" w:rsidR="00783288" w:rsidRDefault="00E31420">
      <w:pPr>
        <w:pStyle w:val="BodyText"/>
        <w:kinsoku w:val="0"/>
        <w:overflowPunct w:val="0"/>
        <w:spacing w:before="1" w:line="242" w:lineRule="auto"/>
        <w:ind w:left="120" w:right="1036"/>
        <w:jc w:val="both"/>
        <w:rPr>
          <w:color w:val="231F20"/>
        </w:rPr>
      </w:pPr>
      <w:r>
        <w:rPr>
          <w:color w:val="231F20"/>
        </w:rPr>
        <w:t>In relation to each member state of the European Economic Area (each, a “</w:t>
      </w:r>
      <w:r>
        <w:rPr>
          <w:b/>
          <w:bCs/>
          <w:color w:val="231F20"/>
        </w:rPr>
        <w:t>Relevant Member State</w:t>
      </w:r>
      <w:r>
        <w:rPr>
          <w:color w:val="231F20"/>
        </w:rPr>
        <w:t xml:space="preserve">”), an offer to the public of the Ordinary Shares may only be made </w:t>
      </w:r>
      <w:r w:rsidR="00CE1A6B">
        <w:rPr>
          <w:color w:val="231F20"/>
        </w:rPr>
        <w:t>at any time in a Relevant Remember State (</w:t>
      </w:r>
      <w:proofErr w:type="spellStart"/>
      <w:r w:rsidR="00CE1A6B">
        <w:rPr>
          <w:color w:val="231F20"/>
        </w:rPr>
        <w:t>i</w:t>
      </w:r>
      <w:proofErr w:type="spellEnd"/>
      <w:r w:rsidR="00CE1A6B">
        <w:rPr>
          <w:color w:val="231F20"/>
        </w:rPr>
        <w:t xml:space="preserve">) where a </w:t>
      </w:r>
      <w:r>
        <w:rPr>
          <w:color w:val="231F20"/>
        </w:rPr>
        <w:t xml:space="preserve">prospectus has been </w:t>
      </w:r>
      <w:r w:rsidR="00CE1A6B">
        <w:rPr>
          <w:color w:val="231F20"/>
        </w:rPr>
        <w:t xml:space="preserve">approved </w:t>
      </w:r>
      <w:r>
        <w:rPr>
          <w:color w:val="231F20"/>
        </w:rPr>
        <w:t>in such Relevant Member State</w:t>
      </w:r>
      <w:r>
        <w:rPr>
          <w:color w:val="231F20"/>
          <w:spacing w:val="-12"/>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with</w:t>
      </w:r>
      <w:r>
        <w:rPr>
          <w:color w:val="231F20"/>
          <w:spacing w:val="-11"/>
        </w:rPr>
        <w:t xml:space="preserve"> </w:t>
      </w:r>
      <w:r w:rsidR="000F0D89">
        <w:rPr>
          <w:color w:val="231F20"/>
          <w:spacing w:val="-11"/>
        </w:rPr>
        <w:t xml:space="preserve">EU </w:t>
      </w:r>
      <w:r>
        <w:rPr>
          <w:color w:val="231F20"/>
        </w:rPr>
        <w:t>Prospectus</w:t>
      </w:r>
      <w:r>
        <w:rPr>
          <w:color w:val="231F20"/>
          <w:spacing w:val="-10"/>
        </w:rPr>
        <w:t xml:space="preserve"> </w:t>
      </w:r>
      <w:r>
        <w:rPr>
          <w:color w:val="231F20"/>
        </w:rPr>
        <w:t>Regulation</w:t>
      </w:r>
      <w:r w:rsidR="00525695">
        <w:rPr>
          <w:color w:val="231F20"/>
        </w:rPr>
        <w:t xml:space="preserve"> or, where appropriate, in another Relevant Member State and notified to the competent authority in that Relevant Member State</w:t>
      </w:r>
      <w:r w:rsidR="00CE1A6B">
        <w:rPr>
          <w:color w:val="231F20"/>
        </w:rPr>
        <w:t xml:space="preserve">: or (ii) </w:t>
      </w:r>
      <w:r>
        <w:rPr>
          <w:color w:val="231F20"/>
        </w:rPr>
        <w:t xml:space="preserve"> under the following exemptions under the</w:t>
      </w:r>
      <w:r w:rsidR="00CE1A6B">
        <w:rPr>
          <w:color w:val="231F20"/>
        </w:rPr>
        <w:t xml:space="preserve"> EU </w:t>
      </w:r>
      <w:r>
        <w:rPr>
          <w:color w:val="231F20"/>
        </w:rPr>
        <w:t>Prospectus Regulation:</w:t>
      </w:r>
    </w:p>
    <w:p w14:paraId="4C5EB649" w14:textId="77777777" w:rsidR="00783288" w:rsidRDefault="00783288">
      <w:pPr>
        <w:pStyle w:val="BodyText"/>
        <w:kinsoku w:val="0"/>
        <w:overflowPunct w:val="0"/>
        <w:spacing w:before="3"/>
        <w:rPr>
          <w:sz w:val="20"/>
          <w:szCs w:val="20"/>
        </w:rPr>
      </w:pPr>
    </w:p>
    <w:p w14:paraId="3E8997DE" w14:textId="77777777" w:rsidR="00240151" w:rsidRDefault="00504C45">
      <w:pPr>
        <w:pStyle w:val="ListParagraph"/>
        <w:numPr>
          <w:ilvl w:val="0"/>
          <w:numId w:val="1"/>
        </w:numPr>
        <w:tabs>
          <w:tab w:val="left" w:pos="828"/>
        </w:tabs>
        <w:kinsoku w:val="0"/>
        <w:overflowPunct w:val="0"/>
        <w:rPr>
          <w:color w:val="231F20"/>
          <w:sz w:val="18"/>
          <w:szCs w:val="18"/>
        </w:rPr>
      </w:pPr>
      <w:r>
        <w:rPr>
          <w:color w:val="231F20"/>
          <w:sz w:val="18"/>
          <w:szCs w:val="18"/>
        </w:rPr>
        <w:t xml:space="preserve">where the offer is solely addressed </w:t>
      </w:r>
      <w:r w:rsidR="00E31420">
        <w:rPr>
          <w:color w:val="231F20"/>
          <w:sz w:val="18"/>
          <w:szCs w:val="18"/>
        </w:rPr>
        <w:t xml:space="preserve">to any legal </w:t>
      </w:r>
      <w:r>
        <w:rPr>
          <w:color w:val="231F20"/>
          <w:sz w:val="18"/>
          <w:szCs w:val="18"/>
        </w:rPr>
        <w:t xml:space="preserve">entities </w:t>
      </w:r>
      <w:r w:rsidR="00E31420">
        <w:rPr>
          <w:color w:val="231F20"/>
          <w:sz w:val="18"/>
          <w:szCs w:val="18"/>
        </w:rPr>
        <w:t xml:space="preserve">which </w:t>
      </w:r>
      <w:r>
        <w:rPr>
          <w:color w:val="231F20"/>
          <w:sz w:val="18"/>
          <w:szCs w:val="18"/>
        </w:rPr>
        <w:t>are</w:t>
      </w:r>
      <w:r w:rsidR="00E31420">
        <w:rPr>
          <w:color w:val="231F20"/>
          <w:sz w:val="18"/>
          <w:szCs w:val="18"/>
        </w:rPr>
        <w:t xml:space="preserve"> qualified investor</w:t>
      </w:r>
      <w:r>
        <w:rPr>
          <w:color w:val="231F20"/>
          <w:sz w:val="18"/>
          <w:szCs w:val="18"/>
        </w:rPr>
        <w:t>s</w:t>
      </w:r>
      <w:r w:rsidR="00E31420">
        <w:rPr>
          <w:color w:val="231F20"/>
          <w:sz w:val="18"/>
          <w:szCs w:val="18"/>
        </w:rPr>
        <w:t xml:space="preserve"> as defined under the </w:t>
      </w:r>
      <w:r>
        <w:rPr>
          <w:color w:val="231F20"/>
          <w:sz w:val="18"/>
          <w:szCs w:val="18"/>
        </w:rPr>
        <w:t xml:space="preserve">EU </w:t>
      </w:r>
    </w:p>
    <w:p w14:paraId="6883E5BC" w14:textId="199D31BB" w:rsidR="00783288" w:rsidRDefault="00E31420" w:rsidP="00240151">
      <w:pPr>
        <w:pStyle w:val="ListParagraph"/>
        <w:tabs>
          <w:tab w:val="left" w:pos="828"/>
        </w:tabs>
        <w:kinsoku w:val="0"/>
        <w:overflowPunct w:val="0"/>
        <w:ind w:left="827" w:firstLine="0"/>
        <w:rPr>
          <w:color w:val="231F20"/>
          <w:sz w:val="18"/>
          <w:szCs w:val="18"/>
        </w:rPr>
      </w:pPr>
      <w:r>
        <w:rPr>
          <w:color w:val="231F20"/>
          <w:sz w:val="18"/>
          <w:szCs w:val="18"/>
        </w:rPr>
        <w:t xml:space="preserve">Prospectus </w:t>
      </w:r>
      <w:proofErr w:type="gramStart"/>
      <w:r>
        <w:rPr>
          <w:color w:val="231F20"/>
          <w:sz w:val="18"/>
          <w:szCs w:val="18"/>
        </w:rPr>
        <w:t>Regulation;</w:t>
      </w:r>
      <w:proofErr w:type="gramEnd"/>
    </w:p>
    <w:p w14:paraId="2711479F" w14:textId="77777777" w:rsidR="00783288" w:rsidRDefault="00783288">
      <w:pPr>
        <w:pStyle w:val="BodyText"/>
        <w:kinsoku w:val="0"/>
        <w:overflowPunct w:val="0"/>
        <w:rPr>
          <w:sz w:val="21"/>
          <w:szCs w:val="21"/>
        </w:rPr>
      </w:pPr>
    </w:p>
    <w:p w14:paraId="5CF56EEF" w14:textId="78A79C93" w:rsidR="00783288" w:rsidRDefault="003239C9">
      <w:pPr>
        <w:pStyle w:val="ListParagraph"/>
        <w:numPr>
          <w:ilvl w:val="0"/>
          <w:numId w:val="1"/>
        </w:numPr>
        <w:tabs>
          <w:tab w:val="left" w:pos="828"/>
        </w:tabs>
        <w:kinsoku w:val="0"/>
        <w:overflowPunct w:val="0"/>
        <w:spacing w:before="1"/>
        <w:ind w:right="1038"/>
        <w:rPr>
          <w:color w:val="231F20"/>
          <w:sz w:val="18"/>
          <w:szCs w:val="18"/>
        </w:rPr>
      </w:pPr>
      <w:r>
        <w:rPr>
          <w:color w:val="231F20"/>
          <w:sz w:val="18"/>
          <w:szCs w:val="18"/>
        </w:rPr>
        <w:t xml:space="preserve">where the offer is addressed </w:t>
      </w:r>
      <w:r w:rsidR="00E31420">
        <w:rPr>
          <w:color w:val="231F20"/>
          <w:sz w:val="18"/>
          <w:szCs w:val="18"/>
        </w:rPr>
        <w:t>to fewer</w:t>
      </w:r>
      <w:r>
        <w:rPr>
          <w:color w:val="231F20"/>
          <w:sz w:val="18"/>
          <w:szCs w:val="18"/>
        </w:rPr>
        <w:t xml:space="preserve"> than</w:t>
      </w:r>
      <w:r w:rsidR="00E31420">
        <w:rPr>
          <w:color w:val="231F20"/>
          <w:sz w:val="18"/>
          <w:szCs w:val="18"/>
        </w:rPr>
        <w:t xml:space="preserve"> 150 natural or legal persons (other than qualified investors as defined in the </w:t>
      </w:r>
      <w:r>
        <w:rPr>
          <w:color w:val="231F20"/>
          <w:sz w:val="18"/>
          <w:szCs w:val="18"/>
        </w:rPr>
        <w:t xml:space="preserve">EU </w:t>
      </w:r>
      <w:r w:rsidR="00E31420">
        <w:rPr>
          <w:color w:val="231F20"/>
          <w:sz w:val="18"/>
          <w:szCs w:val="18"/>
        </w:rPr>
        <w:t>Prospectus Regulation) in such Relevant Member</w:t>
      </w:r>
      <w:r>
        <w:rPr>
          <w:color w:val="231F20"/>
          <w:sz w:val="18"/>
          <w:szCs w:val="18"/>
        </w:rPr>
        <w:t xml:space="preserve"> State;</w:t>
      </w:r>
      <w:r w:rsidR="00E31420">
        <w:rPr>
          <w:color w:val="231F20"/>
          <w:spacing w:val="-4"/>
          <w:sz w:val="18"/>
          <w:szCs w:val="18"/>
        </w:rPr>
        <w:t xml:space="preserve"> </w:t>
      </w:r>
      <w:r w:rsidR="00E31420">
        <w:rPr>
          <w:color w:val="231F20"/>
          <w:sz w:val="18"/>
          <w:szCs w:val="18"/>
        </w:rPr>
        <w:t>or</w:t>
      </w:r>
    </w:p>
    <w:p w14:paraId="4EADAE4D" w14:textId="77777777" w:rsidR="00783288" w:rsidRDefault="00783288">
      <w:pPr>
        <w:pStyle w:val="BodyText"/>
        <w:kinsoku w:val="0"/>
        <w:overflowPunct w:val="0"/>
        <w:spacing w:before="8"/>
        <w:rPr>
          <w:sz w:val="20"/>
          <w:szCs w:val="20"/>
        </w:rPr>
      </w:pPr>
    </w:p>
    <w:p w14:paraId="780493E4" w14:textId="0526503C" w:rsidR="00783288" w:rsidRDefault="00E31420">
      <w:pPr>
        <w:pStyle w:val="ListParagraph"/>
        <w:numPr>
          <w:ilvl w:val="0"/>
          <w:numId w:val="1"/>
        </w:numPr>
        <w:tabs>
          <w:tab w:val="left" w:pos="828"/>
        </w:tabs>
        <w:kinsoku w:val="0"/>
        <w:overflowPunct w:val="0"/>
        <w:ind w:left="828"/>
        <w:rPr>
          <w:color w:val="231F20"/>
          <w:sz w:val="18"/>
          <w:szCs w:val="18"/>
        </w:rPr>
      </w:pPr>
      <w:r>
        <w:rPr>
          <w:color w:val="231F20"/>
          <w:sz w:val="18"/>
          <w:szCs w:val="18"/>
        </w:rPr>
        <w:t xml:space="preserve">in any other circumstances falling within Article </w:t>
      </w:r>
      <w:r w:rsidR="000264D1">
        <w:rPr>
          <w:color w:val="231F20"/>
          <w:sz w:val="18"/>
          <w:szCs w:val="18"/>
        </w:rPr>
        <w:t>1(</w:t>
      </w:r>
      <w:r>
        <w:rPr>
          <w:color w:val="231F20"/>
          <w:sz w:val="18"/>
          <w:szCs w:val="18"/>
        </w:rPr>
        <w:t>4</w:t>
      </w:r>
      <w:r w:rsidR="000264D1">
        <w:rPr>
          <w:color w:val="231F20"/>
          <w:sz w:val="18"/>
          <w:szCs w:val="18"/>
        </w:rPr>
        <w:t>)</w:t>
      </w:r>
      <w:r>
        <w:rPr>
          <w:color w:val="231F20"/>
          <w:sz w:val="18"/>
          <w:szCs w:val="18"/>
        </w:rPr>
        <w:t xml:space="preserve"> of the </w:t>
      </w:r>
      <w:r w:rsidR="003239C9">
        <w:rPr>
          <w:color w:val="231F20"/>
          <w:sz w:val="18"/>
          <w:szCs w:val="18"/>
        </w:rPr>
        <w:t xml:space="preserve">EU </w:t>
      </w:r>
      <w:r>
        <w:rPr>
          <w:color w:val="231F20"/>
          <w:sz w:val="18"/>
          <w:szCs w:val="18"/>
        </w:rPr>
        <w:t>Prospectus Regulation,</w:t>
      </w:r>
    </w:p>
    <w:p w14:paraId="62AA7C73" w14:textId="77777777" w:rsidR="00783288" w:rsidRDefault="00783288">
      <w:pPr>
        <w:pStyle w:val="BodyText"/>
        <w:kinsoku w:val="0"/>
        <w:overflowPunct w:val="0"/>
        <w:spacing w:before="10"/>
        <w:rPr>
          <w:sz w:val="20"/>
          <w:szCs w:val="20"/>
        </w:rPr>
      </w:pPr>
    </w:p>
    <w:p w14:paraId="417533E6" w14:textId="2BA32BCA" w:rsidR="00783288" w:rsidRDefault="00E31420">
      <w:pPr>
        <w:pStyle w:val="BodyText"/>
        <w:kinsoku w:val="0"/>
        <w:overflowPunct w:val="0"/>
        <w:ind w:left="120" w:right="1038"/>
        <w:jc w:val="both"/>
        <w:rPr>
          <w:color w:val="231F20"/>
        </w:rPr>
      </w:pPr>
      <w:r>
        <w:rPr>
          <w:color w:val="231F20"/>
        </w:rPr>
        <w:t xml:space="preserve">provided that no such offer of Ordinary Shares shall result in a requirement for the publication by the Company of a prospectus pursuant to Article </w:t>
      </w:r>
      <w:r w:rsidR="000264D1">
        <w:rPr>
          <w:color w:val="231F20"/>
        </w:rPr>
        <w:t>3</w:t>
      </w:r>
      <w:r>
        <w:rPr>
          <w:color w:val="231F20"/>
        </w:rPr>
        <w:t xml:space="preserve"> of the </w:t>
      </w:r>
      <w:r w:rsidR="00F027B6">
        <w:rPr>
          <w:color w:val="231F20"/>
        </w:rPr>
        <w:t xml:space="preserve">EU </w:t>
      </w:r>
      <w:r>
        <w:rPr>
          <w:color w:val="231F20"/>
        </w:rPr>
        <w:t>Prospectus Regulation.</w:t>
      </w:r>
    </w:p>
    <w:p w14:paraId="4854DC84" w14:textId="77777777" w:rsidR="00783288" w:rsidRDefault="00783288">
      <w:pPr>
        <w:pStyle w:val="BodyText"/>
        <w:kinsoku w:val="0"/>
        <w:overflowPunct w:val="0"/>
        <w:spacing w:before="11"/>
        <w:rPr>
          <w:sz w:val="20"/>
          <w:szCs w:val="20"/>
        </w:rPr>
      </w:pPr>
    </w:p>
    <w:p w14:paraId="7A9C853F" w14:textId="2DD3A3A0" w:rsidR="00783288" w:rsidRDefault="00E31420">
      <w:pPr>
        <w:pStyle w:val="BodyText"/>
        <w:kinsoku w:val="0"/>
        <w:overflowPunct w:val="0"/>
        <w:ind w:left="120" w:right="1035"/>
        <w:jc w:val="both"/>
        <w:rPr>
          <w:color w:val="231F20"/>
        </w:rPr>
      </w:pPr>
      <w:r>
        <w:rPr>
          <w:color w:val="231F20"/>
        </w:rPr>
        <w:t>For the purposes of this provision, the expression an “offer to the public” in relation to any offer of Ordinary Shares in any Relevant Member State means the communication in any form and by any means of sufficient information on the terms of the offer and any Shares to be offered so as to enable an Investor to decide to purchase or subscribe for the Ordinary Shares.</w:t>
      </w:r>
    </w:p>
    <w:p w14:paraId="61B0C529" w14:textId="77777777" w:rsidR="00783288" w:rsidRDefault="00783288">
      <w:pPr>
        <w:pStyle w:val="BodyText"/>
        <w:kinsoku w:val="0"/>
        <w:overflowPunct w:val="0"/>
        <w:spacing w:before="10"/>
        <w:rPr>
          <w:sz w:val="20"/>
          <w:szCs w:val="20"/>
        </w:rPr>
      </w:pPr>
    </w:p>
    <w:p w14:paraId="558898B9" w14:textId="77777777" w:rsidR="00783288" w:rsidRDefault="00E31420">
      <w:pPr>
        <w:pStyle w:val="BodyText"/>
        <w:kinsoku w:val="0"/>
        <w:overflowPunct w:val="0"/>
        <w:ind w:left="120" w:right="1038"/>
        <w:jc w:val="both"/>
        <w:rPr>
          <w:color w:val="231F20"/>
        </w:rPr>
      </w:pPr>
      <w:r>
        <w:rPr>
          <w:color w:val="231F20"/>
        </w:rPr>
        <w:t>The distribution of this Document in other jurisdictions may be restricted by law and therefore persons into whose possession this Document comes should inform themselves about and observe any such restrictions.</w:t>
      </w:r>
    </w:p>
    <w:p w14:paraId="7457E172" w14:textId="77777777" w:rsidR="00783288" w:rsidRDefault="00783288">
      <w:pPr>
        <w:pStyle w:val="BodyText"/>
        <w:kinsoku w:val="0"/>
        <w:overflowPunct w:val="0"/>
        <w:spacing w:before="4"/>
        <w:rPr>
          <w:sz w:val="20"/>
          <w:szCs w:val="20"/>
        </w:rPr>
      </w:pPr>
    </w:p>
    <w:p w14:paraId="6A70D65C" w14:textId="77777777" w:rsidR="00783288" w:rsidRDefault="00E31420">
      <w:pPr>
        <w:pStyle w:val="Heading1"/>
        <w:numPr>
          <w:ilvl w:val="0"/>
          <w:numId w:val="2"/>
        </w:numPr>
        <w:tabs>
          <w:tab w:val="left" w:pos="828"/>
        </w:tabs>
        <w:kinsoku w:val="0"/>
        <w:overflowPunct w:val="0"/>
        <w:rPr>
          <w:color w:val="231F20"/>
        </w:rPr>
      </w:pPr>
      <w:r>
        <w:rPr>
          <w:color w:val="231F20"/>
        </w:rPr>
        <w:t>For the attention of UK</w:t>
      </w:r>
      <w:r>
        <w:rPr>
          <w:color w:val="231F20"/>
          <w:spacing w:val="-2"/>
        </w:rPr>
        <w:t xml:space="preserve"> </w:t>
      </w:r>
      <w:r>
        <w:rPr>
          <w:color w:val="231F20"/>
        </w:rPr>
        <w:t>Investors</w:t>
      </w:r>
    </w:p>
    <w:p w14:paraId="05DC82AF" w14:textId="77777777" w:rsidR="00783288" w:rsidRDefault="00783288">
      <w:pPr>
        <w:pStyle w:val="BodyText"/>
        <w:kinsoku w:val="0"/>
        <w:overflowPunct w:val="0"/>
        <w:spacing w:before="5"/>
        <w:rPr>
          <w:b/>
          <w:bCs/>
          <w:sz w:val="21"/>
          <w:szCs w:val="21"/>
        </w:rPr>
      </w:pPr>
    </w:p>
    <w:p w14:paraId="778E1F54" w14:textId="42672571" w:rsidR="00783288" w:rsidRDefault="00E31420">
      <w:pPr>
        <w:pStyle w:val="BodyText"/>
        <w:kinsoku w:val="0"/>
        <w:overflowPunct w:val="0"/>
        <w:ind w:left="120" w:right="1037"/>
        <w:jc w:val="both"/>
        <w:rPr>
          <w:color w:val="231F20"/>
        </w:rPr>
      </w:pPr>
      <w:r>
        <w:rPr>
          <w:color w:val="231F20"/>
        </w:rPr>
        <w:t xml:space="preserve">This Document comprises a prospectus relating to the Company prepared in accordance with the </w:t>
      </w:r>
      <w:r w:rsidR="007F1899">
        <w:rPr>
          <w:color w:val="231F20"/>
        </w:rPr>
        <w:t xml:space="preserve">UK </w:t>
      </w:r>
      <w:r>
        <w:rPr>
          <w:color w:val="231F20"/>
        </w:rPr>
        <w:t xml:space="preserve">Prospectus Regulation and approved by the FCA under section 87A of FSMA. This Document has been filed with the FCA and made available to the public in accordance with Rule 3.2 of the </w:t>
      </w:r>
      <w:r w:rsidR="000F0D89">
        <w:rPr>
          <w:color w:val="231F20"/>
        </w:rPr>
        <w:t xml:space="preserve">UK </w:t>
      </w:r>
      <w:r>
        <w:rPr>
          <w:color w:val="231F20"/>
        </w:rPr>
        <w:t>Prospectus Regulation.</w:t>
      </w:r>
    </w:p>
    <w:p w14:paraId="2254DCB8" w14:textId="77777777" w:rsidR="00783288" w:rsidRDefault="00783288">
      <w:pPr>
        <w:pStyle w:val="BodyText"/>
        <w:kinsoku w:val="0"/>
        <w:overflowPunct w:val="0"/>
        <w:spacing w:before="8"/>
        <w:rPr>
          <w:sz w:val="20"/>
          <w:szCs w:val="20"/>
        </w:rPr>
      </w:pPr>
    </w:p>
    <w:p w14:paraId="2CA4346B" w14:textId="0A1442BC" w:rsidR="00783288" w:rsidRDefault="00E31420">
      <w:pPr>
        <w:pStyle w:val="BodyText"/>
        <w:kinsoku w:val="0"/>
        <w:overflowPunct w:val="0"/>
        <w:ind w:left="120" w:right="1035"/>
        <w:jc w:val="both"/>
        <w:rPr>
          <w:color w:val="231F20"/>
        </w:rPr>
      </w:pPr>
      <w:r>
        <w:rPr>
          <w:color w:val="231F20"/>
        </w:rPr>
        <w:t xml:space="preserve">In the United Kingdom this Document is for distribution to, and is directed only at, legal entities which are qualified investors as defined under the </w:t>
      </w:r>
      <w:r w:rsidR="007F1899">
        <w:rPr>
          <w:color w:val="231F20"/>
        </w:rPr>
        <w:t xml:space="preserve">UK </w:t>
      </w:r>
      <w:r>
        <w:rPr>
          <w:color w:val="231F20"/>
        </w:rPr>
        <w:t>Prospectus Regulation and are (</w:t>
      </w:r>
      <w:proofErr w:type="spellStart"/>
      <w:r>
        <w:rPr>
          <w:color w:val="231F20"/>
        </w:rPr>
        <w:t>i</w:t>
      </w:r>
      <w:proofErr w:type="spellEnd"/>
      <w:r>
        <w:rPr>
          <w:color w:val="231F20"/>
        </w:rPr>
        <w:t>) persons having professional experience in matters</w:t>
      </w:r>
      <w:r>
        <w:rPr>
          <w:color w:val="231F20"/>
          <w:spacing w:val="-4"/>
        </w:rPr>
        <w:t xml:space="preserve"> </w:t>
      </w:r>
      <w:r>
        <w:rPr>
          <w:color w:val="231F20"/>
        </w:rPr>
        <w:t>relating</w:t>
      </w:r>
      <w:r>
        <w:rPr>
          <w:color w:val="231F20"/>
          <w:spacing w:val="-7"/>
        </w:rPr>
        <w:t xml:space="preserve"> </w:t>
      </w:r>
      <w:r>
        <w:rPr>
          <w:color w:val="231F20"/>
        </w:rPr>
        <w:t>to</w:t>
      </w:r>
      <w:r>
        <w:rPr>
          <w:color w:val="231F20"/>
          <w:spacing w:val="-5"/>
        </w:rPr>
        <w:t xml:space="preserve"> </w:t>
      </w:r>
      <w:r>
        <w:rPr>
          <w:color w:val="231F20"/>
        </w:rPr>
        <w:t>investments</w:t>
      </w:r>
      <w:r>
        <w:rPr>
          <w:color w:val="231F20"/>
          <w:spacing w:val="-7"/>
        </w:rPr>
        <w:t xml:space="preserve"> </w:t>
      </w:r>
      <w:r>
        <w:rPr>
          <w:color w:val="231F20"/>
        </w:rPr>
        <w:t>who</w:t>
      </w:r>
      <w:r>
        <w:rPr>
          <w:color w:val="231F20"/>
          <w:spacing w:val="-5"/>
        </w:rPr>
        <w:t xml:space="preserve"> </w:t>
      </w:r>
      <w:r>
        <w:rPr>
          <w:color w:val="231F20"/>
        </w:rPr>
        <w:t>fall</w:t>
      </w:r>
      <w:r>
        <w:rPr>
          <w:color w:val="231F20"/>
          <w:spacing w:val="-4"/>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definition</w:t>
      </w:r>
      <w:r>
        <w:rPr>
          <w:color w:val="231F20"/>
          <w:spacing w:val="-6"/>
        </w:rPr>
        <w:t xml:space="preserve"> </w:t>
      </w:r>
      <w:r>
        <w:rPr>
          <w:color w:val="231F20"/>
        </w:rPr>
        <w:t>of</w:t>
      </w:r>
      <w:r>
        <w:rPr>
          <w:color w:val="231F20"/>
          <w:spacing w:val="-6"/>
        </w:rPr>
        <w:t xml:space="preserve"> </w:t>
      </w:r>
      <w:r>
        <w:rPr>
          <w:color w:val="231F20"/>
        </w:rPr>
        <w:t>investment</w:t>
      </w:r>
      <w:r>
        <w:rPr>
          <w:color w:val="231F20"/>
          <w:spacing w:val="-5"/>
        </w:rPr>
        <w:t xml:space="preserve"> </w:t>
      </w:r>
      <w:r>
        <w:rPr>
          <w:color w:val="231F20"/>
        </w:rPr>
        <w:t>professionals</w:t>
      </w:r>
      <w:r>
        <w:rPr>
          <w:color w:val="231F20"/>
          <w:spacing w:val="-4"/>
        </w:rPr>
        <w:t xml:space="preserve"> </w:t>
      </w:r>
      <w:r>
        <w:rPr>
          <w:color w:val="231F20"/>
        </w:rPr>
        <w:t>in</w:t>
      </w:r>
      <w:r>
        <w:rPr>
          <w:color w:val="231F20"/>
          <w:spacing w:val="-5"/>
        </w:rPr>
        <w:t xml:space="preserve"> </w:t>
      </w:r>
      <w:r>
        <w:rPr>
          <w:color w:val="231F20"/>
        </w:rPr>
        <w:t>Article</w:t>
      </w:r>
      <w:r>
        <w:rPr>
          <w:color w:val="231F20"/>
          <w:spacing w:val="-5"/>
        </w:rPr>
        <w:t xml:space="preserve"> </w:t>
      </w:r>
      <w:r>
        <w:rPr>
          <w:color w:val="231F20"/>
        </w:rPr>
        <w:t>19(5)</w:t>
      </w:r>
      <w:r>
        <w:rPr>
          <w:color w:val="231F20"/>
          <w:spacing w:val="-5"/>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Financial Services</w:t>
      </w:r>
      <w:r>
        <w:rPr>
          <w:color w:val="231F20"/>
          <w:spacing w:val="-7"/>
        </w:rPr>
        <w:t xml:space="preserve"> </w:t>
      </w:r>
      <w:r>
        <w:rPr>
          <w:color w:val="231F20"/>
        </w:rPr>
        <w:t>and</w:t>
      </w:r>
      <w:r>
        <w:rPr>
          <w:color w:val="231F20"/>
          <w:spacing w:val="-6"/>
        </w:rPr>
        <w:t xml:space="preserve"> </w:t>
      </w:r>
      <w:r>
        <w:rPr>
          <w:color w:val="231F20"/>
        </w:rPr>
        <w:t>Markets</w:t>
      </w:r>
      <w:r>
        <w:rPr>
          <w:color w:val="231F20"/>
          <w:spacing w:val="-6"/>
        </w:rPr>
        <w:t xml:space="preserve"> </w:t>
      </w:r>
      <w:r>
        <w:rPr>
          <w:color w:val="231F20"/>
        </w:rPr>
        <w:t>Act</w:t>
      </w:r>
      <w:r>
        <w:rPr>
          <w:color w:val="231F20"/>
          <w:spacing w:val="-6"/>
        </w:rPr>
        <w:t xml:space="preserve"> </w:t>
      </w:r>
      <w:r>
        <w:rPr>
          <w:color w:val="231F20"/>
        </w:rPr>
        <w:t>2000</w:t>
      </w:r>
      <w:r>
        <w:rPr>
          <w:color w:val="231F20"/>
          <w:spacing w:val="-7"/>
        </w:rPr>
        <w:t xml:space="preserve"> </w:t>
      </w:r>
      <w:r>
        <w:rPr>
          <w:color w:val="231F20"/>
        </w:rPr>
        <w:t>(Financial</w:t>
      </w:r>
      <w:r>
        <w:rPr>
          <w:color w:val="231F20"/>
          <w:spacing w:val="-6"/>
        </w:rPr>
        <w:t xml:space="preserve"> </w:t>
      </w:r>
      <w:r>
        <w:rPr>
          <w:color w:val="231F20"/>
        </w:rPr>
        <w:t>Promotion)</w:t>
      </w:r>
      <w:r>
        <w:rPr>
          <w:color w:val="231F20"/>
          <w:spacing w:val="-7"/>
        </w:rPr>
        <w:t xml:space="preserve"> </w:t>
      </w:r>
      <w:r>
        <w:rPr>
          <w:color w:val="231F20"/>
        </w:rPr>
        <w:t>Order</w:t>
      </w:r>
      <w:r>
        <w:rPr>
          <w:color w:val="231F20"/>
          <w:spacing w:val="-7"/>
        </w:rPr>
        <w:t xml:space="preserve"> </w:t>
      </w:r>
      <w:r>
        <w:rPr>
          <w:color w:val="231F20"/>
        </w:rPr>
        <w:t>2005</w:t>
      </w:r>
      <w:r>
        <w:rPr>
          <w:color w:val="231F20"/>
          <w:spacing w:val="-5"/>
        </w:rPr>
        <w:t xml:space="preserve"> </w:t>
      </w:r>
      <w:r>
        <w:rPr>
          <w:color w:val="231F20"/>
        </w:rPr>
        <w:t>(the</w:t>
      </w:r>
      <w:r>
        <w:rPr>
          <w:color w:val="231F20"/>
          <w:spacing w:val="-7"/>
        </w:rPr>
        <w:t xml:space="preserve"> </w:t>
      </w:r>
      <w:r>
        <w:rPr>
          <w:color w:val="231F20"/>
        </w:rPr>
        <w:t>“</w:t>
      </w:r>
      <w:r>
        <w:rPr>
          <w:b/>
          <w:bCs/>
          <w:color w:val="231F20"/>
        </w:rPr>
        <w:t>Order</w:t>
      </w:r>
      <w:r>
        <w:rPr>
          <w:color w:val="231F20"/>
        </w:rPr>
        <w:t>”);</w:t>
      </w:r>
      <w:r>
        <w:rPr>
          <w:color w:val="231F20"/>
          <w:spacing w:val="-6"/>
        </w:rPr>
        <w:t xml:space="preserve"> </w:t>
      </w:r>
      <w:r>
        <w:rPr>
          <w:color w:val="231F20"/>
        </w:rPr>
        <w:t>or</w:t>
      </w:r>
      <w:r>
        <w:rPr>
          <w:color w:val="231F20"/>
          <w:spacing w:val="-7"/>
        </w:rPr>
        <w:t xml:space="preserve"> </w:t>
      </w:r>
      <w:r>
        <w:rPr>
          <w:color w:val="231F20"/>
        </w:rPr>
        <w:t>(ii)</w:t>
      </w:r>
      <w:r>
        <w:rPr>
          <w:color w:val="231F20"/>
          <w:spacing w:val="-7"/>
        </w:rPr>
        <w:t xml:space="preserve"> </w:t>
      </w:r>
      <w:r>
        <w:rPr>
          <w:color w:val="231F20"/>
        </w:rPr>
        <w:t>high</w:t>
      </w:r>
      <w:r>
        <w:rPr>
          <w:color w:val="231F20"/>
          <w:spacing w:val="-6"/>
        </w:rPr>
        <w:t xml:space="preserve"> </w:t>
      </w:r>
      <w:r>
        <w:rPr>
          <w:color w:val="231F20"/>
        </w:rPr>
        <w:t>net</w:t>
      </w:r>
      <w:r>
        <w:rPr>
          <w:color w:val="231F20"/>
          <w:spacing w:val="-7"/>
        </w:rPr>
        <w:t xml:space="preserve"> </w:t>
      </w:r>
      <w:r>
        <w:rPr>
          <w:color w:val="231F20"/>
        </w:rPr>
        <w:t>worth</w:t>
      </w:r>
      <w:r>
        <w:rPr>
          <w:color w:val="231F20"/>
          <w:spacing w:val="-6"/>
        </w:rPr>
        <w:t xml:space="preserve"> </w:t>
      </w:r>
      <w:r>
        <w:rPr>
          <w:color w:val="231F20"/>
        </w:rPr>
        <w:t>bodies</w:t>
      </w:r>
      <w:r>
        <w:rPr>
          <w:color w:val="231F20"/>
          <w:spacing w:val="-6"/>
        </w:rPr>
        <w:t xml:space="preserve"> </w:t>
      </w:r>
      <w:r>
        <w:rPr>
          <w:color w:val="231F20"/>
        </w:rPr>
        <w:t xml:space="preserve">corporate, unincorporated associations and partnerships and trustees of high value trusts as described in Article 49(2) of </w:t>
      </w:r>
      <w:r>
        <w:rPr>
          <w:color w:val="231F20"/>
          <w:spacing w:val="-3"/>
        </w:rPr>
        <w:t xml:space="preserve">the  </w:t>
      </w:r>
      <w:r>
        <w:rPr>
          <w:color w:val="231F20"/>
        </w:rPr>
        <w:t>Order; or (iii) persons to whom it may otherwise be lawfully distributed under the Order, (all such persons together being “</w:t>
      </w:r>
      <w:r>
        <w:rPr>
          <w:b/>
          <w:bCs/>
          <w:color w:val="231F20"/>
        </w:rPr>
        <w:t>Relevant Persons</w:t>
      </w:r>
      <w:r>
        <w:rPr>
          <w:color w:val="231F20"/>
        </w:rPr>
        <w:t xml:space="preserve">”). In the United Kingdom, any investment or investment activity to which this Document relates is </w:t>
      </w:r>
      <w:r>
        <w:rPr>
          <w:color w:val="231F20"/>
        </w:rPr>
        <w:lastRenderedPageBreak/>
        <w:t>only available to and will only be engaged in with Relevant Persons. Persons who are not Relevant Persons should not act or rely on this Document or any of its</w:t>
      </w:r>
      <w:r>
        <w:rPr>
          <w:color w:val="231F20"/>
          <w:spacing w:val="-8"/>
        </w:rPr>
        <w:t xml:space="preserve"> </w:t>
      </w:r>
      <w:r>
        <w:rPr>
          <w:color w:val="231F20"/>
        </w:rPr>
        <w:t>contents.</w:t>
      </w:r>
    </w:p>
    <w:p w14:paraId="55F51E1B" w14:textId="77777777" w:rsidR="00783288" w:rsidRDefault="00783288">
      <w:pPr>
        <w:pStyle w:val="BodyText"/>
        <w:kinsoku w:val="0"/>
        <w:overflowPunct w:val="0"/>
        <w:ind w:left="120" w:right="1035"/>
        <w:jc w:val="both"/>
        <w:rPr>
          <w:color w:val="231F20"/>
        </w:rPr>
      </w:pPr>
    </w:p>
    <w:p w14:paraId="4A4819C0" w14:textId="77777777" w:rsidR="00F027B6" w:rsidRDefault="00F027B6">
      <w:pPr>
        <w:pStyle w:val="BodyText"/>
        <w:kinsoku w:val="0"/>
        <w:overflowPunct w:val="0"/>
        <w:ind w:left="120" w:right="1035"/>
        <w:jc w:val="both"/>
        <w:rPr>
          <w:color w:val="231F20"/>
        </w:rPr>
      </w:pPr>
    </w:p>
    <w:p w14:paraId="327BC1D7" w14:textId="4B47689A" w:rsidR="00F027B6" w:rsidRPr="00BE2D90" w:rsidRDefault="00F027B6">
      <w:pPr>
        <w:pStyle w:val="BodyText"/>
        <w:kinsoku w:val="0"/>
        <w:overflowPunct w:val="0"/>
        <w:ind w:left="120" w:right="1035"/>
        <w:jc w:val="both"/>
        <w:rPr>
          <w:b/>
          <w:i/>
          <w:color w:val="231F20"/>
        </w:rPr>
        <w:sectPr w:rsidR="00F027B6" w:rsidRPr="00BE2D90">
          <w:pgSz w:w="11900" w:h="16840"/>
          <w:pgMar w:top="1380" w:right="240" w:bottom="1140" w:left="1140" w:header="0" w:footer="891" w:gutter="0"/>
          <w:cols w:space="720"/>
          <w:noEndnote/>
        </w:sectPr>
      </w:pPr>
    </w:p>
    <w:p w14:paraId="622A9FB7" w14:textId="77777777" w:rsidR="00240151" w:rsidRDefault="00240151" w:rsidP="00240151">
      <w:pPr>
        <w:pStyle w:val="Heading1"/>
        <w:kinsoku w:val="0"/>
        <w:overflowPunct w:val="0"/>
        <w:spacing w:before="73"/>
        <w:ind w:left="352" w:right="1273"/>
        <w:jc w:val="center"/>
      </w:pPr>
      <w:r>
        <w:rPr>
          <w:color w:val="231F20"/>
        </w:rPr>
        <w:lastRenderedPageBreak/>
        <w:t>PART VIII</w:t>
      </w:r>
    </w:p>
    <w:p w14:paraId="183E2293" w14:textId="77777777" w:rsidR="00240151" w:rsidRDefault="00240151" w:rsidP="00240151">
      <w:pPr>
        <w:pStyle w:val="BodyText"/>
        <w:kinsoku w:val="0"/>
        <w:overflowPunct w:val="0"/>
        <w:spacing w:before="153"/>
        <w:ind w:left="352" w:right="1273"/>
        <w:jc w:val="center"/>
        <w:rPr>
          <w:b/>
          <w:bCs/>
          <w:color w:val="231F20"/>
        </w:rPr>
      </w:pPr>
      <w:r>
        <w:rPr>
          <w:b/>
          <w:bCs/>
          <w:color w:val="231F20"/>
        </w:rPr>
        <w:t>DEFINITIONS</w:t>
      </w:r>
    </w:p>
    <w:p w14:paraId="22C114E1" w14:textId="77777777" w:rsidR="00240151" w:rsidRPr="00BD6295" w:rsidRDefault="00240151" w:rsidP="00240151">
      <w:pPr>
        <w:pStyle w:val="BodyText"/>
        <w:kinsoku w:val="0"/>
        <w:overflowPunct w:val="0"/>
        <w:spacing w:before="153"/>
        <w:ind w:left="352" w:right="1273"/>
        <w:jc w:val="center"/>
        <w:rPr>
          <w:b/>
          <w:bCs/>
          <w:i/>
          <w:color w:val="231F20"/>
        </w:rPr>
      </w:pPr>
    </w:p>
    <w:p w14:paraId="24B70E89" w14:textId="2E615B78" w:rsidR="00240151" w:rsidRDefault="00240151" w:rsidP="00240151">
      <w:pPr>
        <w:pStyle w:val="BodyText"/>
        <w:kinsoku w:val="0"/>
        <w:overflowPunct w:val="0"/>
        <w:ind w:left="120"/>
        <w:rPr>
          <w:color w:val="231F20"/>
        </w:rPr>
      </w:pPr>
      <w:r>
        <w:rPr>
          <w:color w:val="231F20"/>
        </w:rPr>
        <w:t>The following definitions apply throughout this Document, unless the context requires otherwise:</w:t>
      </w:r>
    </w:p>
    <w:p w14:paraId="67FEC94E" w14:textId="347DB6D0" w:rsidR="001A7287" w:rsidRDefault="001A7287" w:rsidP="00240151">
      <w:pPr>
        <w:pStyle w:val="BodyText"/>
        <w:kinsoku w:val="0"/>
        <w:overflowPunct w:val="0"/>
        <w:ind w:left="120"/>
        <w:rPr>
          <w:color w:val="231F20"/>
        </w:r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025"/>
      </w:tblGrid>
      <w:tr w:rsidR="00526CEF" w14:paraId="1FB44482" w14:textId="77777777" w:rsidTr="00526CEF">
        <w:tc>
          <w:tcPr>
            <w:tcW w:w="4206" w:type="dxa"/>
          </w:tcPr>
          <w:p w14:paraId="090A5D77" w14:textId="09008160" w:rsidR="001A7287" w:rsidRDefault="001A7287" w:rsidP="00526CEF">
            <w:pPr>
              <w:pStyle w:val="BodyText"/>
              <w:kinsoku w:val="0"/>
              <w:overflowPunct w:val="0"/>
              <w:spacing w:after="240"/>
              <w:rPr>
                <w:color w:val="231F20"/>
              </w:rPr>
            </w:pPr>
            <w:r>
              <w:rPr>
                <w:color w:val="231F20"/>
              </w:rPr>
              <w:t>“Acquisition”</w:t>
            </w:r>
          </w:p>
        </w:tc>
        <w:tc>
          <w:tcPr>
            <w:tcW w:w="5025" w:type="dxa"/>
          </w:tcPr>
          <w:p w14:paraId="6DB04E2F" w14:textId="00EC4820" w:rsidR="001A7287" w:rsidRDefault="001A7287" w:rsidP="00051CFB">
            <w:pPr>
              <w:pStyle w:val="BodyText"/>
              <w:kinsoku w:val="0"/>
              <w:overflowPunct w:val="0"/>
              <w:spacing w:after="240"/>
              <w:jc w:val="both"/>
              <w:rPr>
                <w:color w:val="231F20"/>
              </w:rPr>
            </w:pPr>
            <w:r>
              <w:rPr>
                <w:color w:val="231F20"/>
              </w:rPr>
              <w:t>the acquisition by the Company of the entire issued share capital of CRCL (formerly HKP) pursuant to the Acquisition</w:t>
            </w:r>
            <w:r>
              <w:rPr>
                <w:color w:val="231F20"/>
                <w:spacing w:val="-8"/>
              </w:rPr>
              <w:t xml:space="preserve"> </w:t>
            </w:r>
            <w:r>
              <w:rPr>
                <w:color w:val="231F20"/>
              </w:rPr>
              <w:t>Agreement;</w:t>
            </w:r>
          </w:p>
        </w:tc>
      </w:tr>
      <w:tr w:rsidR="00526CEF" w14:paraId="5E05B604" w14:textId="77777777" w:rsidTr="00526CEF">
        <w:tc>
          <w:tcPr>
            <w:tcW w:w="4206" w:type="dxa"/>
          </w:tcPr>
          <w:p w14:paraId="61B4E433" w14:textId="3721D5CE" w:rsidR="001A7287" w:rsidRDefault="001A7287" w:rsidP="00526CEF">
            <w:pPr>
              <w:pStyle w:val="BodyText"/>
              <w:kinsoku w:val="0"/>
              <w:overflowPunct w:val="0"/>
              <w:spacing w:after="240"/>
              <w:rPr>
                <w:color w:val="231F20"/>
              </w:rPr>
            </w:pPr>
            <w:r>
              <w:rPr>
                <w:color w:val="231F20"/>
              </w:rPr>
              <w:t>“Acquisition Agreement”</w:t>
            </w:r>
          </w:p>
        </w:tc>
        <w:tc>
          <w:tcPr>
            <w:tcW w:w="5025" w:type="dxa"/>
          </w:tcPr>
          <w:p w14:paraId="73A36279" w14:textId="345C0A0D" w:rsidR="001A7287" w:rsidRDefault="001A7287" w:rsidP="00051CFB">
            <w:pPr>
              <w:pStyle w:val="BodyText"/>
              <w:kinsoku w:val="0"/>
              <w:overflowPunct w:val="0"/>
              <w:spacing w:after="240"/>
              <w:jc w:val="both"/>
              <w:rPr>
                <w:color w:val="231F20"/>
              </w:rPr>
            </w:pPr>
            <w:r>
              <w:rPr>
                <w:color w:val="231F20"/>
              </w:rPr>
              <w:t>the acquisition agreement dated 28 June 2018 between the Company and the Principal HKP Sellers relating to the Acquisition;</w:t>
            </w:r>
          </w:p>
        </w:tc>
      </w:tr>
      <w:tr w:rsidR="00526CEF" w14:paraId="08E9A9AB" w14:textId="77777777" w:rsidTr="00526CEF">
        <w:tc>
          <w:tcPr>
            <w:tcW w:w="4206" w:type="dxa"/>
          </w:tcPr>
          <w:p w14:paraId="1C248D40" w14:textId="010811C7" w:rsidR="001A7287" w:rsidRDefault="001A7287" w:rsidP="00526CEF">
            <w:pPr>
              <w:pStyle w:val="BodyText"/>
              <w:kinsoku w:val="0"/>
              <w:overflowPunct w:val="0"/>
              <w:spacing w:after="240"/>
              <w:rPr>
                <w:color w:val="231F20"/>
              </w:rPr>
            </w:pPr>
            <w:r>
              <w:rPr>
                <w:color w:val="231F20"/>
              </w:rPr>
              <w:t>“Adeline Copper Project”</w:t>
            </w:r>
          </w:p>
        </w:tc>
        <w:tc>
          <w:tcPr>
            <w:tcW w:w="5025" w:type="dxa"/>
          </w:tcPr>
          <w:p w14:paraId="414B82E7" w14:textId="64B0AC48" w:rsidR="001A7287" w:rsidRDefault="001A7287" w:rsidP="00051CFB">
            <w:pPr>
              <w:pStyle w:val="BodyText"/>
              <w:kinsoku w:val="0"/>
              <w:overflowPunct w:val="0"/>
              <w:spacing w:after="240"/>
              <w:jc w:val="both"/>
              <w:rPr>
                <w:color w:val="231F20"/>
              </w:rPr>
            </w:pPr>
            <w:r>
              <w:rPr>
                <w:color w:val="231F20"/>
              </w:rPr>
              <w:t>the project area covered by certain of the Granted Prospecting Permits (namely 031789M, 031790M, 031791M, 031792M and 031793M) in central Labrador, within the Province of Newfoundland Labrador, Canada;</w:t>
            </w:r>
          </w:p>
        </w:tc>
      </w:tr>
      <w:tr w:rsidR="00526CEF" w14:paraId="4C516E7D" w14:textId="77777777" w:rsidTr="00526CEF">
        <w:tc>
          <w:tcPr>
            <w:tcW w:w="4206" w:type="dxa"/>
          </w:tcPr>
          <w:p w14:paraId="071EBF1F" w14:textId="38B67783" w:rsidR="001A7287" w:rsidRDefault="001A7287" w:rsidP="00526CEF">
            <w:pPr>
              <w:pStyle w:val="BodyText"/>
              <w:kinsoku w:val="0"/>
              <w:overflowPunct w:val="0"/>
              <w:spacing w:after="240"/>
              <w:rPr>
                <w:color w:val="231F20"/>
              </w:rPr>
            </w:pPr>
            <w:r>
              <w:rPr>
                <w:color w:val="231F20"/>
              </w:rPr>
              <w:t>“Admission”</w:t>
            </w:r>
          </w:p>
        </w:tc>
        <w:tc>
          <w:tcPr>
            <w:tcW w:w="5025" w:type="dxa"/>
          </w:tcPr>
          <w:p w14:paraId="4196AC01" w14:textId="5EC04FB8" w:rsidR="001A7287" w:rsidRDefault="001A7287" w:rsidP="00051CFB">
            <w:pPr>
              <w:pStyle w:val="BodyText"/>
              <w:kinsoku w:val="0"/>
              <w:overflowPunct w:val="0"/>
              <w:spacing w:after="240"/>
              <w:jc w:val="both"/>
              <w:rPr>
                <w:color w:val="231F20"/>
              </w:rPr>
            </w:pPr>
            <w:r>
              <w:rPr>
                <w:color w:val="231F20"/>
              </w:rPr>
              <w:t>admission</w:t>
            </w:r>
            <w:r>
              <w:rPr>
                <w:color w:val="231F20"/>
                <w:spacing w:val="-14"/>
              </w:rPr>
              <w:t xml:space="preserve"> </w:t>
            </w:r>
            <w:r>
              <w:rPr>
                <w:color w:val="231F20"/>
              </w:rPr>
              <w:t>of</w:t>
            </w:r>
            <w:r>
              <w:rPr>
                <w:color w:val="231F20"/>
                <w:spacing w:val="-14"/>
              </w:rPr>
              <w:t xml:space="preserve"> </w:t>
            </w:r>
            <w:r>
              <w:rPr>
                <w:color w:val="231F20"/>
              </w:rPr>
              <w:t>the</w:t>
            </w:r>
            <w:r>
              <w:rPr>
                <w:color w:val="231F20"/>
                <w:spacing w:val="-12"/>
              </w:rPr>
              <w:t xml:space="preserve"> </w:t>
            </w:r>
            <w:r w:rsidR="00CE7F94">
              <w:rPr>
                <w:color w:val="231F20"/>
                <w:spacing w:val="-12"/>
              </w:rPr>
              <w:t>Placing Shares and the Labrador Consideration Shares</w:t>
            </w:r>
            <w:r>
              <w:rPr>
                <w:color w:val="231F20"/>
                <w:spacing w:val="-13"/>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Standard</w:t>
            </w:r>
            <w:r>
              <w:rPr>
                <w:color w:val="231F20"/>
                <w:spacing w:val="-14"/>
              </w:rPr>
              <w:t xml:space="preserve"> </w:t>
            </w:r>
            <w:r>
              <w:rPr>
                <w:color w:val="231F20"/>
              </w:rPr>
              <w:t>Listed</w:t>
            </w:r>
            <w:r>
              <w:rPr>
                <w:color w:val="231F20"/>
                <w:spacing w:val="-16"/>
              </w:rPr>
              <w:t xml:space="preserve"> </w:t>
            </w:r>
            <w:r>
              <w:rPr>
                <w:color w:val="231F20"/>
              </w:rPr>
              <w:t>segment of the Official List and to trading on the London Stock Exchange’s Main Market for listed securities;</w:t>
            </w:r>
          </w:p>
        </w:tc>
      </w:tr>
      <w:tr w:rsidR="001A7287" w14:paraId="1A24E03A" w14:textId="77777777" w:rsidTr="00526CEF">
        <w:tc>
          <w:tcPr>
            <w:tcW w:w="4206" w:type="dxa"/>
          </w:tcPr>
          <w:p w14:paraId="3072D1E0" w14:textId="5EA8DAC1" w:rsidR="001A7287" w:rsidRDefault="001A7287" w:rsidP="00526CEF">
            <w:pPr>
              <w:pStyle w:val="BodyText"/>
              <w:kinsoku w:val="0"/>
              <w:overflowPunct w:val="0"/>
              <w:spacing w:after="240"/>
              <w:rPr>
                <w:color w:val="231F20"/>
              </w:rPr>
            </w:pPr>
            <w:r>
              <w:rPr>
                <w:color w:val="231F20"/>
              </w:rPr>
              <w:t>“Altius”</w:t>
            </w:r>
          </w:p>
        </w:tc>
        <w:tc>
          <w:tcPr>
            <w:tcW w:w="5025" w:type="dxa"/>
          </w:tcPr>
          <w:p w14:paraId="3FEA49FA" w14:textId="365D556D" w:rsidR="001A7287" w:rsidRDefault="001A7287" w:rsidP="00051CFB">
            <w:pPr>
              <w:pStyle w:val="BodyText"/>
              <w:kinsoku w:val="0"/>
              <w:overflowPunct w:val="0"/>
              <w:spacing w:after="240"/>
              <w:jc w:val="both"/>
              <w:rPr>
                <w:color w:val="231F20"/>
              </w:rPr>
            </w:pPr>
            <w:r>
              <w:rPr>
                <w:color w:val="231F20"/>
              </w:rPr>
              <w:t xml:space="preserve">Altius Minerals Corporation, incorporated and registered in the Province of Alberta, Canada whose registered office is at </w:t>
            </w:r>
            <w:r>
              <w:t>2</w:t>
            </w:r>
            <w:r w:rsidRPr="000909C5">
              <w:rPr>
                <w:vertAlign w:val="superscript"/>
              </w:rPr>
              <w:t>nd</w:t>
            </w:r>
            <w:r>
              <w:t xml:space="preserve"> Floor, 38 Duffy Place, St John’s, NL, A1B 4M5, Canada, including, where relevant, its affiliates Altius Resources Inc. and Altius Royalty Corporation</w:t>
            </w:r>
            <w:r>
              <w:rPr>
                <w:color w:val="231F20"/>
              </w:rPr>
              <w:t>;</w:t>
            </w:r>
          </w:p>
        </w:tc>
      </w:tr>
      <w:tr w:rsidR="001A7287" w14:paraId="208EC3D0" w14:textId="77777777" w:rsidTr="00526CEF">
        <w:tc>
          <w:tcPr>
            <w:tcW w:w="4206" w:type="dxa"/>
          </w:tcPr>
          <w:p w14:paraId="77249C7D" w14:textId="1FAB3750" w:rsidR="001A7287" w:rsidRDefault="001A7287" w:rsidP="00526CEF">
            <w:pPr>
              <w:pStyle w:val="BodyText"/>
              <w:kinsoku w:val="0"/>
              <w:overflowPunct w:val="0"/>
              <w:spacing w:after="240"/>
              <w:jc w:val="both"/>
              <w:rPr>
                <w:color w:val="231F20"/>
              </w:rPr>
            </w:pPr>
            <w:r>
              <w:rPr>
                <w:color w:val="231F20"/>
              </w:rPr>
              <w:t>“Altius Warrant Instrument”</w:t>
            </w:r>
          </w:p>
        </w:tc>
        <w:tc>
          <w:tcPr>
            <w:tcW w:w="5025" w:type="dxa"/>
          </w:tcPr>
          <w:p w14:paraId="52945BB3" w14:textId="762BA520" w:rsidR="001A7287" w:rsidRDefault="001A7287" w:rsidP="00051CFB">
            <w:pPr>
              <w:pStyle w:val="BodyText"/>
              <w:kinsoku w:val="0"/>
              <w:overflowPunct w:val="0"/>
              <w:spacing w:after="240"/>
              <w:jc w:val="both"/>
              <w:rPr>
                <w:color w:val="231F20"/>
              </w:rPr>
            </w:pPr>
            <w:r>
              <w:rPr>
                <w:color w:val="231F20"/>
              </w:rPr>
              <w:t>the warrant instrument to be entered into by the Company in favour of Altius relating to the Labrador Acquisition, details of which are set out in paragraph 14.1 of Part VII of this Document;</w:t>
            </w:r>
          </w:p>
        </w:tc>
      </w:tr>
      <w:tr w:rsidR="001A7287" w14:paraId="026675B2" w14:textId="77777777" w:rsidTr="00526CEF">
        <w:tc>
          <w:tcPr>
            <w:tcW w:w="4206" w:type="dxa"/>
          </w:tcPr>
          <w:p w14:paraId="056E0DF4" w14:textId="12B32246" w:rsidR="001A7287" w:rsidRDefault="001A7287" w:rsidP="00526CEF">
            <w:pPr>
              <w:pStyle w:val="BodyText"/>
              <w:kinsoku w:val="0"/>
              <w:overflowPunct w:val="0"/>
              <w:spacing w:after="240"/>
              <w:jc w:val="both"/>
              <w:rPr>
                <w:color w:val="231F20"/>
              </w:rPr>
            </w:pPr>
            <w:r>
              <w:rPr>
                <w:color w:val="231F20"/>
              </w:rPr>
              <w:t>“AMT” or “Audio-</w:t>
            </w:r>
            <w:proofErr w:type="spellStart"/>
            <w:r>
              <w:rPr>
                <w:color w:val="231F20"/>
              </w:rPr>
              <w:t>Magnetotellurics</w:t>
            </w:r>
            <w:proofErr w:type="spellEnd"/>
            <w:r>
              <w:rPr>
                <w:color w:val="231F20"/>
              </w:rPr>
              <w:t>”</w:t>
            </w:r>
          </w:p>
        </w:tc>
        <w:tc>
          <w:tcPr>
            <w:tcW w:w="5025" w:type="dxa"/>
          </w:tcPr>
          <w:p w14:paraId="6A19FF5D" w14:textId="64DF9E92" w:rsidR="001A7287" w:rsidRDefault="001A7287" w:rsidP="00051CFB">
            <w:pPr>
              <w:pStyle w:val="BodyText"/>
              <w:kinsoku w:val="0"/>
              <w:overflowPunct w:val="0"/>
              <w:spacing w:after="240"/>
              <w:jc w:val="both"/>
              <w:rPr>
                <w:color w:val="231F20"/>
              </w:rPr>
            </w:pPr>
            <w:r>
              <w:rPr>
                <w:color w:val="231F20"/>
              </w:rPr>
              <w:t>an</w:t>
            </w:r>
            <w:r>
              <w:rPr>
                <w:color w:val="231F20"/>
                <w:spacing w:val="-10"/>
              </w:rPr>
              <w:t xml:space="preserve"> </w:t>
            </w:r>
            <w:r>
              <w:rPr>
                <w:color w:val="231F20"/>
              </w:rPr>
              <w:t>advanced</w:t>
            </w:r>
            <w:r>
              <w:rPr>
                <w:color w:val="231F20"/>
                <w:spacing w:val="-11"/>
              </w:rPr>
              <w:t xml:space="preserve"> </w:t>
            </w:r>
            <w:r>
              <w:rPr>
                <w:color w:val="231F20"/>
              </w:rPr>
              <w:t>technology</w:t>
            </w:r>
            <w:r>
              <w:rPr>
                <w:color w:val="231F20"/>
                <w:spacing w:val="-10"/>
              </w:rPr>
              <w:t xml:space="preserve"> </w:t>
            </w:r>
            <w:r>
              <w:rPr>
                <w:color w:val="231F20"/>
              </w:rPr>
              <w:t>that</w:t>
            </w:r>
            <w:r>
              <w:rPr>
                <w:color w:val="231F20"/>
                <w:spacing w:val="-14"/>
              </w:rPr>
              <w:t xml:space="preserve"> </w:t>
            </w:r>
            <w:r>
              <w:rPr>
                <w:color w:val="231F20"/>
              </w:rPr>
              <w:t>measures</w:t>
            </w:r>
            <w:r>
              <w:rPr>
                <w:color w:val="231F20"/>
                <w:spacing w:val="-9"/>
              </w:rPr>
              <w:t xml:space="preserve"> </w:t>
            </w:r>
            <w:r>
              <w:rPr>
                <w:color w:val="231F20"/>
              </w:rPr>
              <w:t>the</w:t>
            </w:r>
            <w:r>
              <w:rPr>
                <w:color w:val="231F20"/>
                <w:spacing w:val="-11"/>
              </w:rPr>
              <w:t xml:space="preserve"> </w:t>
            </w:r>
            <w:r>
              <w:rPr>
                <w:color w:val="231F20"/>
              </w:rPr>
              <w:t>natural</w:t>
            </w:r>
            <w:r>
              <w:rPr>
                <w:color w:val="231F20"/>
                <w:spacing w:val="-9"/>
              </w:rPr>
              <w:t xml:space="preserve"> </w:t>
            </w:r>
            <w:r>
              <w:rPr>
                <w:color w:val="231F20"/>
              </w:rPr>
              <w:t>electromagnetic</w:t>
            </w:r>
            <w:r>
              <w:rPr>
                <w:color w:val="231F20"/>
                <w:spacing w:val="-10"/>
              </w:rPr>
              <w:t xml:space="preserve"> </w:t>
            </w:r>
            <w:r>
              <w:rPr>
                <w:color w:val="231F20"/>
              </w:rPr>
              <w:t>signals</w:t>
            </w:r>
            <w:r>
              <w:rPr>
                <w:color w:val="231F20"/>
                <w:spacing w:val="-9"/>
              </w:rPr>
              <w:t xml:space="preserve"> </w:t>
            </w:r>
            <w:r>
              <w:rPr>
                <w:color w:val="231F20"/>
              </w:rPr>
              <w:t>in</w:t>
            </w:r>
            <w:r>
              <w:rPr>
                <w:color w:val="231F20"/>
                <w:spacing w:val="-11"/>
              </w:rPr>
              <w:t xml:space="preserve"> </w:t>
            </w:r>
            <w:r>
              <w:rPr>
                <w:color w:val="231F20"/>
              </w:rPr>
              <w:t xml:space="preserve">the earth’s crust, which is generated by lightning strikes, to create a </w:t>
            </w:r>
            <w:proofErr w:type="gramStart"/>
            <w:r>
              <w:rPr>
                <w:color w:val="231F20"/>
              </w:rPr>
              <w:t>high resolution</w:t>
            </w:r>
            <w:proofErr w:type="gramEnd"/>
            <w:r>
              <w:rPr>
                <w:color w:val="231F20"/>
              </w:rPr>
              <w:t xml:space="preserve"> image of geological features underground;</w:t>
            </w:r>
          </w:p>
        </w:tc>
      </w:tr>
      <w:tr w:rsidR="001A7287" w14:paraId="69DF9DE1" w14:textId="77777777" w:rsidTr="00526CEF">
        <w:tc>
          <w:tcPr>
            <w:tcW w:w="4206" w:type="dxa"/>
          </w:tcPr>
          <w:p w14:paraId="1239D682" w14:textId="280E975C" w:rsidR="001A7287" w:rsidRDefault="001A7287" w:rsidP="00526CEF">
            <w:pPr>
              <w:pStyle w:val="BodyText"/>
              <w:kinsoku w:val="0"/>
              <w:overflowPunct w:val="0"/>
              <w:spacing w:after="240"/>
              <w:jc w:val="both"/>
              <w:rPr>
                <w:color w:val="231F20"/>
              </w:rPr>
            </w:pPr>
            <w:r>
              <w:rPr>
                <w:color w:val="231F20"/>
              </w:rPr>
              <w:t>“Articles”</w:t>
            </w:r>
          </w:p>
        </w:tc>
        <w:tc>
          <w:tcPr>
            <w:tcW w:w="5025" w:type="dxa"/>
          </w:tcPr>
          <w:p w14:paraId="4FE6F206" w14:textId="42985E8E" w:rsidR="001A7287" w:rsidRDefault="001A7287" w:rsidP="00051CFB">
            <w:pPr>
              <w:pStyle w:val="BodyText"/>
              <w:kinsoku w:val="0"/>
              <w:overflowPunct w:val="0"/>
              <w:spacing w:after="240"/>
              <w:jc w:val="both"/>
              <w:rPr>
                <w:color w:val="231F20"/>
              </w:rPr>
            </w:pPr>
            <w:r>
              <w:rPr>
                <w:color w:val="231F20"/>
              </w:rPr>
              <w:t>the articles of association of the</w:t>
            </w:r>
            <w:r>
              <w:rPr>
                <w:color w:val="231F20"/>
                <w:spacing w:val="-2"/>
              </w:rPr>
              <w:t xml:space="preserve"> </w:t>
            </w:r>
            <w:r>
              <w:rPr>
                <w:color w:val="231F20"/>
              </w:rPr>
              <w:t>Company;</w:t>
            </w:r>
          </w:p>
        </w:tc>
      </w:tr>
      <w:tr w:rsidR="001A7287" w14:paraId="51978EA6" w14:textId="77777777" w:rsidTr="00526CEF">
        <w:tc>
          <w:tcPr>
            <w:tcW w:w="4206" w:type="dxa"/>
          </w:tcPr>
          <w:p w14:paraId="02BF3B06" w14:textId="132A782B" w:rsidR="001A7287" w:rsidRDefault="001A7287" w:rsidP="00526CEF">
            <w:pPr>
              <w:pStyle w:val="BodyText"/>
              <w:kinsoku w:val="0"/>
              <w:overflowPunct w:val="0"/>
              <w:spacing w:after="240"/>
              <w:jc w:val="both"/>
              <w:rPr>
                <w:color w:val="231F20"/>
              </w:rPr>
            </w:pPr>
            <w:r>
              <w:rPr>
                <w:color w:val="231F20"/>
              </w:rPr>
              <w:t>“Board”</w:t>
            </w:r>
          </w:p>
        </w:tc>
        <w:tc>
          <w:tcPr>
            <w:tcW w:w="5025" w:type="dxa"/>
          </w:tcPr>
          <w:p w14:paraId="7D481697" w14:textId="7EC3C614" w:rsidR="001A7287" w:rsidRDefault="001A7287" w:rsidP="00051CFB">
            <w:pPr>
              <w:pStyle w:val="BodyText"/>
              <w:kinsoku w:val="0"/>
              <w:overflowPunct w:val="0"/>
              <w:spacing w:after="240"/>
              <w:jc w:val="both"/>
              <w:rPr>
                <w:color w:val="231F20"/>
              </w:rPr>
            </w:pPr>
            <w:r>
              <w:rPr>
                <w:color w:val="231F20"/>
              </w:rPr>
              <w:t>the board of directors of the Company from time to</w:t>
            </w:r>
            <w:r>
              <w:rPr>
                <w:color w:val="231F20"/>
                <w:spacing w:val="-7"/>
              </w:rPr>
              <w:t xml:space="preserve"> </w:t>
            </w:r>
            <w:r>
              <w:rPr>
                <w:color w:val="231F20"/>
              </w:rPr>
              <w:t>time;</w:t>
            </w:r>
          </w:p>
        </w:tc>
      </w:tr>
      <w:tr w:rsidR="001A7287" w14:paraId="34C5FAE7" w14:textId="77777777" w:rsidTr="00526CEF">
        <w:tc>
          <w:tcPr>
            <w:tcW w:w="4206" w:type="dxa"/>
          </w:tcPr>
          <w:p w14:paraId="0A32D8D1" w14:textId="7FDB9EFD" w:rsidR="001A7287" w:rsidRDefault="001A7287" w:rsidP="00526CEF">
            <w:pPr>
              <w:pStyle w:val="BodyText"/>
              <w:kinsoku w:val="0"/>
              <w:overflowPunct w:val="0"/>
              <w:spacing w:after="240"/>
              <w:jc w:val="both"/>
              <w:rPr>
                <w:color w:val="231F20"/>
              </w:rPr>
            </w:pPr>
            <w:r>
              <w:rPr>
                <w:color w:val="231F20"/>
              </w:rPr>
              <w:t>“Broker Warrant Instruments”</w:t>
            </w:r>
          </w:p>
        </w:tc>
        <w:tc>
          <w:tcPr>
            <w:tcW w:w="5025" w:type="dxa"/>
          </w:tcPr>
          <w:p w14:paraId="5BB473A9" w14:textId="594C68AB" w:rsidR="001A7287" w:rsidRDefault="001A7287" w:rsidP="00051CFB">
            <w:pPr>
              <w:pStyle w:val="BodyText"/>
              <w:kinsoku w:val="0"/>
              <w:overflowPunct w:val="0"/>
              <w:spacing w:after="240"/>
              <w:jc w:val="both"/>
              <w:rPr>
                <w:color w:val="231F20"/>
              </w:rPr>
            </w:pPr>
            <w:r>
              <w:rPr>
                <w:color w:val="231F20"/>
              </w:rPr>
              <w:t>the warrant deeds dated 13 August 2020 and 14 August 2020 setting out the terms</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Broker</w:t>
            </w:r>
            <w:r>
              <w:rPr>
                <w:color w:val="231F20"/>
                <w:spacing w:val="-11"/>
              </w:rPr>
              <w:t xml:space="preserve"> </w:t>
            </w:r>
            <w:r>
              <w:rPr>
                <w:color w:val="231F20"/>
              </w:rPr>
              <w:t>Warrants,</w:t>
            </w:r>
            <w:r>
              <w:rPr>
                <w:color w:val="231F20"/>
                <w:spacing w:val="-9"/>
              </w:rPr>
              <w:t xml:space="preserve"> </w:t>
            </w:r>
            <w:r>
              <w:rPr>
                <w:color w:val="231F20"/>
              </w:rPr>
              <w:t>details</w:t>
            </w:r>
            <w:r>
              <w:rPr>
                <w:color w:val="231F20"/>
                <w:spacing w:val="-7"/>
              </w:rPr>
              <w:t xml:space="preserve"> </w:t>
            </w:r>
            <w:r>
              <w:rPr>
                <w:color w:val="231F20"/>
              </w:rPr>
              <w:t>of</w:t>
            </w:r>
            <w:r>
              <w:rPr>
                <w:color w:val="231F20"/>
                <w:spacing w:val="-6"/>
              </w:rPr>
              <w:t xml:space="preserve"> </w:t>
            </w:r>
            <w:r>
              <w:rPr>
                <w:color w:val="231F20"/>
              </w:rPr>
              <w:t>which</w:t>
            </w:r>
            <w:r>
              <w:rPr>
                <w:color w:val="231F20"/>
                <w:spacing w:val="-5"/>
              </w:rPr>
              <w:t xml:space="preserve"> </w:t>
            </w:r>
            <w:r>
              <w:rPr>
                <w:color w:val="231F20"/>
              </w:rPr>
              <w:t>are</w:t>
            </w:r>
            <w:r>
              <w:rPr>
                <w:color w:val="231F20"/>
                <w:spacing w:val="-9"/>
              </w:rPr>
              <w:t xml:space="preserve"> </w:t>
            </w:r>
            <w:r>
              <w:rPr>
                <w:color w:val="231F20"/>
              </w:rPr>
              <w:t>set</w:t>
            </w:r>
            <w:r>
              <w:rPr>
                <w:color w:val="231F20"/>
                <w:spacing w:val="-5"/>
              </w:rPr>
              <w:t xml:space="preserve"> </w:t>
            </w:r>
            <w:r>
              <w:rPr>
                <w:color w:val="231F20"/>
              </w:rPr>
              <w:t>out</w:t>
            </w:r>
            <w:r>
              <w:rPr>
                <w:color w:val="231F20"/>
                <w:spacing w:val="-6"/>
              </w:rPr>
              <w:t xml:space="preserve"> </w:t>
            </w:r>
            <w:r>
              <w:rPr>
                <w:color w:val="231F20"/>
              </w:rPr>
              <w:t>in</w:t>
            </w:r>
            <w:r>
              <w:rPr>
                <w:color w:val="231F20"/>
                <w:spacing w:val="-5"/>
              </w:rPr>
              <w:t xml:space="preserve"> </w:t>
            </w:r>
            <w:r>
              <w:rPr>
                <w:color w:val="231F20"/>
              </w:rPr>
              <w:t>paragraph</w:t>
            </w:r>
            <w:r>
              <w:rPr>
                <w:color w:val="231F20"/>
                <w:spacing w:val="-6"/>
              </w:rPr>
              <w:t xml:space="preserve"> </w:t>
            </w:r>
            <w:r>
              <w:rPr>
                <w:color w:val="231F20"/>
              </w:rPr>
              <w:t>14.4</w:t>
            </w:r>
            <w:r>
              <w:rPr>
                <w:color w:val="231F20"/>
                <w:spacing w:val="-8"/>
              </w:rPr>
              <w:t xml:space="preserve"> </w:t>
            </w:r>
            <w:r>
              <w:rPr>
                <w:color w:val="231F20"/>
              </w:rPr>
              <w:t>of</w:t>
            </w:r>
            <w:r>
              <w:rPr>
                <w:color w:val="231F20"/>
                <w:spacing w:val="-6"/>
              </w:rPr>
              <w:t xml:space="preserve"> </w:t>
            </w:r>
            <w:r>
              <w:rPr>
                <w:color w:val="231F20"/>
              </w:rPr>
              <w:t>VII of this Document;</w:t>
            </w:r>
          </w:p>
        </w:tc>
      </w:tr>
      <w:tr w:rsidR="001A7287" w14:paraId="2C32BD93" w14:textId="77777777" w:rsidTr="00526CEF">
        <w:tc>
          <w:tcPr>
            <w:tcW w:w="4206" w:type="dxa"/>
          </w:tcPr>
          <w:p w14:paraId="6F5F2387" w14:textId="5CD8AEC5" w:rsidR="001A7287" w:rsidRDefault="001A7287" w:rsidP="00526CEF">
            <w:pPr>
              <w:pStyle w:val="BodyText"/>
              <w:kinsoku w:val="0"/>
              <w:overflowPunct w:val="0"/>
              <w:spacing w:after="240"/>
              <w:jc w:val="both"/>
              <w:rPr>
                <w:color w:val="231F20"/>
              </w:rPr>
            </w:pPr>
            <w:r>
              <w:rPr>
                <w:color w:val="231F20"/>
              </w:rPr>
              <w:t>“Broker</w:t>
            </w:r>
            <w:r>
              <w:rPr>
                <w:color w:val="231F20"/>
                <w:spacing w:val="-5"/>
              </w:rPr>
              <w:t xml:space="preserve"> </w:t>
            </w:r>
            <w:r>
              <w:rPr>
                <w:color w:val="231F20"/>
              </w:rPr>
              <w:t>Warrants”</w:t>
            </w:r>
          </w:p>
        </w:tc>
        <w:tc>
          <w:tcPr>
            <w:tcW w:w="5025" w:type="dxa"/>
          </w:tcPr>
          <w:p w14:paraId="2FE2D5D9" w14:textId="73F1206B" w:rsidR="001A7287" w:rsidRDefault="001A7287" w:rsidP="00051CFB">
            <w:pPr>
              <w:pStyle w:val="BodyText"/>
              <w:kinsoku w:val="0"/>
              <w:overflowPunct w:val="0"/>
              <w:spacing w:after="240"/>
              <w:jc w:val="both"/>
              <w:rPr>
                <w:color w:val="231F20"/>
              </w:rPr>
            </w:pPr>
            <w:r>
              <w:rPr>
                <w:color w:val="231F20"/>
              </w:rPr>
              <w:t>Together the warrants granted to Fox Davies as set out in paragraph 14.4 of Part VII;</w:t>
            </w:r>
          </w:p>
        </w:tc>
      </w:tr>
      <w:tr w:rsidR="001A7287" w14:paraId="3D99C9E0" w14:textId="77777777" w:rsidTr="00526CEF">
        <w:tc>
          <w:tcPr>
            <w:tcW w:w="4206" w:type="dxa"/>
          </w:tcPr>
          <w:p w14:paraId="7783FBD7" w14:textId="2703F73C" w:rsidR="001A7287" w:rsidRDefault="001A7287" w:rsidP="00526CEF">
            <w:pPr>
              <w:pStyle w:val="BodyText"/>
              <w:kinsoku w:val="0"/>
              <w:overflowPunct w:val="0"/>
              <w:spacing w:after="240"/>
              <w:jc w:val="both"/>
              <w:rPr>
                <w:color w:val="231F20"/>
              </w:rPr>
            </w:pPr>
            <w:r>
              <w:rPr>
                <w:color w:val="231F20"/>
              </w:rPr>
              <w:t>“Company” or “Chesterfield Resources”</w:t>
            </w:r>
          </w:p>
        </w:tc>
        <w:tc>
          <w:tcPr>
            <w:tcW w:w="5025" w:type="dxa"/>
          </w:tcPr>
          <w:p w14:paraId="1D616CDB" w14:textId="31DC031C" w:rsidR="001A7287" w:rsidRDefault="001A7287" w:rsidP="00051CFB">
            <w:pPr>
              <w:pStyle w:val="BodyText"/>
              <w:kinsoku w:val="0"/>
              <w:overflowPunct w:val="0"/>
              <w:spacing w:after="240"/>
              <w:jc w:val="both"/>
              <w:rPr>
                <w:color w:val="231F20"/>
              </w:rPr>
            </w:pPr>
            <w:r>
              <w:rPr>
                <w:color w:val="231F20"/>
              </w:rPr>
              <w:t>Chesterfield Resources plc, a company incorporated in England and Wales with company number 10545738;</w:t>
            </w:r>
          </w:p>
        </w:tc>
      </w:tr>
      <w:tr w:rsidR="001A7287" w14:paraId="2AB71D4C" w14:textId="77777777" w:rsidTr="00526CEF">
        <w:tc>
          <w:tcPr>
            <w:tcW w:w="4206" w:type="dxa"/>
          </w:tcPr>
          <w:p w14:paraId="349500B4" w14:textId="03A22810" w:rsidR="001A7287" w:rsidRDefault="001A7287" w:rsidP="00526CEF">
            <w:pPr>
              <w:pStyle w:val="BodyText"/>
              <w:kinsoku w:val="0"/>
              <w:overflowPunct w:val="0"/>
              <w:spacing w:after="240"/>
              <w:jc w:val="both"/>
              <w:rPr>
                <w:color w:val="231F20"/>
              </w:rPr>
            </w:pPr>
            <w:r>
              <w:rPr>
                <w:color w:val="231F20"/>
              </w:rPr>
              <w:t>“Companies</w:t>
            </w:r>
            <w:r>
              <w:rPr>
                <w:color w:val="231F20"/>
                <w:spacing w:val="-1"/>
              </w:rPr>
              <w:t xml:space="preserve"> </w:t>
            </w:r>
            <w:r>
              <w:rPr>
                <w:color w:val="231F20"/>
              </w:rPr>
              <w:t>Act”</w:t>
            </w:r>
          </w:p>
        </w:tc>
        <w:tc>
          <w:tcPr>
            <w:tcW w:w="5025" w:type="dxa"/>
          </w:tcPr>
          <w:p w14:paraId="5348CB96" w14:textId="5A0EF22D" w:rsidR="001A7287" w:rsidRDefault="001A7287" w:rsidP="00051CFB">
            <w:pPr>
              <w:pStyle w:val="BodyText"/>
              <w:kinsoku w:val="0"/>
              <w:overflowPunct w:val="0"/>
              <w:spacing w:after="240"/>
              <w:jc w:val="both"/>
              <w:rPr>
                <w:color w:val="231F20"/>
              </w:rPr>
            </w:pPr>
            <w:r>
              <w:rPr>
                <w:color w:val="231F20"/>
              </w:rPr>
              <w:t>the Companies Act 2006, as</w:t>
            </w:r>
            <w:r>
              <w:rPr>
                <w:color w:val="231F20"/>
                <w:spacing w:val="1"/>
              </w:rPr>
              <w:t xml:space="preserve"> </w:t>
            </w:r>
            <w:r>
              <w:rPr>
                <w:color w:val="231F20"/>
              </w:rPr>
              <w:t>amended;</w:t>
            </w:r>
          </w:p>
        </w:tc>
      </w:tr>
      <w:tr w:rsidR="001A7287" w14:paraId="30F20941" w14:textId="77777777" w:rsidTr="00526CEF">
        <w:tc>
          <w:tcPr>
            <w:tcW w:w="4206" w:type="dxa"/>
          </w:tcPr>
          <w:p w14:paraId="548FAF3A" w14:textId="1800E5E6" w:rsidR="001A7287" w:rsidRDefault="001A7287" w:rsidP="00526CEF">
            <w:pPr>
              <w:pStyle w:val="BodyText"/>
              <w:kinsoku w:val="0"/>
              <w:overflowPunct w:val="0"/>
              <w:spacing w:after="240"/>
              <w:jc w:val="both"/>
              <w:rPr>
                <w:color w:val="231F20"/>
              </w:rPr>
            </w:pPr>
            <w:r>
              <w:rPr>
                <w:color w:val="231F20"/>
              </w:rPr>
              <w:t>“Competent Person”</w:t>
            </w:r>
          </w:p>
        </w:tc>
        <w:tc>
          <w:tcPr>
            <w:tcW w:w="5025" w:type="dxa"/>
          </w:tcPr>
          <w:p w14:paraId="27422E2C" w14:textId="342FC146" w:rsidR="001A7287" w:rsidRDefault="001A7287" w:rsidP="00051CFB">
            <w:pPr>
              <w:pStyle w:val="BodyText"/>
              <w:kinsoku w:val="0"/>
              <w:overflowPunct w:val="0"/>
              <w:spacing w:after="240"/>
              <w:jc w:val="both"/>
              <w:rPr>
                <w:color w:val="231F20"/>
              </w:rPr>
            </w:pPr>
            <w:r>
              <w:rPr>
                <w:color w:val="231F20"/>
              </w:rPr>
              <w:t xml:space="preserve">Derek H.C. Wilton, Ph.D., </w:t>
            </w:r>
            <w:proofErr w:type="spellStart"/>
            <w:r>
              <w:rPr>
                <w:color w:val="231F20"/>
              </w:rPr>
              <w:t>P.Geo</w:t>
            </w:r>
            <w:proofErr w:type="spellEnd"/>
            <w:r>
              <w:rPr>
                <w:color w:val="231F20"/>
              </w:rPr>
              <w:t>. of Terra Rosetta Inc.;</w:t>
            </w:r>
          </w:p>
        </w:tc>
      </w:tr>
      <w:tr w:rsidR="001A7287" w14:paraId="44392597" w14:textId="77777777" w:rsidTr="00526CEF">
        <w:tc>
          <w:tcPr>
            <w:tcW w:w="4206" w:type="dxa"/>
          </w:tcPr>
          <w:p w14:paraId="6F4E07FD" w14:textId="691356D0" w:rsidR="001A7287" w:rsidRDefault="001A7287" w:rsidP="00526CEF">
            <w:pPr>
              <w:pStyle w:val="BodyText"/>
              <w:kinsoku w:val="0"/>
              <w:overflowPunct w:val="0"/>
              <w:spacing w:after="240"/>
              <w:jc w:val="both"/>
              <w:rPr>
                <w:color w:val="231F20"/>
              </w:rPr>
            </w:pPr>
            <w:r>
              <w:rPr>
                <w:color w:val="231F20"/>
              </w:rPr>
              <w:t>“Competent Person’s Report”</w:t>
            </w:r>
          </w:p>
        </w:tc>
        <w:tc>
          <w:tcPr>
            <w:tcW w:w="5025" w:type="dxa"/>
          </w:tcPr>
          <w:p w14:paraId="1F957869" w14:textId="0A0EB279" w:rsidR="001A7287" w:rsidRDefault="001A7287" w:rsidP="00051CFB">
            <w:pPr>
              <w:pStyle w:val="BodyText"/>
              <w:kinsoku w:val="0"/>
              <w:overflowPunct w:val="0"/>
              <w:spacing w:after="240"/>
              <w:jc w:val="both"/>
              <w:rPr>
                <w:color w:val="231F20"/>
              </w:rPr>
            </w:pPr>
            <w:r>
              <w:rPr>
                <w:color w:val="231F20"/>
              </w:rPr>
              <w:t>the report of the Competent Person attached to this Document at Annex I;</w:t>
            </w:r>
          </w:p>
        </w:tc>
      </w:tr>
      <w:tr w:rsidR="001A7287" w14:paraId="149B51C8" w14:textId="77777777" w:rsidTr="00526CEF">
        <w:tc>
          <w:tcPr>
            <w:tcW w:w="4206" w:type="dxa"/>
          </w:tcPr>
          <w:p w14:paraId="1C88EAD1" w14:textId="6F08D964" w:rsidR="001A7287" w:rsidRDefault="00526CEF" w:rsidP="00526CEF">
            <w:pPr>
              <w:pStyle w:val="BodyText"/>
              <w:kinsoku w:val="0"/>
              <w:overflowPunct w:val="0"/>
              <w:spacing w:after="240"/>
              <w:jc w:val="both"/>
              <w:rPr>
                <w:color w:val="231F20"/>
              </w:rPr>
            </w:pPr>
            <w:r>
              <w:rPr>
                <w:color w:val="231F20"/>
              </w:rPr>
              <w:t>“Consideration</w:t>
            </w:r>
            <w:r>
              <w:rPr>
                <w:color w:val="231F20"/>
                <w:spacing w:val="-2"/>
              </w:rPr>
              <w:t xml:space="preserve"> </w:t>
            </w:r>
            <w:r>
              <w:rPr>
                <w:color w:val="231F20"/>
              </w:rPr>
              <w:t>Shares”</w:t>
            </w:r>
          </w:p>
        </w:tc>
        <w:tc>
          <w:tcPr>
            <w:tcW w:w="5025" w:type="dxa"/>
          </w:tcPr>
          <w:p w14:paraId="4BA5041B" w14:textId="3A0120BE" w:rsidR="001A7287" w:rsidRDefault="00526CEF" w:rsidP="00051CFB">
            <w:pPr>
              <w:pStyle w:val="BodyText"/>
              <w:kinsoku w:val="0"/>
              <w:overflowPunct w:val="0"/>
              <w:spacing w:after="240"/>
              <w:jc w:val="both"/>
              <w:rPr>
                <w:color w:val="231F20"/>
              </w:rPr>
            </w:pPr>
            <w:r>
              <w:rPr>
                <w:color w:val="231F20"/>
              </w:rPr>
              <w:t>the 6,666,667 new Ordinary Shares allotted and issued to the HKP Sellers pursuant to the</w:t>
            </w:r>
            <w:r>
              <w:rPr>
                <w:color w:val="231F20"/>
                <w:spacing w:val="1"/>
              </w:rPr>
              <w:t xml:space="preserve"> </w:t>
            </w:r>
            <w:r>
              <w:rPr>
                <w:color w:val="231F20"/>
              </w:rPr>
              <w:t>Acquisition;</w:t>
            </w:r>
          </w:p>
        </w:tc>
      </w:tr>
      <w:tr w:rsidR="00526CEF" w14:paraId="2FBE7F23" w14:textId="77777777" w:rsidTr="00526CEF">
        <w:tc>
          <w:tcPr>
            <w:tcW w:w="4206" w:type="dxa"/>
          </w:tcPr>
          <w:p w14:paraId="250C28F3" w14:textId="670CD893" w:rsidR="00526CEF" w:rsidRDefault="00526CEF" w:rsidP="00526CEF">
            <w:pPr>
              <w:pStyle w:val="BodyText"/>
              <w:kinsoku w:val="0"/>
              <w:overflowPunct w:val="0"/>
              <w:spacing w:after="240"/>
              <w:jc w:val="both"/>
              <w:rPr>
                <w:color w:val="231F20"/>
              </w:rPr>
            </w:pPr>
            <w:r>
              <w:rPr>
                <w:color w:val="231F20"/>
              </w:rPr>
              <w:t>“Corporate Governance Code”</w:t>
            </w:r>
          </w:p>
        </w:tc>
        <w:tc>
          <w:tcPr>
            <w:tcW w:w="5025" w:type="dxa"/>
          </w:tcPr>
          <w:p w14:paraId="5E8BAED1" w14:textId="5853842E" w:rsidR="00526CEF" w:rsidRDefault="00526CEF" w:rsidP="00051CFB">
            <w:pPr>
              <w:pStyle w:val="BodyText"/>
              <w:kinsoku w:val="0"/>
              <w:overflowPunct w:val="0"/>
              <w:spacing w:after="240"/>
              <w:jc w:val="both"/>
              <w:rPr>
                <w:color w:val="231F20"/>
              </w:rPr>
            </w:pPr>
            <w:r>
              <w:rPr>
                <w:color w:val="231F20"/>
              </w:rPr>
              <w:t>the code of best practice including the principles of good governance known as the “UK Corporate Governance Code” (the latest edition of which was published in</w:t>
            </w:r>
            <w:r>
              <w:rPr>
                <w:color w:val="231F20"/>
                <w:spacing w:val="-9"/>
              </w:rPr>
              <w:t xml:space="preserve"> </w:t>
            </w:r>
            <w:r>
              <w:rPr>
                <w:color w:val="231F20"/>
              </w:rPr>
              <w:t>July</w:t>
            </w:r>
            <w:r>
              <w:rPr>
                <w:color w:val="231F20"/>
                <w:spacing w:val="-10"/>
              </w:rPr>
              <w:t xml:space="preserve"> </w:t>
            </w:r>
            <w:r>
              <w:rPr>
                <w:color w:val="231F20"/>
              </w:rPr>
              <w:t>2018)</w:t>
            </w:r>
            <w:r>
              <w:rPr>
                <w:color w:val="231F20"/>
                <w:spacing w:val="-9"/>
              </w:rPr>
              <w:t xml:space="preserve"> </w:t>
            </w:r>
            <w:r>
              <w:rPr>
                <w:color w:val="231F20"/>
              </w:rPr>
              <w:lastRenderedPageBreak/>
              <w:t>published</w:t>
            </w:r>
            <w:r>
              <w:rPr>
                <w:color w:val="231F20"/>
                <w:spacing w:val="-9"/>
              </w:rPr>
              <w:t xml:space="preserve"> </w:t>
            </w:r>
            <w:r>
              <w:rPr>
                <w:color w:val="231F20"/>
              </w:rPr>
              <w:t>by</w:t>
            </w:r>
            <w:r>
              <w:rPr>
                <w:color w:val="231F20"/>
                <w:spacing w:val="-10"/>
              </w:rPr>
              <w:t xml:space="preserve"> </w:t>
            </w:r>
            <w:r>
              <w:rPr>
                <w:color w:val="231F20"/>
              </w:rPr>
              <w:t>the</w:t>
            </w:r>
            <w:r>
              <w:rPr>
                <w:color w:val="231F20"/>
                <w:spacing w:val="-11"/>
              </w:rPr>
              <w:t xml:space="preserve"> </w:t>
            </w:r>
            <w:r>
              <w:rPr>
                <w:color w:val="231F20"/>
              </w:rPr>
              <w:t>Financial</w:t>
            </w:r>
            <w:r>
              <w:rPr>
                <w:color w:val="231F20"/>
                <w:spacing w:val="-8"/>
              </w:rPr>
              <w:t xml:space="preserve"> </w:t>
            </w:r>
            <w:r>
              <w:rPr>
                <w:color w:val="231F20"/>
              </w:rPr>
              <w:t>Reporting</w:t>
            </w:r>
            <w:r>
              <w:rPr>
                <w:color w:val="231F20"/>
                <w:spacing w:val="-9"/>
              </w:rPr>
              <w:t xml:space="preserve"> </w:t>
            </w:r>
            <w:r>
              <w:rPr>
                <w:color w:val="231F20"/>
              </w:rPr>
              <w:t>Council</w:t>
            </w:r>
            <w:r>
              <w:rPr>
                <w:color w:val="231F20"/>
                <w:spacing w:val="-9"/>
              </w:rPr>
              <w:t xml:space="preserve"> </w:t>
            </w:r>
            <w:r>
              <w:rPr>
                <w:color w:val="231F20"/>
              </w:rPr>
              <w:t>as</w:t>
            </w:r>
            <w:r>
              <w:rPr>
                <w:color w:val="231F20"/>
                <w:spacing w:val="-9"/>
              </w:rPr>
              <w:t xml:space="preserve"> </w:t>
            </w:r>
            <w:r>
              <w:rPr>
                <w:color w:val="231F20"/>
              </w:rPr>
              <w:t>amended</w:t>
            </w:r>
            <w:r>
              <w:rPr>
                <w:color w:val="231F20"/>
                <w:spacing w:val="-9"/>
              </w:rPr>
              <w:t xml:space="preserve"> </w:t>
            </w:r>
            <w:r>
              <w:rPr>
                <w:color w:val="231F20"/>
              </w:rPr>
              <w:t>from</w:t>
            </w:r>
            <w:r>
              <w:rPr>
                <w:color w:val="231F20"/>
                <w:spacing w:val="-8"/>
              </w:rPr>
              <w:t xml:space="preserve"> </w:t>
            </w:r>
            <w:r>
              <w:rPr>
                <w:color w:val="231F20"/>
              </w:rPr>
              <w:t>time to time;</w:t>
            </w:r>
          </w:p>
        </w:tc>
      </w:tr>
      <w:tr w:rsidR="00526CEF" w14:paraId="3EFEAEE6" w14:textId="77777777" w:rsidTr="00526CEF">
        <w:tc>
          <w:tcPr>
            <w:tcW w:w="4206" w:type="dxa"/>
          </w:tcPr>
          <w:p w14:paraId="56C6B5F6" w14:textId="0AE50E13" w:rsidR="00526CEF" w:rsidRDefault="00526CEF" w:rsidP="00526CEF">
            <w:pPr>
              <w:pStyle w:val="BodyText"/>
              <w:kinsoku w:val="0"/>
              <w:overflowPunct w:val="0"/>
              <w:spacing w:after="240"/>
              <w:jc w:val="both"/>
              <w:rPr>
                <w:color w:val="231F20"/>
              </w:rPr>
            </w:pPr>
            <w:r>
              <w:rPr>
                <w:color w:val="231F20"/>
              </w:rPr>
              <w:lastRenderedPageBreak/>
              <w:t>“COVID</w:t>
            </w:r>
            <w:r>
              <w:rPr>
                <w:color w:val="231F20"/>
                <w:spacing w:val="-1"/>
              </w:rPr>
              <w:t xml:space="preserve"> </w:t>
            </w:r>
            <w:r>
              <w:rPr>
                <w:color w:val="231F20"/>
              </w:rPr>
              <w:t>19”</w:t>
            </w:r>
          </w:p>
        </w:tc>
        <w:tc>
          <w:tcPr>
            <w:tcW w:w="5025" w:type="dxa"/>
          </w:tcPr>
          <w:p w14:paraId="203F7F2D" w14:textId="4BEDD4CC" w:rsidR="00526CEF" w:rsidRDefault="00526CEF" w:rsidP="00051CFB">
            <w:pPr>
              <w:pStyle w:val="BodyText"/>
              <w:kinsoku w:val="0"/>
              <w:overflowPunct w:val="0"/>
              <w:spacing w:after="240"/>
              <w:jc w:val="both"/>
              <w:rPr>
                <w:color w:val="231F20"/>
              </w:rPr>
            </w:pPr>
            <w:r>
              <w:rPr>
                <w:color w:val="231F20"/>
              </w:rPr>
              <w:t>a</w:t>
            </w:r>
            <w:r>
              <w:rPr>
                <w:color w:val="231F20"/>
                <w:spacing w:val="-10"/>
              </w:rPr>
              <w:t xml:space="preserve"> </w:t>
            </w:r>
            <w:r>
              <w:rPr>
                <w:color w:val="231F20"/>
              </w:rPr>
              <w:t>coronavirus</w:t>
            </w:r>
            <w:r>
              <w:rPr>
                <w:color w:val="231F20"/>
                <w:spacing w:val="-10"/>
              </w:rPr>
              <w:t xml:space="preserve"> </w:t>
            </w:r>
            <w:r>
              <w:rPr>
                <w:color w:val="231F20"/>
              </w:rPr>
              <w:t>identified</w:t>
            </w:r>
            <w:r>
              <w:rPr>
                <w:color w:val="231F20"/>
                <w:spacing w:val="-12"/>
              </w:rPr>
              <w:t xml:space="preserve"> </w:t>
            </w:r>
            <w:r>
              <w:rPr>
                <w:color w:val="231F20"/>
              </w:rPr>
              <w:t>as</w:t>
            </w:r>
            <w:r>
              <w:rPr>
                <w:color w:val="231F20"/>
                <w:spacing w:val="-10"/>
              </w:rPr>
              <w:t xml:space="preserve"> </w:t>
            </w:r>
            <w:r>
              <w:rPr>
                <w:color w:val="231F20"/>
              </w:rPr>
              <w:t>the</w:t>
            </w:r>
            <w:r>
              <w:rPr>
                <w:color w:val="231F20"/>
                <w:spacing w:val="-12"/>
              </w:rPr>
              <w:t xml:space="preserve"> </w:t>
            </w:r>
            <w:r>
              <w:rPr>
                <w:color w:val="231F20"/>
              </w:rPr>
              <w:t>cause</w:t>
            </w:r>
            <w:r>
              <w:rPr>
                <w:color w:val="231F20"/>
                <w:spacing w:val="-9"/>
              </w:rPr>
              <w:t xml:space="preserve"> </w:t>
            </w:r>
            <w:r>
              <w:rPr>
                <w:color w:val="231F20"/>
              </w:rPr>
              <w:t>of</w:t>
            </w:r>
            <w:r>
              <w:rPr>
                <w:color w:val="231F20"/>
                <w:spacing w:val="-10"/>
              </w:rPr>
              <w:t xml:space="preserve"> </w:t>
            </w:r>
            <w:r>
              <w:rPr>
                <w:color w:val="231F20"/>
              </w:rPr>
              <w:t>an</w:t>
            </w:r>
            <w:r>
              <w:rPr>
                <w:color w:val="231F20"/>
                <w:spacing w:val="-10"/>
              </w:rPr>
              <w:t xml:space="preserve"> </w:t>
            </w:r>
            <w:r>
              <w:rPr>
                <w:color w:val="231F20"/>
              </w:rPr>
              <w:t>outbreak</w:t>
            </w:r>
            <w:r>
              <w:rPr>
                <w:color w:val="231F20"/>
                <w:spacing w:val="-10"/>
              </w:rPr>
              <w:t xml:space="preserve"> </w:t>
            </w:r>
            <w:r>
              <w:rPr>
                <w:color w:val="231F20"/>
              </w:rPr>
              <w:t>of</w:t>
            </w:r>
            <w:r>
              <w:rPr>
                <w:color w:val="231F20"/>
                <w:spacing w:val="-10"/>
              </w:rPr>
              <w:t xml:space="preserve"> </w:t>
            </w:r>
            <w:r>
              <w:rPr>
                <w:color w:val="231F20"/>
              </w:rPr>
              <w:t>respiratory</w:t>
            </w:r>
            <w:r>
              <w:rPr>
                <w:color w:val="231F20"/>
                <w:spacing w:val="-10"/>
              </w:rPr>
              <w:t xml:space="preserve"> </w:t>
            </w:r>
            <w:r>
              <w:rPr>
                <w:color w:val="231F20"/>
              </w:rPr>
              <w:t>illness</w:t>
            </w:r>
            <w:r>
              <w:rPr>
                <w:color w:val="231F20"/>
                <w:spacing w:val="-9"/>
              </w:rPr>
              <w:t xml:space="preserve"> </w:t>
            </w:r>
            <w:r>
              <w:rPr>
                <w:color w:val="231F20"/>
              </w:rPr>
              <w:t>that</w:t>
            </w:r>
            <w:r>
              <w:rPr>
                <w:color w:val="231F20"/>
                <w:spacing w:val="-9"/>
              </w:rPr>
              <w:t xml:space="preserve"> </w:t>
            </w:r>
            <w:r>
              <w:rPr>
                <w:color w:val="231F20"/>
              </w:rPr>
              <w:t>was first detected in Wuhan city, Hubei province in China in Q4</w:t>
            </w:r>
            <w:r>
              <w:rPr>
                <w:color w:val="231F20"/>
                <w:spacing w:val="-13"/>
              </w:rPr>
              <w:t xml:space="preserve"> </w:t>
            </w:r>
            <w:r>
              <w:rPr>
                <w:color w:val="231F20"/>
              </w:rPr>
              <w:t>2019;</w:t>
            </w:r>
          </w:p>
        </w:tc>
      </w:tr>
      <w:tr w:rsidR="00526CEF" w14:paraId="49C3A3DC" w14:textId="77777777" w:rsidTr="00526CEF">
        <w:tc>
          <w:tcPr>
            <w:tcW w:w="4206" w:type="dxa"/>
          </w:tcPr>
          <w:p w14:paraId="7F110248" w14:textId="6DAEA6E0" w:rsidR="00526CEF" w:rsidRDefault="00526CEF" w:rsidP="00526CEF">
            <w:pPr>
              <w:pStyle w:val="BodyText"/>
              <w:kinsoku w:val="0"/>
              <w:overflowPunct w:val="0"/>
              <w:spacing w:after="240"/>
              <w:jc w:val="both"/>
              <w:rPr>
                <w:color w:val="231F20"/>
              </w:rPr>
            </w:pPr>
            <w:r>
              <w:rPr>
                <w:color w:val="231F20"/>
              </w:rPr>
              <w:t>“CRCL”</w:t>
            </w:r>
          </w:p>
        </w:tc>
        <w:tc>
          <w:tcPr>
            <w:tcW w:w="5025" w:type="dxa"/>
          </w:tcPr>
          <w:p w14:paraId="4A91785F" w14:textId="6E942805" w:rsidR="00526CEF" w:rsidRDefault="00526CEF" w:rsidP="00051CFB">
            <w:pPr>
              <w:pStyle w:val="BodyText"/>
              <w:kinsoku w:val="0"/>
              <w:overflowPunct w:val="0"/>
              <w:spacing w:after="240"/>
              <w:jc w:val="both"/>
              <w:rPr>
                <w:color w:val="231F20"/>
              </w:rPr>
            </w:pPr>
            <w:r>
              <w:rPr>
                <w:color w:val="231F20"/>
              </w:rPr>
              <w:t>Chesterfield</w:t>
            </w:r>
            <w:r>
              <w:rPr>
                <w:color w:val="231F20"/>
                <w:spacing w:val="-11"/>
              </w:rPr>
              <w:t xml:space="preserve"> </w:t>
            </w:r>
            <w:r>
              <w:rPr>
                <w:color w:val="231F20"/>
              </w:rPr>
              <w:t>Resources</w:t>
            </w:r>
            <w:r>
              <w:rPr>
                <w:color w:val="231F20"/>
                <w:spacing w:val="-10"/>
              </w:rPr>
              <w:t xml:space="preserve"> </w:t>
            </w:r>
            <w:r>
              <w:rPr>
                <w:color w:val="231F20"/>
              </w:rPr>
              <w:t>(Cyprus)</w:t>
            </w:r>
            <w:r>
              <w:rPr>
                <w:color w:val="231F20"/>
                <w:spacing w:val="-10"/>
              </w:rPr>
              <w:t xml:space="preserve"> </w:t>
            </w:r>
            <w:r>
              <w:rPr>
                <w:color w:val="231F20"/>
              </w:rPr>
              <w:t>Limited,</w:t>
            </w:r>
            <w:r>
              <w:rPr>
                <w:color w:val="231F20"/>
                <w:spacing w:val="-11"/>
              </w:rPr>
              <w:t xml:space="preserve"> </w:t>
            </w:r>
            <w:r>
              <w:rPr>
                <w:color w:val="231F20"/>
              </w:rPr>
              <w:t>a</w:t>
            </w:r>
            <w:r>
              <w:rPr>
                <w:color w:val="231F20"/>
                <w:spacing w:val="-11"/>
              </w:rPr>
              <w:t xml:space="preserve"> </w:t>
            </w:r>
            <w:r>
              <w:rPr>
                <w:color w:val="231F20"/>
              </w:rPr>
              <w:t>company</w:t>
            </w:r>
            <w:r>
              <w:rPr>
                <w:color w:val="231F20"/>
                <w:spacing w:val="-11"/>
              </w:rPr>
              <w:t xml:space="preserve"> </w:t>
            </w:r>
            <w:r>
              <w:rPr>
                <w:color w:val="231F20"/>
              </w:rPr>
              <w:t>incorporated</w:t>
            </w:r>
            <w:r>
              <w:rPr>
                <w:color w:val="231F20"/>
                <w:spacing w:val="-9"/>
              </w:rPr>
              <w:t xml:space="preserve"> </w:t>
            </w:r>
            <w:r>
              <w:rPr>
                <w:color w:val="231F20"/>
              </w:rPr>
              <w:t>in</w:t>
            </w:r>
            <w:r>
              <w:rPr>
                <w:color w:val="231F20"/>
                <w:spacing w:val="-11"/>
              </w:rPr>
              <w:t xml:space="preserve"> </w:t>
            </w:r>
            <w:r>
              <w:rPr>
                <w:color w:val="231F20"/>
              </w:rPr>
              <w:t>Cyprus</w:t>
            </w:r>
            <w:r>
              <w:rPr>
                <w:color w:val="231F20"/>
                <w:spacing w:val="-10"/>
              </w:rPr>
              <w:t xml:space="preserve"> </w:t>
            </w:r>
            <w:r>
              <w:rPr>
                <w:color w:val="231F20"/>
              </w:rPr>
              <w:t>with company number HE 333726 (formerly</w:t>
            </w:r>
            <w:r>
              <w:rPr>
                <w:color w:val="231F20"/>
                <w:spacing w:val="-8"/>
              </w:rPr>
              <w:t xml:space="preserve"> </w:t>
            </w:r>
            <w:r>
              <w:rPr>
                <w:color w:val="231F20"/>
              </w:rPr>
              <w:t>HKP);</w:t>
            </w:r>
          </w:p>
        </w:tc>
      </w:tr>
      <w:tr w:rsidR="00526CEF" w14:paraId="531B5896" w14:textId="77777777" w:rsidTr="00526CEF">
        <w:tc>
          <w:tcPr>
            <w:tcW w:w="4206" w:type="dxa"/>
          </w:tcPr>
          <w:p w14:paraId="572F36F0" w14:textId="1591998C" w:rsidR="00526CEF" w:rsidRDefault="00526CEF" w:rsidP="00526CEF">
            <w:pPr>
              <w:pStyle w:val="BodyText"/>
              <w:kinsoku w:val="0"/>
              <w:overflowPunct w:val="0"/>
              <w:spacing w:after="240"/>
              <w:jc w:val="both"/>
              <w:rPr>
                <w:color w:val="231F20"/>
              </w:rPr>
            </w:pPr>
            <w:r>
              <w:rPr>
                <w:color w:val="231F20"/>
              </w:rPr>
              <w:t>“CREST”</w:t>
            </w:r>
          </w:p>
        </w:tc>
        <w:tc>
          <w:tcPr>
            <w:tcW w:w="5025" w:type="dxa"/>
          </w:tcPr>
          <w:p w14:paraId="495B6AC1" w14:textId="4FF73E76" w:rsidR="00526CEF" w:rsidRDefault="00526CEF" w:rsidP="00051CFB">
            <w:pPr>
              <w:pStyle w:val="BodyText"/>
              <w:kinsoku w:val="0"/>
              <w:overflowPunct w:val="0"/>
              <w:spacing w:after="240"/>
              <w:jc w:val="both"/>
              <w:rPr>
                <w:color w:val="231F20"/>
              </w:rPr>
            </w:pPr>
            <w:r>
              <w:rPr>
                <w:color w:val="231F20"/>
              </w:rPr>
              <w:t>the relevant system (as defined in the CREST Regulations) in respect of which Euroclear is the operator (as defined in the CREST</w:t>
            </w:r>
            <w:r>
              <w:rPr>
                <w:color w:val="231F20"/>
                <w:spacing w:val="-6"/>
              </w:rPr>
              <w:t xml:space="preserve"> </w:t>
            </w:r>
            <w:r>
              <w:rPr>
                <w:color w:val="231F20"/>
              </w:rPr>
              <w:t>Regulations);</w:t>
            </w:r>
          </w:p>
        </w:tc>
      </w:tr>
      <w:tr w:rsidR="00526CEF" w14:paraId="5B39A900" w14:textId="77777777" w:rsidTr="00526CEF">
        <w:tc>
          <w:tcPr>
            <w:tcW w:w="4206" w:type="dxa"/>
          </w:tcPr>
          <w:p w14:paraId="18056394" w14:textId="68999E7A" w:rsidR="00526CEF" w:rsidRDefault="00526CEF" w:rsidP="00526CEF">
            <w:pPr>
              <w:pStyle w:val="BodyText"/>
              <w:kinsoku w:val="0"/>
              <w:overflowPunct w:val="0"/>
              <w:spacing w:after="240"/>
              <w:jc w:val="both"/>
              <w:rPr>
                <w:color w:val="231F20"/>
              </w:rPr>
            </w:pPr>
            <w:r>
              <w:rPr>
                <w:color w:val="231F20"/>
              </w:rPr>
              <w:t>“CREST</w:t>
            </w:r>
            <w:r w:rsidRPr="00526CEF">
              <w:rPr>
                <w:color w:val="231F20"/>
              </w:rPr>
              <w:t xml:space="preserve"> </w:t>
            </w:r>
            <w:r>
              <w:rPr>
                <w:color w:val="231F20"/>
              </w:rPr>
              <w:t>Regulations”</w:t>
            </w:r>
          </w:p>
        </w:tc>
        <w:tc>
          <w:tcPr>
            <w:tcW w:w="5025" w:type="dxa"/>
          </w:tcPr>
          <w:p w14:paraId="21C9F145" w14:textId="68E6FF16" w:rsidR="00526CEF" w:rsidRDefault="00526CEF" w:rsidP="00051CFB">
            <w:pPr>
              <w:pStyle w:val="BodyText"/>
              <w:kinsoku w:val="0"/>
              <w:overflowPunct w:val="0"/>
              <w:spacing w:after="240"/>
              <w:jc w:val="both"/>
              <w:rPr>
                <w:color w:val="231F20"/>
              </w:rPr>
            </w:pPr>
            <w:r>
              <w:rPr>
                <w:color w:val="231F20"/>
              </w:rPr>
              <w:t>the Uncertificated Securities Regulations 2001 (SI 2001 No. 3755), as</w:t>
            </w:r>
            <w:r>
              <w:rPr>
                <w:color w:val="231F20"/>
                <w:spacing w:val="-35"/>
              </w:rPr>
              <w:t xml:space="preserve"> </w:t>
            </w:r>
            <w:r>
              <w:rPr>
                <w:color w:val="231F20"/>
              </w:rPr>
              <w:t>amended; “Deferred</w:t>
            </w:r>
            <w:r>
              <w:rPr>
                <w:color w:val="231F20"/>
                <w:spacing w:val="-1"/>
              </w:rPr>
              <w:t xml:space="preserve"> </w:t>
            </w:r>
            <w:r>
              <w:rPr>
                <w:color w:val="231F20"/>
              </w:rPr>
              <w:t>Shares”</w:t>
            </w:r>
            <w:r w:rsidR="00051CFB">
              <w:rPr>
                <w:color w:val="231F20"/>
              </w:rPr>
              <w:t xml:space="preserve"> </w:t>
            </w:r>
            <w:r>
              <w:rPr>
                <w:color w:val="231F20"/>
              </w:rPr>
              <w:t>deferred shares of 4.9p each in the capital of the</w:t>
            </w:r>
            <w:r>
              <w:rPr>
                <w:color w:val="231F20"/>
                <w:spacing w:val="-6"/>
              </w:rPr>
              <w:t xml:space="preserve"> </w:t>
            </w:r>
            <w:r>
              <w:rPr>
                <w:color w:val="231F20"/>
              </w:rPr>
              <w:t>Company;</w:t>
            </w:r>
          </w:p>
        </w:tc>
      </w:tr>
      <w:tr w:rsidR="00526CEF" w14:paraId="4D8439E3" w14:textId="77777777" w:rsidTr="00526CEF">
        <w:tc>
          <w:tcPr>
            <w:tcW w:w="4206" w:type="dxa"/>
          </w:tcPr>
          <w:p w14:paraId="08B7C890" w14:textId="55D62E3A" w:rsidR="00526CEF" w:rsidRDefault="00526CEF" w:rsidP="00526CEF">
            <w:pPr>
              <w:pStyle w:val="BodyText"/>
              <w:kinsoku w:val="0"/>
              <w:overflowPunct w:val="0"/>
              <w:spacing w:after="240"/>
              <w:jc w:val="both"/>
              <w:rPr>
                <w:color w:val="231F20"/>
              </w:rPr>
            </w:pPr>
            <w:r>
              <w:rPr>
                <w:color w:val="231F20"/>
              </w:rPr>
              <w:t>“December 2020</w:t>
            </w:r>
            <w:r>
              <w:rPr>
                <w:color w:val="231F20"/>
                <w:spacing w:val="-1"/>
              </w:rPr>
              <w:t xml:space="preserve"> </w:t>
            </w:r>
            <w:r>
              <w:rPr>
                <w:color w:val="231F20"/>
              </w:rPr>
              <w:t>Fundraise”</w:t>
            </w:r>
          </w:p>
        </w:tc>
        <w:tc>
          <w:tcPr>
            <w:tcW w:w="5025" w:type="dxa"/>
          </w:tcPr>
          <w:p w14:paraId="0D95F928" w14:textId="18ECF722" w:rsidR="00526CEF" w:rsidRDefault="00526CEF" w:rsidP="00051CFB">
            <w:pPr>
              <w:pStyle w:val="BodyText"/>
              <w:kinsoku w:val="0"/>
              <w:overflowPunct w:val="0"/>
              <w:spacing w:after="240"/>
              <w:jc w:val="both"/>
              <w:rPr>
                <w:color w:val="231F20"/>
              </w:rPr>
            </w:pPr>
            <w:r>
              <w:rPr>
                <w:color w:val="231F20"/>
              </w:rPr>
              <w:t xml:space="preserve">a fundraise of £2,500,000 carried out by the Company which completed on </w:t>
            </w:r>
            <w:r>
              <w:t>11 December 2020 and which included the December 2020 Placing, the Subscription and the Investment Commitment</w:t>
            </w:r>
            <w:r>
              <w:rPr>
                <w:color w:val="231F20"/>
              </w:rPr>
              <w:t>;</w:t>
            </w:r>
          </w:p>
        </w:tc>
      </w:tr>
      <w:tr w:rsidR="00526CEF" w14:paraId="21D5D765" w14:textId="77777777" w:rsidTr="00526CEF">
        <w:tc>
          <w:tcPr>
            <w:tcW w:w="4206" w:type="dxa"/>
          </w:tcPr>
          <w:p w14:paraId="4317BFE2" w14:textId="416FFA05" w:rsidR="00526CEF" w:rsidRDefault="00526CEF" w:rsidP="00526CEF">
            <w:pPr>
              <w:pStyle w:val="BodyText"/>
              <w:tabs>
                <w:tab w:val="left" w:pos="2632"/>
              </w:tabs>
              <w:kinsoku w:val="0"/>
              <w:overflowPunct w:val="0"/>
              <w:spacing w:after="240"/>
              <w:jc w:val="both"/>
              <w:rPr>
                <w:color w:val="231F20"/>
              </w:rPr>
            </w:pPr>
            <w:r>
              <w:rPr>
                <w:color w:val="231F20"/>
              </w:rPr>
              <w:t xml:space="preserve">“December 2020 Fundraise </w:t>
            </w:r>
            <w:r>
              <w:rPr>
                <w:color w:val="231F20"/>
                <w:spacing w:val="-4"/>
              </w:rPr>
              <w:t>Price”</w:t>
            </w:r>
          </w:p>
        </w:tc>
        <w:tc>
          <w:tcPr>
            <w:tcW w:w="5025" w:type="dxa"/>
          </w:tcPr>
          <w:p w14:paraId="012920A4" w14:textId="08120936" w:rsidR="00526CEF" w:rsidRDefault="00526CEF" w:rsidP="00051CFB">
            <w:pPr>
              <w:pStyle w:val="BodyText"/>
              <w:kinsoku w:val="0"/>
              <w:overflowPunct w:val="0"/>
              <w:spacing w:after="240"/>
              <w:jc w:val="both"/>
              <w:rPr>
                <w:color w:val="231F20"/>
              </w:rPr>
            </w:pPr>
            <w:r>
              <w:rPr>
                <w:color w:val="231F20"/>
              </w:rPr>
              <w:t>the price at which the December 2020 Placing Shares</w:t>
            </w:r>
            <w:r>
              <w:rPr>
                <w:color w:val="231F20"/>
                <w:spacing w:val="-8"/>
              </w:rPr>
              <w:t xml:space="preserve"> </w:t>
            </w:r>
            <w:r>
              <w:rPr>
                <w:color w:val="231F20"/>
              </w:rPr>
              <w:t>were</w:t>
            </w:r>
            <w:r>
              <w:rPr>
                <w:color w:val="231F20"/>
                <w:spacing w:val="-9"/>
              </w:rPr>
              <w:t xml:space="preserve"> </w:t>
            </w:r>
            <w:r>
              <w:rPr>
                <w:color w:val="231F20"/>
              </w:rPr>
              <w:t>issued</w:t>
            </w:r>
            <w:r>
              <w:rPr>
                <w:color w:val="231F20"/>
                <w:spacing w:val="-9"/>
              </w:rPr>
              <w:t xml:space="preserve"> </w:t>
            </w:r>
            <w:r>
              <w:rPr>
                <w:color w:val="231F20"/>
              </w:rPr>
              <w:t>pursuant</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December 2020 </w:t>
            </w:r>
            <w:r>
              <w:rPr>
                <w:color w:val="231F20"/>
              </w:rPr>
              <w:t>Fundraise,</w:t>
            </w:r>
            <w:r>
              <w:rPr>
                <w:color w:val="231F20"/>
                <w:spacing w:val="-9"/>
              </w:rPr>
              <w:t xml:space="preserve"> </w:t>
            </w:r>
            <w:r>
              <w:rPr>
                <w:color w:val="231F20"/>
              </w:rPr>
              <w:t>being</w:t>
            </w:r>
            <w:r>
              <w:rPr>
                <w:color w:val="231F20"/>
                <w:spacing w:val="-9"/>
              </w:rPr>
              <w:t xml:space="preserve"> </w:t>
            </w:r>
            <w:r>
              <w:rPr>
                <w:color w:val="231F20"/>
              </w:rPr>
              <w:t>£</w:t>
            </w:r>
            <w:r>
              <w:t xml:space="preserve">0.09 </w:t>
            </w:r>
            <w:r>
              <w:rPr>
                <w:color w:val="231F20"/>
              </w:rPr>
              <w:t>per December 2020 Fundraise</w:t>
            </w:r>
            <w:r>
              <w:rPr>
                <w:color w:val="231F20"/>
                <w:spacing w:val="-3"/>
              </w:rPr>
              <w:t xml:space="preserve"> </w:t>
            </w:r>
            <w:r>
              <w:rPr>
                <w:color w:val="231F20"/>
              </w:rPr>
              <w:t>Share;</w:t>
            </w:r>
          </w:p>
        </w:tc>
      </w:tr>
      <w:tr w:rsidR="00526CEF" w14:paraId="57EAA89F" w14:textId="77777777" w:rsidTr="00526CEF">
        <w:tc>
          <w:tcPr>
            <w:tcW w:w="4206" w:type="dxa"/>
          </w:tcPr>
          <w:p w14:paraId="2C167CA8" w14:textId="7FD76DE6" w:rsidR="00526CEF" w:rsidRDefault="00526CEF" w:rsidP="00526CEF">
            <w:pPr>
              <w:pStyle w:val="BodyText"/>
              <w:tabs>
                <w:tab w:val="left" w:pos="2632"/>
              </w:tabs>
              <w:kinsoku w:val="0"/>
              <w:overflowPunct w:val="0"/>
              <w:spacing w:after="240"/>
              <w:jc w:val="both"/>
              <w:rPr>
                <w:color w:val="231F20"/>
              </w:rPr>
            </w:pPr>
            <w:r>
              <w:rPr>
                <w:color w:val="231F20"/>
              </w:rPr>
              <w:t>“December 2020 Fundraise</w:t>
            </w:r>
            <w:r>
              <w:rPr>
                <w:color w:val="231F20"/>
                <w:spacing w:val="-3"/>
              </w:rPr>
              <w:t xml:space="preserve"> </w:t>
            </w:r>
            <w:r>
              <w:rPr>
                <w:color w:val="231F20"/>
              </w:rPr>
              <w:t>Shares”</w:t>
            </w:r>
          </w:p>
        </w:tc>
        <w:tc>
          <w:tcPr>
            <w:tcW w:w="5025" w:type="dxa"/>
          </w:tcPr>
          <w:p w14:paraId="75B911BE" w14:textId="1B25DF0A" w:rsidR="00526CEF" w:rsidRDefault="00526CEF" w:rsidP="00051CFB">
            <w:pPr>
              <w:pStyle w:val="BodyText"/>
              <w:kinsoku w:val="0"/>
              <w:overflowPunct w:val="0"/>
              <w:spacing w:after="240"/>
              <w:jc w:val="both"/>
              <w:rPr>
                <w:color w:val="231F20"/>
              </w:rPr>
            </w:pPr>
            <w:r>
              <w:rPr>
                <w:color w:val="231F20"/>
              </w:rPr>
              <w:t>together, the Investment Commitment Shares, the December 2020 Placing Shares and the Subscription Shares;</w:t>
            </w:r>
          </w:p>
        </w:tc>
      </w:tr>
      <w:tr w:rsidR="00526CEF" w14:paraId="3345A721" w14:textId="77777777" w:rsidTr="00526CEF">
        <w:tc>
          <w:tcPr>
            <w:tcW w:w="4206" w:type="dxa"/>
          </w:tcPr>
          <w:p w14:paraId="7D42BE2B" w14:textId="7973859E" w:rsidR="00526CEF" w:rsidRDefault="00526CEF" w:rsidP="00526CEF">
            <w:pPr>
              <w:pStyle w:val="BodyText"/>
              <w:tabs>
                <w:tab w:val="left" w:pos="2632"/>
              </w:tabs>
              <w:kinsoku w:val="0"/>
              <w:overflowPunct w:val="0"/>
              <w:spacing w:after="240"/>
              <w:jc w:val="both"/>
              <w:rPr>
                <w:color w:val="231F20"/>
              </w:rPr>
            </w:pPr>
            <w:r>
              <w:rPr>
                <w:color w:val="231F20"/>
              </w:rPr>
              <w:t>“December 2020 Placing”</w:t>
            </w:r>
          </w:p>
        </w:tc>
        <w:tc>
          <w:tcPr>
            <w:tcW w:w="5025" w:type="dxa"/>
          </w:tcPr>
          <w:p w14:paraId="048667B8" w14:textId="1A4F06D0" w:rsidR="00526CEF" w:rsidRDefault="00526CEF" w:rsidP="00051CFB">
            <w:pPr>
              <w:pStyle w:val="BodyText"/>
              <w:kinsoku w:val="0"/>
              <w:overflowPunct w:val="0"/>
              <w:spacing w:after="240"/>
              <w:jc w:val="both"/>
              <w:rPr>
                <w:color w:val="231F20"/>
              </w:rPr>
            </w:pPr>
            <w:r>
              <w:rPr>
                <w:color w:val="231F20"/>
              </w:rPr>
              <w:t>the placing of the December 2020 Placing Shares by Fox Davies at the December 2020 Fundraise Price pursuant to the December 2020 Placing Agreement;</w:t>
            </w:r>
            <w:r>
              <w:rPr>
                <w:color w:val="231F20"/>
              </w:rPr>
              <w:tab/>
            </w:r>
          </w:p>
        </w:tc>
      </w:tr>
      <w:tr w:rsidR="00526CEF" w14:paraId="6481CAA4" w14:textId="77777777" w:rsidTr="00526CEF">
        <w:tc>
          <w:tcPr>
            <w:tcW w:w="4206" w:type="dxa"/>
          </w:tcPr>
          <w:p w14:paraId="071D26A1" w14:textId="470B8480" w:rsidR="00526CEF" w:rsidRDefault="00526CEF" w:rsidP="00526CEF">
            <w:pPr>
              <w:pStyle w:val="BodyText"/>
              <w:tabs>
                <w:tab w:val="left" w:pos="2632"/>
              </w:tabs>
              <w:kinsoku w:val="0"/>
              <w:overflowPunct w:val="0"/>
              <w:spacing w:after="240"/>
              <w:rPr>
                <w:color w:val="231F20"/>
              </w:rPr>
            </w:pPr>
            <w:r>
              <w:rPr>
                <w:color w:val="231F20"/>
              </w:rPr>
              <w:t>“December 2020 Placing Agreement”</w:t>
            </w:r>
          </w:p>
        </w:tc>
        <w:tc>
          <w:tcPr>
            <w:tcW w:w="5025" w:type="dxa"/>
          </w:tcPr>
          <w:p w14:paraId="045FA677" w14:textId="57928AE9" w:rsidR="00526CEF" w:rsidRDefault="00526CEF" w:rsidP="00051CFB">
            <w:pPr>
              <w:pStyle w:val="BodyText"/>
              <w:kinsoku w:val="0"/>
              <w:overflowPunct w:val="0"/>
              <w:spacing w:after="240"/>
              <w:jc w:val="both"/>
              <w:rPr>
                <w:color w:val="231F20"/>
              </w:rPr>
            </w:pPr>
            <w:r>
              <w:rPr>
                <w:color w:val="231F20"/>
              </w:rPr>
              <w:t xml:space="preserve">the placing agreement dated </w:t>
            </w:r>
            <w:r>
              <w:t>7 December 2020</w:t>
            </w:r>
            <w:r>
              <w:rPr>
                <w:color w:val="231F20"/>
              </w:rPr>
              <w:t>, between the Company and Fox Davies;</w:t>
            </w:r>
            <w:r>
              <w:rPr>
                <w:color w:val="231F20"/>
              </w:rPr>
              <w:tab/>
            </w:r>
          </w:p>
        </w:tc>
      </w:tr>
      <w:tr w:rsidR="00526CEF" w14:paraId="64639C90" w14:textId="77777777" w:rsidTr="00526CEF">
        <w:tc>
          <w:tcPr>
            <w:tcW w:w="4206" w:type="dxa"/>
          </w:tcPr>
          <w:p w14:paraId="6065107D" w14:textId="1FE6FBF7" w:rsidR="00526CEF" w:rsidRDefault="00526CEF" w:rsidP="00526CEF">
            <w:pPr>
              <w:pStyle w:val="BodyText"/>
              <w:tabs>
                <w:tab w:val="left" w:pos="2632"/>
              </w:tabs>
              <w:kinsoku w:val="0"/>
              <w:overflowPunct w:val="0"/>
              <w:spacing w:after="240"/>
              <w:jc w:val="both"/>
              <w:rPr>
                <w:color w:val="231F20"/>
              </w:rPr>
            </w:pPr>
            <w:r>
              <w:rPr>
                <w:color w:val="231F20"/>
              </w:rPr>
              <w:t>“December 2020 Placing</w:t>
            </w:r>
            <w:r>
              <w:rPr>
                <w:color w:val="231F20"/>
                <w:spacing w:val="-1"/>
              </w:rPr>
              <w:t xml:space="preserve"> </w:t>
            </w:r>
            <w:r>
              <w:rPr>
                <w:color w:val="231F20"/>
              </w:rPr>
              <w:t>Shares”</w:t>
            </w:r>
          </w:p>
        </w:tc>
        <w:tc>
          <w:tcPr>
            <w:tcW w:w="5025" w:type="dxa"/>
          </w:tcPr>
          <w:p w14:paraId="20367643" w14:textId="6AF234A5" w:rsidR="00526CEF" w:rsidRDefault="00526CEF" w:rsidP="00051CFB">
            <w:pPr>
              <w:pStyle w:val="BodyText"/>
              <w:kinsoku w:val="0"/>
              <w:overflowPunct w:val="0"/>
              <w:spacing w:after="240"/>
              <w:jc w:val="both"/>
              <w:rPr>
                <w:color w:val="231F20"/>
              </w:rPr>
            </w:pPr>
            <w:r>
              <w:rPr>
                <w:color w:val="231F20"/>
              </w:rPr>
              <w:t xml:space="preserve">the </w:t>
            </w:r>
            <w:r>
              <w:t xml:space="preserve">1,111,111 </w:t>
            </w:r>
            <w:r>
              <w:rPr>
                <w:color w:val="231F20"/>
              </w:rPr>
              <w:t xml:space="preserve">new Ordinary Shares allotted and issued to the </w:t>
            </w:r>
            <w:proofErr w:type="spellStart"/>
            <w:r>
              <w:rPr>
                <w:color w:val="231F20"/>
              </w:rPr>
              <w:t>placees</w:t>
            </w:r>
            <w:proofErr w:type="spellEnd"/>
            <w:r>
              <w:rPr>
                <w:color w:val="231F20"/>
              </w:rPr>
              <w:t xml:space="preserve"> pursuant to the</w:t>
            </w:r>
            <w:r>
              <w:rPr>
                <w:color w:val="231F20"/>
                <w:spacing w:val="1"/>
              </w:rPr>
              <w:t xml:space="preserve"> December 2020 </w:t>
            </w:r>
            <w:r>
              <w:rPr>
                <w:color w:val="231F20"/>
              </w:rPr>
              <w:t>Placing;</w:t>
            </w:r>
          </w:p>
        </w:tc>
      </w:tr>
      <w:tr w:rsidR="00526CEF" w14:paraId="410D4EA2" w14:textId="77777777" w:rsidTr="00526CEF">
        <w:tc>
          <w:tcPr>
            <w:tcW w:w="4206" w:type="dxa"/>
          </w:tcPr>
          <w:p w14:paraId="7818B0B5" w14:textId="44BD3582" w:rsidR="00526CEF" w:rsidRDefault="00526CEF" w:rsidP="00526CEF">
            <w:pPr>
              <w:pStyle w:val="BodyText"/>
              <w:tabs>
                <w:tab w:val="left" w:pos="2632"/>
              </w:tabs>
              <w:kinsoku w:val="0"/>
              <w:overflowPunct w:val="0"/>
              <w:spacing w:after="240"/>
              <w:rPr>
                <w:color w:val="231F20"/>
              </w:rPr>
            </w:pPr>
            <w:r>
              <w:rPr>
                <w:color w:val="231F20"/>
              </w:rPr>
              <w:t>“Diamond</w:t>
            </w:r>
            <w:r>
              <w:rPr>
                <w:color w:val="231F20"/>
                <w:spacing w:val="-2"/>
              </w:rPr>
              <w:t xml:space="preserve"> </w:t>
            </w:r>
            <w:r>
              <w:rPr>
                <w:color w:val="231F20"/>
              </w:rPr>
              <w:t>Drilling”</w:t>
            </w:r>
          </w:p>
        </w:tc>
        <w:tc>
          <w:tcPr>
            <w:tcW w:w="5025" w:type="dxa"/>
          </w:tcPr>
          <w:p w14:paraId="66400504" w14:textId="76BED5EC" w:rsidR="00526CEF" w:rsidRDefault="00526CEF" w:rsidP="00051CFB">
            <w:pPr>
              <w:pStyle w:val="BodyText"/>
              <w:kinsoku w:val="0"/>
              <w:overflowPunct w:val="0"/>
              <w:spacing w:after="240"/>
              <w:jc w:val="both"/>
              <w:rPr>
                <w:color w:val="231F20"/>
              </w:rPr>
            </w:pPr>
            <w:r>
              <w:rPr>
                <w:color w:val="231F20"/>
              </w:rPr>
              <w:t>a mineral resource drilling technique which yields rock core samples suitable for accurate assays (which are compliant with the Joint Ore Reserves Committee’s (JORC) standards) and geological inspections, and produces more precise information than Percussion</w:t>
            </w:r>
            <w:r>
              <w:rPr>
                <w:color w:val="231F20"/>
                <w:spacing w:val="2"/>
              </w:rPr>
              <w:t xml:space="preserve"> </w:t>
            </w:r>
            <w:r>
              <w:rPr>
                <w:color w:val="231F20"/>
              </w:rPr>
              <w:t>Drilling;</w:t>
            </w:r>
          </w:p>
        </w:tc>
      </w:tr>
      <w:tr w:rsidR="00526CEF" w14:paraId="51E55387" w14:textId="77777777" w:rsidTr="00526CEF">
        <w:tc>
          <w:tcPr>
            <w:tcW w:w="4206" w:type="dxa"/>
          </w:tcPr>
          <w:p w14:paraId="0DBE650D" w14:textId="44D4E89A" w:rsidR="00526CEF" w:rsidRDefault="00526CEF" w:rsidP="00526CEF">
            <w:pPr>
              <w:pStyle w:val="BodyText"/>
              <w:tabs>
                <w:tab w:val="left" w:pos="2632"/>
              </w:tabs>
              <w:kinsoku w:val="0"/>
              <w:overflowPunct w:val="0"/>
              <w:spacing w:after="240"/>
              <w:rPr>
                <w:color w:val="231F20"/>
              </w:rPr>
            </w:pPr>
            <w:r>
              <w:rPr>
                <w:color w:val="231F20"/>
              </w:rPr>
              <w:t>“Directors”</w:t>
            </w:r>
          </w:p>
        </w:tc>
        <w:tc>
          <w:tcPr>
            <w:tcW w:w="5025" w:type="dxa"/>
          </w:tcPr>
          <w:p w14:paraId="5C3755D9" w14:textId="66FB7721" w:rsidR="00526CEF" w:rsidRDefault="00526CEF" w:rsidP="00051CFB">
            <w:pPr>
              <w:pStyle w:val="BodyText"/>
              <w:kinsoku w:val="0"/>
              <w:overflowPunct w:val="0"/>
              <w:spacing w:after="240"/>
              <w:jc w:val="both"/>
              <w:rPr>
                <w:color w:val="231F20"/>
              </w:rPr>
            </w:pPr>
            <w:r>
              <w:rPr>
                <w:color w:val="231F20"/>
              </w:rPr>
              <w:t>the directors of the Company as at the date of this Document whose names are set out on page 27 of this Document;</w:t>
            </w:r>
          </w:p>
        </w:tc>
      </w:tr>
      <w:tr w:rsidR="00526CEF" w14:paraId="6E1D7971" w14:textId="77777777" w:rsidTr="00526CEF">
        <w:tc>
          <w:tcPr>
            <w:tcW w:w="4206" w:type="dxa"/>
          </w:tcPr>
          <w:p w14:paraId="7E28DFB0" w14:textId="7F3D4AC4" w:rsidR="00526CEF" w:rsidRDefault="00526CEF" w:rsidP="00526CEF">
            <w:pPr>
              <w:pStyle w:val="BodyText"/>
              <w:tabs>
                <w:tab w:val="left" w:pos="2632"/>
              </w:tabs>
              <w:kinsoku w:val="0"/>
              <w:overflowPunct w:val="0"/>
              <w:spacing w:after="240"/>
              <w:rPr>
                <w:color w:val="231F20"/>
              </w:rPr>
            </w:pPr>
            <w:r>
              <w:rPr>
                <w:color w:val="231F20"/>
              </w:rPr>
              <w:t>“Disclosure Guidance and Transparency Rules”</w:t>
            </w:r>
          </w:p>
        </w:tc>
        <w:tc>
          <w:tcPr>
            <w:tcW w:w="5025" w:type="dxa"/>
          </w:tcPr>
          <w:p w14:paraId="011A6EE8" w14:textId="7B5D5E4A" w:rsidR="00526CEF" w:rsidRDefault="00526CEF" w:rsidP="00051CFB">
            <w:pPr>
              <w:pStyle w:val="BodyText"/>
              <w:kinsoku w:val="0"/>
              <w:overflowPunct w:val="0"/>
              <w:spacing w:after="240"/>
              <w:jc w:val="both"/>
              <w:rPr>
                <w:color w:val="231F20"/>
              </w:rPr>
            </w:pPr>
            <w:r>
              <w:rPr>
                <w:color w:val="231F20"/>
              </w:rPr>
              <w:t>the Disclosure Guidance and Transparency Rules of the UK Listing Authority made in accordance with section 73A of FSMA;</w:t>
            </w:r>
          </w:p>
        </w:tc>
      </w:tr>
      <w:tr w:rsidR="00526CEF" w14:paraId="4F907821" w14:textId="77777777" w:rsidTr="00526CEF">
        <w:tc>
          <w:tcPr>
            <w:tcW w:w="4206" w:type="dxa"/>
          </w:tcPr>
          <w:p w14:paraId="0DA17C2F" w14:textId="2D460737" w:rsidR="00526CEF" w:rsidRDefault="00526CEF" w:rsidP="00526CEF">
            <w:pPr>
              <w:pStyle w:val="BodyText"/>
              <w:tabs>
                <w:tab w:val="left" w:pos="2632"/>
              </w:tabs>
              <w:kinsoku w:val="0"/>
              <w:overflowPunct w:val="0"/>
              <w:spacing w:after="240"/>
              <w:rPr>
                <w:color w:val="231F20"/>
              </w:rPr>
            </w:pPr>
            <w:r>
              <w:rPr>
                <w:color w:val="231F20"/>
              </w:rPr>
              <w:t>“Document”</w:t>
            </w:r>
          </w:p>
        </w:tc>
        <w:tc>
          <w:tcPr>
            <w:tcW w:w="5025" w:type="dxa"/>
          </w:tcPr>
          <w:p w14:paraId="0725C8AE" w14:textId="0D2254C6" w:rsidR="00526CEF" w:rsidRDefault="00526CEF" w:rsidP="00051CFB">
            <w:pPr>
              <w:pStyle w:val="BodyText"/>
              <w:tabs>
                <w:tab w:val="left" w:pos="4395"/>
              </w:tabs>
              <w:kinsoku w:val="0"/>
              <w:overflowPunct w:val="0"/>
              <w:spacing w:after="240"/>
              <w:ind w:right="1448"/>
              <w:jc w:val="both"/>
              <w:rPr>
                <w:color w:val="231F20"/>
              </w:rPr>
            </w:pPr>
            <w:r>
              <w:rPr>
                <w:color w:val="231F20"/>
              </w:rPr>
              <w:t>means this</w:t>
            </w:r>
            <w:r>
              <w:rPr>
                <w:color w:val="231F20"/>
                <w:spacing w:val="-1"/>
              </w:rPr>
              <w:t xml:space="preserve"> </w:t>
            </w:r>
            <w:r>
              <w:rPr>
                <w:color w:val="231F20"/>
              </w:rPr>
              <w:t>document;</w:t>
            </w:r>
          </w:p>
        </w:tc>
      </w:tr>
      <w:tr w:rsidR="00526CEF" w14:paraId="00D5F0E1" w14:textId="77777777" w:rsidTr="00526CEF">
        <w:tc>
          <w:tcPr>
            <w:tcW w:w="4206" w:type="dxa"/>
          </w:tcPr>
          <w:p w14:paraId="631F13A5" w14:textId="523A141C" w:rsidR="00526CEF" w:rsidRDefault="00526CEF" w:rsidP="00526CEF">
            <w:pPr>
              <w:pStyle w:val="BodyText"/>
              <w:tabs>
                <w:tab w:val="left" w:pos="2632"/>
              </w:tabs>
              <w:kinsoku w:val="0"/>
              <w:overflowPunct w:val="0"/>
              <w:spacing w:after="240"/>
              <w:rPr>
                <w:color w:val="231F20"/>
              </w:rPr>
            </w:pPr>
            <w:r>
              <w:rPr>
                <w:color w:val="231F20"/>
              </w:rPr>
              <w:t>“Enlarged Ordinary Share Capital”</w:t>
            </w:r>
          </w:p>
        </w:tc>
        <w:tc>
          <w:tcPr>
            <w:tcW w:w="5025" w:type="dxa"/>
          </w:tcPr>
          <w:p w14:paraId="3A4193F5" w14:textId="1C2505E4" w:rsidR="00526CEF" w:rsidRDefault="00526CEF" w:rsidP="00051CFB">
            <w:pPr>
              <w:pStyle w:val="BodyText"/>
              <w:tabs>
                <w:tab w:val="left" w:pos="4395"/>
              </w:tabs>
              <w:kinsoku w:val="0"/>
              <w:overflowPunct w:val="0"/>
              <w:spacing w:after="240"/>
              <w:ind w:right="1448"/>
              <w:jc w:val="both"/>
              <w:rPr>
                <w:color w:val="231F20"/>
              </w:rPr>
            </w:pPr>
            <w:r>
              <w:rPr>
                <w:color w:val="231F20"/>
              </w:rPr>
              <w:t>the entire issued ordinary share capital of the Company upon Admission, comprising the Existing Ordinary Shares, the Placing Shares and the Labrador Consideration Shares;</w:t>
            </w:r>
          </w:p>
        </w:tc>
      </w:tr>
    </w:tbl>
    <w:p w14:paraId="712D1412" w14:textId="77777777" w:rsidR="00240151" w:rsidRDefault="00240151" w:rsidP="00240151">
      <w:pPr>
        <w:pStyle w:val="BodyText"/>
        <w:kinsoku w:val="0"/>
        <w:overflowPunct w:val="0"/>
        <w:spacing w:before="95"/>
        <w:ind w:left="4395" w:right="1491" w:hanging="4157"/>
        <w:jc w:val="both"/>
        <w:rPr>
          <w:color w:val="231F20"/>
        </w:rPr>
      </w:pPr>
      <w:r>
        <w:rPr>
          <w:color w:val="231F20"/>
        </w:rPr>
        <w:t>“EU Prospectus Regulation”</w:t>
      </w:r>
      <w:r>
        <w:rPr>
          <w:color w:val="231F20"/>
        </w:rPr>
        <w:tab/>
        <w:t>Regulation (EU) 2017/1129 of the European Parliament and of the Council of 14 June</w:t>
      </w:r>
      <w:r>
        <w:rPr>
          <w:color w:val="231F20"/>
          <w:spacing w:val="-3"/>
        </w:rPr>
        <w:t xml:space="preserve"> </w:t>
      </w:r>
      <w:proofErr w:type="gramStart"/>
      <w:r>
        <w:rPr>
          <w:color w:val="231F20"/>
        </w:rPr>
        <w:t>2017;</w:t>
      </w:r>
      <w:proofErr w:type="gramEnd"/>
    </w:p>
    <w:p w14:paraId="6967E19C" w14:textId="77777777" w:rsidR="00240151" w:rsidRDefault="00240151" w:rsidP="00240151">
      <w:pPr>
        <w:pStyle w:val="BodyText"/>
        <w:kinsoku w:val="0"/>
        <w:overflowPunct w:val="0"/>
        <w:spacing w:before="95"/>
        <w:ind w:left="2632" w:right="1491" w:hanging="4157"/>
        <w:jc w:val="both"/>
        <w:rPr>
          <w:color w:val="231F20"/>
        </w:rPr>
      </w:pPr>
    </w:p>
    <w:p w14:paraId="51470D3D" w14:textId="1173F6ED" w:rsidR="00240151" w:rsidRDefault="00240151" w:rsidP="00240151">
      <w:pPr>
        <w:pStyle w:val="BodyText"/>
        <w:tabs>
          <w:tab w:val="left" w:pos="4395"/>
        </w:tabs>
        <w:kinsoku w:val="0"/>
        <w:overflowPunct w:val="0"/>
        <w:ind w:left="228" w:right="1448" w:hanging="4157"/>
        <w:rPr>
          <w:color w:val="231F20"/>
        </w:rPr>
      </w:pPr>
      <w:r>
        <w:rPr>
          <w:color w:val="231F20"/>
        </w:rPr>
        <w:t>“Euroclear”</w:t>
      </w:r>
      <w:r>
        <w:rPr>
          <w:color w:val="231F20"/>
        </w:rPr>
        <w:tab/>
      </w:r>
      <w:r w:rsidR="00505CDD">
        <w:rPr>
          <w:color w:val="231F20"/>
        </w:rPr>
        <w:t>"Euroclear"</w:t>
      </w:r>
      <w:r w:rsidR="00505CDD">
        <w:rPr>
          <w:color w:val="231F20"/>
        </w:rPr>
        <w:tab/>
      </w:r>
      <w:r>
        <w:rPr>
          <w:color w:val="231F20"/>
        </w:rPr>
        <w:t xml:space="preserve">Euroclear UK &amp; Ireland </w:t>
      </w:r>
      <w:proofErr w:type="gramStart"/>
      <w:r>
        <w:rPr>
          <w:color w:val="231F20"/>
        </w:rPr>
        <w:t>Limited;</w:t>
      </w:r>
      <w:proofErr w:type="gramEnd"/>
    </w:p>
    <w:p w14:paraId="2DD3C8C2" w14:textId="77777777" w:rsidR="00240151" w:rsidRDefault="00240151" w:rsidP="00240151">
      <w:pPr>
        <w:pStyle w:val="BodyText"/>
        <w:tabs>
          <w:tab w:val="left" w:pos="4395"/>
        </w:tabs>
        <w:kinsoku w:val="0"/>
        <w:overflowPunct w:val="0"/>
        <w:ind w:left="228" w:hanging="4157"/>
        <w:rPr>
          <w:color w:val="231F20"/>
        </w:rPr>
      </w:pPr>
    </w:p>
    <w:p w14:paraId="30C98E06" w14:textId="77777777" w:rsidR="00240151" w:rsidRDefault="00240151" w:rsidP="00051CFB">
      <w:pPr>
        <w:pStyle w:val="BodyText"/>
        <w:tabs>
          <w:tab w:val="left" w:pos="4395"/>
        </w:tabs>
        <w:kinsoku w:val="0"/>
        <w:overflowPunct w:val="0"/>
        <w:ind w:left="4395" w:right="1448" w:hanging="4157"/>
        <w:jc w:val="both"/>
        <w:rPr>
          <w:color w:val="231F20"/>
        </w:rPr>
      </w:pPr>
      <w:r>
        <w:rPr>
          <w:color w:val="231F20"/>
        </w:rPr>
        <w:lastRenderedPageBreak/>
        <w:t>“Exchange Traded Non- Ferrous Metals”</w:t>
      </w:r>
      <w:r>
        <w:rPr>
          <w:color w:val="231F20"/>
        </w:rPr>
        <w:tab/>
        <w:t xml:space="preserve">non-ferrous metals traded on the markets of either the London Metal Exchange or the London Bullion Market </w:t>
      </w:r>
      <w:proofErr w:type="gramStart"/>
      <w:r>
        <w:rPr>
          <w:color w:val="231F20"/>
        </w:rPr>
        <w:t>Association;</w:t>
      </w:r>
      <w:proofErr w:type="gramEnd"/>
    </w:p>
    <w:p w14:paraId="3F5A43F6" w14:textId="77777777" w:rsidR="00240151" w:rsidRDefault="00240151" w:rsidP="00051CFB">
      <w:pPr>
        <w:pStyle w:val="BodyText"/>
        <w:kinsoku w:val="0"/>
        <w:overflowPunct w:val="0"/>
        <w:spacing w:before="10"/>
        <w:ind w:hanging="4157"/>
        <w:jc w:val="both"/>
        <w:rPr>
          <w:sz w:val="9"/>
          <w:szCs w:val="9"/>
        </w:rPr>
      </w:pPr>
    </w:p>
    <w:p w14:paraId="04EE0EA9" w14:textId="77777777" w:rsidR="00240151" w:rsidRDefault="00240151" w:rsidP="00051CFB">
      <w:pPr>
        <w:pStyle w:val="BodyText"/>
        <w:tabs>
          <w:tab w:val="left" w:pos="4395"/>
        </w:tabs>
        <w:kinsoku w:val="0"/>
        <w:overflowPunct w:val="0"/>
        <w:spacing w:before="94"/>
        <w:ind w:left="4395" w:right="1448" w:hanging="4157"/>
        <w:jc w:val="both"/>
        <w:rPr>
          <w:color w:val="231F20"/>
        </w:rPr>
      </w:pPr>
      <w:r>
        <w:rPr>
          <w:color w:val="231F20"/>
        </w:rPr>
        <w:t>“Existing</w:t>
      </w:r>
      <w:r>
        <w:rPr>
          <w:color w:val="231F20"/>
          <w:spacing w:val="-3"/>
        </w:rPr>
        <w:t xml:space="preserve"> </w:t>
      </w:r>
      <w:r>
        <w:rPr>
          <w:color w:val="231F20"/>
        </w:rPr>
        <w:t>Ordinary</w:t>
      </w:r>
      <w:r>
        <w:rPr>
          <w:color w:val="231F20"/>
          <w:spacing w:val="-3"/>
        </w:rPr>
        <w:t xml:space="preserve"> </w:t>
      </w:r>
      <w:r>
        <w:rPr>
          <w:color w:val="231F20"/>
        </w:rPr>
        <w:t>Shares”</w:t>
      </w:r>
      <w:r>
        <w:rPr>
          <w:color w:val="231F20"/>
        </w:rPr>
        <w:tab/>
        <w:t xml:space="preserve">the </w:t>
      </w:r>
      <w:proofErr w:type="gramStart"/>
      <w:r>
        <w:rPr>
          <w:color w:val="231F20"/>
        </w:rPr>
        <w:t>101,911,112</w:t>
      </w:r>
      <w:r w:rsidDel="00E609C7">
        <w:rPr>
          <w:color w:val="020303"/>
        </w:rPr>
        <w:t xml:space="preserve"> </w:t>
      </w:r>
      <w:r>
        <w:rPr>
          <w:color w:val="020303"/>
        </w:rPr>
        <w:t xml:space="preserve"> </w:t>
      </w:r>
      <w:r>
        <w:rPr>
          <w:color w:val="231F20"/>
        </w:rPr>
        <w:t>Ordinary</w:t>
      </w:r>
      <w:proofErr w:type="gramEnd"/>
      <w:r>
        <w:rPr>
          <w:color w:val="231F20"/>
        </w:rPr>
        <w:t xml:space="preserve"> Shares in issue as at the date of this</w:t>
      </w:r>
      <w:r>
        <w:rPr>
          <w:color w:val="231F20"/>
          <w:spacing w:val="-7"/>
        </w:rPr>
        <w:t xml:space="preserve"> </w:t>
      </w:r>
      <w:r>
        <w:rPr>
          <w:color w:val="231F20"/>
        </w:rPr>
        <w:t>Document;</w:t>
      </w:r>
    </w:p>
    <w:p w14:paraId="3BB51826" w14:textId="77777777" w:rsidR="00240151" w:rsidRDefault="00240151" w:rsidP="00051CFB">
      <w:pPr>
        <w:pStyle w:val="BodyText"/>
        <w:kinsoku w:val="0"/>
        <w:overflowPunct w:val="0"/>
        <w:spacing w:before="1"/>
        <w:ind w:hanging="4157"/>
        <w:jc w:val="both"/>
      </w:pPr>
    </w:p>
    <w:p w14:paraId="2D6C50D5" w14:textId="77777777" w:rsidR="00240151" w:rsidRDefault="00240151" w:rsidP="00051CFB">
      <w:pPr>
        <w:pStyle w:val="BodyText"/>
        <w:tabs>
          <w:tab w:val="left" w:pos="4395"/>
        </w:tabs>
        <w:kinsoku w:val="0"/>
        <w:overflowPunct w:val="0"/>
        <w:ind w:left="4395" w:right="1488" w:hanging="4157"/>
        <w:jc w:val="both"/>
        <w:rPr>
          <w:color w:val="231F20"/>
        </w:rPr>
      </w:pPr>
      <w:r>
        <w:rPr>
          <w:color w:val="231F20"/>
        </w:rPr>
        <w:t>“Exploration</w:t>
      </w:r>
      <w:r>
        <w:rPr>
          <w:color w:val="231F20"/>
          <w:spacing w:val="-2"/>
        </w:rPr>
        <w:t xml:space="preserve"> </w:t>
      </w:r>
      <w:r>
        <w:rPr>
          <w:color w:val="231F20"/>
        </w:rPr>
        <w:t>Permit”</w:t>
      </w:r>
      <w:r>
        <w:rPr>
          <w:color w:val="231F20"/>
        </w:rPr>
        <w:tab/>
        <w:t>a</w:t>
      </w:r>
      <w:r>
        <w:rPr>
          <w:color w:val="231F20"/>
          <w:spacing w:val="-7"/>
        </w:rPr>
        <w:t xml:space="preserve"> </w:t>
      </w:r>
      <w:r>
        <w:rPr>
          <w:color w:val="231F20"/>
        </w:rPr>
        <w:t>Prospecting</w:t>
      </w:r>
      <w:r>
        <w:rPr>
          <w:color w:val="231F20"/>
          <w:spacing w:val="-7"/>
        </w:rPr>
        <w:t xml:space="preserve"> </w:t>
      </w:r>
      <w:r>
        <w:rPr>
          <w:color w:val="231F20"/>
        </w:rPr>
        <w:t>Permit</w:t>
      </w:r>
      <w:r>
        <w:rPr>
          <w:color w:val="231F20"/>
          <w:spacing w:val="-7"/>
        </w:rPr>
        <w:t xml:space="preserve"> </w:t>
      </w:r>
      <w:r>
        <w:rPr>
          <w:color w:val="231F20"/>
        </w:rPr>
        <w:t>which</w:t>
      </w:r>
      <w:r>
        <w:rPr>
          <w:color w:val="231F20"/>
          <w:spacing w:val="-7"/>
        </w:rPr>
        <w:t xml:space="preserve"> </w:t>
      </w:r>
      <w:r>
        <w:rPr>
          <w:color w:val="231F20"/>
        </w:rPr>
        <w:t>permits</w:t>
      </w:r>
      <w:r>
        <w:rPr>
          <w:color w:val="231F20"/>
          <w:spacing w:val="-7"/>
        </w:rPr>
        <w:t xml:space="preserve"> </w:t>
      </w:r>
      <w:r>
        <w:rPr>
          <w:color w:val="231F20"/>
        </w:rPr>
        <w:t>invasive</w:t>
      </w:r>
      <w:r>
        <w:rPr>
          <w:color w:val="231F20"/>
          <w:spacing w:val="-7"/>
        </w:rPr>
        <w:t xml:space="preserve"> </w:t>
      </w:r>
      <w:r>
        <w:rPr>
          <w:color w:val="231F20"/>
        </w:rPr>
        <w:t>exploration</w:t>
      </w:r>
      <w:r>
        <w:rPr>
          <w:color w:val="231F20"/>
          <w:spacing w:val="-7"/>
        </w:rPr>
        <w:t xml:space="preserve"> </w:t>
      </w:r>
      <w:r>
        <w:rPr>
          <w:color w:val="231F20"/>
        </w:rPr>
        <w:t>activities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drilling in the licensed area (as opposed to a Reconnaissance Permit which does</w:t>
      </w:r>
      <w:r>
        <w:rPr>
          <w:color w:val="231F20"/>
          <w:spacing w:val="-22"/>
        </w:rPr>
        <w:t xml:space="preserve"> </w:t>
      </w:r>
      <w:r>
        <w:rPr>
          <w:color w:val="231F20"/>
        </w:rPr>
        <w:t>not</w:t>
      </w:r>
      <w:proofErr w:type="gramStart"/>
      <w:r>
        <w:rPr>
          <w:color w:val="231F20"/>
        </w:rPr>
        <w:t>);</w:t>
      </w:r>
      <w:proofErr w:type="gramEnd"/>
    </w:p>
    <w:p w14:paraId="2F65CBDA" w14:textId="77777777" w:rsidR="00240151" w:rsidRDefault="00240151" w:rsidP="00051CFB">
      <w:pPr>
        <w:pStyle w:val="BodyText"/>
        <w:kinsoku w:val="0"/>
        <w:overflowPunct w:val="0"/>
        <w:spacing w:before="9"/>
        <w:ind w:hanging="4157"/>
        <w:jc w:val="both"/>
        <w:rPr>
          <w:sz w:val="17"/>
          <w:szCs w:val="17"/>
        </w:rPr>
      </w:pPr>
    </w:p>
    <w:p w14:paraId="6F4A472E" w14:textId="56503CEB" w:rsidR="00240151" w:rsidRDefault="00240151" w:rsidP="00051CFB">
      <w:pPr>
        <w:pStyle w:val="BodyText"/>
        <w:tabs>
          <w:tab w:val="left" w:pos="4395"/>
        </w:tabs>
        <w:kinsoku w:val="0"/>
        <w:overflowPunct w:val="0"/>
        <w:spacing w:before="1"/>
        <w:ind w:left="228" w:hanging="4157"/>
        <w:jc w:val="both"/>
        <w:rPr>
          <w:color w:val="231F20"/>
        </w:rPr>
      </w:pPr>
      <w:r>
        <w:rPr>
          <w:color w:val="231F20"/>
        </w:rPr>
        <w:t>“FCA”</w:t>
      </w:r>
      <w:r>
        <w:rPr>
          <w:color w:val="231F20"/>
        </w:rPr>
        <w:tab/>
      </w:r>
      <w:r w:rsidR="00505CDD">
        <w:rPr>
          <w:color w:val="231F20"/>
        </w:rPr>
        <w:t>"FCA"</w:t>
      </w:r>
      <w:r w:rsidR="00505CDD">
        <w:rPr>
          <w:color w:val="231F20"/>
        </w:rPr>
        <w:tab/>
      </w:r>
      <w:r>
        <w:rPr>
          <w:color w:val="231F20"/>
        </w:rPr>
        <w:t>the Financial Conduct</w:t>
      </w:r>
      <w:r>
        <w:rPr>
          <w:color w:val="231F20"/>
          <w:spacing w:val="1"/>
        </w:rPr>
        <w:t xml:space="preserve"> </w:t>
      </w:r>
      <w:proofErr w:type="gramStart"/>
      <w:r>
        <w:rPr>
          <w:color w:val="231F20"/>
        </w:rPr>
        <w:t>Authority;</w:t>
      </w:r>
      <w:proofErr w:type="gramEnd"/>
    </w:p>
    <w:p w14:paraId="0F999983" w14:textId="77777777" w:rsidR="00240151" w:rsidRDefault="00240151" w:rsidP="00051CFB">
      <w:pPr>
        <w:pStyle w:val="BodyText"/>
        <w:kinsoku w:val="0"/>
        <w:overflowPunct w:val="0"/>
        <w:spacing w:before="1"/>
        <w:ind w:right="1448" w:hanging="4157"/>
        <w:jc w:val="both"/>
      </w:pPr>
    </w:p>
    <w:p w14:paraId="12A2FC5A" w14:textId="4EFE6BA2" w:rsidR="00240151" w:rsidRDefault="00240151" w:rsidP="00051CFB">
      <w:pPr>
        <w:pStyle w:val="BodyText"/>
        <w:tabs>
          <w:tab w:val="left" w:pos="4395"/>
        </w:tabs>
        <w:kinsoku w:val="0"/>
        <w:overflowPunct w:val="0"/>
        <w:ind w:left="228" w:right="1448" w:hanging="4157"/>
        <w:jc w:val="both"/>
        <w:rPr>
          <w:color w:val="231F20"/>
        </w:rPr>
      </w:pPr>
      <w:r>
        <w:rPr>
          <w:color w:val="231F20"/>
        </w:rPr>
        <w:t>“Founders”</w:t>
      </w:r>
      <w:r>
        <w:rPr>
          <w:color w:val="231F20"/>
        </w:rPr>
        <w:tab/>
      </w:r>
      <w:r w:rsidR="00505CDD">
        <w:rPr>
          <w:color w:val="231F20"/>
        </w:rPr>
        <w:t>"Founders"</w:t>
      </w:r>
      <w:r w:rsidR="00505CDD">
        <w:rPr>
          <w:color w:val="231F20"/>
        </w:rPr>
        <w:tab/>
      </w:r>
      <w:r>
        <w:rPr>
          <w:color w:val="231F20"/>
        </w:rPr>
        <w:t>Derek Crowhurst, Peter Damouni and David</w:t>
      </w:r>
      <w:r>
        <w:rPr>
          <w:color w:val="231F20"/>
          <w:spacing w:val="-2"/>
        </w:rPr>
        <w:t xml:space="preserve"> </w:t>
      </w:r>
      <w:proofErr w:type="gramStart"/>
      <w:r>
        <w:rPr>
          <w:color w:val="231F20"/>
        </w:rPr>
        <w:t>Cliff;</w:t>
      </w:r>
      <w:proofErr w:type="gramEnd"/>
    </w:p>
    <w:p w14:paraId="11B7C04C" w14:textId="77777777" w:rsidR="00240151" w:rsidRDefault="00240151" w:rsidP="00051CFB">
      <w:pPr>
        <w:pStyle w:val="BodyText"/>
        <w:kinsoku w:val="0"/>
        <w:overflowPunct w:val="0"/>
        <w:spacing w:before="10"/>
        <w:ind w:hanging="4157"/>
        <w:jc w:val="both"/>
        <w:rPr>
          <w:sz w:val="17"/>
          <w:szCs w:val="17"/>
        </w:rPr>
      </w:pPr>
    </w:p>
    <w:p w14:paraId="5158CE8B" w14:textId="77777777" w:rsidR="00240151" w:rsidRDefault="00240151" w:rsidP="00051CFB">
      <w:pPr>
        <w:pStyle w:val="BodyText"/>
        <w:tabs>
          <w:tab w:val="left" w:pos="4395"/>
        </w:tabs>
        <w:kinsoku w:val="0"/>
        <w:overflowPunct w:val="0"/>
        <w:ind w:left="4395" w:right="1489" w:hanging="4157"/>
        <w:jc w:val="both"/>
        <w:rPr>
          <w:color w:val="231F20"/>
        </w:rPr>
      </w:pPr>
      <w:bookmarkStart w:id="18" w:name="_Hlk63942291"/>
      <w:r>
        <w:rPr>
          <w:color w:val="231F20"/>
        </w:rPr>
        <w:t>“Fox</w:t>
      </w:r>
      <w:r>
        <w:rPr>
          <w:color w:val="231F20"/>
          <w:spacing w:val="-5"/>
        </w:rPr>
        <w:t xml:space="preserve"> </w:t>
      </w:r>
      <w:r>
        <w:rPr>
          <w:color w:val="231F20"/>
        </w:rPr>
        <w:t>Davies”</w:t>
      </w:r>
      <w:r>
        <w:rPr>
          <w:color w:val="231F20"/>
        </w:rPr>
        <w:tab/>
        <w:t>Fox-Davies Capital Limited, joint broker to the Company, a private limited company with company number</w:t>
      </w:r>
      <w:r>
        <w:rPr>
          <w:color w:val="231F20"/>
          <w:spacing w:val="-3"/>
        </w:rPr>
        <w:t xml:space="preserve"> </w:t>
      </w:r>
      <w:proofErr w:type="gramStart"/>
      <w:r>
        <w:rPr>
          <w:color w:val="231F20"/>
        </w:rPr>
        <w:t>10165213;</w:t>
      </w:r>
      <w:proofErr w:type="gramEnd"/>
    </w:p>
    <w:bookmarkEnd w:id="18"/>
    <w:p w14:paraId="56F88768" w14:textId="77777777" w:rsidR="00240151" w:rsidRDefault="00240151" w:rsidP="00051CFB">
      <w:pPr>
        <w:pStyle w:val="BodyText"/>
        <w:kinsoku w:val="0"/>
        <w:overflowPunct w:val="0"/>
        <w:spacing w:before="1"/>
        <w:ind w:hanging="4157"/>
        <w:jc w:val="both"/>
      </w:pPr>
    </w:p>
    <w:p w14:paraId="2C18E7EA" w14:textId="753489B9" w:rsidR="00240151" w:rsidRPr="001A7287" w:rsidRDefault="00240151" w:rsidP="00051CFB">
      <w:pPr>
        <w:pStyle w:val="BodyText"/>
        <w:tabs>
          <w:tab w:val="left" w:pos="4395"/>
        </w:tabs>
        <w:kinsoku w:val="0"/>
        <w:overflowPunct w:val="0"/>
        <w:ind w:left="4395" w:right="1446" w:hanging="4157"/>
        <w:jc w:val="both"/>
        <w:rPr>
          <w:color w:val="231F20"/>
        </w:rPr>
      </w:pPr>
      <w:r>
        <w:rPr>
          <w:color w:val="231F20"/>
        </w:rPr>
        <w:t>“FSMA”</w:t>
      </w:r>
      <w:r>
        <w:rPr>
          <w:color w:val="231F20"/>
        </w:rPr>
        <w:tab/>
        <w:t>the Financial Services and Markets Act 2000, as</w:t>
      </w:r>
      <w:r>
        <w:rPr>
          <w:color w:val="231F20"/>
          <w:spacing w:val="-21"/>
        </w:rPr>
        <w:t xml:space="preserve"> </w:t>
      </w:r>
      <w:proofErr w:type="gramStart"/>
      <w:r>
        <w:rPr>
          <w:color w:val="231F20"/>
        </w:rPr>
        <w:t>amended;</w:t>
      </w:r>
      <w:proofErr w:type="gramEnd"/>
    </w:p>
    <w:p w14:paraId="5285D998" w14:textId="77777777" w:rsidR="00240151" w:rsidRDefault="00240151" w:rsidP="00051CFB">
      <w:pPr>
        <w:pStyle w:val="BodyText"/>
        <w:tabs>
          <w:tab w:val="left" w:pos="2632"/>
        </w:tabs>
        <w:kinsoku w:val="0"/>
        <w:overflowPunct w:val="0"/>
        <w:ind w:left="2632" w:right="1488" w:hanging="4157"/>
        <w:jc w:val="both"/>
      </w:pPr>
    </w:p>
    <w:p w14:paraId="73F97109" w14:textId="77777777" w:rsidR="00240151" w:rsidRDefault="00240151" w:rsidP="00051CFB">
      <w:pPr>
        <w:pStyle w:val="BodyText"/>
        <w:tabs>
          <w:tab w:val="left" w:pos="4395"/>
        </w:tabs>
        <w:kinsoku w:val="0"/>
        <w:overflowPunct w:val="0"/>
        <w:ind w:left="4395" w:right="1446" w:hanging="4157"/>
        <w:jc w:val="both"/>
        <w:rPr>
          <w:color w:val="050606"/>
        </w:rPr>
      </w:pPr>
      <w:r>
        <w:rPr>
          <w:color w:val="231F20"/>
        </w:rPr>
        <w:t>“GDPR”</w:t>
      </w:r>
      <w:r>
        <w:rPr>
          <w:color w:val="231F20"/>
        </w:rPr>
        <w:tab/>
      </w:r>
      <w:r>
        <w:rPr>
          <w:color w:val="050606"/>
        </w:rPr>
        <w:t>EU Regulation 2106/679, the General Data Protection</w:t>
      </w:r>
      <w:r>
        <w:rPr>
          <w:color w:val="050606"/>
          <w:spacing w:val="-5"/>
        </w:rPr>
        <w:t xml:space="preserve"> </w:t>
      </w:r>
      <w:proofErr w:type="gramStart"/>
      <w:r>
        <w:rPr>
          <w:color w:val="050606"/>
        </w:rPr>
        <w:t>Regulation;</w:t>
      </w:r>
      <w:proofErr w:type="gramEnd"/>
    </w:p>
    <w:p w14:paraId="163D0BDC" w14:textId="77777777" w:rsidR="00526CEF" w:rsidRDefault="00526CEF" w:rsidP="00526CEF">
      <w:pPr>
        <w:pStyle w:val="BodyText"/>
        <w:tabs>
          <w:tab w:val="left" w:pos="2632"/>
        </w:tabs>
        <w:kinsoku w:val="0"/>
        <w:overflowPunct w:val="0"/>
        <w:rPr>
          <w:color w:val="050606"/>
        </w:r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025"/>
      </w:tblGrid>
      <w:tr w:rsidR="00526CEF" w14:paraId="023886CE" w14:textId="77777777" w:rsidTr="002115EE">
        <w:tc>
          <w:tcPr>
            <w:tcW w:w="4206" w:type="dxa"/>
          </w:tcPr>
          <w:p w14:paraId="13F1C27D" w14:textId="7A7B1ADB" w:rsidR="00526CEF" w:rsidRDefault="00526CEF" w:rsidP="00526CEF">
            <w:pPr>
              <w:pStyle w:val="BodyText"/>
              <w:tabs>
                <w:tab w:val="left" w:pos="2632"/>
              </w:tabs>
              <w:kinsoku w:val="0"/>
              <w:overflowPunct w:val="0"/>
              <w:rPr>
                <w:color w:val="231F20"/>
              </w:rPr>
            </w:pPr>
            <w:r>
              <w:rPr>
                <w:color w:val="050606"/>
              </w:rPr>
              <w:t>“Granted Map-Staked Mineral Licences”</w:t>
            </w:r>
          </w:p>
        </w:tc>
        <w:tc>
          <w:tcPr>
            <w:tcW w:w="5025" w:type="dxa"/>
          </w:tcPr>
          <w:p w14:paraId="3CBEE3DE" w14:textId="28CD05A3" w:rsidR="00526CEF" w:rsidRDefault="00526CEF" w:rsidP="002115EE">
            <w:pPr>
              <w:pStyle w:val="BodyText"/>
              <w:tabs>
                <w:tab w:val="left" w:pos="4395"/>
              </w:tabs>
              <w:kinsoku w:val="0"/>
              <w:overflowPunct w:val="0"/>
              <w:spacing w:after="240"/>
              <w:ind w:right="1448"/>
              <w:rPr>
                <w:color w:val="231F20"/>
              </w:rPr>
            </w:pPr>
            <w:r>
              <w:rPr>
                <w:color w:val="050606"/>
              </w:rPr>
              <w:t xml:space="preserve">the Map-Stakes Mineral Licences granted to and held by NLCO as detailed in the first section of the table at paragraph 15 of Part VII, or any of them, as the case may </w:t>
            </w:r>
            <w:proofErr w:type="gramStart"/>
            <w:r>
              <w:rPr>
                <w:color w:val="050606"/>
              </w:rPr>
              <w:t>be;</w:t>
            </w:r>
            <w:proofErr w:type="gramEnd"/>
          </w:p>
        </w:tc>
      </w:tr>
    </w:tbl>
    <w:p w14:paraId="0BBC125E" w14:textId="4417CAD3" w:rsidR="00240151" w:rsidRDefault="00240151" w:rsidP="00051CFB">
      <w:pPr>
        <w:pStyle w:val="BodyText"/>
        <w:tabs>
          <w:tab w:val="left" w:pos="4395"/>
        </w:tabs>
        <w:kinsoku w:val="0"/>
        <w:overflowPunct w:val="0"/>
        <w:ind w:left="4395" w:right="1448" w:hanging="4168"/>
        <w:jc w:val="both"/>
        <w:rPr>
          <w:color w:val="231F20"/>
        </w:rPr>
      </w:pPr>
      <w:bookmarkStart w:id="19" w:name="_Hlk71187423"/>
      <w:r>
        <w:rPr>
          <w:color w:val="231F20"/>
        </w:rPr>
        <w:t>“Granted Prospecting Permits”</w:t>
      </w:r>
      <w:r>
        <w:rPr>
          <w:color w:val="231F20"/>
        </w:rPr>
        <w:tab/>
        <w:t xml:space="preserve">the Prospecting Permits granted to and held by CRCL as detailed in the first section of the table at paragraph 15 of Part VII, or any of them, as the case may </w:t>
      </w:r>
      <w:proofErr w:type="gramStart"/>
      <w:r>
        <w:rPr>
          <w:color w:val="231F20"/>
        </w:rPr>
        <w:t>be;</w:t>
      </w:r>
      <w:proofErr w:type="gramEnd"/>
    </w:p>
    <w:p w14:paraId="5FCCC6EF" w14:textId="5F3FCE41" w:rsidR="00505CDD" w:rsidRDefault="00505CDD" w:rsidP="00051CFB">
      <w:pPr>
        <w:pStyle w:val="BodyText"/>
        <w:tabs>
          <w:tab w:val="left" w:pos="4395"/>
        </w:tabs>
        <w:kinsoku w:val="0"/>
        <w:overflowPunct w:val="0"/>
        <w:ind w:left="4395" w:right="1448" w:hanging="4168"/>
        <w:jc w:val="both"/>
        <w:rPr>
          <w:color w:val="231F20"/>
        </w:rPr>
      </w:pPr>
    </w:p>
    <w:bookmarkEnd w:id="19"/>
    <w:p w14:paraId="6AA17EB1" w14:textId="305CB9C2" w:rsidR="00240151" w:rsidRDefault="00240151" w:rsidP="00051CFB">
      <w:pPr>
        <w:pStyle w:val="BodyText"/>
        <w:tabs>
          <w:tab w:val="left" w:pos="4395"/>
        </w:tabs>
        <w:kinsoku w:val="0"/>
        <w:overflowPunct w:val="0"/>
        <w:ind w:left="4395" w:right="1448" w:hanging="4168"/>
        <w:jc w:val="both"/>
        <w:rPr>
          <w:color w:val="231F20"/>
        </w:rPr>
      </w:pPr>
      <w:r>
        <w:rPr>
          <w:color w:val="231F20"/>
        </w:rPr>
        <w:t>“Group”</w:t>
      </w:r>
      <w:r>
        <w:rPr>
          <w:color w:val="231F20"/>
        </w:rPr>
        <w:tab/>
        <w:t>the Company and its subsidiaries from time to</w:t>
      </w:r>
      <w:r>
        <w:rPr>
          <w:color w:val="231F20"/>
          <w:spacing w:val="-3"/>
        </w:rPr>
        <w:t xml:space="preserve"> </w:t>
      </w:r>
      <w:proofErr w:type="gramStart"/>
      <w:r>
        <w:rPr>
          <w:color w:val="231F20"/>
        </w:rPr>
        <w:t>time;</w:t>
      </w:r>
      <w:proofErr w:type="gramEnd"/>
    </w:p>
    <w:p w14:paraId="704F018B" w14:textId="252413F4" w:rsidR="00505CDD" w:rsidRDefault="00505CDD" w:rsidP="00051CFB">
      <w:pPr>
        <w:pStyle w:val="BodyText"/>
        <w:tabs>
          <w:tab w:val="left" w:pos="4395"/>
        </w:tabs>
        <w:kinsoku w:val="0"/>
        <w:overflowPunct w:val="0"/>
        <w:ind w:left="4395" w:right="1448" w:hanging="4168"/>
        <w:jc w:val="both"/>
        <w:rPr>
          <w:color w:val="231F20"/>
        </w:rPr>
      </w:pPr>
    </w:p>
    <w:p w14:paraId="4A740B12" w14:textId="5460F68B" w:rsidR="00240151" w:rsidRDefault="00240151" w:rsidP="00051CFB">
      <w:pPr>
        <w:pStyle w:val="BodyText"/>
        <w:tabs>
          <w:tab w:val="left" w:pos="4395"/>
        </w:tabs>
        <w:kinsoku w:val="0"/>
        <w:overflowPunct w:val="0"/>
        <w:ind w:left="4395" w:right="1448" w:hanging="4168"/>
        <w:jc w:val="both"/>
        <w:rPr>
          <w:color w:val="231F20"/>
        </w:rPr>
      </w:pPr>
      <w:r>
        <w:rPr>
          <w:color w:val="231F20"/>
        </w:rPr>
        <w:t>“Historical Financial Information of the Group”</w:t>
      </w:r>
      <w:r>
        <w:rPr>
          <w:color w:val="231F20"/>
        </w:rPr>
        <w:tab/>
        <w:t>the historical financial information of the Group as incorporated by reference into this Document at Part IV, being the audited annual accounts of the Company for the</w:t>
      </w:r>
      <w:r>
        <w:rPr>
          <w:color w:val="231F20"/>
          <w:spacing w:val="-5"/>
        </w:rPr>
        <w:t xml:space="preserve"> </w:t>
      </w:r>
      <w:r>
        <w:rPr>
          <w:color w:val="231F20"/>
        </w:rPr>
        <w:t>year</w:t>
      </w:r>
      <w:r>
        <w:rPr>
          <w:color w:val="231F20"/>
          <w:spacing w:val="-4"/>
        </w:rPr>
        <w:t xml:space="preserve"> </w:t>
      </w:r>
      <w:r>
        <w:rPr>
          <w:color w:val="231F20"/>
        </w:rPr>
        <w:t>ended</w:t>
      </w:r>
      <w:r>
        <w:rPr>
          <w:color w:val="231F20"/>
          <w:spacing w:val="-5"/>
        </w:rPr>
        <w:t xml:space="preserve"> </w:t>
      </w:r>
      <w:r>
        <w:rPr>
          <w:color w:val="231F20"/>
        </w:rPr>
        <w:t>31</w:t>
      </w:r>
      <w:r>
        <w:rPr>
          <w:color w:val="231F20"/>
          <w:spacing w:val="-4"/>
        </w:rPr>
        <w:t xml:space="preserve"> </w:t>
      </w:r>
      <w:r>
        <w:rPr>
          <w:color w:val="231F20"/>
        </w:rPr>
        <w:t>December</w:t>
      </w:r>
      <w:r w:rsidR="00B75F85">
        <w:rPr>
          <w:color w:val="231F20"/>
        </w:rPr>
        <w:t xml:space="preserve"> </w:t>
      </w:r>
      <w:proofErr w:type="gramStart"/>
      <w:r w:rsidR="00B75F85">
        <w:rPr>
          <w:color w:val="231F20"/>
        </w:rPr>
        <w:t>2020</w:t>
      </w:r>
      <w:r>
        <w:rPr>
          <w:color w:val="231F20"/>
        </w:rPr>
        <w:t>;</w:t>
      </w:r>
      <w:proofErr w:type="gramEnd"/>
    </w:p>
    <w:p w14:paraId="60D98E60" w14:textId="77777777" w:rsidR="00240151" w:rsidRDefault="00240151" w:rsidP="00051CFB">
      <w:pPr>
        <w:pStyle w:val="BodyText"/>
        <w:tabs>
          <w:tab w:val="left" w:pos="4395"/>
        </w:tabs>
        <w:kinsoku w:val="0"/>
        <w:overflowPunct w:val="0"/>
        <w:spacing w:before="95"/>
        <w:ind w:left="4395" w:hanging="4111"/>
        <w:jc w:val="both"/>
        <w:rPr>
          <w:sz w:val="9"/>
          <w:szCs w:val="9"/>
        </w:rPr>
      </w:pPr>
    </w:p>
    <w:p w14:paraId="1537D4BD" w14:textId="77777777" w:rsidR="00240151" w:rsidRDefault="00240151" w:rsidP="00051CFB">
      <w:pPr>
        <w:pStyle w:val="BodyText"/>
        <w:tabs>
          <w:tab w:val="left" w:pos="4395"/>
        </w:tabs>
        <w:kinsoku w:val="0"/>
        <w:overflowPunct w:val="0"/>
        <w:spacing w:before="94"/>
        <w:ind w:left="4395" w:right="1494" w:hanging="4185"/>
        <w:jc w:val="both"/>
        <w:rPr>
          <w:color w:val="231F20"/>
        </w:rPr>
      </w:pPr>
      <w:r>
        <w:rPr>
          <w:color w:val="231F20"/>
        </w:rPr>
        <w:t>“HKP”</w:t>
      </w:r>
      <w:r>
        <w:rPr>
          <w:color w:val="231F20"/>
        </w:rPr>
        <w:tab/>
        <w:t>HKP Exploration Ltd, a company incorporated in Cyprus with company number HE</w:t>
      </w:r>
      <w:r>
        <w:rPr>
          <w:color w:val="231F20"/>
          <w:spacing w:val="-1"/>
        </w:rPr>
        <w:t xml:space="preserve"> </w:t>
      </w:r>
      <w:r>
        <w:rPr>
          <w:color w:val="231F20"/>
        </w:rPr>
        <w:t>333726 (now CRCL</w:t>
      </w:r>
      <w:proofErr w:type="gramStart"/>
      <w:r>
        <w:rPr>
          <w:color w:val="231F20"/>
        </w:rPr>
        <w:t>);</w:t>
      </w:r>
      <w:proofErr w:type="gramEnd"/>
    </w:p>
    <w:p w14:paraId="19E924AA" w14:textId="77777777" w:rsidR="00240151" w:rsidRDefault="00240151" w:rsidP="00051CFB">
      <w:pPr>
        <w:pStyle w:val="BodyText"/>
        <w:kinsoku w:val="0"/>
        <w:overflowPunct w:val="0"/>
        <w:jc w:val="both"/>
      </w:pPr>
    </w:p>
    <w:p w14:paraId="2030449C" w14:textId="77777777" w:rsidR="00240151" w:rsidRDefault="00240151" w:rsidP="00051CFB">
      <w:pPr>
        <w:pStyle w:val="BodyText"/>
        <w:tabs>
          <w:tab w:val="left" w:pos="4395"/>
          <w:tab w:val="left" w:pos="8080"/>
        </w:tabs>
        <w:kinsoku w:val="0"/>
        <w:overflowPunct w:val="0"/>
        <w:spacing w:before="1"/>
        <w:ind w:left="4395" w:right="1448" w:hanging="4168"/>
        <w:jc w:val="both"/>
        <w:rPr>
          <w:color w:val="231F20"/>
        </w:rPr>
      </w:pPr>
      <w:r>
        <w:rPr>
          <w:color w:val="231F20"/>
        </w:rPr>
        <w:t>“HKP</w:t>
      </w:r>
      <w:r>
        <w:rPr>
          <w:color w:val="231F20"/>
          <w:spacing w:val="-2"/>
        </w:rPr>
        <w:t xml:space="preserve"> </w:t>
      </w:r>
      <w:r>
        <w:rPr>
          <w:color w:val="231F20"/>
        </w:rPr>
        <w:t>Sellers”</w:t>
      </w:r>
      <w:r>
        <w:rPr>
          <w:color w:val="231F20"/>
        </w:rPr>
        <w:tab/>
        <w:t>the holders of the entire issued share capital of HKP immediately prior to completion of the</w:t>
      </w:r>
      <w:r>
        <w:rPr>
          <w:color w:val="231F20"/>
          <w:spacing w:val="-2"/>
        </w:rPr>
        <w:t xml:space="preserve"> </w:t>
      </w:r>
      <w:proofErr w:type="gramStart"/>
      <w:r>
        <w:rPr>
          <w:color w:val="231F20"/>
        </w:rPr>
        <w:t>Acquisition;</w:t>
      </w:r>
      <w:proofErr w:type="gramEnd"/>
    </w:p>
    <w:p w14:paraId="76C4C6A5" w14:textId="77777777" w:rsidR="00240151" w:rsidRDefault="00240151" w:rsidP="00051CFB">
      <w:pPr>
        <w:pStyle w:val="BodyText"/>
        <w:kinsoku w:val="0"/>
        <w:overflowPunct w:val="0"/>
        <w:spacing w:before="9"/>
        <w:jc w:val="both"/>
        <w:rPr>
          <w:sz w:val="17"/>
          <w:szCs w:val="17"/>
        </w:rPr>
      </w:pPr>
    </w:p>
    <w:p w14:paraId="7605AE0F" w14:textId="1518C249" w:rsidR="00240151" w:rsidRDefault="00240151" w:rsidP="00051CFB">
      <w:pPr>
        <w:pStyle w:val="BodyText"/>
        <w:tabs>
          <w:tab w:val="left" w:pos="4395"/>
        </w:tabs>
        <w:kinsoku w:val="0"/>
        <w:overflowPunct w:val="0"/>
        <w:ind w:left="4395" w:right="1448" w:hanging="4111"/>
        <w:jc w:val="both"/>
        <w:rPr>
          <w:color w:val="231F20"/>
        </w:rPr>
      </w:pPr>
      <w:r>
        <w:rPr>
          <w:color w:val="231F20"/>
        </w:rPr>
        <w:t>“HMRC”</w:t>
      </w:r>
      <w:r>
        <w:rPr>
          <w:color w:val="231F20"/>
        </w:rPr>
        <w:tab/>
        <w:t>Her Majesty’s Revenue and Custom, the ministerial department of the UK government responsible for</w:t>
      </w:r>
      <w:r>
        <w:rPr>
          <w:color w:val="231F20"/>
          <w:spacing w:val="-3"/>
        </w:rPr>
        <w:t xml:space="preserve"> </w:t>
      </w:r>
      <w:proofErr w:type="gramStart"/>
      <w:r>
        <w:rPr>
          <w:color w:val="231F20"/>
        </w:rPr>
        <w:t>taxation;</w:t>
      </w:r>
      <w:proofErr w:type="gramEnd"/>
    </w:p>
    <w:p w14:paraId="52F37B0C" w14:textId="77777777" w:rsidR="00240151" w:rsidRDefault="00240151" w:rsidP="00051CFB">
      <w:pPr>
        <w:pStyle w:val="BodyText"/>
        <w:kinsoku w:val="0"/>
        <w:overflowPunct w:val="0"/>
        <w:spacing w:before="1"/>
        <w:jc w:val="both"/>
      </w:pPr>
    </w:p>
    <w:p w14:paraId="61C4501A" w14:textId="77777777" w:rsidR="00240151" w:rsidRDefault="00240151" w:rsidP="00051CFB">
      <w:pPr>
        <w:pStyle w:val="BodyText"/>
        <w:tabs>
          <w:tab w:val="left" w:pos="4395"/>
        </w:tabs>
        <w:kinsoku w:val="0"/>
        <w:overflowPunct w:val="0"/>
        <w:ind w:left="4395" w:right="1446" w:hanging="4111"/>
        <w:jc w:val="both"/>
        <w:rPr>
          <w:color w:val="231F20"/>
        </w:rPr>
      </w:pPr>
      <w:r>
        <w:rPr>
          <w:color w:val="231F20"/>
        </w:rPr>
        <w:t>“IFRS”</w:t>
      </w:r>
      <w:r>
        <w:rPr>
          <w:color w:val="231F20"/>
        </w:rPr>
        <w:tab/>
        <w:t>International</w:t>
      </w:r>
      <w:r>
        <w:rPr>
          <w:color w:val="231F20"/>
          <w:spacing w:val="-12"/>
        </w:rPr>
        <w:t xml:space="preserve"> </w:t>
      </w:r>
      <w:r>
        <w:rPr>
          <w:color w:val="231F20"/>
        </w:rPr>
        <w:t>Financial</w:t>
      </w:r>
      <w:r>
        <w:rPr>
          <w:color w:val="231F20"/>
          <w:spacing w:val="-12"/>
        </w:rPr>
        <w:t xml:space="preserve"> </w:t>
      </w:r>
      <w:r>
        <w:rPr>
          <w:color w:val="231F20"/>
        </w:rPr>
        <w:t>Reporting</w:t>
      </w:r>
      <w:r>
        <w:rPr>
          <w:color w:val="231F20"/>
          <w:spacing w:val="-12"/>
        </w:rPr>
        <w:t xml:space="preserve"> </w:t>
      </w:r>
      <w:r>
        <w:rPr>
          <w:color w:val="231F20"/>
        </w:rPr>
        <w:t>Standards,</w:t>
      </w:r>
      <w:r>
        <w:rPr>
          <w:color w:val="231F20"/>
          <w:spacing w:val="-12"/>
        </w:rPr>
        <w:t xml:space="preserve"> </w:t>
      </w:r>
      <w:r>
        <w:rPr>
          <w:color w:val="231F20"/>
        </w:rPr>
        <w:t>as</w:t>
      </w:r>
      <w:r>
        <w:rPr>
          <w:color w:val="231F20"/>
          <w:spacing w:val="-12"/>
        </w:rPr>
        <w:t xml:space="preserve"> </w:t>
      </w:r>
      <w:r>
        <w:rPr>
          <w:color w:val="231F20"/>
        </w:rPr>
        <w:t>endorsed</w:t>
      </w:r>
      <w:r>
        <w:rPr>
          <w:color w:val="231F20"/>
          <w:spacing w:val="-12"/>
        </w:rPr>
        <w:t xml:space="preserve"> </w:t>
      </w:r>
      <w:r>
        <w:rPr>
          <w:color w:val="231F20"/>
        </w:rPr>
        <w:t>by</w:t>
      </w:r>
      <w:r>
        <w:rPr>
          <w:color w:val="231F20"/>
          <w:spacing w:val="-13"/>
        </w:rPr>
        <w:t xml:space="preserve"> </w:t>
      </w:r>
      <w:r>
        <w:rPr>
          <w:color w:val="231F20"/>
        </w:rPr>
        <w:t>the</w:t>
      </w:r>
      <w:r>
        <w:rPr>
          <w:color w:val="231F20"/>
          <w:spacing w:val="-11"/>
        </w:rPr>
        <w:t xml:space="preserve"> </w:t>
      </w:r>
      <w:r>
        <w:rPr>
          <w:color w:val="231F20"/>
        </w:rPr>
        <w:t>European</w:t>
      </w:r>
      <w:r>
        <w:rPr>
          <w:color w:val="231F20"/>
          <w:spacing w:val="-12"/>
        </w:rPr>
        <w:t xml:space="preserve"> </w:t>
      </w:r>
      <w:proofErr w:type="gramStart"/>
      <w:r>
        <w:rPr>
          <w:color w:val="231F20"/>
        </w:rPr>
        <w:t>Union;</w:t>
      </w:r>
      <w:proofErr w:type="gramEnd"/>
    </w:p>
    <w:p w14:paraId="4341DFFE" w14:textId="77777777" w:rsidR="00240151" w:rsidRDefault="00240151" w:rsidP="00051CFB">
      <w:pPr>
        <w:pStyle w:val="BodyText"/>
        <w:tabs>
          <w:tab w:val="left" w:pos="2632"/>
        </w:tabs>
        <w:kinsoku w:val="0"/>
        <w:overflowPunct w:val="0"/>
        <w:jc w:val="both"/>
        <w:rPr>
          <w:color w:val="231F20"/>
        </w:rPr>
      </w:pPr>
    </w:p>
    <w:p w14:paraId="513AF85A" w14:textId="77777777" w:rsidR="00240151" w:rsidRDefault="00240151" w:rsidP="00051CFB">
      <w:pPr>
        <w:pStyle w:val="BodyText"/>
        <w:kinsoku w:val="0"/>
        <w:overflowPunct w:val="0"/>
        <w:spacing w:before="78"/>
        <w:ind w:left="4395" w:right="1486" w:hanging="4111"/>
        <w:jc w:val="both"/>
        <w:rPr>
          <w:color w:val="231F20"/>
        </w:rPr>
      </w:pPr>
      <w:r>
        <w:rPr>
          <w:color w:val="231F20"/>
        </w:rPr>
        <w:t xml:space="preserve">“Investment Agreement” </w:t>
      </w:r>
      <w:r>
        <w:rPr>
          <w:color w:val="231F20"/>
        </w:rPr>
        <w:tab/>
        <w:t xml:space="preserve">the investment agreement between </w:t>
      </w:r>
      <w:proofErr w:type="spellStart"/>
      <w:r>
        <w:rPr>
          <w:color w:val="231F20"/>
        </w:rPr>
        <w:t>Polymetal</w:t>
      </w:r>
      <w:proofErr w:type="spellEnd"/>
      <w:r>
        <w:rPr>
          <w:color w:val="231F20"/>
        </w:rPr>
        <w:t xml:space="preserve"> and the Company in relation to the Investment </w:t>
      </w:r>
      <w:proofErr w:type="gramStart"/>
      <w:r>
        <w:rPr>
          <w:color w:val="231F20"/>
        </w:rPr>
        <w:t>Commitment;</w:t>
      </w:r>
      <w:proofErr w:type="gramEnd"/>
    </w:p>
    <w:p w14:paraId="5E566FCE" w14:textId="77777777" w:rsidR="00240151" w:rsidRDefault="00240151" w:rsidP="00240151">
      <w:pPr>
        <w:pStyle w:val="BodyText"/>
        <w:kinsoku w:val="0"/>
        <w:overflowPunct w:val="0"/>
      </w:pPr>
    </w:p>
    <w:p w14:paraId="350C2D3E" w14:textId="700929E9" w:rsidR="00240151" w:rsidRDefault="00240151" w:rsidP="00240151">
      <w:pPr>
        <w:pStyle w:val="BodyText"/>
        <w:kinsoku w:val="0"/>
        <w:overflowPunct w:val="0"/>
        <w:ind w:left="4395" w:right="1488" w:hanging="4111"/>
        <w:jc w:val="both"/>
        <w:rPr>
          <w:color w:val="231F20"/>
        </w:rPr>
      </w:pPr>
      <w:r>
        <w:rPr>
          <w:color w:val="231F20"/>
        </w:rPr>
        <w:t xml:space="preserve">“Investment Commitment” </w:t>
      </w:r>
      <w:r>
        <w:rPr>
          <w:color w:val="231F20"/>
        </w:rPr>
        <w:tab/>
        <w:t xml:space="preserve">the commitment by </w:t>
      </w:r>
      <w:proofErr w:type="spellStart"/>
      <w:r>
        <w:rPr>
          <w:color w:val="231F20"/>
        </w:rPr>
        <w:t>Polymetal</w:t>
      </w:r>
      <w:proofErr w:type="spellEnd"/>
      <w:r>
        <w:rPr>
          <w:color w:val="231F20"/>
        </w:rPr>
        <w:t xml:space="preserve">, to invest £2,100,000 in the </w:t>
      </w:r>
      <w:r w:rsidR="001A7287">
        <w:rPr>
          <w:color w:val="231F20"/>
        </w:rPr>
        <w:t xml:space="preserve">Company </w:t>
      </w:r>
      <w:r>
        <w:rPr>
          <w:color w:val="231F20"/>
        </w:rPr>
        <w:t xml:space="preserve">through the subscription for 23,333,334 new Ordinary </w:t>
      </w:r>
      <w:proofErr w:type="gramStart"/>
      <w:r>
        <w:rPr>
          <w:color w:val="231F20"/>
        </w:rPr>
        <w:t>Shares;</w:t>
      </w:r>
      <w:proofErr w:type="gramEnd"/>
    </w:p>
    <w:p w14:paraId="2F308395" w14:textId="77777777" w:rsidR="00240151" w:rsidRDefault="00240151" w:rsidP="00240151">
      <w:pPr>
        <w:pStyle w:val="BodyText"/>
        <w:kinsoku w:val="0"/>
        <w:overflowPunct w:val="0"/>
        <w:ind w:left="4395" w:right="1488" w:hanging="4111"/>
        <w:jc w:val="both"/>
        <w:rPr>
          <w:color w:val="231F20"/>
        </w:rPr>
      </w:pPr>
    </w:p>
    <w:p w14:paraId="7334BFB8" w14:textId="5657E824" w:rsidR="00240151" w:rsidRDefault="00240151" w:rsidP="00240151">
      <w:pPr>
        <w:pStyle w:val="BodyText"/>
        <w:kinsoku w:val="0"/>
        <w:overflowPunct w:val="0"/>
        <w:ind w:left="4395" w:right="1488" w:hanging="4111"/>
        <w:jc w:val="both"/>
        <w:rPr>
          <w:color w:val="231F20"/>
        </w:rPr>
      </w:pPr>
      <w:r>
        <w:rPr>
          <w:color w:val="231F20"/>
        </w:rPr>
        <w:t>“Investment Commitment Shares”</w:t>
      </w:r>
      <w:r>
        <w:rPr>
          <w:color w:val="231F20"/>
        </w:rPr>
        <w:tab/>
        <w:t xml:space="preserve">the 23,333,334 new Ordinary shares subscribed for by </w:t>
      </w:r>
      <w:proofErr w:type="spellStart"/>
      <w:proofErr w:type="gramStart"/>
      <w:r>
        <w:rPr>
          <w:color w:val="231F20"/>
        </w:rPr>
        <w:t>Polymetal</w:t>
      </w:r>
      <w:proofErr w:type="spellEnd"/>
      <w:r>
        <w:rPr>
          <w:color w:val="231F20"/>
        </w:rPr>
        <w:t>;</w:t>
      </w:r>
      <w:proofErr w:type="gramEnd"/>
    </w:p>
    <w:p w14:paraId="05718EA3" w14:textId="7079C9B8" w:rsidR="00505CDD" w:rsidRDefault="00505CDD" w:rsidP="00240151">
      <w:pPr>
        <w:pStyle w:val="BodyText"/>
        <w:kinsoku w:val="0"/>
        <w:overflowPunct w:val="0"/>
        <w:ind w:left="4395" w:right="1488" w:hanging="4111"/>
        <w:jc w:val="both"/>
        <w:rPr>
          <w:color w:val="231F20"/>
        </w:rPr>
      </w:pPr>
    </w:p>
    <w:p w14:paraId="6575573F" w14:textId="52F8751A" w:rsidR="00240151" w:rsidRDefault="00240151" w:rsidP="00505CDD">
      <w:pPr>
        <w:pStyle w:val="BodyText"/>
        <w:kinsoku w:val="0"/>
        <w:overflowPunct w:val="0"/>
        <w:ind w:left="4395" w:right="1488" w:hanging="4111"/>
        <w:jc w:val="both"/>
        <w:rPr>
          <w:color w:val="231F20"/>
        </w:rPr>
      </w:pPr>
      <w:r>
        <w:rPr>
          <w:color w:val="231F20"/>
        </w:rPr>
        <w:t>“Investor”</w:t>
      </w:r>
      <w:r>
        <w:rPr>
          <w:color w:val="231F20"/>
        </w:rPr>
        <w:tab/>
        <w:t>means</w:t>
      </w:r>
      <w:r>
        <w:rPr>
          <w:color w:val="231F20"/>
          <w:spacing w:val="-6"/>
        </w:rPr>
        <w:t xml:space="preserve"> </w:t>
      </w:r>
      <w:r>
        <w:rPr>
          <w:color w:val="231F20"/>
        </w:rPr>
        <w:t>a</w:t>
      </w:r>
      <w:r>
        <w:rPr>
          <w:color w:val="231F20"/>
          <w:spacing w:val="-6"/>
        </w:rPr>
        <w:t xml:space="preserve"> </w:t>
      </w:r>
      <w:r>
        <w:rPr>
          <w:color w:val="231F20"/>
        </w:rPr>
        <w:t>person</w:t>
      </w:r>
      <w:r>
        <w:rPr>
          <w:color w:val="231F20"/>
          <w:spacing w:val="-5"/>
        </w:rPr>
        <w:t xml:space="preserve"> </w:t>
      </w:r>
      <w:r>
        <w:rPr>
          <w:color w:val="231F20"/>
        </w:rPr>
        <w:t>who</w:t>
      </w:r>
      <w:r>
        <w:rPr>
          <w:color w:val="231F20"/>
          <w:spacing w:val="-4"/>
        </w:rPr>
        <w:t xml:space="preserve"> </w:t>
      </w:r>
      <w:r>
        <w:rPr>
          <w:color w:val="231F20"/>
        </w:rPr>
        <w:t>has</w:t>
      </w:r>
      <w:r>
        <w:rPr>
          <w:color w:val="231F20"/>
          <w:spacing w:val="-5"/>
        </w:rPr>
        <w:t xml:space="preserve"> </w:t>
      </w:r>
      <w:r>
        <w:rPr>
          <w:color w:val="231F20"/>
        </w:rPr>
        <w:t>agreed</w:t>
      </w:r>
      <w:r>
        <w:rPr>
          <w:color w:val="231F20"/>
          <w:spacing w:val="-4"/>
        </w:rPr>
        <w:t xml:space="preserve"> </w:t>
      </w:r>
      <w:r>
        <w:rPr>
          <w:color w:val="231F20"/>
        </w:rPr>
        <w:t>to</w:t>
      </w:r>
      <w:r>
        <w:rPr>
          <w:color w:val="231F20"/>
          <w:spacing w:val="-6"/>
        </w:rPr>
        <w:t xml:space="preserve"> </w:t>
      </w:r>
      <w:r>
        <w:rPr>
          <w:color w:val="231F20"/>
        </w:rPr>
        <w:t>subscribe</w:t>
      </w:r>
      <w:r>
        <w:rPr>
          <w:color w:val="231F20"/>
          <w:spacing w:val="-5"/>
        </w:rPr>
        <w:t xml:space="preserve"> </w:t>
      </w:r>
      <w:r>
        <w:rPr>
          <w:color w:val="231F20"/>
        </w:rPr>
        <w:t>for</w:t>
      </w:r>
      <w:r>
        <w:rPr>
          <w:color w:val="231F20"/>
          <w:spacing w:val="-7"/>
        </w:rPr>
        <w:t xml:space="preserve"> </w:t>
      </w:r>
      <w:r>
        <w:rPr>
          <w:color w:val="231F20"/>
        </w:rPr>
        <w:t>new</w:t>
      </w:r>
      <w:r>
        <w:rPr>
          <w:color w:val="231F20"/>
          <w:spacing w:val="-6"/>
        </w:rPr>
        <w:t xml:space="preserve"> </w:t>
      </w:r>
      <w:r>
        <w:rPr>
          <w:color w:val="231F20"/>
        </w:rPr>
        <w:t>Ordinary</w:t>
      </w:r>
      <w:r>
        <w:rPr>
          <w:color w:val="231F20"/>
          <w:spacing w:val="-6"/>
        </w:rPr>
        <w:t xml:space="preserve"> </w:t>
      </w:r>
      <w:r>
        <w:rPr>
          <w:color w:val="231F20"/>
        </w:rPr>
        <w:t>Shares</w:t>
      </w:r>
      <w:r>
        <w:rPr>
          <w:color w:val="231F20"/>
          <w:spacing w:val="-6"/>
        </w:rPr>
        <w:t xml:space="preserve"> </w:t>
      </w:r>
      <w:r>
        <w:rPr>
          <w:color w:val="231F20"/>
        </w:rPr>
        <w:t>as</w:t>
      </w:r>
      <w:r>
        <w:rPr>
          <w:color w:val="231F20"/>
          <w:spacing w:val="-5"/>
        </w:rPr>
        <w:t xml:space="preserve"> </w:t>
      </w:r>
      <w:r>
        <w:rPr>
          <w:color w:val="231F20"/>
        </w:rPr>
        <w:t>part</w:t>
      </w:r>
      <w:r>
        <w:rPr>
          <w:color w:val="231F20"/>
          <w:spacing w:val="-6"/>
        </w:rPr>
        <w:t xml:space="preserve"> </w:t>
      </w:r>
      <w:r>
        <w:rPr>
          <w:color w:val="231F20"/>
        </w:rPr>
        <w:t xml:space="preserve">of the </w:t>
      </w:r>
      <w:proofErr w:type="gramStart"/>
      <w:r>
        <w:rPr>
          <w:color w:val="231F20"/>
        </w:rPr>
        <w:t>Placing;</w:t>
      </w:r>
      <w:proofErr w:type="gramEnd"/>
    </w:p>
    <w:p w14:paraId="61A0E640" w14:textId="77777777" w:rsidR="00240151" w:rsidRDefault="00240151" w:rsidP="00240151">
      <w:pPr>
        <w:pStyle w:val="BodyText"/>
        <w:kinsoku w:val="0"/>
        <w:overflowPunct w:val="0"/>
        <w:spacing w:before="10"/>
        <w:rPr>
          <w:sz w:val="17"/>
          <w:szCs w:val="17"/>
        </w:rPr>
      </w:pPr>
    </w:p>
    <w:p w14:paraId="74AE0155" w14:textId="77777777" w:rsidR="00240151" w:rsidRDefault="00240151" w:rsidP="00240151">
      <w:pPr>
        <w:pStyle w:val="BodyText"/>
        <w:tabs>
          <w:tab w:val="left" w:pos="4395"/>
        </w:tabs>
        <w:kinsoku w:val="0"/>
        <w:overflowPunct w:val="0"/>
        <w:ind w:left="4395" w:right="1487" w:hanging="4111"/>
        <w:jc w:val="both"/>
        <w:rPr>
          <w:color w:val="231F20"/>
        </w:rPr>
      </w:pPr>
      <w:r>
        <w:rPr>
          <w:color w:val="231F20"/>
        </w:rPr>
        <w:t>“IPO</w:t>
      </w:r>
      <w:r>
        <w:rPr>
          <w:color w:val="231F20"/>
          <w:spacing w:val="-2"/>
        </w:rPr>
        <w:t xml:space="preserve"> </w:t>
      </w:r>
      <w:r>
        <w:rPr>
          <w:color w:val="231F20"/>
        </w:rPr>
        <w:t>Admission”</w:t>
      </w:r>
      <w:r>
        <w:rPr>
          <w:color w:val="231F20"/>
        </w:rPr>
        <w:tab/>
        <w:t>the</w:t>
      </w:r>
      <w:r>
        <w:rPr>
          <w:color w:val="231F20"/>
          <w:spacing w:val="-1"/>
        </w:rPr>
        <w:t xml:space="preserve"> </w:t>
      </w:r>
      <w:r>
        <w:rPr>
          <w:color w:val="231F20"/>
        </w:rPr>
        <w:t>admission</w:t>
      </w:r>
      <w:r>
        <w:rPr>
          <w:color w:val="231F20"/>
          <w:spacing w:val="-1"/>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Existing</w:t>
      </w:r>
      <w:r>
        <w:rPr>
          <w:color w:val="231F20"/>
          <w:spacing w:val="-5"/>
        </w:rPr>
        <w:t xml:space="preserve"> </w:t>
      </w:r>
      <w:r>
        <w:rPr>
          <w:color w:val="231F20"/>
        </w:rPr>
        <w:t>Ordinary</w:t>
      </w:r>
      <w:r>
        <w:rPr>
          <w:color w:val="231F20"/>
          <w:spacing w:val="-4"/>
        </w:rPr>
        <w:t xml:space="preserve"> </w:t>
      </w:r>
      <w:r>
        <w:rPr>
          <w:color w:val="231F20"/>
        </w:rPr>
        <w:t>Shares</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Standard</w:t>
      </w:r>
      <w:r>
        <w:rPr>
          <w:color w:val="231F20"/>
          <w:spacing w:val="-1"/>
        </w:rPr>
        <w:t xml:space="preserve"> </w:t>
      </w:r>
      <w:r>
        <w:rPr>
          <w:color w:val="231F20"/>
        </w:rPr>
        <w:t>Listed</w:t>
      </w:r>
      <w:r>
        <w:rPr>
          <w:color w:val="231F20"/>
          <w:spacing w:val="-4"/>
        </w:rPr>
        <w:t xml:space="preserve"> </w:t>
      </w:r>
      <w:r>
        <w:rPr>
          <w:color w:val="231F20"/>
        </w:rPr>
        <w:t>segment</w:t>
      </w:r>
      <w:r>
        <w:rPr>
          <w:color w:val="231F20"/>
          <w:spacing w:val="-4"/>
        </w:rPr>
        <w:t xml:space="preserve"> </w:t>
      </w:r>
      <w:r>
        <w:rPr>
          <w:color w:val="231F20"/>
        </w:rPr>
        <w:t>of the Official List and to trading on the London Stock Exchange’s Main Market for listed securities, which became effective on 29 August</w:t>
      </w:r>
      <w:r>
        <w:rPr>
          <w:color w:val="231F20"/>
          <w:spacing w:val="-9"/>
        </w:rPr>
        <w:t xml:space="preserve"> </w:t>
      </w:r>
      <w:proofErr w:type="gramStart"/>
      <w:r>
        <w:rPr>
          <w:color w:val="231F20"/>
        </w:rPr>
        <w:t>2017;</w:t>
      </w:r>
      <w:proofErr w:type="gramEnd"/>
    </w:p>
    <w:p w14:paraId="52762326" w14:textId="77777777" w:rsidR="00240151" w:rsidRDefault="00240151" w:rsidP="00240151">
      <w:pPr>
        <w:pStyle w:val="BodyText"/>
        <w:kinsoku w:val="0"/>
        <w:overflowPunct w:val="0"/>
      </w:pPr>
    </w:p>
    <w:p w14:paraId="192F39A8" w14:textId="77777777" w:rsidR="00240151" w:rsidRDefault="00240151" w:rsidP="00240151">
      <w:pPr>
        <w:pStyle w:val="BodyText"/>
        <w:kinsoku w:val="0"/>
        <w:overflowPunct w:val="0"/>
        <w:ind w:left="4395" w:right="1490" w:hanging="4111"/>
        <w:jc w:val="both"/>
        <w:rPr>
          <w:color w:val="231F20"/>
        </w:rPr>
      </w:pPr>
      <w:r>
        <w:rPr>
          <w:color w:val="231F20"/>
        </w:rPr>
        <w:lastRenderedPageBreak/>
        <w:t>“IPO</w:t>
      </w:r>
      <w:r>
        <w:rPr>
          <w:color w:val="231F20"/>
          <w:spacing w:val="-2"/>
        </w:rPr>
        <w:t xml:space="preserve"> </w:t>
      </w:r>
      <w:proofErr w:type="spellStart"/>
      <w:r>
        <w:rPr>
          <w:color w:val="231F20"/>
        </w:rPr>
        <w:t>Placee</w:t>
      </w:r>
      <w:proofErr w:type="spellEnd"/>
      <w:r>
        <w:rPr>
          <w:color w:val="231F20"/>
        </w:rPr>
        <w:t>”</w:t>
      </w:r>
      <w:r>
        <w:rPr>
          <w:color w:val="231F20"/>
        </w:rPr>
        <w:tab/>
        <w:t>a</w:t>
      </w:r>
      <w:r>
        <w:rPr>
          <w:color w:val="231F20"/>
          <w:spacing w:val="-7"/>
        </w:rPr>
        <w:t xml:space="preserve"> </w:t>
      </w:r>
      <w:r>
        <w:rPr>
          <w:color w:val="231F20"/>
        </w:rPr>
        <w:t>person</w:t>
      </w:r>
      <w:r>
        <w:rPr>
          <w:color w:val="231F20"/>
          <w:spacing w:val="-9"/>
        </w:rPr>
        <w:t xml:space="preserve"> </w:t>
      </w:r>
      <w:r>
        <w:rPr>
          <w:color w:val="231F20"/>
        </w:rPr>
        <w:t>who</w:t>
      </w:r>
      <w:r>
        <w:rPr>
          <w:color w:val="231F20"/>
          <w:spacing w:val="-7"/>
        </w:rPr>
        <w:t xml:space="preserve"> </w:t>
      </w:r>
      <w:r>
        <w:rPr>
          <w:color w:val="231F20"/>
        </w:rPr>
        <w:t>subscribed</w:t>
      </w:r>
      <w:r>
        <w:rPr>
          <w:color w:val="231F20"/>
          <w:spacing w:val="-9"/>
        </w:rPr>
        <w:t xml:space="preserve"> </w:t>
      </w:r>
      <w:r>
        <w:rPr>
          <w:color w:val="231F20"/>
        </w:rPr>
        <w:t>for</w:t>
      </w:r>
      <w:r>
        <w:rPr>
          <w:color w:val="231F20"/>
          <w:spacing w:val="-10"/>
        </w:rPr>
        <w:t xml:space="preserve"> </w:t>
      </w:r>
      <w:r>
        <w:rPr>
          <w:color w:val="231F20"/>
        </w:rPr>
        <w:t>IPO</w:t>
      </w:r>
      <w:r>
        <w:rPr>
          <w:color w:val="231F20"/>
          <w:spacing w:val="-8"/>
        </w:rPr>
        <w:t xml:space="preserve"> </w:t>
      </w:r>
      <w:r>
        <w:rPr>
          <w:color w:val="231F20"/>
        </w:rPr>
        <w:t>Placing</w:t>
      </w:r>
      <w:r>
        <w:rPr>
          <w:color w:val="231F20"/>
          <w:spacing w:val="-10"/>
        </w:rPr>
        <w:t xml:space="preserve"> </w:t>
      </w:r>
      <w:r>
        <w:rPr>
          <w:color w:val="231F20"/>
        </w:rPr>
        <w:t>Shares</w:t>
      </w:r>
      <w:r>
        <w:rPr>
          <w:color w:val="231F20"/>
          <w:spacing w:val="-8"/>
        </w:rPr>
        <w:t xml:space="preserve"> </w:t>
      </w:r>
      <w:r>
        <w:rPr>
          <w:color w:val="231F20"/>
        </w:rPr>
        <w:t>under</w:t>
      </w:r>
      <w:r>
        <w:rPr>
          <w:color w:val="231F20"/>
          <w:spacing w:val="-8"/>
        </w:rPr>
        <w:t xml:space="preserve"> </w:t>
      </w:r>
      <w:r>
        <w:rPr>
          <w:color w:val="231F20"/>
        </w:rPr>
        <w:t>the</w:t>
      </w:r>
      <w:r>
        <w:rPr>
          <w:color w:val="231F20"/>
          <w:spacing w:val="-9"/>
        </w:rPr>
        <w:t xml:space="preserve"> </w:t>
      </w:r>
      <w:r>
        <w:rPr>
          <w:color w:val="231F20"/>
        </w:rPr>
        <w:t>IPO</w:t>
      </w:r>
      <w:r>
        <w:rPr>
          <w:color w:val="231F20"/>
          <w:spacing w:val="-9"/>
        </w:rPr>
        <w:t xml:space="preserve"> </w:t>
      </w:r>
      <w:r>
        <w:rPr>
          <w:color w:val="231F20"/>
        </w:rPr>
        <w:t>Placing</w:t>
      </w:r>
      <w:r>
        <w:rPr>
          <w:color w:val="231F20"/>
          <w:spacing w:val="-9"/>
        </w:rPr>
        <w:t xml:space="preserve"> </w:t>
      </w:r>
      <w:r>
        <w:rPr>
          <w:color w:val="231F20"/>
        </w:rPr>
        <w:t>(together the IPO</w:t>
      </w:r>
      <w:r>
        <w:rPr>
          <w:color w:val="231F20"/>
          <w:spacing w:val="-1"/>
        </w:rPr>
        <w:t xml:space="preserve"> </w:t>
      </w:r>
      <w:proofErr w:type="spellStart"/>
      <w:r>
        <w:rPr>
          <w:color w:val="231F20"/>
        </w:rPr>
        <w:t>Placees</w:t>
      </w:r>
      <w:proofErr w:type="spellEnd"/>
      <w:proofErr w:type="gramStart"/>
      <w:r>
        <w:rPr>
          <w:color w:val="231F20"/>
        </w:rPr>
        <w:t>);</w:t>
      </w:r>
      <w:proofErr w:type="gramEnd"/>
    </w:p>
    <w:p w14:paraId="43C39522" w14:textId="77777777" w:rsidR="00240151" w:rsidRDefault="00240151" w:rsidP="00240151">
      <w:pPr>
        <w:pStyle w:val="BodyText"/>
        <w:kinsoku w:val="0"/>
        <w:overflowPunct w:val="0"/>
      </w:pPr>
    </w:p>
    <w:p w14:paraId="413D0E8C" w14:textId="77777777" w:rsidR="00240151" w:rsidRDefault="00240151" w:rsidP="00240151">
      <w:pPr>
        <w:pStyle w:val="BodyText"/>
        <w:tabs>
          <w:tab w:val="left" w:pos="4395"/>
        </w:tabs>
        <w:kinsoku w:val="0"/>
        <w:overflowPunct w:val="0"/>
        <w:ind w:left="4395" w:right="1488" w:hanging="4111"/>
        <w:jc w:val="both"/>
        <w:rPr>
          <w:color w:val="231F20"/>
        </w:rPr>
      </w:pPr>
      <w:r>
        <w:rPr>
          <w:color w:val="231F20"/>
        </w:rPr>
        <w:t>“IPO</w:t>
      </w:r>
      <w:r>
        <w:rPr>
          <w:color w:val="231F20"/>
          <w:spacing w:val="-2"/>
        </w:rPr>
        <w:t xml:space="preserve"> </w:t>
      </w:r>
      <w:r>
        <w:rPr>
          <w:color w:val="231F20"/>
        </w:rPr>
        <w:t>Placing”</w:t>
      </w:r>
      <w:r>
        <w:rPr>
          <w:color w:val="231F20"/>
        </w:rPr>
        <w:tab/>
        <w:t xml:space="preserve">the placing of the IPO Placing Shares by Fox Davies at 5p per IPO Placing Share pursuant to the IPO Placing </w:t>
      </w:r>
      <w:proofErr w:type="gramStart"/>
      <w:r>
        <w:rPr>
          <w:color w:val="231F20"/>
        </w:rPr>
        <w:t>Agreement;</w:t>
      </w:r>
      <w:proofErr w:type="gramEnd"/>
    </w:p>
    <w:p w14:paraId="5E63D87D" w14:textId="77777777" w:rsidR="00240151" w:rsidRDefault="00240151" w:rsidP="00240151">
      <w:pPr>
        <w:pStyle w:val="BodyText"/>
        <w:kinsoku w:val="0"/>
        <w:overflowPunct w:val="0"/>
        <w:spacing w:before="1"/>
      </w:pPr>
    </w:p>
    <w:p w14:paraId="37752620" w14:textId="77777777" w:rsidR="00240151" w:rsidRDefault="00240151" w:rsidP="00051CFB">
      <w:pPr>
        <w:pStyle w:val="BodyText"/>
        <w:kinsoku w:val="0"/>
        <w:overflowPunct w:val="0"/>
        <w:ind w:left="4395" w:right="1488" w:hanging="4111"/>
        <w:jc w:val="both"/>
        <w:rPr>
          <w:color w:val="231F20"/>
        </w:rPr>
      </w:pPr>
      <w:r>
        <w:rPr>
          <w:color w:val="231F20"/>
        </w:rPr>
        <w:t xml:space="preserve">“IPO Placing Agreement” </w:t>
      </w:r>
      <w:r>
        <w:rPr>
          <w:color w:val="231F20"/>
        </w:rPr>
        <w:tab/>
        <w:t xml:space="preserve">the placing agreement dated 22 August 2017 between </w:t>
      </w:r>
      <w:proofErr w:type="gramStart"/>
      <w:r>
        <w:rPr>
          <w:color w:val="231F20"/>
        </w:rPr>
        <w:t>the  Company</w:t>
      </w:r>
      <w:proofErr w:type="gramEnd"/>
      <w:r>
        <w:rPr>
          <w:color w:val="231F20"/>
        </w:rPr>
        <w:t>,  the  Directors and Fox</w:t>
      </w:r>
      <w:r>
        <w:rPr>
          <w:color w:val="231F20"/>
          <w:spacing w:val="-3"/>
        </w:rPr>
        <w:t xml:space="preserve"> </w:t>
      </w:r>
      <w:r>
        <w:rPr>
          <w:color w:val="231F20"/>
        </w:rPr>
        <w:t>Davies;</w:t>
      </w:r>
    </w:p>
    <w:p w14:paraId="719587D2" w14:textId="77777777" w:rsidR="00240151" w:rsidRDefault="00240151" w:rsidP="00051CFB">
      <w:pPr>
        <w:pStyle w:val="BodyText"/>
        <w:kinsoku w:val="0"/>
        <w:overflowPunct w:val="0"/>
        <w:spacing w:before="1"/>
        <w:jc w:val="both"/>
      </w:pPr>
    </w:p>
    <w:p w14:paraId="1088812C" w14:textId="77777777" w:rsidR="00240151" w:rsidRDefault="00240151" w:rsidP="00051CFB">
      <w:pPr>
        <w:pStyle w:val="BodyText"/>
        <w:tabs>
          <w:tab w:val="left" w:pos="4395"/>
        </w:tabs>
        <w:kinsoku w:val="0"/>
        <w:overflowPunct w:val="0"/>
        <w:ind w:left="4395" w:right="1494" w:hanging="4111"/>
        <w:jc w:val="both"/>
        <w:rPr>
          <w:color w:val="231F20"/>
        </w:rPr>
      </w:pPr>
      <w:r>
        <w:rPr>
          <w:color w:val="231F20"/>
        </w:rPr>
        <w:t>“IPO</w:t>
      </w:r>
      <w:r>
        <w:rPr>
          <w:color w:val="231F20"/>
          <w:spacing w:val="-3"/>
        </w:rPr>
        <w:t xml:space="preserve"> </w:t>
      </w:r>
      <w:r>
        <w:rPr>
          <w:color w:val="231F20"/>
        </w:rPr>
        <w:t>Placing Shares”</w:t>
      </w:r>
      <w:r>
        <w:rPr>
          <w:color w:val="231F20"/>
        </w:rPr>
        <w:tab/>
        <w:t xml:space="preserve">the 26,000,000 new Ordinary Shares allotted and issued pursuant to the IPO </w:t>
      </w:r>
      <w:proofErr w:type="gramStart"/>
      <w:r>
        <w:rPr>
          <w:color w:val="231F20"/>
        </w:rPr>
        <w:t>Placing;</w:t>
      </w:r>
      <w:proofErr w:type="gramEnd"/>
    </w:p>
    <w:p w14:paraId="5FD02E74" w14:textId="77777777" w:rsidR="00240151" w:rsidRDefault="00240151" w:rsidP="00051CFB">
      <w:pPr>
        <w:pStyle w:val="BodyText"/>
        <w:tabs>
          <w:tab w:val="left" w:pos="4395"/>
        </w:tabs>
        <w:kinsoku w:val="0"/>
        <w:overflowPunct w:val="0"/>
        <w:spacing w:before="4"/>
        <w:ind w:left="4395" w:right="1486" w:hanging="4111"/>
        <w:contextualSpacing/>
        <w:jc w:val="both"/>
        <w:rPr>
          <w:color w:val="231F20"/>
        </w:rPr>
      </w:pPr>
    </w:p>
    <w:p w14:paraId="5092FE31" w14:textId="77777777" w:rsidR="00240151" w:rsidRDefault="00240151" w:rsidP="00051CFB">
      <w:pPr>
        <w:pStyle w:val="BodyText"/>
        <w:tabs>
          <w:tab w:val="left" w:pos="4395"/>
        </w:tabs>
        <w:kinsoku w:val="0"/>
        <w:overflowPunct w:val="0"/>
        <w:spacing w:before="4"/>
        <w:ind w:left="4395" w:right="1486" w:hanging="4111"/>
        <w:contextualSpacing/>
        <w:jc w:val="both"/>
        <w:rPr>
          <w:color w:val="231F20"/>
        </w:rPr>
      </w:pPr>
      <w:r>
        <w:rPr>
          <w:color w:val="231F20"/>
        </w:rPr>
        <w:t>“July</w:t>
      </w:r>
      <w:r>
        <w:rPr>
          <w:color w:val="231F20"/>
          <w:spacing w:val="-3"/>
        </w:rPr>
        <w:t xml:space="preserve"> </w:t>
      </w:r>
      <w:r>
        <w:rPr>
          <w:color w:val="231F20"/>
        </w:rPr>
        <w:t>2020</w:t>
      </w:r>
      <w:r>
        <w:rPr>
          <w:color w:val="231F20"/>
          <w:spacing w:val="-1"/>
        </w:rPr>
        <w:t xml:space="preserve"> </w:t>
      </w:r>
      <w:r>
        <w:rPr>
          <w:color w:val="231F20"/>
        </w:rPr>
        <w:t>Fundraise”</w:t>
      </w:r>
      <w:r>
        <w:rPr>
          <w:color w:val="231F20"/>
        </w:rPr>
        <w:tab/>
        <w:t>a</w:t>
      </w:r>
      <w:r>
        <w:rPr>
          <w:color w:val="231F20"/>
          <w:spacing w:val="-4"/>
        </w:rPr>
        <w:t xml:space="preserve"> </w:t>
      </w:r>
      <w:r>
        <w:rPr>
          <w:color w:val="231F20"/>
        </w:rPr>
        <w:t>fundraise</w:t>
      </w:r>
      <w:r>
        <w:rPr>
          <w:color w:val="231F20"/>
          <w:spacing w:val="-6"/>
        </w:rPr>
        <w:t xml:space="preserve"> </w:t>
      </w:r>
      <w:r>
        <w:rPr>
          <w:color w:val="231F20"/>
        </w:rPr>
        <w:t>of</w:t>
      </w:r>
      <w:r>
        <w:rPr>
          <w:color w:val="231F20"/>
          <w:spacing w:val="-3"/>
        </w:rPr>
        <w:t xml:space="preserve"> </w:t>
      </w:r>
      <w:r>
        <w:rPr>
          <w:color w:val="231F20"/>
        </w:rPr>
        <w:t>£630,000</w:t>
      </w:r>
      <w:r>
        <w:rPr>
          <w:color w:val="231F20"/>
          <w:spacing w:val="-4"/>
        </w:rPr>
        <w:t xml:space="preserve"> </w:t>
      </w:r>
      <w:r>
        <w:rPr>
          <w:color w:val="231F20"/>
        </w:rPr>
        <w:t>carried</w:t>
      </w:r>
      <w:r>
        <w:rPr>
          <w:color w:val="231F20"/>
          <w:spacing w:val="-3"/>
        </w:rPr>
        <w:t xml:space="preserve"> </w:t>
      </w:r>
      <w:r>
        <w:rPr>
          <w:color w:val="231F20"/>
        </w:rPr>
        <w:t>out</w:t>
      </w:r>
      <w:r>
        <w:rPr>
          <w:color w:val="231F20"/>
          <w:spacing w:val="-4"/>
        </w:rPr>
        <w:t xml:space="preserve"> </w:t>
      </w:r>
      <w:r>
        <w:rPr>
          <w:color w:val="231F20"/>
        </w:rPr>
        <w:t>by</w:t>
      </w:r>
      <w:r>
        <w:rPr>
          <w:color w:val="231F20"/>
          <w:spacing w:val="-6"/>
        </w:rPr>
        <w:t xml:space="preserve"> </w:t>
      </w:r>
      <w:r>
        <w:rPr>
          <w:color w:val="231F20"/>
        </w:rPr>
        <w:t>the</w:t>
      </w:r>
      <w:r>
        <w:rPr>
          <w:color w:val="231F20"/>
          <w:spacing w:val="-3"/>
        </w:rPr>
        <w:t xml:space="preserve"> </w:t>
      </w:r>
      <w:r>
        <w:rPr>
          <w:color w:val="231F20"/>
        </w:rPr>
        <w:t>Company</w:t>
      </w:r>
      <w:r>
        <w:rPr>
          <w:color w:val="231F20"/>
          <w:spacing w:val="-6"/>
        </w:rPr>
        <w:t xml:space="preserve"> </w:t>
      </w:r>
      <w:r>
        <w:rPr>
          <w:color w:val="231F20"/>
        </w:rPr>
        <w:t>which</w:t>
      </w:r>
      <w:r>
        <w:rPr>
          <w:color w:val="231F20"/>
          <w:spacing w:val="-3"/>
        </w:rPr>
        <w:t xml:space="preserve"> </w:t>
      </w:r>
      <w:r>
        <w:rPr>
          <w:color w:val="231F20"/>
        </w:rPr>
        <w:t>completed</w:t>
      </w:r>
      <w:r>
        <w:rPr>
          <w:color w:val="231F20"/>
          <w:spacing w:val="-4"/>
        </w:rPr>
        <w:t xml:space="preserve"> </w:t>
      </w:r>
      <w:r>
        <w:rPr>
          <w:color w:val="231F20"/>
        </w:rPr>
        <w:t>on</w:t>
      </w:r>
      <w:r>
        <w:rPr>
          <w:color w:val="231F20"/>
          <w:spacing w:val="-4"/>
        </w:rPr>
        <w:t xml:space="preserve"> </w:t>
      </w:r>
      <w:r>
        <w:rPr>
          <w:color w:val="231F20"/>
        </w:rPr>
        <w:t>31</w:t>
      </w:r>
      <w:r>
        <w:rPr>
          <w:color w:val="231F20"/>
          <w:spacing w:val="-3"/>
        </w:rPr>
        <w:t xml:space="preserve"> </w:t>
      </w:r>
      <w:r>
        <w:rPr>
          <w:color w:val="231F20"/>
        </w:rPr>
        <w:t xml:space="preserve">July </w:t>
      </w:r>
      <w:proofErr w:type="gramStart"/>
      <w:r>
        <w:rPr>
          <w:color w:val="231F20"/>
        </w:rPr>
        <w:t>2020;</w:t>
      </w:r>
      <w:proofErr w:type="gramEnd"/>
    </w:p>
    <w:p w14:paraId="322E86C7" w14:textId="77777777" w:rsidR="00240151" w:rsidRDefault="00240151" w:rsidP="00051CFB">
      <w:pPr>
        <w:pStyle w:val="BodyText"/>
        <w:tabs>
          <w:tab w:val="left" w:pos="4395"/>
        </w:tabs>
        <w:kinsoku w:val="0"/>
        <w:overflowPunct w:val="0"/>
        <w:spacing w:before="4"/>
        <w:ind w:left="4395" w:right="1486" w:hanging="4111"/>
        <w:contextualSpacing/>
        <w:jc w:val="both"/>
        <w:rPr>
          <w:color w:val="231F20"/>
        </w:rPr>
      </w:pPr>
    </w:p>
    <w:p w14:paraId="3DF54620" w14:textId="77777777" w:rsidR="00240151" w:rsidRDefault="00240151" w:rsidP="00051CFB">
      <w:pPr>
        <w:pStyle w:val="BodyText"/>
        <w:tabs>
          <w:tab w:val="left" w:pos="4395"/>
        </w:tabs>
        <w:kinsoku w:val="0"/>
        <w:overflowPunct w:val="0"/>
        <w:spacing w:before="4"/>
        <w:ind w:left="4395" w:right="1486" w:hanging="4111"/>
        <w:contextualSpacing/>
        <w:jc w:val="both"/>
        <w:rPr>
          <w:color w:val="231F20"/>
        </w:rPr>
      </w:pPr>
      <w:r>
        <w:rPr>
          <w:color w:val="231F20"/>
        </w:rPr>
        <w:t>“July 2020 Placing Agreement”</w:t>
      </w:r>
      <w:r>
        <w:rPr>
          <w:color w:val="231F20"/>
        </w:rPr>
        <w:tab/>
        <w:t xml:space="preserve">the placing agreement dated 30 July 2020, between the Company and Fox Davies in respect of the July 2020 </w:t>
      </w:r>
      <w:proofErr w:type="gramStart"/>
      <w:r>
        <w:rPr>
          <w:color w:val="231F20"/>
        </w:rPr>
        <w:t>Fundraise;</w:t>
      </w:r>
      <w:proofErr w:type="gramEnd"/>
    </w:p>
    <w:p w14:paraId="05901E8F" w14:textId="77777777" w:rsidR="00240151" w:rsidRDefault="00240151" w:rsidP="00051CFB">
      <w:pPr>
        <w:pStyle w:val="BodyText"/>
        <w:tabs>
          <w:tab w:val="left" w:pos="4395"/>
        </w:tabs>
        <w:kinsoku w:val="0"/>
        <w:overflowPunct w:val="0"/>
        <w:spacing w:before="4"/>
        <w:ind w:left="4395" w:right="1486" w:hanging="4111"/>
        <w:contextualSpacing/>
        <w:jc w:val="both"/>
        <w:rPr>
          <w:color w:val="231F20"/>
        </w:rPr>
      </w:pPr>
    </w:p>
    <w:p w14:paraId="538E2E3C" w14:textId="08BBA03C" w:rsidR="005E6327" w:rsidRDefault="005E6327" w:rsidP="00051CFB">
      <w:pPr>
        <w:pStyle w:val="BodyText"/>
        <w:tabs>
          <w:tab w:val="left" w:pos="4395"/>
        </w:tabs>
        <w:kinsoku w:val="0"/>
        <w:overflowPunct w:val="0"/>
        <w:spacing w:before="4"/>
        <w:ind w:left="4395" w:right="1486" w:hanging="4111"/>
        <w:contextualSpacing/>
        <w:jc w:val="both"/>
        <w:rPr>
          <w:color w:val="231F20"/>
        </w:rPr>
      </w:pPr>
      <w:r>
        <w:rPr>
          <w:color w:val="231F20"/>
        </w:rPr>
        <w:t>“Kingfisher”</w:t>
      </w:r>
      <w:r>
        <w:rPr>
          <w:color w:val="231F20"/>
        </w:rPr>
        <w:tab/>
        <w:t xml:space="preserve">Kingfisher Distribution Company </w:t>
      </w:r>
      <w:proofErr w:type="gramStart"/>
      <w:r>
        <w:rPr>
          <w:color w:val="231F20"/>
        </w:rPr>
        <w:t>Limited;</w:t>
      </w:r>
      <w:proofErr w:type="gramEnd"/>
    </w:p>
    <w:p w14:paraId="2AAB2023" w14:textId="77777777" w:rsidR="005E6327" w:rsidRDefault="005E6327" w:rsidP="00051CFB">
      <w:pPr>
        <w:pStyle w:val="BodyText"/>
        <w:tabs>
          <w:tab w:val="left" w:pos="4395"/>
        </w:tabs>
        <w:kinsoku w:val="0"/>
        <w:overflowPunct w:val="0"/>
        <w:spacing w:before="4"/>
        <w:ind w:left="4395" w:right="1486" w:hanging="4111"/>
        <w:contextualSpacing/>
        <w:jc w:val="both"/>
        <w:rPr>
          <w:color w:val="231F20"/>
        </w:rPr>
      </w:pPr>
    </w:p>
    <w:p w14:paraId="04F0FAC4" w14:textId="6527BD8D" w:rsidR="00240151" w:rsidRDefault="00240151" w:rsidP="00051CFB">
      <w:pPr>
        <w:pStyle w:val="BodyText"/>
        <w:tabs>
          <w:tab w:val="left" w:pos="4395"/>
        </w:tabs>
        <w:kinsoku w:val="0"/>
        <w:overflowPunct w:val="0"/>
        <w:spacing w:before="4"/>
        <w:ind w:left="4395" w:right="1486" w:hanging="4111"/>
        <w:contextualSpacing/>
        <w:jc w:val="both"/>
        <w:rPr>
          <w:color w:val="231F20"/>
        </w:rPr>
      </w:pPr>
      <w:r>
        <w:rPr>
          <w:color w:val="231F20"/>
        </w:rPr>
        <w:t>“Last</w:t>
      </w:r>
      <w:r>
        <w:rPr>
          <w:color w:val="231F20"/>
          <w:spacing w:val="-2"/>
        </w:rPr>
        <w:t xml:space="preserve"> </w:t>
      </w:r>
      <w:r>
        <w:rPr>
          <w:color w:val="231F20"/>
        </w:rPr>
        <w:t>Practicable</w:t>
      </w:r>
      <w:r>
        <w:rPr>
          <w:color w:val="231F20"/>
          <w:spacing w:val="-3"/>
        </w:rPr>
        <w:t xml:space="preserve"> </w:t>
      </w:r>
      <w:r>
        <w:rPr>
          <w:color w:val="231F20"/>
        </w:rPr>
        <w:t>Date”</w:t>
      </w:r>
      <w:r>
        <w:rPr>
          <w:color w:val="231F20"/>
        </w:rPr>
        <w:tab/>
        <w:t xml:space="preserve">the last practicable date prior to publication of this Document, being </w:t>
      </w:r>
      <w:r w:rsidR="00002F84">
        <w:t>6</w:t>
      </w:r>
      <w:r w:rsidR="008A20DC">
        <w:t xml:space="preserve"> </w:t>
      </w:r>
      <w:r w:rsidR="007F2A74">
        <w:t xml:space="preserve">July </w:t>
      </w:r>
      <w:proofErr w:type="gramStart"/>
      <w:r>
        <w:rPr>
          <w:color w:val="231F20"/>
        </w:rPr>
        <w:t>2021;</w:t>
      </w:r>
      <w:proofErr w:type="gramEnd"/>
    </w:p>
    <w:p w14:paraId="2BD0E821" w14:textId="77777777" w:rsidR="00240151" w:rsidRDefault="00240151" w:rsidP="00051CFB">
      <w:pPr>
        <w:pStyle w:val="BodyText"/>
        <w:kinsoku w:val="0"/>
        <w:overflowPunct w:val="0"/>
        <w:spacing w:before="10"/>
        <w:jc w:val="both"/>
        <w:rPr>
          <w:sz w:val="17"/>
          <w:szCs w:val="17"/>
        </w:rPr>
      </w:pPr>
    </w:p>
    <w:p w14:paraId="0865F2F0" w14:textId="77777777" w:rsidR="00240151" w:rsidRDefault="00240151" w:rsidP="00051CFB">
      <w:pPr>
        <w:pStyle w:val="BodyText"/>
        <w:tabs>
          <w:tab w:val="left" w:pos="4395"/>
        </w:tabs>
        <w:kinsoku w:val="0"/>
        <w:overflowPunct w:val="0"/>
        <w:ind w:left="4395" w:right="1491" w:hanging="4111"/>
        <w:jc w:val="both"/>
        <w:rPr>
          <w:color w:val="231F20"/>
        </w:rPr>
      </w:pPr>
      <w:r>
        <w:rPr>
          <w:color w:val="231F20"/>
        </w:rPr>
        <w:t>“Labrador Acquisition”</w:t>
      </w:r>
      <w:r>
        <w:rPr>
          <w:color w:val="231F20"/>
        </w:rPr>
        <w:tab/>
        <w:t xml:space="preserve">the acquisition by the Company of a 100% interest in the Adeline Copper Project in Newfoundland and </w:t>
      </w:r>
      <w:proofErr w:type="gramStart"/>
      <w:r>
        <w:rPr>
          <w:color w:val="231F20"/>
        </w:rPr>
        <w:t>Labrador;</w:t>
      </w:r>
      <w:proofErr w:type="gramEnd"/>
    </w:p>
    <w:p w14:paraId="4A259676" w14:textId="77777777" w:rsidR="00240151" w:rsidRDefault="00240151" w:rsidP="00051CFB">
      <w:pPr>
        <w:pStyle w:val="BodyText"/>
        <w:tabs>
          <w:tab w:val="left" w:pos="2632"/>
        </w:tabs>
        <w:kinsoku w:val="0"/>
        <w:overflowPunct w:val="0"/>
        <w:ind w:left="2632" w:right="1491" w:hanging="2405"/>
        <w:jc w:val="both"/>
        <w:rPr>
          <w:color w:val="231F20"/>
        </w:rPr>
      </w:pPr>
    </w:p>
    <w:p w14:paraId="1F0A0C54" w14:textId="288DD93C" w:rsidR="00240151" w:rsidRDefault="00240151" w:rsidP="00051CFB">
      <w:pPr>
        <w:pStyle w:val="BodyText"/>
        <w:tabs>
          <w:tab w:val="left" w:pos="4395"/>
        </w:tabs>
        <w:kinsoku w:val="0"/>
        <w:overflowPunct w:val="0"/>
        <w:ind w:left="4395" w:right="1448" w:hanging="4111"/>
        <w:jc w:val="both"/>
        <w:rPr>
          <w:color w:val="231F20"/>
        </w:rPr>
      </w:pPr>
      <w:r>
        <w:rPr>
          <w:color w:val="231F20"/>
        </w:rPr>
        <w:t>“Listing</w:t>
      </w:r>
      <w:r>
        <w:rPr>
          <w:color w:val="231F20"/>
          <w:spacing w:val="-1"/>
        </w:rPr>
        <w:t xml:space="preserve"> </w:t>
      </w:r>
      <w:r>
        <w:rPr>
          <w:color w:val="231F20"/>
        </w:rPr>
        <w:t>Rules”</w:t>
      </w:r>
      <w:r>
        <w:rPr>
          <w:color w:val="231F20"/>
        </w:rPr>
        <w:tab/>
        <w:t>the Listing Rules made by the FCA under Part VI of the</w:t>
      </w:r>
      <w:r>
        <w:rPr>
          <w:color w:val="231F20"/>
          <w:spacing w:val="-21"/>
        </w:rPr>
        <w:t xml:space="preserve"> </w:t>
      </w:r>
      <w:proofErr w:type="gramStart"/>
      <w:r>
        <w:rPr>
          <w:color w:val="231F20"/>
        </w:rPr>
        <w:t>FSMA;</w:t>
      </w:r>
      <w:proofErr w:type="gramEnd"/>
      <w:r>
        <w:rPr>
          <w:color w:val="231F20"/>
        </w:rPr>
        <w:t xml:space="preserve"> </w:t>
      </w:r>
    </w:p>
    <w:p w14:paraId="64D393AF" w14:textId="77777777" w:rsidR="00526CEF" w:rsidRDefault="00526CEF" w:rsidP="00051CFB">
      <w:pPr>
        <w:pStyle w:val="BodyText"/>
        <w:tabs>
          <w:tab w:val="left" w:pos="4395"/>
        </w:tabs>
        <w:kinsoku w:val="0"/>
        <w:overflowPunct w:val="0"/>
        <w:ind w:left="4395" w:right="1448" w:hanging="4111"/>
        <w:jc w:val="both"/>
        <w:rPr>
          <w:color w:val="231F20"/>
        </w:rPr>
      </w:pPr>
    </w:p>
    <w:p w14:paraId="745377C9" w14:textId="02C9AFC6" w:rsidR="00240151" w:rsidRDefault="00240151" w:rsidP="00051CFB">
      <w:pPr>
        <w:pStyle w:val="BodyText"/>
        <w:tabs>
          <w:tab w:val="left" w:pos="4395"/>
        </w:tabs>
        <w:kinsoku w:val="0"/>
        <w:overflowPunct w:val="0"/>
        <w:ind w:left="4395" w:right="1448" w:hanging="4168"/>
        <w:jc w:val="both"/>
        <w:rPr>
          <w:color w:val="020303"/>
        </w:rPr>
      </w:pPr>
      <w:r>
        <w:rPr>
          <w:color w:val="231F20"/>
        </w:rPr>
        <w:t>“Labrador Consideration Shares”</w:t>
      </w:r>
      <w:r>
        <w:rPr>
          <w:color w:val="231F20"/>
        </w:rPr>
        <w:tab/>
        <w:t xml:space="preserve">the </w:t>
      </w:r>
      <w:r w:rsidRPr="00742C76">
        <w:rPr>
          <w:color w:val="020303"/>
        </w:rPr>
        <w:t>10,089,199</w:t>
      </w:r>
      <w:r>
        <w:rPr>
          <w:color w:val="020303"/>
        </w:rPr>
        <w:t xml:space="preserve"> new Ordinary Shares to be issued</w:t>
      </w:r>
      <w:r w:rsidR="00051CFB">
        <w:rPr>
          <w:color w:val="020303"/>
        </w:rPr>
        <w:t xml:space="preserve"> </w:t>
      </w:r>
      <w:r>
        <w:rPr>
          <w:color w:val="020303"/>
        </w:rPr>
        <w:t xml:space="preserve">pursuant to the Labrador </w:t>
      </w:r>
      <w:proofErr w:type="gramStart"/>
      <w:r>
        <w:rPr>
          <w:color w:val="020303"/>
        </w:rPr>
        <w:t>Acquisition;</w:t>
      </w:r>
      <w:proofErr w:type="gramEnd"/>
    </w:p>
    <w:p w14:paraId="5180B243" w14:textId="77777777" w:rsidR="00526CEF" w:rsidRDefault="00526CEF" w:rsidP="00051CFB">
      <w:pPr>
        <w:pStyle w:val="BodyText"/>
        <w:tabs>
          <w:tab w:val="left" w:pos="4395"/>
        </w:tabs>
        <w:kinsoku w:val="0"/>
        <w:overflowPunct w:val="0"/>
        <w:ind w:left="4395" w:right="1448" w:hanging="4168"/>
        <w:jc w:val="both"/>
        <w:rPr>
          <w:color w:val="020303"/>
        </w:rPr>
      </w:pPr>
    </w:p>
    <w:p w14:paraId="1A75B438" w14:textId="699BAECC" w:rsidR="00240151" w:rsidRDefault="00240151" w:rsidP="00051CFB">
      <w:pPr>
        <w:pStyle w:val="BodyText"/>
        <w:tabs>
          <w:tab w:val="left" w:pos="4395"/>
        </w:tabs>
        <w:kinsoku w:val="0"/>
        <w:overflowPunct w:val="0"/>
        <w:ind w:left="4395" w:right="1448" w:hanging="4111"/>
        <w:jc w:val="both"/>
        <w:rPr>
          <w:color w:val="231F20"/>
        </w:rPr>
      </w:pPr>
      <w:r>
        <w:rPr>
          <w:color w:val="231F20"/>
        </w:rPr>
        <w:t>“Labrador Consideration Warrants”</w:t>
      </w:r>
      <w:r>
        <w:rPr>
          <w:color w:val="231F20"/>
        </w:rPr>
        <w:tab/>
        <w:t>the 11,100,000 Warrants to be issued</w:t>
      </w:r>
      <w:r w:rsidR="00051CFB">
        <w:rPr>
          <w:color w:val="231F20"/>
        </w:rPr>
        <w:t xml:space="preserve"> </w:t>
      </w:r>
      <w:r>
        <w:rPr>
          <w:color w:val="231F20"/>
        </w:rPr>
        <w:t xml:space="preserve">pursuant to the Labrador </w:t>
      </w:r>
      <w:proofErr w:type="gramStart"/>
      <w:r>
        <w:rPr>
          <w:color w:val="231F20"/>
        </w:rPr>
        <w:t>Acquisition;</w:t>
      </w:r>
      <w:proofErr w:type="gramEnd"/>
    </w:p>
    <w:p w14:paraId="2A41AEE6" w14:textId="77777777" w:rsidR="00526CEF" w:rsidRDefault="00526CEF" w:rsidP="00051CFB">
      <w:pPr>
        <w:pStyle w:val="BodyText"/>
        <w:tabs>
          <w:tab w:val="left" w:pos="4395"/>
        </w:tabs>
        <w:kinsoku w:val="0"/>
        <w:overflowPunct w:val="0"/>
        <w:ind w:left="4395" w:right="1448" w:hanging="4111"/>
        <w:jc w:val="both"/>
        <w:rPr>
          <w:color w:val="231F20"/>
        </w:rPr>
      </w:pPr>
    </w:p>
    <w:p w14:paraId="0EA47566" w14:textId="77777777" w:rsidR="00240151" w:rsidRDefault="00240151" w:rsidP="00051CFB">
      <w:pPr>
        <w:pStyle w:val="BodyText"/>
        <w:tabs>
          <w:tab w:val="left" w:pos="4395"/>
        </w:tabs>
        <w:kinsoku w:val="0"/>
        <w:overflowPunct w:val="0"/>
        <w:spacing w:line="482" w:lineRule="auto"/>
        <w:ind w:left="228" w:right="1448"/>
        <w:jc w:val="both"/>
        <w:rPr>
          <w:color w:val="231F20"/>
        </w:rPr>
      </w:pPr>
      <w:r>
        <w:rPr>
          <w:color w:val="231F20"/>
        </w:rPr>
        <w:t>“London</w:t>
      </w:r>
      <w:r>
        <w:rPr>
          <w:color w:val="231F20"/>
          <w:spacing w:val="-2"/>
        </w:rPr>
        <w:t xml:space="preserve"> </w:t>
      </w:r>
      <w:r>
        <w:rPr>
          <w:color w:val="231F20"/>
        </w:rPr>
        <w:t>Stock</w:t>
      </w:r>
      <w:r>
        <w:rPr>
          <w:color w:val="231F20"/>
          <w:spacing w:val="-1"/>
        </w:rPr>
        <w:t xml:space="preserve"> </w:t>
      </w:r>
      <w:r>
        <w:rPr>
          <w:color w:val="231F20"/>
        </w:rPr>
        <w:t>Exchange”</w:t>
      </w:r>
      <w:r>
        <w:rPr>
          <w:color w:val="231F20"/>
        </w:rPr>
        <w:tab/>
        <w:t>London Stock Exchange</w:t>
      </w:r>
      <w:r>
        <w:rPr>
          <w:color w:val="231F20"/>
          <w:spacing w:val="2"/>
        </w:rPr>
        <w:t xml:space="preserve"> </w:t>
      </w:r>
      <w:proofErr w:type="gramStart"/>
      <w:r>
        <w:rPr>
          <w:color w:val="231F20"/>
        </w:rPr>
        <w:t>plc;</w:t>
      </w:r>
      <w:proofErr w:type="gramEnd"/>
    </w:p>
    <w:p w14:paraId="56388EB0" w14:textId="6B799694" w:rsidR="00240151" w:rsidRDefault="00240151" w:rsidP="00051CFB">
      <w:pPr>
        <w:pStyle w:val="BodyText"/>
        <w:tabs>
          <w:tab w:val="left" w:pos="4395"/>
        </w:tabs>
        <w:kinsoku w:val="0"/>
        <w:overflowPunct w:val="0"/>
        <w:spacing w:line="203" w:lineRule="exact"/>
        <w:ind w:left="228" w:right="1448"/>
        <w:jc w:val="both"/>
        <w:rPr>
          <w:color w:val="231F20"/>
        </w:rPr>
      </w:pPr>
      <w:r>
        <w:rPr>
          <w:color w:val="231F20"/>
        </w:rPr>
        <w:t>“Long</w:t>
      </w:r>
      <w:r>
        <w:rPr>
          <w:color w:val="231F20"/>
          <w:spacing w:val="-1"/>
        </w:rPr>
        <w:t xml:space="preserve"> </w:t>
      </w:r>
      <w:r>
        <w:rPr>
          <w:color w:val="231F20"/>
        </w:rPr>
        <w:t>Stop Date”</w:t>
      </w:r>
      <w:r>
        <w:rPr>
          <w:color w:val="231F20"/>
        </w:rPr>
        <w:tab/>
        <w:t xml:space="preserve">means </w:t>
      </w:r>
      <w:r w:rsidR="009A7B0A">
        <w:t>31 July</w:t>
      </w:r>
      <w:r>
        <w:t xml:space="preserve"> </w:t>
      </w:r>
      <w:proofErr w:type="gramStart"/>
      <w:r>
        <w:t>2021</w:t>
      </w:r>
      <w:r>
        <w:rPr>
          <w:color w:val="231F20"/>
        </w:rPr>
        <w:t>;</w:t>
      </w:r>
      <w:proofErr w:type="gramEnd"/>
    </w:p>
    <w:p w14:paraId="52C6DE76" w14:textId="77777777" w:rsidR="00240151" w:rsidRDefault="00240151" w:rsidP="00051CFB">
      <w:pPr>
        <w:pStyle w:val="BodyText"/>
        <w:kinsoku w:val="0"/>
        <w:overflowPunct w:val="0"/>
        <w:spacing w:before="1"/>
        <w:ind w:right="1448"/>
        <w:jc w:val="both"/>
      </w:pPr>
    </w:p>
    <w:p w14:paraId="32513D9E" w14:textId="0BA565CD" w:rsidR="00240151" w:rsidRDefault="00240151" w:rsidP="00051CFB">
      <w:pPr>
        <w:pStyle w:val="BodyText"/>
        <w:tabs>
          <w:tab w:val="left" w:pos="4395"/>
        </w:tabs>
        <w:kinsoku w:val="0"/>
        <w:overflowPunct w:val="0"/>
        <w:ind w:left="4395" w:right="1448" w:hanging="4185"/>
        <w:jc w:val="both"/>
        <w:rPr>
          <w:color w:val="231F20"/>
        </w:rPr>
      </w:pPr>
      <w:r>
        <w:rPr>
          <w:color w:val="231F20"/>
        </w:rPr>
        <w:t>“Market</w:t>
      </w:r>
      <w:r>
        <w:rPr>
          <w:color w:val="231F20"/>
          <w:spacing w:val="-3"/>
        </w:rPr>
        <w:t xml:space="preserve"> </w:t>
      </w:r>
      <w:r>
        <w:rPr>
          <w:color w:val="231F20"/>
        </w:rPr>
        <w:t>Abuse</w:t>
      </w:r>
      <w:r>
        <w:rPr>
          <w:color w:val="231F20"/>
          <w:spacing w:val="-2"/>
        </w:rPr>
        <w:t xml:space="preserve"> </w:t>
      </w:r>
      <w:r>
        <w:rPr>
          <w:color w:val="231F20"/>
        </w:rPr>
        <w:t>Regulation”</w:t>
      </w:r>
      <w:r>
        <w:rPr>
          <w:color w:val="231F20"/>
        </w:rPr>
        <w:tab/>
        <w:t>Regulation EU 596/2014 of the European Parliament and the Council of the European Union on market</w:t>
      </w:r>
      <w:r>
        <w:rPr>
          <w:color w:val="231F20"/>
          <w:spacing w:val="2"/>
        </w:rPr>
        <w:t xml:space="preserve"> </w:t>
      </w:r>
      <w:proofErr w:type="gramStart"/>
      <w:r>
        <w:rPr>
          <w:color w:val="231F20"/>
        </w:rPr>
        <w:t>abuse;</w:t>
      </w:r>
      <w:proofErr w:type="gramEnd"/>
    </w:p>
    <w:p w14:paraId="6C2A3B4B" w14:textId="04F34012" w:rsidR="00595A97" w:rsidRDefault="00595A97" w:rsidP="00595A97">
      <w:pPr>
        <w:pStyle w:val="BodyText"/>
        <w:tabs>
          <w:tab w:val="left" w:pos="4395"/>
        </w:tabs>
        <w:kinsoku w:val="0"/>
        <w:overflowPunct w:val="0"/>
        <w:ind w:right="1494"/>
        <w:rPr>
          <w:color w:val="231F20"/>
        </w:r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025"/>
      </w:tblGrid>
      <w:tr w:rsidR="00595A97" w14:paraId="3DA00587" w14:textId="77777777" w:rsidTr="002115EE">
        <w:tc>
          <w:tcPr>
            <w:tcW w:w="4206" w:type="dxa"/>
          </w:tcPr>
          <w:p w14:paraId="6A0717A7" w14:textId="6A910167" w:rsidR="00595A97" w:rsidRDefault="00595A97" w:rsidP="00595A97">
            <w:pPr>
              <w:pStyle w:val="BodyText"/>
              <w:tabs>
                <w:tab w:val="left" w:pos="4395"/>
              </w:tabs>
              <w:kinsoku w:val="0"/>
              <w:overflowPunct w:val="0"/>
              <w:ind w:right="387"/>
              <w:rPr>
                <w:color w:val="231F20"/>
              </w:rPr>
            </w:pPr>
            <w:r>
              <w:rPr>
                <w:color w:val="231F20"/>
              </w:rPr>
              <w:t xml:space="preserve">“Map-Staked Mineral </w:t>
            </w:r>
            <w:proofErr w:type="gramStart"/>
            <w:r>
              <w:rPr>
                <w:color w:val="231F20"/>
              </w:rPr>
              <w:t>Licences“</w:t>
            </w:r>
            <w:proofErr w:type="gramEnd"/>
          </w:p>
        </w:tc>
        <w:tc>
          <w:tcPr>
            <w:tcW w:w="5025" w:type="dxa"/>
          </w:tcPr>
          <w:p w14:paraId="2D234879" w14:textId="397581DB" w:rsidR="00595A97" w:rsidRDefault="00595A97" w:rsidP="00051CFB">
            <w:pPr>
              <w:pStyle w:val="BodyText"/>
              <w:kinsoku w:val="0"/>
              <w:overflowPunct w:val="0"/>
              <w:spacing w:after="240"/>
              <w:ind w:right="168"/>
              <w:jc w:val="both"/>
              <w:rPr>
                <w:color w:val="231F20"/>
              </w:rPr>
            </w:pPr>
            <w:r>
              <w:rPr>
                <w:color w:val="231F20"/>
              </w:rPr>
              <w:t>a map staked-mineral licence granted by the Government of Newfoundland and Labrador</w:t>
            </w:r>
            <w:r w:rsidR="00505CDD">
              <w:rPr>
                <w:color w:val="231F20"/>
              </w:rPr>
              <w:t>;</w:t>
            </w:r>
          </w:p>
        </w:tc>
      </w:tr>
      <w:tr w:rsidR="00595A97" w14:paraId="233A4491" w14:textId="77777777" w:rsidTr="002115EE">
        <w:tc>
          <w:tcPr>
            <w:tcW w:w="4206" w:type="dxa"/>
          </w:tcPr>
          <w:p w14:paraId="6065CBF5" w14:textId="55A7947F" w:rsidR="00595A97" w:rsidRDefault="00595A97" w:rsidP="00595A97">
            <w:pPr>
              <w:pStyle w:val="BodyText"/>
              <w:tabs>
                <w:tab w:val="left" w:pos="2632"/>
              </w:tabs>
              <w:kinsoku w:val="0"/>
              <w:overflowPunct w:val="0"/>
              <w:spacing w:before="5"/>
              <w:ind w:right="387"/>
              <w:rPr>
                <w:color w:val="231F20"/>
              </w:rPr>
            </w:pPr>
            <w:r w:rsidRPr="002514E7">
              <w:rPr>
                <w:color w:val="231F20"/>
              </w:rPr>
              <w:t>“Prospecting Permit Map</w:t>
            </w:r>
            <w:r>
              <w:rPr>
                <w:color w:val="231F20"/>
              </w:rPr>
              <w:t xml:space="preserve"> </w:t>
            </w:r>
            <w:r w:rsidRPr="002514E7">
              <w:rPr>
                <w:color w:val="231F20"/>
              </w:rPr>
              <w:t>Staked Mineral Licence Application”</w:t>
            </w:r>
          </w:p>
        </w:tc>
        <w:tc>
          <w:tcPr>
            <w:tcW w:w="5025" w:type="dxa"/>
          </w:tcPr>
          <w:p w14:paraId="3C4E4F05" w14:textId="3CAA2639" w:rsidR="00595A97" w:rsidRDefault="00595A97" w:rsidP="00051CFB">
            <w:pPr>
              <w:pStyle w:val="BodyText"/>
              <w:kinsoku w:val="0"/>
              <w:overflowPunct w:val="0"/>
              <w:spacing w:after="240"/>
              <w:ind w:right="168"/>
              <w:jc w:val="both"/>
              <w:rPr>
                <w:color w:val="231F20"/>
              </w:rPr>
            </w:pPr>
            <w:r w:rsidRPr="002514E7">
              <w:rPr>
                <w:color w:val="231F20"/>
              </w:rPr>
              <w:t>the application for a Map-Staked Mineral Licence made by the</w:t>
            </w:r>
            <w:r>
              <w:rPr>
                <w:color w:val="231F20"/>
              </w:rPr>
              <w:t xml:space="preserve"> </w:t>
            </w:r>
            <w:r w:rsidRPr="002514E7">
              <w:rPr>
                <w:color w:val="231F20"/>
              </w:rPr>
              <w:t>Group, which has not been granted as at the date of this Document (namely</w:t>
            </w:r>
            <w:r>
              <w:rPr>
                <w:color w:val="231F20"/>
              </w:rPr>
              <w:t xml:space="preserve"> 032466M, 032467M, </w:t>
            </w:r>
            <w:r w:rsidRPr="002514E7">
              <w:rPr>
                <w:color w:val="231F20"/>
              </w:rPr>
              <w:t>032468M, 032469M and 032470M at the Adeline Copper Project);</w:t>
            </w:r>
          </w:p>
        </w:tc>
      </w:tr>
    </w:tbl>
    <w:p w14:paraId="38B248F4" w14:textId="77777777" w:rsidR="00240151" w:rsidRDefault="00240151" w:rsidP="00051CFB">
      <w:pPr>
        <w:pStyle w:val="BodyText"/>
        <w:tabs>
          <w:tab w:val="left" w:pos="4395"/>
        </w:tabs>
        <w:kinsoku w:val="0"/>
        <w:overflowPunct w:val="0"/>
        <w:spacing w:before="5"/>
        <w:ind w:left="4395" w:right="1448" w:hanging="4111"/>
        <w:jc w:val="both"/>
        <w:rPr>
          <w:color w:val="231F20"/>
        </w:rPr>
      </w:pPr>
      <w:r>
        <w:rPr>
          <w:color w:val="231F20"/>
        </w:rPr>
        <w:t>“Member</w:t>
      </w:r>
      <w:r>
        <w:rPr>
          <w:color w:val="231F20"/>
          <w:spacing w:val="-2"/>
        </w:rPr>
        <w:t xml:space="preserve"> </w:t>
      </w:r>
      <w:r>
        <w:rPr>
          <w:color w:val="231F20"/>
        </w:rPr>
        <w:t>State”</w:t>
      </w:r>
      <w:r>
        <w:rPr>
          <w:color w:val="231F20"/>
        </w:rPr>
        <w:tab/>
        <w:t xml:space="preserve">a member state of the European Union and the European Economic </w:t>
      </w:r>
      <w:proofErr w:type="gramStart"/>
      <w:r>
        <w:rPr>
          <w:color w:val="231F20"/>
        </w:rPr>
        <w:t>Area;</w:t>
      </w:r>
      <w:proofErr w:type="gramEnd"/>
    </w:p>
    <w:p w14:paraId="2AA57E07" w14:textId="77777777" w:rsidR="00240151" w:rsidRDefault="00240151" w:rsidP="00051CFB">
      <w:pPr>
        <w:pStyle w:val="BodyText"/>
        <w:tabs>
          <w:tab w:val="left" w:pos="4395"/>
        </w:tabs>
        <w:kinsoku w:val="0"/>
        <w:overflowPunct w:val="0"/>
        <w:spacing w:before="5"/>
        <w:ind w:left="4395" w:right="1448" w:hanging="4168"/>
        <w:jc w:val="both"/>
        <w:rPr>
          <w:color w:val="231F20"/>
        </w:rPr>
      </w:pPr>
    </w:p>
    <w:p w14:paraId="5801C4CC" w14:textId="553F398B" w:rsidR="007636C1" w:rsidRDefault="007636C1" w:rsidP="00051CFB">
      <w:pPr>
        <w:pStyle w:val="BodyText"/>
        <w:tabs>
          <w:tab w:val="left" w:pos="4395"/>
        </w:tabs>
        <w:kinsoku w:val="0"/>
        <w:overflowPunct w:val="0"/>
        <w:spacing w:before="5"/>
        <w:ind w:left="4395" w:right="1448" w:hanging="4111"/>
        <w:jc w:val="both"/>
        <w:rPr>
          <w:color w:val="231F20"/>
        </w:rPr>
      </w:pPr>
      <w:r>
        <w:rPr>
          <w:color w:val="231F20"/>
        </w:rPr>
        <w:t>“Mines</w:t>
      </w:r>
      <w:r>
        <w:rPr>
          <w:color w:val="231F20"/>
          <w:spacing w:val="-1"/>
        </w:rPr>
        <w:t xml:space="preserve"> </w:t>
      </w:r>
      <w:r>
        <w:rPr>
          <w:color w:val="231F20"/>
        </w:rPr>
        <w:t>Regulations”</w:t>
      </w:r>
      <w:r>
        <w:rPr>
          <w:color w:val="231F20"/>
        </w:rPr>
        <w:tab/>
        <w:t>the</w:t>
      </w:r>
      <w:r>
        <w:rPr>
          <w:color w:val="231F20"/>
          <w:spacing w:val="17"/>
        </w:rPr>
        <w:t xml:space="preserve"> </w:t>
      </w:r>
      <w:r>
        <w:rPr>
          <w:color w:val="231F20"/>
        </w:rPr>
        <w:t>Mines</w:t>
      </w:r>
      <w:r>
        <w:rPr>
          <w:color w:val="231F20"/>
          <w:spacing w:val="18"/>
        </w:rPr>
        <w:t xml:space="preserve"> </w:t>
      </w:r>
      <w:r>
        <w:rPr>
          <w:color w:val="231F20"/>
        </w:rPr>
        <w:t xml:space="preserve">and Quarries Regulations of the Republic of Cyprus, as </w:t>
      </w:r>
      <w:proofErr w:type="gramStart"/>
      <w:r>
        <w:rPr>
          <w:color w:val="231F20"/>
        </w:rPr>
        <w:t>amended;</w:t>
      </w:r>
      <w:proofErr w:type="gramEnd"/>
    </w:p>
    <w:p w14:paraId="0F1DFCE2" w14:textId="77777777" w:rsidR="007636C1" w:rsidRDefault="007636C1" w:rsidP="00051CFB">
      <w:pPr>
        <w:pStyle w:val="BodyText"/>
        <w:tabs>
          <w:tab w:val="left" w:pos="4395"/>
        </w:tabs>
        <w:kinsoku w:val="0"/>
        <w:overflowPunct w:val="0"/>
        <w:spacing w:before="5"/>
        <w:ind w:left="4395" w:right="1448" w:hanging="4168"/>
        <w:jc w:val="both"/>
        <w:rPr>
          <w:color w:val="231F20"/>
        </w:rPr>
      </w:pPr>
    </w:p>
    <w:p w14:paraId="29E08DAA" w14:textId="56E7A125" w:rsidR="00240151" w:rsidRDefault="00240151" w:rsidP="00051CFB">
      <w:pPr>
        <w:pStyle w:val="BodyText"/>
        <w:tabs>
          <w:tab w:val="left" w:pos="4395"/>
        </w:tabs>
        <w:kinsoku w:val="0"/>
        <w:overflowPunct w:val="0"/>
        <w:spacing w:before="5"/>
        <w:ind w:left="4395" w:right="1448" w:hanging="4168"/>
        <w:jc w:val="both"/>
        <w:rPr>
          <w:color w:val="231F20"/>
        </w:rPr>
      </w:pPr>
      <w:r>
        <w:rPr>
          <w:color w:val="231F20"/>
        </w:rPr>
        <w:t>“Mines</w:t>
      </w:r>
      <w:r>
        <w:rPr>
          <w:color w:val="231F20"/>
          <w:spacing w:val="-1"/>
        </w:rPr>
        <w:t xml:space="preserve"> </w:t>
      </w:r>
      <w:r>
        <w:rPr>
          <w:color w:val="231F20"/>
        </w:rPr>
        <w:t>Service”</w:t>
      </w:r>
      <w:r>
        <w:rPr>
          <w:color w:val="231F20"/>
        </w:rPr>
        <w:tab/>
        <w:t>the</w:t>
      </w:r>
      <w:r>
        <w:rPr>
          <w:color w:val="231F20"/>
          <w:spacing w:val="17"/>
        </w:rPr>
        <w:t xml:space="preserve"> </w:t>
      </w:r>
      <w:r>
        <w:rPr>
          <w:color w:val="231F20"/>
        </w:rPr>
        <w:t>Mines</w:t>
      </w:r>
      <w:r>
        <w:rPr>
          <w:color w:val="231F20"/>
          <w:spacing w:val="18"/>
        </w:rPr>
        <w:t xml:space="preserve"> </w:t>
      </w:r>
      <w:r>
        <w:rPr>
          <w:color w:val="231F20"/>
        </w:rPr>
        <w:t>Service</w:t>
      </w:r>
      <w:r>
        <w:rPr>
          <w:color w:val="231F20"/>
          <w:spacing w:val="15"/>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Ministry</w:t>
      </w:r>
      <w:r>
        <w:rPr>
          <w:color w:val="231F20"/>
          <w:spacing w:val="15"/>
        </w:rPr>
        <w:t xml:space="preserve"> </w:t>
      </w:r>
      <w:r>
        <w:rPr>
          <w:color w:val="231F20"/>
        </w:rPr>
        <w:t>of</w:t>
      </w:r>
      <w:r>
        <w:rPr>
          <w:color w:val="231F20"/>
          <w:spacing w:val="17"/>
        </w:rPr>
        <w:t xml:space="preserve"> </w:t>
      </w:r>
      <w:r>
        <w:rPr>
          <w:color w:val="231F20"/>
        </w:rPr>
        <w:t>Agriculture,</w:t>
      </w:r>
      <w:r>
        <w:rPr>
          <w:color w:val="231F20"/>
          <w:spacing w:val="15"/>
        </w:rPr>
        <w:t xml:space="preserve"> </w:t>
      </w:r>
      <w:r>
        <w:rPr>
          <w:color w:val="231F20"/>
        </w:rPr>
        <w:t>Rural</w:t>
      </w:r>
      <w:r>
        <w:rPr>
          <w:color w:val="231F20"/>
          <w:spacing w:val="17"/>
        </w:rPr>
        <w:t xml:space="preserve"> </w:t>
      </w:r>
      <w:r>
        <w:rPr>
          <w:color w:val="231F20"/>
        </w:rPr>
        <w:t>Development</w:t>
      </w:r>
      <w:r>
        <w:rPr>
          <w:color w:val="231F20"/>
          <w:spacing w:val="17"/>
        </w:rPr>
        <w:t xml:space="preserve"> </w:t>
      </w:r>
      <w:r>
        <w:rPr>
          <w:color w:val="231F20"/>
        </w:rPr>
        <w:t xml:space="preserve">and Environment of the Republic of </w:t>
      </w:r>
      <w:proofErr w:type="gramStart"/>
      <w:r>
        <w:rPr>
          <w:color w:val="231F20"/>
        </w:rPr>
        <w:t>Cyprus;</w:t>
      </w:r>
      <w:proofErr w:type="gramEnd"/>
    </w:p>
    <w:p w14:paraId="26A7724D" w14:textId="77777777" w:rsidR="00240151" w:rsidRDefault="00240151" w:rsidP="00240151">
      <w:pPr>
        <w:pStyle w:val="BodyText"/>
        <w:kinsoku w:val="0"/>
        <w:overflowPunct w:val="0"/>
        <w:spacing w:before="1"/>
      </w:pPr>
    </w:p>
    <w:p w14:paraId="00D8A8A7" w14:textId="77777777" w:rsidR="00240151" w:rsidRDefault="00240151" w:rsidP="00240151">
      <w:pPr>
        <w:pStyle w:val="BodyText"/>
        <w:tabs>
          <w:tab w:val="left" w:pos="4395"/>
        </w:tabs>
        <w:kinsoku w:val="0"/>
        <w:overflowPunct w:val="0"/>
        <w:ind w:left="4395" w:right="1487" w:hanging="4168"/>
        <w:jc w:val="both"/>
        <w:rPr>
          <w:color w:val="231F20"/>
        </w:rPr>
      </w:pPr>
      <w:r>
        <w:rPr>
          <w:color w:val="231F20"/>
        </w:rPr>
        <w:t>“NLCO”</w:t>
      </w:r>
      <w:r>
        <w:rPr>
          <w:color w:val="231F20"/>
        </w:rPr>
        <w:tab/>
        <w:t>87986 Newfoundland and Labrador Inc., incorporated in Newfoundland and Labrador with company number 87986 whose registered office is P.O.</w:t>
      </w:r>
      <w:r w:rsidRPr="00E46CDA">
        <w:rPr>
          <w:color w:val="231F20"/>
        </w:rPr>
        <w:t xml:space="preserve"> Box 5939</w:t>
      </w:r>
      <w:r>
        <w:rPr>
          <w:color w:val="231F20"/>
        </w:rPr>
        <w:t xml:space="preserve">, </w:t>
      </w:r>
      <w:r w:rsidRPr="00E46CDA">
        <w:rPr>
          <w:color w:val="231F20"/>
        </w:rPr>
        <w:t>5th Floor, 10 Fort William Place</w:t>
      </w:r>
      <w:r>
        <w:rPr>
          <w:color w:val="231F20"/>
        </w:rPr>
        <w:t xml:space="preserve">, </w:t>
      </w:r>
      <w:r w:rsidRPr="00E46CDA">
        <w:rPr>
          <w:color w:val="231F20"/>
        </w:rPr>
        <w:t xml:space="preserve">St. </w:t>
      </w:r>
      <w:r>
        <w:rPr>
          <w:color w:val="231F20"/>
        </w:rPr>
        <w:t>J</w:t>
      </w:r>
      <w:r w:rsidRPr="00E46CDA">
        <w:rPr>
          <w:color w:val="231F20"/>
        </w:rPr>
        <w:t>ohn's</w:t>
      </w:r>
      <w:r>
        <w:rPr>
          <w:color w:val="231F20"/>
        </w:rPr>
        <w:t xml:space="preserve">, NL </w:t>
      </w:r>
      <w:proofErr w:type="gramStart"/>
      <w:r w:rsidRPr="00E46CDA">
        <w:rPr>
          <w:color w:val="231F20"/>
        </w:rPr>
        <w:t>A1C5X4</w:t>
      </w:r>
      <w:r>
        <w:rPr>
          <w:color w:val="231F20"/>
        </w:rPr>
        <w:t>;</w:t>
      </w:r>
      <w:proofErr w:type="gramEnd"/>
    </w:p>
    <w:p w14:paraId="05C38B6C" w14:textId="77777777" w:rsidR="00240151" w:rsidRDefault="00240151" w:rsidP="00240151">
      <w:pPr>
        <w:pStyle w:val="BodyText"/>
        <w:tabs>
          <w:tab w:val="left" w:pos="2632"/>
        </w:tabs>
        <w:kinsoku w:val="0"/>
        <w:overflowPunct w:val="0"/>
        <w:ind w:left="2632" w:right="1487" w:hanging="2405"/>
        <w:jc w:val="both"/>
        <w:rPr>
          <w:color w:val="231F20"/>
        </w:rPr>
      </w:pPr>
    </w:p>
    <w:p w14:paraId="39C86798" w14:textId="79CBC381" w:rsidR="00240151" w:rsidRDefault="00240151" w:rsidP="00240151">
      <w:pPr>
        <w:pStyle w:val="BodyText"/>
        <w:tabs>
          <w:tab w:val="left" w:pos="4395"/>
        </w:tabs>
        <w:kinsoku w:val="0"/>
        <w:overflowPunct w:val="0"/>
        <w:ind w:left="4395" w:right="1487" w:hanging="4111"/>
        <w:jc w:val="both"/>
        <w:rPr>
          <w:color w:val="231F20"/>
        </w:rPr>
      </w:pPr>
      <w:bookmarkStart w:id="20" w:name="_Hlk71116311"/>
      <w:r>
        <w:rPr>
          <w:color w:val="231F20"/>
        </w:rPr>
        <w:t>“Net</w:t>
      </w:r>
      <w:r>
        <w:rPr>
          <w:color w:val="231F20"/>
          <w:spacing w:val="-2"/>
        </w:rPr>
        <w:t xml:space="preserve"> </w:t>
      </w:r>
      <w:r>
        <w:rPr>
          <w:color w:val="231F20"/>
        </w:rPr>
        <w:t>Proceeds”</w:t>
      </w:r>
      <w:r>
        <w:rPr>
          <w:color w:val="231F20"/>
        </w:rPr>
        <w:tab/>
        <w:t>the proceeds of the Placing receivable by the Company, after deduction of any expenses paid or payable in connection with the Placing and</w:t>
      </w:r>
      <w:r>
        <w:rPr>
          <w:color w:val="231F20"/>
          <w:spacing w:val="-2"/>
        </w:rPr>
        <w:t xml:space="preserve"> </w:t>
      </w:r>
      <w:proofErr w:type="gramStart"/>
      <w:r>
        <w:rPr>
          <w:color w:val="231F20"/>
        </w:rPr>
        <w:t>Admission;</w:t>
      </w:r>
      <w:proofErr w:type="gramEnd"/>
    </w:p>
    <w:bookmarkEnd w:id="20"/>
    <w:p w14:paraId="583AFAA3" w14:textId="77777777" w:rsidR="00240151" w:rsidRDefault="00240151" w:rsidP="00240151">
      <w:pPr>
        <w:pStyle w:val="BodyText"/>
        <w:kinsoku w:val="0"/>
        <w:overflowPunct w:val="0"/>
      </w:pPr>
    </w:p>
    <w:p w14:paraId="69AE1B39" w14:textId="77777777" w:rsidR="00240151" w:rsidRDefault="00240151" w:rsidP="00240151">
      <w:pPr>
        <w:pStyle w:val="BodyText"/>
        <w:tabs>
          <w:tab w:val="left" w:pos="4395"/>
        </w:tabs>
        <w:kinsoku w:val="0"/>
        <w:overflowPunct w:val="0"/>
        <w:ind w:left="228"/>
        <w:rPr>
          <w:color w:val="231F20"/>
        </w:rPr>
      </w:pPr>
      <w:r>
        <w:rPr>
          <w:color w:val="231F20"/>
        </w:rPr>
        <w:lastRenderedPageBreak/>
        <w:t>“Official</w:t>
      </w:r>
      <w:r>
        <w:rPr>
          <w:color w:val="231F20"/>
          <w:spacing w:val="-1"/>
        </w:rPr>
        <w:t xml:space="preserve"> </w:t>
      </w:r>
      <w:r>
        <w:rPr>
          <w:color w:val="231F20"/>
        </w:rPr>
        <w:t>List”</w:t>
      </w:r>
      <w:r>
        <w:rPr>
          <w:color w:val="231F20"/>
        </w:rPr>
        <w:tab/>
        <w:t>the Official List of the UK Listing</w:t>
      </w:r>
      <w:r>
        <w:rPr>
          <w:color w:val="231F20"/>
          <w:spacing w:val="1"/>
        </w:rPr>
        <w:t xml:space="preserve"> </w:t>
      </w:r>
      <w:proofErr w:type="gramStart"/>
      <w:r>
        <w:rPr>
          <w:color w:val="231F20"/>
        </w:rPr>
        <w:t>Authority;</w:t>
      </w:r>
      <w:proofErr w:type="gramEnd"/>
    </w:p>
    <w:p w14:paraId="57575C02" w14:textId="77777777" w:rsidR="00240151" w:rsidRDefault="00240151" w:rsidP="00240151">
      <w:pPr>
        <w:pStyle w:val="BodyText"/>
        <w:kinsoku w:val="0"/>
        <w:overflowPunct w:val="0"/>
        <w:spacing w:before="10"/>
        <w:rPr>
          <w:sz w:val="17"/>
          <w:szCs w:val="17"/>
        </w:rPr>
      </w:pPr>
    </w:p>
    <w:p w14:paraId="4E83F823" w14:textId="77777777" w:rsidR="00505CDD" w:rsidRDefault="00240151" w:rsidP="00505CDD">
      <w:pPr>
        <w:pStyle w:val="BodyText"/>
        <w:tabs>
          <w:tab w:val="left" w:pos="4395"/>
        </w:tabs>
        <w:kinsoku w:val="0"/>
        <w:overflowPunct w:val="0"/>
        <w:ind w:left="4395" w:right="1446" w:hanging="4111"/>
        <w:rPr>
          <w:color w:val="231F20"/>
        </w:rPr>
      </w:pPr>
      <w:r>
        <w:rPr>
          <w:color w:val="231F20"/>
        </w:rPr>
        <w:t>“Ordinary</w:t>
      </w:r>
      <w:r>
        <w:rPr>
          <w:color w:val="231F20"/>
          <w:spacing w:val="-2"/>
        </w:rPr>
        <w:t xml:space="preserve"> </w:t>
      </w:r>
      <w:r>
        <w:rPr>
          <w:color w:val="231F20"/>
        </w:rPr>
        <w:t>Shares”</w:t>
      </w:r>
      <w:r>
        <w:rPr>
          <w:color w:val="231F20"/>
        </w:rPr>
        <w:tab/>
        <w:t>ordinary shares of 0.1p (£0.001) each in the capital of the</w:t>
      </w:r>
      <w:r>
        <w:rPr>
          <w:color w:val="231F20"/>
          <w:spacing w:val="-7"/>
        </w:rPr>
        <w:t xml:space="preserve"> </w:t>
      </w:r>
      <w:proofErr w:type="gramStart"/>
      <w:r>
        <w:rPr>
          <w:color w:val="231F20"/>
        </w:rPr>
        <w:t>Company;</w:t>
      </w:r>
      <w:proofErr w:type="gramEnd"/>
    </w:p>
    <w:p w14:paraId="3BD24B12" w14:textId="77777777" w:rsidR="00505CDD" w:rsidRDefault="00505CDD" w:rsidP="00505CDD">
      <w:pPr>
        <w:pStyle w:val="BodyText"/>
        <w:tabs>
          <w:tab w:val="left" w:pos="4395"/>
        </w:tabs>
        <w:kinsoku w:val="0"/>
        <w:overflowPunct w:val="0"/>
        <w:ind w:left="4395" w:right="1446" w:hanging="4111"/>
        <w:rPr>
          <w:color w:val="231F20"/>
        </w:rPr>
      </w:pPr>
    </w:p>
    <w:p w14:paraId="2C83CAD4" w14:textId="172F9E26" w:rsidR="00240151" w:rsidRDefault="00505CDD" w:rsidP="00505CDD">
      <w:pPr>
        <w:pStyle w:val="BodyText"/>
        <w:tabs>
          <w:tab w:val="left" w:pos="4395"/>
        </w:tabs>
        <w:kinsoku w:val="0"/>
        <w:overflowPunct w:val="0"/>
        <w:ind w:left="4395" w:right="1446" w:hanging="4111"/>
        <w:rPr>
          <w:color w:val="231F20"/>
        </w:rPr>
      </w:pPr>
      <w:r>
        <w:rPr>
          <w:color w:val="231F20"/>
        </w:rPr>
        <w:t>"Option"</w:t>
      </w:r>
      <w:r>
        <w:rPr>
          <w:color w:val="231F20"/>
        </w:rPr>
        <w:tab/>
        <w:t>an option to subscribe for Ordinary Shares in the capital of the Company as granted to the Directors and certain key management and consultants and set out in paragraph 10 of part</w:t>
      </w:r>
      <w:r>
        <w:rPr>
          <w:color w:val="231F20"/>
          <w:spacing w:val="-3"/>
        </w:rPr>
        <w:t xml:space="preserve"> </w:t>
      </w:r>
      <w:proofErr w:type="gramStart"/>
      <w:r>
        <w:rPr>
          <w:color w:val="231F20"/>
        </w:rPr>
        <w:t>VII;</w:t>
      </w:r>
      <w:proofErr w:type="gramEnd"/>
    </w:p>
    <w:p w14:paraId="57090340" w14:textId="77777777" w:rsidR="00240151" w:rsidRDefault="00240151" w:rsidP="00240151">
      <w:pPr>
        <w:pStyle w:val="BodyText"/>
        <w:tabs>
          <w:tab w:val="left" w:pos="2632"/>
        </w:tabs>
        <w:kinsoku w:val="0"/>
        <w:overflowPunct w:val="0"/>
        <w:spacing w:before="1"/>
        <w:ind w:left="2632" w:right="1490" w:hanging="2405"/>
        <w:jc w:val="both"/>
        <w:rPr>
          <w:color w:val="231F20"/>
        </w:rPr>
      </w:pPr>
    </w:p>
    <w:p w14:paraId="0FCE9F18" w14:textId="18D2C67D" w:rsidR="00240151" w:rsidRDefault="00240151" w:rsidP="00240151">
      <w:pPr>
        <w:pStyle w:val="BodyText"/>
        <w:tabs>
          <w:tab w:val="left" w:pos="4395"/>
        </w:tabs>
        <w:kinsoku w:val="0"/>
        <w:overflowPunct w:val="0"/>
        <w:spacing w:before="78"/>
        <w:ind w:left="4395" w:right="1488" w:hanging="4111"/>
        <w:jc w:val="both"/>
        <w:rPr>
          <w:color w:val="231F20"/>
        </w:rPr>
      </w:pPr>
      <w:r>
        <w:rPr>
          <w:color w:val="231F20"/>
        </w:rPr>
        <w:t>“Percussion</w:t>
      </w:r>
      <w:r>
        <w:rPr>
          <w:color w:val="231F20"/>
          <w:spacing w:val="-2"/>
        </w:rPr>
        <w:t xml:space="preserve"> </w:t>
      </w:r>
      <w:r>
        <w:rPr>
          <w:color w:val="231F20"/>
        </w:rPr>
        <w:t>Drilling”</w:t>
      </w:r>
      <w:r>
        <w:rPr>
          <w:color w:val="231F20"/>
        </w:rPr>
        <w:tab/>
        <w:t xml:space="preserve">a fast and </w:t>
      </w:r>
      <w:proofErr w:type="gramStart"/>
      <w:r>
        <w:rPr>
          <w:color w:val="231F20"/>
        </w:rPr>
        <w:t>cost effective</w:t>
      </w:r>
      <w:proofErr w:type="gramEnd"/>
      <w:r>
        <w:rPr>
          <w:color w:val="231F20"/>
        </w:rPr>
        <w:t xml:space="preserve"> drilling method for investigating mining targets at depths of up to 200 metres, which yields rock chips for geological logging. Percussion Drilling</w:t>
      </w:r>
      <w:r>
        <w:rPr>
          <w:color w:val="231F20"/>
          <w:spacing w:val="-7"/>
        </w:rPr>
        <w:t xml:space="preserve"> </w:t>
      </w:r>
      <w:r>
        <w:rPr>
          <w:color w:val="231F20"/>
        </w:rPr>
        <w:t>is</w:t>
      </w:r>
      <w:r>
        <w:rPr>
          <w:color w:val="231F20"/>
          <w:spacing w:val="-6"/>
        </w:rPr>
        <w:t xml:space="preserve"> </w:t>
      </w:r>
      <w:r>
        <w:rPr>
          <w:color w:val="231F20"/>
        </w:rPr>
        <w:t>the</w:t>
      </w:r>
      <w:r>
        <w:rPr>
          <w:color w:val="231F20"/>
          <w:spacing w:val="-4"/>
        </w:rPr>
        <w:t xml:space="preserve"> </w:t>
      </w:r>
      <w:r>
        <w:rPr>
          <w:color w:val="231F20"/>
        </w:rPr>
        <w:t>final</w:t>
      </w:r>
      <w:r>
        <w:rPr>
          <w:color w:val="231F20"/>
          <w:spacing w:val="-6"/>
        </w:rPr>
        <w:t xml:space="preserve"> </w:t>
      </w:r>
      <w:r>
        <w:rPr>
          <w:color w:val="231F20"/>
        </w:rPr>
        <w:t>step</w:t>
      </w:r>
      <w:r>
        <w:rPr>
          <w:color w:val="231F20"/>
          <w:spacing w:val="-6"/>
        </w:rPr>
        <w:t xml:space="preserve"> </w:t>
      </w:r>
      <w:r>
        <w:rPr>
          <w:color w:val="231F20"/>
        </w:rPr>
        <w:t>of</w:t>
      </w:r>
      <w:r>
        <w:rPr>
          <w:color w:val="231F20"/>
          <w:spacing w:val="-4"/>
        </w:rPr>
        <w:t xml:space="preserve"> </w:t>
      </w:r>
      <w:r>
        <w:rPr>
          <w:color w:val="231F20"/>
        </w:rPr>
        <w:t>test</w:t>
      </w:r>
      <w:r>
        <w:rPr>
          <w:color w:val="231F20"/>
          <w:spacing w:val="-9"/>
        </w:rPr>
        <w:t xml:space="preserve"> </w:t>
      </w:r>
      <w:r>
        <w:rPr>
          <w:color w:val="231F20"/>
        </w:rPr>
        <w:t>work</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Company’s</w:t>
      </w:r>
      <w:r>
        <w:rPr>
          <w:color w:val="231F20"/>
          <w:spacing w:val="-6"/>
        </w:rPr>
        <w:t xml:space="preserve"> </w:t>
      </w:r>
      <w:r>
        <w:rPr>
          <w:color w:val="231F20"/>
        </w:rPr>
        <w:t>mineral</w:t>
      </w:r>
      <w:r>
        <w:rPr>
          <w:color w:val="231F20"/>
          <w:spacing w:val="-6"/>
        </w:rPr>
        <w:t xml:space="preserve"> </w:t>
      </w:r>
      <w:r>
        <w:rPr>
          <w:color w:val="231F20"/>
        </w:rPr>
        <w:t>exploration</w:t>
      </w:r>
      <w:r>
        <w:rPr>
          <w:color w:val="231F20"/>
          <w:spacing w:val="-6"/>
        </w:rPr>
        <w:t xml:space="preserve"> </w:t>
      </w:r>
      <w:r>
        <w:rPr>
          <w:color w:val="231F20"/>
        </w:rPr>
        <w:t>process prior to diamond drilling and is generally considered less precise and accurate than diamond</w:t>
      </w:r>
      <w:r>
        <w:rPr>
          <w:color w:val="231F20"/>
          <w:spacing w:val="-2"/>
        </w:rPr>
        <w:t xml:space="preserve"> </w:t>
      </w:r>
      <w:proofErr w:type="gramStart"/>
      <w:r>
        <w:rPr>
          <w:color w:val="231F20"/>
        </w:rPr>
        <w:t>drilling;</w:t>
      </w:r>
      <w:proofErr w:type="gramEnd"/>
    </w:p>
    <w:p w14:paraId="6915631A" w14:textId="7487D766" w:rsidR="00505CDD" w:rsidRDefault="00505CDD" w:rsidP="00240151">
      <w:pPr>
        <w:pStyle w:val="BodyText"/>
        <w:tabs>
          <w:tab w:val="left" w:pos="4395"/>
        </w:tabs>
        <w:kinsoku w:val="0"/>
        <w:overflowPunct w:val="0"/>
        <w:spacing w:before="78"/>
        <w:ind w:left="4395" w:right="1488" w:hanging="4111"/>
        <w:jc w:val="both"/>
        <w:rPr>
          <w:color w:val="231F20"/>
        </w:rPr>
      </w:pPr>
    </w:p>
    <w:p w14:paraId="33010A4D" w14:textId="28E536DB" w:rsidR="00240151" w:rsidRPr="00595A97" w:rsidRDefault="00240151" w:rsidP="00595A97">
      <w:pPr>
        <w:pStyle w:val="BodyText"/>
        <w:tabs>
          <w:tab w:val="left" w:pos="4395"/>
        </w:tabs>
        <w:kinsoku w:val="0"/>
        <w:overflowPunct w:val="0"/>
        <w:spacing w:before="78"/>
        <w:ind w:left="4395" w:right="1488" w:hanging="4111"/>
        <w:jc w:val="both"/>
        <w:rPr>
          <w:color w:val="231F20"/>
        </w:rPr>
      </w:pPr>
      <w:r>
        <w:rPr>
          <w:color w:val="231F20"/>
        </w:rPr>
        <w:t>“</w:t>
      </w:r>
      <w:proofErr w:type="spellStart"/>
      <w:r>
        <w:rPr>
          <w:color w:val="231F20"/>
        </w:rPr>
        <w:t>Panmure</w:t>
      </w:r>
      <w:proofErr w:type="spellEnd"/>
      <w:r>
        <w:rPr>
          <w:color w:val="231F20"/>
        </w:rPr>
        <w:t xml:space="preserve"> Gordon”</w:t>
      </w:r>
      <w:r>
        <w:rPr>
          <w:color w:val="231F20"/>
        </w:rPr>
        <w:tab/>
      </w:r>
      <w:proofErr w:type="spellStart"/>
      <w:r>
        <w:rPr>
          <w:color w:val="231F20"/>
        </w:rPr>
        <w:t>Panmore</w:t>
      </w:r>
      <w:proofErr w:type="spellEnd"/>
      <w:r>
        <w:rPr>
          <w:color w:val="231F20"/>
        </w:rPr>
        <w:t xml:space="preserve"> Gordon (UK Limited), </w:t>
      </w:r>
      <w:r w:rsidR="0097544A">
        <w:rPr>
          <w:color w:val="231F20"/>
        </w:rPr>
        <w:t xml:space="preserve">joint </w:t>
      </w:r>
      <w:r>
        <w:rPr>
          <w:color w:val="231F20"/>
        </w:rPr>
        <w:t>broker to the Company</w:t>
      </w:r>
      <w:r w:rsidR="0097544A">
        <w:rPr>
          <w:color w:val="231F20"/>
        </w:rPr>
        <w:t xml:space="preserve"> but acting exclusively as broker in relation to the Placing</w:t>
      </w:r>
      <w:r>
        <w:rPr>
          <w:color w:val="231F20"/>
        </w:rPr>
        <w:t xml:space="preserve">, a private limited company with company number </w:t>
      </w:r>
      <w:proofErr w:type="gramStart"/>
      <w:r>
        <w:rPr>
          <w:lang w:val="en"/>
        </w:rPr>
        <w:t>04915201;</w:t>
      </w:r>
      <w:proofErr w:type="gramEnd"/>
    </w:p>
    <w:p w14:paraId="49F4F0D5" w14:textId="77777777" w:rsidR="00240151" w:rsidRDefault="00240151" w:rsidP="00240151">
      <w:pPr>
        <w:pStyle w:val="BodyText"/>
        <w:kinsoku w:val="0"/>
        <w:overflowPunct w:val="0"/>
        <w:spacing w:before="10"/>
        <w:rPr>
          <w:sz w:val="17"/>
          <w:szCs w:val="17"/>
        </w:rPr>
      </w:pPr>
    </w:p>
    <w:p w14:paraId="54C7F272" w14:textId="113833EE" w:rsidR="00240151" w:rsidRDefault="00240151" w:rsidP="00240151">
      <w:pPr>
        <w:pStyle w:val="BodyText"/>
        <w:tabs>
          <w:tab w:val="left" w:pos="4395"/>
        </w:tabs>
        <w:kinsoku w:val="0"/>
        <w:overflowPunct w:val="0"/>
        <w:ind w:left="4395" w:right="1488" w:hanging="4111"/>
        <w:jc w:val="both"/>
        <w:rPr>
          <w:color w:val="231F20"/>
        </w:rPr>
      </w:pPr>
      <w:r>
        <w:rPr>
          <w:color w:val="231F20"/>
        </w:rPr>
        <w:t>“</w:t>
      </w:r>
      <w:proofErr w:type="spellStart"/>
      <w:r>
        <w:rPr>
          <w:color w:val="231F20"/>
        </w:rPr>
        <w:t>Placee</w:t>
      </w:r>
      <w:proofErr w:type="spellEnd"/>
      <w:r>
        <w:rPr>
          <w:color w:val="231F20"/>
        </w:rPr>
        <w:t>”</w:t>
      </w:r>
      <w:r>
        <w:rPr>
          <w:color w:val="231F20"/>
        </w:rPr>
        <w:tab/>
        <w:t>a person who confirms his agreement to Panmure Gordon to subscribe for Placing Shares under the Placing in accordance with the terms of a Placing</w:t>
      </w:r>
      <w:r>
        <w:rPr>
          <w:color w:val="231F20"/>
          <w:spacing w:val="-13"/>
        </w:rPr>
        <w:t xml:space="preserve"> </w:t>
      </w:r>
      <w:proofErr w:type="gramStart"/>
      <w:r>
        <w:rPr>
          <w:color w:val="231F20"/>
        </w:rPr>
        <w:t>Letter;</w:t>
      </w:r>
      <w:proofErr w:type="gramEnd"/>
    </w:p>
    <w:p w14:paraId="15ACDBCE" w14:textId="77777777" w:rsidR="00240151" w:rsidRDefault="00240151" w:rsidP="00240151">
      <w:pPr>
        <w:pStyle w:val="BodyText"/>
        <w:kinsoku w:val="0"/>
        <w:overflowPunct w:val="0"/>
      </w:pPr>
    </w:p>
    <w:p w14:paraId="23791FE4" w14:textId="342CDD12" w:rsidR="00240151" w:rsidRDefault="00240151" w:rsidP="00240151">
      <w:pPr>
        <w:pStyle w:val="BodyText"/>
        <w:tabs>
          <w:tab w:val="left" w:pos="4395"/>
        </w:tabs>
        <w:kinsoku w:val="0"/>
        <w:overflowPunct w:val="0"/>
        <w:ind w:left="4395" w:right="1491" w:hanging="4111"/>
        <w:jc w:val="both"/>
        <w:rPr>
          <w:color w:val="231F20"/>
        </w:rPr>
      </w:pPr>
      <w:r>
        <w:rPr>
          <w:color w:val="231F20"/>
        </w:rPr>
        <w:t>“Placing”</w:t>
      </w:r>
      <w:r>
        <w:rPr>
          <w:color w:val="231F20"/>
        </w:rPr>
        <w:tab/>
        <w:t>the</w:t>
      </w:r>
      <w:r>
        <w:rPr>
          <w:color w:val="231F20"/>
          <w:spacing w:val="-14"/>
        </w:rPr>
        <w:t xml:space="preserve"> </w:t>
      </w:r>
      <w:r>
        <w:rPr>
          <w:color w:val="231F20"/>
        </w:rPr>
        <w:t>conditional</w:t>
      </w:r>
      <w:r>
        <w:rPr>
          <w:color w:val="231F20"/>
          <w:spacing w:val="-13"/>
        </w:rPr>
        <w:t xml:space="preserve"> </w:t>
      </w:r>
      <w:r>
        <w:rPr>
          <w:color w:val="231F20"/>
        </w:rPr>
        <w:t>placing</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Placing</w:t>
      </w:r>
      <w:r>
        <w:rPr>
          <w:color w:val="231F20"/>
          <w:spacing w:val="-13"/>
        </w:rPr>
        <w:t xml:space="preserve"> </w:t>
      </w:r>
      <w:r>
        <w:rPr>
          <w:color w:val="231F20"/>
        </w:rPr>
        <w:t>Shares</w:t>
      </w:r>
      <w:r>
        <w:rPr>
          <w:color w:val="231F20"/>
          <w:spacing w:val="-14"/>
        </w:rPr>
        <w:t xml:space="preserve"> </w:t>
      </w:r>
      <w:r>
        <w:rPr>
          <w:color w:val="231F20"/>
        </w:rPr>
        <w:t>by</w:t>
      </w:r>
      <w:r>
        <w:rPr>
          <w:color w:val="231F20"/>
          <w:spacing w:val="-15"/>
        </w:rPr>
        <w:t xml:space="preserve"> </w:t>
      </w:r>
      <w:r>
        <w:rPr>
          <w:color w:val="231F20"/>
        </w:rPr>
        <w:t>Panmure Gordon</w:t>
      </w:r>
      <w:r>
        <w:rPr>
          <w:color w:val="231F20"/>
          <w:spacing w:val="-14"/>
        </w:rPr>
        <w:t xml:space="preserve"> </w:t>
      </w:r>
      <w:r>
        <w:rPr>
          <w:color w:val="231F20"/>
        </w:rPr>
        <w:t>at</w:t>
      </w:r>
      <w:r>
        <w:rPr>
          <w:color w:val="231F20"/>
          <w:spacing w:val="-15"/>
        </w:rPr>
        <w:t xml:space="preserve"> </w:t>
      </w:r>
      <w:r>
        <w:rPr>
          <w:color w:val="231F20"/>
        </w:rPr>
        <w:t>the</w:t>
      </w:r>
      <w:r>
        <w:rPr>
          <w:color w:val="231F20"/>
          <w:spacing w:val="-13"/>
        </w:rPr>
        <w:t xml:space="preserve"> </w:t>
      </w:r>
      <w:r>
        <w:rPr>
          <w:color w:val="231F20"/>
        </w:rPr>
        <w:t>Placing</w:t>
      </w:r>
      <w:r>
        <w:rPr>
          <w:color w:val="231F20"/>
          <w:spacing w:val="-13"/>
        </w:rPr>
        <w:t xml:space="preserve"> </w:t>
      </w:r>
      <w:r>
        <w:rPr>
          <w:color w:val="231F20"/>
        </w:rPr>
        <w:t>Price pursuant to the Placing</w:t>
      </w:r>
      <w:r>
        <w:rPr>
          <w:color w:val="231F20"/>
          <w:spacing w:val="2"/>
        </w:rPr>
        <w:t xml:space="preserve"> </w:t>
      </w:r>
      <w:proofErr w:type="gramStart"/>
      <w:r>
        <w:rPr>
          <w:color w:val="231F20"/>
        </w:rPr>
        <w:t>Agreement;</w:t>
      </w:r>
      <w:proofErr w:type="gramEnd"/>
    </w:p>
    <w:p w14:paraId="78C92E30" w14:textId="77777777" w:rsidR="00240151" w:rsidRDefault="00240151" w:rsidP="00240151">
      <w:pPr>
        <w:pStyle w:val="BodyText"/>
        <w:kinsoku w:val="0"/>
        <w:overflowPunct w:val="0"/>
        <w:spacing w:before="1"/>
      </w:pPr>
    </w:p>
    <w:p w14:paraId="58FDE8C3" w14:textId="3829CA70" w:rsidR="00240151" w:rsidRDefault="00240151" w:rsidP="00240151">
      <w:pPr>
        <w:pStyle w:val="BodyText"/>
        <w:tabs>
          <w:tab w:val="left" w:pos="4395"/>
        </w:tabs>
        <w:kinsoku w:val="0"/>
        <w:overflowPunct w:val="0"/>
        <w:ind w:left="4395" w:right="1488" w:hanging="4111"/>
        <w:jc w:val="both"/>
        <w:rPr>
          <w:color w:val="231F20"/>
        </w:rPr>
      </w:pPr>
      <w:r>
        <w:rPr>
          <w:color w:val="231F20"/>
        </w:rPr>
        <w:t>“Placing</w:t>
      </w:r>
      <w:r>
        <w:rPr>
          <w:color w:val="231F20"/>
          <w:spacing w:val="-1"/>
        </w:rPr>
        <w:t xml:space="preserve"> </w:t>
      </w:r>
      <w:r>
        <w:rPr>
          <w:color w:val="231F20"/>
        </w:rPr>
        <w:t>Agreement”</w:t>
      </w:r>
      <w:r>
        <w:rPr>
          <w:color w:val="231F20"/>
        </w:rPr>
        <w:tab/>
        <w:t>the</w:t>
      </w:r>
      <w:r>
        <w:rPr>
          <w:color w:val="231F20"/>
          <w:spacing w:val="-10"/>
        </w:rPr>
        <w:t xml:space="preserve"> </w:t>
      </w:r>
      <w:r>
        <w:rPr>
          <w:color w:val="231F20"/>
        </w:rPr>
        <w:t>conditional</w:t>
      </w:r>
      <w:r>
        <w:rPr>
          <w:color w:val="231F20"/>
          <w:spacing w:val="-10"/>
        </w:rPr>
        <w:t xml:space="preserve"> </w:t>
      </w:r>
      <w:r>
        <w:rPr>
          <w:color w:val="231F20"/>
        </w:rPr>
        <w:t>placing</w:t>
      </w:r>
      <w:r>
        <w:rPr>
          <w:color w:val="231F20"/>
          <w:spacing w:val="-11"/>
        </w:rPr>
        <w:t xml:space="preserve"> </w:t>
      </w:r>
      <w:r>
        <w:rPr>
          <w:color w:val="231F20"/>
        </w:rPr>
        <w:t>agreement</w:t>
      </w:r>
      <w:r>
        <w:rPr>
          <w:color w:val="231F20"/>
          <w:spacing w:val="-10"/>
        </w:rPr>
        <w:t xml:space="preserve"> </w:t>
      </w:r>
      <w:r>
        <w:rPr>
          <w:color w:val="231F20"/>
        </w:rPr>
        <w:t>between</w:t>
      </w:r>
      <w:r>
        <w:rPr>
          <w:color w:val="231F20"/>
          <w:spacing w:val="-9"/>
        </w:rPr>
        <w:t xml:space="preserve"> </w:t>
      </w:r>
      <w:r>
        <w:rPr>
          <w:color w:val="231F20"/>
        </w:rPr>
        <w:t>the</w:t>
      </w:r>
      <w:r>
        <w:rPr>
          <w:color w:val="231F20"/>
          <w:spacing w:val="-10"/>
        </w:rPr>
        <w:t xml:space="preserve"> </w:t>
      </w:r>
      <w:r>
        <w:rPr>
          <w:color w:val="231F20"/>
        </w:rPr>
        <w:t>Company</w:t>
      </w:r>
      <w:r>
        <w:rPr>
          <w:color w:val="231F20"/>
          <w:spacing w:val="-10"/>
        </w:rPr>
        <w:t xml:space="preserve"> </w:t>
      </w:r>
      <w:r>
        <w:rPr>
          <w:color w:val="231F20"/>
        </w:rPr>
        <w:t>and</w:t>
      </w:r>
      <w:r>
        <w:rPr>
          <w:color w:val="231F20"/>
          <w:spacing w:val="-12"/>
        </w:rPr>
        <w:t xml:space="preserve"> </w:t>
      </w:r>
      <w:r>
        <w:rPr>
          <w:color w:val="231F20"/>
        </w:rPr>
        <w:t>Panmure Gordon,</w:t>
      </w:r>
      <w:r>
        <w:rPr>
          <w:color w:val="231F20"/>
          <w:spacing w:val="-9"/>
        </w:rPr>
        <w:t xml:space="preserve"> </w:t>
      </w:r>
      <w:r>
        <w:rPr>
          <w:color w:val="231F20"/>
        </w:rPr>
        <w:t xml:space="preserve">details of which are set out </w:t>
      </w:r>
      <w:r w:rsidRPr="00262409">
        <w:rPr>
          <w:color w:val="231F20"/>
        </w:rPr>
        <w:t xml:space="preserve">in </w:t>
      </w:r>
      <w:r w:rsidRPr="004057C2">
        <w:rPr>
          <w:color w:val="231F20"/>
        </w:rPr>
        <w:t>paragraph 14.1</w:t>
      </w:r>
      <w:r>
        <w:rPr>
          <w:color w:val="231F20"/>
        </w:rPr>
        <w:t xml:space="preserve"> of Part VII of this</w:t>
      </w:r>
      <w:r>
        <w:rPr>
          <w:color w:val="231F20"/>
          <w:spacing w:val="-12"/>
        </w:rPr>
        <w:t xml:space="preserve"> </w:t>
      </w:r>
      <w:proofErr w:type="gramStart"/>
      <w:r>
        <w:rPr>
          <w:color w:val="231F20"/>
        </w:rPr>
        <w:t>Document;</w:t>
      </w:r>
      <w:proofErr w:type="gramEnd"/>
    </w:p>
    <w:p w14:paraId="1A4C68A1" w14:textId="77777777" w:rsidR="00240151" w:rsidRDefault="00240151" w:rsidP="00CE7F94">
      <w:pPr>
        <w:pStyle w:val="BodyText"/>
        <w:tabs>
          <w:tab w:val="left" w:pos="2632"/>
        </w:tabs>
        <w:kinsoku w:val="0"/>
        <w:overflowPunct w:val="0"/>
        <w:spacing w:before="1"/>
        <w:ind w:right="1487"/>
        <w:jc w:val="both"/>
        <w:rPr>
          <w:color w:val="231F20"/>
        </w:rPr>
      </w:pPr>
    </w:p>
    <w:p w14:paraId="0056A688" w14:textId="5E6296FC" w:rsidR="00240151" w:rsidRDefault="00240151" w:rsidP="00240151">
      <w:pPr>
        <w:pStyle w:val="BodyText"/>
        <w:tabs>
          <w:tab w:val="left" w:pos="4395"/>
        </w:tabs>
        <w:kinsoku w:val="0"/>
        <w:overflowPunct w:val="0"/>
        <w:spacing w:before="1"/>
        <w:ind w:left="4395" w:right="1487" w:hanging="4111"/>
        <w:jc w:val="both"/>
        <w:rPr>
          <w:color w:val="231F20"/>
        </w:rPr>
      </w:pPr>
      <w:r>
        <w:rPr>
          <w:color w:val="231F20"/>
        </w:rPr>
        <w:t>“Placing Price”</w:t>
      </w:r>
      <w:r>
        <w:rPr>
          <w:color w:val="231F20"/>
        </w:rPr>
        <w:tab/>
      </w:r>
      <w:r w:rsidR="000F2D78">
        <w:t>0.10</w:t>
      </w:r>
      <w:r>
        <w:rPr>
          <w:color w:val="231F20"/>
        </w:rPr>
        <w:t xml:space="preserve">p per Placing </w:t>
      </w:r>
      <w:proofErr w:type="gramStart"/>
      <w:r>
        <w:rPr>
          <w:color w:val="231F20"/>
        </w:rPr>
        <w:t>Share;</w:t>
      </w:r>
      <w:proofErr w:type="gramEnd"/>
    </w:p>
    <w:p w14:paraId="173F722C" w14:textId="77777777" w:rsidR="00240151" w:rsidRDefault="00240151" w:rsidP="00240151">
      <w:pPr>
        <w:pStyle w:val="BodyText"/>
        <w:kinsoku w:val="0"/>
        <w:overflowPunct w:val="0"/>
        <w:spacing w:before="10"/>
        <w:rPr>
          <w:sz w:val="17"/>
          <w:szCs w:val="17"/>
        </w:rPr>
      </w:pPr>
    </w:p>
    <w:p w14:paraId="780BAF64" w14:textId="5DD20DE4" w:rsidR="00240151" w:rsidRDefault="00240151" w:rsidP="00240151">
      <w:pPr>
        <w:pStyle w:val="BodyText"/>
        <w:tabs>
          <w:tab w:val="left" w:pos="4395"/>
        </w:tabs>
        <w:kinsoku w:val="0"/>
        <w:overflowPunct w:val="0"/>
        <w:ind w:left="4395" w:right="1488" w:hanging="4111"/>
        <w:jc w:val="both"/>
        <w:rPr>
          <w:color w:val="231F20"/>
        </w:rPr>
      </w:pPr>
      <w:r>
        <w:rPr>
          <w:color w:val="231F20"/>
        </w:rPr>
        <w:t>“Placing</w:t>
      </w:r>
      <w:r>
        <w:rPr>
          <w:color w:val="231F20"/>
          <w:spacing w:val="-1"/>
        </w:rPr>
        <w:t xml:space="preserve"> </w:t>
      </w:r>
      <w:r>
        <w:rPr>
          <w:color w:val="231F20"/>
        </w:rPr>
        <w:t>Shares”</w:t>
      </w:r>
      <w:r>
        <w:rPr>
          <w:color w:val="231F20"/>
        </w:rPr>
        <w:tab/>
        <w:t xml:space="preserve">the </w:t>
      </w:r>
      <w:r w:rsidR="00520F27">
        <w:t>8,000,000</w:t>
      </w:r>
      <w:r>
        <w:t xml:space="preserve"> </w:t>
      </w:r>
      <w:r>
        <w:rPr>
          <w:color w:val="231F20"/>
        </w:rPr>
        <w:t xml:space="preserve">new Ordinary Shares to be allotted and issued to the </w:t>
      </w:r>
      <w:proofErr w:type="spellStart"/>
      <w:r w:rsidR="00CE7F94">
        <w:rPr>
          <w:color w:val="231F20"/>
        </w:rPr>
        <w:t>P</w:t>
      </w:r>
      <w:r>
        <w:rPr>
          <w:color w:val="231F20"/>
        </w:rPr>
        <w:t>lacees</w:t>
      </w:r>
      <w:proofErr w:type="spellEnd"/>
      <w:r>
        <w:rPr>
          <w:color w:val="231F20"/>
        </w:rPr>
        <w:t xml:space="preserve"> pursuant to the</w:t>
      </w:r>
      <w:r>
        <w:rPr>
          <w:color w:val="231F20"/>
          <w:spacing w:val="1"/>
        </w:rPr>
        <w:t xml:space="preserve"> </w:t>
      </w:r>
      <w:proofErr w:type="gramStart"/>
      <w:r>
        <w:rPr>
          <w:color w:val="231F20"/>
        </w:rPr>
        <w:t>Placing;</w:t>
      </w:r>
      <w:proofErr w:type="gramEnd"/>
    </w:p>
    <w:p w14:paraId="73547A61" w14:textId="77777777" w:rsidR="00240151" w:rsidRDefault="00240151" w:rsidP="00240151">
      <w:pPr>
        <w:pStyle w:val="BodyText"/>
        <w:kinsoku w:val="0"/>
        <w:overflowPunct w:val="0"/>
        <w:spacing w:before="10"/>
        <w:rPr>
          <w:sz w:val="17"/>
          <w:szCs w:val="17"/>
        </w:rPr>
      </w:pPr>
    </w:p>
    <w:p w14:paraId="0AE7D29A" w14:textId="77777777" w:rsidR="00240151" w:rsidRDefault="00240151" w:rsidP="00240151">
      <w:pPr>
        <w:pStyle w:val="BodyText"/>
        <w:tabs>
          <w:tab w:val="left" w:pos="4395"/>
        </w:tabs>
        <w:kinsoku w:val="0"/>
        <w:overflowPunct w:val="0"/>
        <w:ind w:left="4395" w:right="1489" w:hanging="4111"/>
        <w:jc w:val="both"/>
        <w:rPr>
          <w:color w:val="231F20"/>
        </w:rPr>
      </w:pPr>
      <w:r>
        <w:rPr>
          <w:color w:val="231F20"/>
        </w:rPr>
        <w:t>“</w:t>
      </w:r>
      <w:proofErr w:type="spellStart"/>
      <w:r>
        <w:rPr>
          <w:color w:val="231F20"/>
        </w:rPr>
        <w:t>Polymetal</w:t>
      </w:r>
      <w:proofErr w:type="spellEnd"/>
      <w:r>
        <w:rPr>
          <w:color w:val="231F20"/>
        </w:rPr>
        <w:t>”</w:t>
      </w:r>
      <w:r>
        <w:rPr>
          <w:color w:val="231F20"/>
        </w:rPr>
        <w:tab/>
      </w:r>
      <w:proofErr w:type="spellStart"/>
      <w:r>
        <w:rPr>
          <w:color w:val="231F20"/>
        </w:rPr>
        <w:t>Polymetal</w:t>
      </w:r>
      <w:proofErr w:type="spellEnd"/>
      <w:r>
        <w:rPr>
          <w:color w:val="231F20"/>
        </w:rPr>
        <w:t xml:space="preserve"> International Plc, incorporated and registered in Jersey with company number 106196 whose registered office is at 44 Esplanade, St Helier, Jersey, JE4 </w:t>
      </w:r>
      <w:proofErr w:type="gramStart"/>
      <w:r>
        <w:rPr>
          <w:color w:val="231F20"/>
        </w:rPr>
        <w:t>9WG;</w:t>
      </w:r>
      <w:proofErr w:type="gramEnd"/>
    </w:p>
    <w:p w14:paraId="7A871F0E" w14:textId="77777777" w:rsidR="00240151" w:rsidRDefault="00240151" w:rsidP="00240151">
      <w:pPr>
        <w:pStyle w:val="BodyText"/>
        <w:kinsoku w:val="0"/>
        <w:overflowPunct w:val="0"/>
      </w:pPr>
    </w:p>
    <w:p w14:paraId="2CBF565F" w14:textId="70255CC4" w:rsidR="00240151" w:rsidRDefault="00240151" w:rsidP="00240151">
      <w:pPr>
        <w:pStyle w:val="BodyText"/>
        <w:tabs>
          <w:tab w:val="left" w:pos="4395"/>
        </w:tabs>
        <w:kinsoku w:val="0"/>
        <w:overflowPunct w:val="0"/>
        <w:ind w:left="4395" w:right="1488" w:hanging="4111"/>
        <w:jc w:val="both"/>
        <w:rPr>
          <w:color w:val="231F20"/>
        </w:rPr>
      </w:pPr>
      <w:r>
        <w:rPr>
          <w:color w:val="231F20"/>
        </w:rPr>
        <w:t>“Portfolio”</w:t>
      </w:r>
      <w:r>
        <w:rPr>
          <w:color w:val="231F20"/>
        </w:rPr>
        <w:tab/>
        <w:t xml:space="preserve">the Granted Prospecting Permits, as well as, following completion of the Labrador Acquisition, the </w:t>
      </w:r>
      <w:r w:rsidR="00823044">
        <w:rPr>
          <w:color w:val="231F20"/>
        </w:rPr>
        <w:t xml:space="preserve">Granted </w:t>
      </w:r>
      <w:r>
        <w:rPr>
          <w:color w:val="231F20"/>
        </w:rPr>
        <w:t>Map-Staked Mineral Licences, or the land covered by them, in each case as the context</w:t>
      </w:r>
      <w:r>
        <w:rPr>
          <w:color w:val="231F20"/>
          <w:spacing w:val="-5"/>
        </w:rPr>
        <w:t xml:space="preserve"> </w:t>
      </w:r>
      <w:proofErr w:type="gramStart"/>
      <w:r>
        <w:rPr>
          <w:color w:val="231F20"/>
        </w:rPr>
        <w:t>requires;</w:t>
      </w:r>
      <w:proofErr w:type="gramEnd"/>
    </w:p>
    <w:p w14:paraId="43613EC6" w14:textId="77777777" w:rsidR="00240151" w:rsidRDefault="00240151" w:rsidP="00240151">
      <w:pPr>
        <w:pStyle w:val="BodyText"/>
        <w:tabs>
          <w:tab w:val="left" w:pos="2632"/>
        </w:tabs>
        <w:kinsoku w:val="0"/>
        <w:overflowPunct w:val="0"/>
        <w:rPr>
          <w:color w:val="231F20"/>
        </w:rPr>
      </w:pPr>
    </w:p>
    <w:p w14:paraId="04B1F79E" w14:textId="77777777" w:rsidR="00240151" w:rsidRDefault="00240151" w:rsidP="00240151">
      <w:pPr>
        <w:pStyle w:val="BodyText"/>
        <w:tabs>
          <w:tab w:val="left" w:pos="4395"/>
        </w:tabs>
        <w:kinsoku w:val="0"/>
        <w:overflowPunct w:val="0"/>
        <w:ind w:left="228"/>
        <w:rPr>
          <w:color w:val="231F20"/>
        </w:rPr>
      </w:pPr>
      <w:r>
        <w:rPr>
          <w:color w:val="231F20"/>
        </w:rPr>
        <w:t>“Premium</w:t>
      </w:r>
      <w:r>
        <w:rPr>
          <w:color w:val="231F20"/>
          <w:spacing w:val="-1"/>
        </w:rPr>
        <w:t xml:space="preserve"> </w:t>
      </w:r>
      <w:r>
        <w:rPr>
          <w:color w:val="231F20"/>
        </w:rPr>
        <w:t>Listing”</w:t>
      </w:r>
      <w:r>
        <w:rPr>
          <w:color w:val="231F20"/>
        </w:rPr>
        <w:tab/>
        <w:t xml:space="preserve">a Premium listing under Rule 6 of the listing </w:t>
      </w:r>
      <w:proofErr w:type="gramStart"/>
      <w:r>
        <w:rPr>
          <w:color w:val="231F20"/>
        </w:rPr>
        <w:t>Rules;</w:t>
      </w:r>
      <w:proofErr w:type="gramEnd"/>
    </w:p>
    <w:p w14:paraId="3A751907" w14:textId="77777777" w:rsidR="00240151" w:rsidRDefault="00240151" w:rsidP="00240151">
      <w:pPr>
        <w:pStyle w:val="BodyText"/>
        <w:kinsoku w:val="0"/>
        <w:overflowPunct w:val="0"/>
        <w:spacing w:before="1"/>
      </w:pPr>
    </w:p>
    <w:p w14:paraId="394DF6F6" w14:textId="77777777" w:rsidR="00240151" w:rsidRDefault="00240151" w:rsidP="00595A97">
      <w:pPr>
        <w:pStyle w:val="BodyText"/>
        <w:tabs>
          <w:tab w:val="left" w:pos="4395"/>
        </w:tabs>
        <w:kinsoku w:val="0"/>
        <w:overflowPunct w:val="0"/>
        <w:ind w:left="4395" w:right="1488" w:hanging="4157"/>
        <w:jc w:val="both"/>
        <w:rPr>
          <w:color w:val="231F20"/>
        </w:rPr>
        <w:sectPr w:rsidR="00240151" w:rsidSect="00240151">
          <w:pgSz w:w="11900" w:h="16840"/>
          <w:pgMar w:top="1360" w:right="240" w:bottom="280" w:left="1140" w:header="720" w:footer="720" w:gutter="0"/>
          <w:cols w:space="720" w:equalWidth="0">
            <w:col w:w="10520" w:space="553"/>
          </w:cols>
          <w:noEndnote/>
        </w:sectPr>
      </w:pPr>
      <w:r>
        <w:rPr>
          <w:color w:val="231F20"/>
        </w:rPr>
        <w:t>“Principal</w:t>
      </w:r>
      <w:r>
        <w:rPr>
          <w:color w:val="231F20"/>
          <w:spacing w:val="-3"/>
        </w:rPr>
        <w:t xml:space="preserve"> </w:t>
      </w:r>
      <w:r>
        <w:rPr>
          <w:color w:val="231F20"/>
        </w:rPr>
        <w:t>HKP</w:t>
      </w:r>
      <w:r>
        <w:rPr>
          <w:color w:val="231F20"/>
          <w:spacing w:val="-1"/>
        </w:rPr>
        <w:t xml:space="preserve"> </w:t>
      </w:r>
      <w:r>
        <w:rPr>
          <w:color w:val="231F20"/>
        </w:rPr>
        <w:t>Sellers”</w:t>
      </w:r>
      <w:r>
        <w:rPr>
          <w:color w:val="231F20"/>
        </w:rPr>
        <w:tab/>
        <w:t xml:space="preserve">Michael Green, David </w:t>
      </w:r>
      <w:proofErr w:type="gramStart"/>
      <w:r>
        <w:rPr>
          <w:color w:val="231F20"/>
        </w:rPr>
        <w:t>Hall</w:t>
      </w:r>
      <w:proofErr w:type="gramEnd"/>
      <w:r>
        <w:rPr>
          <w:color w:val="231F20"/>
        </w:rPr>
        <w:t xml:space="preserve"> and Jeremy Martin, together being holders of an aggregate</w:t>
      </w:r>
      <w:r>
        <w:rPr>
          <w:color w:val="231F20"/>
          <w:spacing w:val="-4"/>
        </w:rPr>
        <w:t xml:space="preserve"> </w:t>
      </w:r>
      <w:r>
        <w:rPr>
          <w:color w:val="231F20"/>
        </w:rPr>
        <w:t>of</w:t>
      </w:r>
      <w:r>
        <w:rPr>
          <w:color w:val="231F20"/>
          <w:spacing w:val="-4"/>
        </w:rPr>
        <w:t xml:space="preserve"> </w:t>
      </w:r>
      <w:r>
        <w:rPr>
          <w:color w:val="231F20"/>
        </w:rPr>
        <w:t>51.10</w:t>
      </w:r>
      <w:r>
        <w:rPr>
          <w:color w:val="231F20"/>
          <w:spacing w:val="-3"/>
        </w:rPr>
        <w:t xml:space="preserve"> </w:t>
      </w:r>
      <w:r>
        <w:rPr>
          <w:color w:val="231F20"/>
        </w:rPr>
        <w:t>per</w:t>
      </w:r>
      <w:r>
        <w:rPr>
          <w:color w:val="231F20"/>
          <w:spacing w:val="-7"/>
        </w:rPr>
        <w:t xml:space="preserve"> </w:t>
      </w:r>
      <w:r>
        <w:rPr>
          <w:color w:val="231F20"/>
        </w:rPr>
        <w:t>cent.</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issued</w:t>
      </w:r>
      <w:r>
        <w:rPr>
          <w:color w:val="231F20"/>
          <w:spacing w:val="-4"/>
        </w:rPr>
        <w:t xml:space="preserve"> </w:t>
      </w:r>
      <w:r>
        <w:rPr>
          <w:color w:val="231F20"/>
        </w:rPr>
        <w:t>share</w:t>
      </w:r>
      <w:r>
        <w:rPr>
          <w:color w:val="231F20"/>
          <w:spacing w:val="-3"/>
        </w:rPr>
        <w:t xml:space="preserve"> </w:t>
      </w:r>
      <w:r>
        <w:rPr>
          <w:color w:val="231F20"/>
        </w:rPr>
        <w:t>capital</w:t>
      </w:r>
      <w:r>
        <w:rPr>
          <w:color w:val="231F20"/>
          <w:spacing w:val="-4"/>
        </w:rPr>
        <w:t xml:space="preserve"> </w:t>
      </w:r>
      <w:r>
        <w:rPr>
          <w:color w:val="231F20"/>
        </w:rPr>
        <w:t>of</w:t>
      </w:r>
      <w:r>
        <w:rPr>
          <w:color w:val="231F20"/>
          <w:spacing w:val="-4"/>
        </w:rPr>
        <w:t xml:space="preserve"> </w:t>
      </w:r>
      <w:r>
        <w:rPr>
          <w:color w:val="231F20"/>
        </w:rPr>
        <w:t>HKP</w:t>
      </w:r>
      <w:r>
        <w:rPr>
          <w:color w:val="231F20"/>
          <w:spacing w:val="-2"/>
        </w:rPr>
        <w:t xml:space="preserve"> </w:t>
      </w:r>
      <w:r>
        <w:rPr>
          <w:color w:val="231F20"/>
        </w:rPr>
        <w:t>at</w:t>
      </w:r>
      <w:r>
        <w:rPr>
          <w:color w:val="231F20"/>
          <w:spacing w:val="-3"/>
        </w:rPr>
        <w:t xml:space="preserve"> </w:t>
      </w:r>
      <w:r>
        <w:rPr>
          <w:color w:val="231F20"/>
        </w:rPr>
        <w:t>the</w:t>
      </w:r>
      <w:r>
        <w:rPr>
          <w:color w:val="231F20"/>
          <w:spacing w:val="-4"/>
        </w:rPr>
        <w:t xml:space="preserve"> </w:t>
      </w:r>
      <w:r>
        <w:rPr>
          <w:color w:val="231F20"/>
        </w:rPr>
        <w:t>time</w:t>
      </w:r>
      <w:r>
        <w:rPr>
          <w:color w:val="231F20"/>
          <w:spacing w:val="-4"/>
        </w:rPr>
        <w:t xml:space="preserve"> </w:t>
      </w:r>
      <w:r>
        <w:rPr>
          <w:color w:val="231F20"/>
        </w:rPr>
        <w:t>of</w:t>
      </w:r>
      <w:r>
        <w:rPr>
          <w:color w:val="231F20"/>
          <w:spacing w:val="-1"/>
        </w:rPr>
        <w:t xml:space="preserve"> </w:t>
      </w:r>
      <w:r>
        <w:rPr>
          <w:color w:val="231F20"/>
        </w:rPr>
        <w:t>the Acquisition;</w:t>
      </w:r>
    </w:p>
    <w:p w14:paraId="7F0817E6" w14:textId="77777777" w:rsidR="00240151" w:rsidRDefault="00240151" w:rsidP="00240151">
      <w:pPr>
        <w:pStyle w:val="BodyText"/>
        <w:kinsoku w:val="0"/>
        <w:overflowPunct w:val="0"/>
        <w:spacing w:before="10"/>
        <w:rPr>
          <w:sz w:val="9"/>
          <w:szCs w:val="9"/>
        </w:rPr>
      </w:pPr>
    </w:p>
    <w:p w14:paraId="7489DF44" w14:textId="04226302" w:rsidR="00240151" w:rsidRDefault="00240151" w:rsidP="00240151">
      <w:pPr>
        <w:pStyle w:val="BodyText"/>
        <w:tabs>
          <w:tab w:val="left" w:pos="4395"/>
        </w:tabs>
        <w:kinsoku w:val="0"/>
        <w:overflowPunct w:val="0"/>
        <w:spacing w:before="94"/>
        <w:ind w:left="4395" w:right="1494" w:hanging="4111"/>
        <w:rPr>
          <w:color w:val="231F20"/>
        </w:rPr>
      </w:pPr>
      <w:r>
        <w:rPr>
          <w:color w:val="231F20"/>
        </w:rPr>
        <w:t>“Prospectus”</w:t>
      </w:r>
      <w:r>
        <w:rPr>
          <w:color w:val="231F20"/>
        </w:rPr>
        <w:tab/>
        <w:t>a prospectus required under the Prospectus Directive and prepared in accordance with the EU Prospectus Regulation, the UK Prospectus Regulation and Prospectus Regulation</w:t>
      </w:r>
      <w:r>
        <w:rPr>
          <w:color w:val="231F20"/>
          <w:spacing w:val="-20"/>
        </w:rPr>
        <w:t xml:space="preserve"> </w:t>
      </w:r>
      <w:proofErr w:type="gramStart"/>
      <w:r>
        <w:rPr>
          <w:color w:val="231F20"/>
        </w:rPr>
        <w:t>Rules;</w:t>
      </w:r>
      <w:proofErr w:type="gramEnd"/>
    </w:p>
    <w:p w14:paraId="363CFDB9" w14:textId="5CDE6C4F" w:rsidR="00505CDD" w:rsidRDefault="00505CDD" w:rsidP="00240151">
      <w:pPr>
        <w:pStyle w:val="BodyText"/>
        <w:tabs>
          <w:tab w:val="left" w:pos="4395"/>
        </w:tabs>
        <w:kinsoku w:val="0"/>
        <w:overflowPunct w:val="0"/>
        <w:spacing w:before="94"/>
        <w:ind w:left="4395" w:right="1494" w:hanging="4111"/>
        <w:rPr>
          <w:color w:val="231F20"/>
        </w:rPr>
      </w:pPr>
    </w:p>
    <w:p w14:paraId="0F5714C1" w14:textId="2D6FBD02" w:rsidR="00240151" w:rsidRDefault="00240151" w:rsidP="00240151">
      <w:pPr>
        <w:pStyle w:val="BodyText"/>
        <w:tabs>
          <w:tab w:val="left" w:pos="4395"/>
        </w:tabs>
        <w:kinsoku w:val="0"/>
        <w:overflowPunct w:val="0"/>
        <w:spacing w:before="94"/>
        <w:ind w:left="4395" w:right="1494" w:hanging="4111"/>
        <w:rPr>
          <w:color w:val="231F20"/>
        </w:rPr>
      </w:pPr>
      <w:r>
        <w:rPr>
          <w:color w:val="231F20"/>
        </w:rPr>
        <w:t>“Prospectus Regulation Rules”</w:t>
      </w:r>
      <w:r>
        <w:rPr>
          <w:color w:val="231F20"/>
        </w:rPr>
        <w:tab/>
        <w:t xml:space="preserve">the prospectus regulation rules made by the FCA under Part VI of FSMA, as amended from time to </w:t>
      </w:r>
      <w:proofErr w:type="gramStart"/>
      <w:r>
        <w:rPr>
          <w:color w:val="231F20"/>
        </w:rPr>
        <w:t>time;</w:t>
      </w:r>
      <w:proofErr w:type="gramEnd"/>
    </w:p>
    <w:p w14:paraId="69B0F5FF" w14:textId="77777777" w:rsidR="00240151" w:rsidRDefault="00240151" w:rsidP="00240151">
      <w:pPr>
        <w:pStyle w:val="BodyText"/>
        <w:kinsoku w:val="0"/>
        <w:overflowPunct w:val="0"/>
      </w:pPr>
    </w:p>
    <w:p w14:paraId="44DA2EEC" w14:textId="77777777" w:rsidR="00240151" w:rsidRDefault="00240151" w:rsidP="00240151">
      <w:pPr>
        <w:pStyle w:val="BodyText"/>
        <w:kinsoku w:val="0"/>
        <w:overflowPunct w:val="0"/>
        <w:ind w:left="4395" w:right="1488" w:hanging="4111"/>
        <w:jc w:val="both"/>
        <w:rPr>
          <w:color w:val="231F20"/>
        </w:rPr>
      </w:pPr>
      <w:r>
        <w:rPr>
          <w:color w:val="231F20"/>
        </w:rPr>
        <w:t>“Reconnaissance Permit”</w:t>
      </w:r>
      <w:r>
        <w:rPr>
          <w:color w:val="231F20"/>
        </w:rPr>
        <w:tab/>
        <w:t>a Prospecting Permit which does not permit invasive activities such as drilling in the licensed area (as opposed to an Exploration Permit which</w:t>
      </w:r>
      <w:r>
        <w:rPr>
          <w:color w:val="231F20"/>
          <w:spacing w:val="-4"/>
        </w:rPr>
        <w:t xml:space="preserve"> </w:t>
      </w:r>
      <w:r>
        <w:rPr>
          <w:color w:val="231F20"/>
        </w:rPr>
        <w:t>does</w:t>
      </w:r>
      <w:proofErr w:type="gramStart"/>
      <w:r>
        <w:rPr>
          <w:color w:val="231F20"/>
        </w:rPr>
        <w:t>);</w:t>
      </w:r>
      <w:proofErr w:type="gramEnd"/>
    </w:p>
    <w:p w14:paraId="0146F42C" w14:textId="77777777" w:rsidR="00240151" w:rsidRDefault="00240151" w:rsidP="00240151">
      <w:pPr>
        <w:pStyle w:val="BodyText"/>
        <w:kinsoku w:val="0"/>
        <w:overflowPunct w:val="0"/>
        <w:spacing w:before="10"/>
        <w:rPr>
          <w:sz w:val="17"/>
          <w:szCs w:val="17"/>
        </w:rPr>
      </w:pPr>
    </w:p>
    <w:p w14:paraId="1A11E6B2" w14:textId="77777777" w:rsidR="00240151" w:rsidRDefault="00240151" w:rsidP="00240151">
      <w:pPr>
        <w:pStyle w:val="BodyText"/>
        <w:tabs>
          <w:tab w:val="left" w:pos="4395"/>
        </w:tabs>
        <w:kinsoku w:val="0"/>
        <w:overflowPunct w:val="0"/>
        <w:ind w:left="228"/>
        <w:rPr>
          <w:color w:val="231F20"/>
        </w:rPr>
      </w:pPr>
      <w:r>
        <w:rPr>
          <w:color w:val="231F20"/>
        </w:rPr>
        <w:t>“Regulation</w:t>
      </w:r>
      <w:r>
        <w:rPr>
          <w:color w:val="231F20"/>
          <w:spacing w:val="-4"/>
        </w:rPr>
        <w:t xml:space="preserve"> </w:t>
      </w:r>
      <w:r>
        <w:rPr>
          <w:color w:val="231F20"/>
        </w:rPr>
        <w:t>S”</w:t>
      </w:r>
      <w:r>
        <w:rPr>
          <w:color w:val="231F20"/>
        </w:rPr>
        <w:tab/>
        <w:t>Regulation S under the US Securities</w:t>
      </w:r>
      <w:r>
        <w:rPr>
          <w:color w:val="231F20"/>
          <w:spacing w:val="-2"/>
        </w:rPr>
        <w:t xml:space="preserve"> </w:t>
      </w:r>
      <w:proofErr w:type="gramStart"/>
      <w:r>
        <w:rPr>
          <w:color w:val="231F20"/>
        </w:rPr>
        <w:t>Act;</w:t>
      </w:r>
      <w:proofErr w:type="gramEnd"/>
    </w:p>
    <w:p w14:paraId="3BCC02AC" w14:textId="77777777" w:rsidR="00240151" w:rsidRDefault="00240151" w:rsidP="00240151">
      <w:pPr>
        <w:pStyle w:val="BodyText"/>
        <w:tabs>
          <w:tab w:val="left" w:pos="2632"/>
        </w:tabs>
        <w:kinsoku w:val="0"/>
        <w:overflowPunct w:val="0"/>
        <w:ind w:left="228"/>
        <w:rPr>
          <w:color w:val="231F20"/>
        </w:rPr>
      </w:pPr>
    </w:p>
    <w:p w14:paraId="41B5AD4B" w14:textId="77777777" w:rsidR="00240151" w:rsidRDefault="00240151" w:rsidP="00240151">
      <w:pPr>
        <w:pStyle w:val="BodyText"/>
        <w:kinsoku w:val="0"/>
        <w:overflowPunct w:val="0"/>
        <w:spacing w:before="1"/>
      </w:pPr>
    </w:p>
    <w:p w14:paraId="71C5E824" w14:textId="621AD518" w:rsidR="00240151" w:rsidRDefault="00240151" w:rsidP="00595A97">
      <w:pPr>
        <w:pStyle w:val="BodyText"/>
        <w:tabs>
          <w:tab w:val="left" w:pos="4395"/>
        </w:tabs>
        <w:kinsoku w:val="0"/>
        <w:overflowPunct w:val="0"/>
        <w:ind w:left="4395" w:right="1448" w:hanging="4167"/>
        <w:rPr>
          <w:color w:val="231F20"/>
        </w:rPr>
      </w:pPr>
      <w:r>
        <w:rPr>
          <w:color w:val="231F20"/>
        </w:rPr>
        <w:t>“Reverse</w:t>
      </w:r>
      <w:r>
        <w:rPr>
          <w:color w:val="231F20"/>
          <w:spacing w:val="-1"/>
        </w:rPr>
        <w:t xml:space="preserve"> </w:t>
      </w:r>
      <w:r>
        <w:rPr>
          <w:color w:val="231F20"/>
        </w:rPr>
        <w:t>Takeover”</w:t>
      </w:r>
      <w:r>
        <w:rPr>
          <w:color w:val="231F20"/>
        </w:rPr>
        <w:tab/>
        <w:t>a transaction defined as a reverse takeover in Listing Rule</w:t>
      </w:r>
      <w:r>
        <w:rPr>
          <w:color w:val="231F20"/>
          <w:spacing w:val="1"/>
        </w:rPr>
        <w:t xml:space="preserve"> </w:t>
      </w:r>
      <w:proofErr w:type="gramStart"/>
      <w:r>
        <w:rPr>
          <w:color w:val="231F20"/>
        </w:rPr>
        <w:t>5.6.4;</w:t>
      </w:r>
      <w:proofErr w:type="gramEnd"/>
    </w:p>
    <w:p w14:paraId="50679B5F" w14:textId="77777777" w:rsidR="00240151" w:rsidRDefault="00240151" w:rsidP="00240151">
      <w:pPr>
        <w:pStyle w:val="BodyText"/>
        <w:kinsoku w:val="0"/>
        <w:overflowPunct w:val="0"/>
        <w:spacing w:before="10"/>
        <w:rPr>
          <w:sz w:val="17"/>
          <w:szCs w:val="17"/>
        </w:rPr>
      </w:pPr>
    </w:p>
    <w:p w14:paraId="31C073BD" w14:textId="77777777" w:rsidR="00240151" w:rsidRDefault="00240151" w:rsidP="00240151">
      <w:pPr>
        <w:pStyle w:val="BodyText"/>
        <w:kinsoku w:val="0"/>
        <w:overflowPunct w:val="0"/>
        <w:ind w:left="4395" w:right="1488" w:hanging="4111"/>
        <w:jc w:val="both"/>
        <w:rPr>
          <w:color w:val="231F20"/>
        </w:rPr>
      </w:pPr>
      <w:r>
        <w:rPr>
          <w:color w:val="231F20"/>
        </w:rPr>
        <w:t xml:space="preserve">“Royalty Agreement” </w:t>
      </w:r>
      <w:r>
        <w:rPr>
          <w:color w:val="231F20"/>
        </w:rPr>
        <w:tab/>
        <w:t>the royalty agreement</w:t>
      </w:r>
      <w:r>
        <w:t xml:space="preserve"> </w:t>
      </w:r>
      <w:r>
        <w:rPr>
          <w:color w:val="231F20"/>
        </w:rPr>
        <w:t xml:space="preserve">between the Company and Altius relating to the Labrador Acquisition, details of which are set out in paragraph 14.1 of Part VII of this </w:t>
      </w:r>
      <w:proofErr w:type="gramStart"/>
      <w:r>
        <w:rPr>
          <w:color w:val="231F20"/>
        </w:rPr>
        <w:t>Document;</w:t>
      </w:r>
      <w:proofErr w:type="gramEnd"/>
    </w:p>
    <w:p w14:paraId="05ACFD8D" w14:textId="77777777" w:rsidR="00240151" w:rsidRDefault="00240151" w:rsidP="00240151">
      <w:pPr>
        <w:pStyle w:val="BodyText"/>
        <w:tabs>
          <w:tab w:val="left" w:pos="2632"/>
        </w:tabs>
        <w:kinsoku w:val="0"/>
        <w:overflowPunct w:val="0"/>
        <w:ind w:left="2632" w:right="1489" w:hanging="2405"/>
        <w:jc w:val="both"/>
        <w:rPr>
          <w:color w:val="231F20"/>
        </w:rPr>
      </w:pPr>
    </w:p>
    <w:p w14:paraId="5887AD4A" w14:textId="32B2B9C3" w:rsidR="00240151" w:rsidRDefault="00240151" w:rsidP="00240151">
      <w:pPr>
        <w:pStyle w:val="BodyText"/>
        <w:tabs>
          <w:tab w:val="left" w:pos="4395"/>
        </w:tabs>
        <w:kinsoku w:val="0"/>
        <w:overflowPunct w:val="0"/>
        <w:ind w:left="4395" w:right="1489" w:hanging="4111"/>
        <w:jc w:val="both"/>
        <w:rPr>
          <w:color w:val="231F20"/>
        </w:rPr>
      </w:pPr>
      <w:r>
        <w:rPr>
          <w:color w:val="231F20"/>
        </w:rPr>
        <w:t>“RTO</w:t>
      </w:r>
      <w:r>
        <w:rPr>
          <w:color w:val="231F20"/>
          <w:spacing w:val="-2"/>
        </w:rPr>
        <w:t xml:space="preserve"> </w:t>
      </w:r>
      <w:r>
        <w:rPr>
          <w:color w:val="231F20"/>
        </w:rPr>
        <w:t>Admission”</w:t>
      </w:r>
      <w:r>
        <w:rPr>
          <w:color w:val="231F20"/>
        </w:rPr>
        <w:tab/>
        <w:t xml:space="preserve">the admission of the Company’s share capital to trading on the Main Market following the completion of the Company’s Reverse Takeover, which took place on 3 July </w:t>
      </w:r>
      <w:proofErr w:type="gramStart"/>
      <w:r>
        <w:rPr>
          <w:color w:val="231F20"/>
        </w:rPr>
        <w:t>2018;</w:t>
      </w:r>
      <w:proofErr w:type="gramEnd"/>
    </w:p>
    <w:p w14:paraId="0D8D44FC" w14:textId="7F9C3489" w:rsidR="00505CDD" w:rsidRDefault="00505CDD" w:rsidP="00240151">
      <w:pPr>
        <w:pStyle w:val="BodyText"/>
        <w:tabs>
          <w:tab w:val="left" w:pos="4395"/>
        </w:tabs>
        <w:kinsoku w:val="0"/>
        <w:overflowPunct w:val="0"/>
        <w:ind w:left="4395" w:right="1489" w:hanging="4111"/>
        <w:jc w:val="both"/>
        <w:rPr>
          <w:color w:val="231F20"/>
        </w:rPr>
      </w:pPr>
    </w:p>
    <w:p w14:paraId="40C60F5D" w14:textId="62A3B2E1" w:rsidR="00240151" w:rsidRDefault="00240151" w:rsidP="00505CDD">
      <w:pPr>
        <w:pStyle w:val="BodyText"/>
        <w:tabs>
          <w:tab w:val="left" w:pos="4395"/>
        </w:tabs>
        <w:kinsoku w:val="0"/>
        <w:overflowPunct w:val="0"/>
        <w:ind w:left="4395" w:right="1489" w:hanging="4111"/>
        <w:jc w:val="both"/>
        <w:rPr>
          <w:color w:val="231F20"/>
        </w:rPr>
      </w:pPr>
      <w:r>
        <w:rPr>
          <w:color w:val="231F20"/>
        </w:rPr>
        <w:t>“RTO"</w:t>
      </w:r>
      <w:r>
        <w:rPr>
          <w:color w:val="231F20"/>
        </w:rPr>
        <w:tab/>
        <w:t>the Reverse Takeover carried out by the Company in connection with the" which completed on 3 July</w:t>
      </w:r>
      <w:r>
        <w:rPr>
          <w:color w:val="231F20"/>
          <w:spacing w:val="2"/>
        </w:rPr>
        <w:t xml:space="preserve"> </w:t>
      </w:r>
      <w:proofErr w:type="gramStart"/>
      <w:r>
        <w:rPr>
          <w:color w:val="231F20"/>
        </w:rPr>
        <w:t>2018;</w:t>
      </w:r>
      <w:proofErr w:type="gramEnd"/>
    </w:p>
    <w:p w14:paraId="09482BB2" w14:textId="77777777" w:rsidR="00240151" w:rsidRDefault="00240151" w:rsidP="00240151">
      <w:pPr>
        <w:pStyle w:val="BodyText"/>
        <w:kinsoku w:val="0"/>
        <w:overflowPunct w:val="0"/>
      </w:pPr>
    </w:p>
    <w:p w14:paraId="30C0F507" w14:textId="77777777" w:rsidR="00240151" w:rsidRDefault="00240151" w:rsidP="00240151">
      <w:pPr>
        <w:pStyle w:val="BodyText"/>
        <w:tabs>
          <w:tab w:val="left" w:pos="4395"/>
        </w:tabs>
        <w:kinsoku w:val="0"/>
        <w:overflowPunct w:val="0"/>
        <w:ind w:left="4395" w:right="1485" w:hanging="4168"/>
        <w:jc w:val="both"/>
        <w:rPr>
          <w:color w:val="231F20"/>
        </w:rPr>
      </w:pPr>
      <w:r>
        <w:rPr>
          <w:color w:val="231F20"/>
        </w:rPr>
        <w:t>“RTO</w:t>
      </w:r>
      <w:r>
        <w:rPr>
          <w:color w:val="231F20"/>
          <w:spacing w:val="-2"/>
        </w:rPr>
        <w:t xml:space="preserve"> </w:t>
      </w:r>
      <w:r>
        <w:rPr>
          <w:color w:val="231F20"/>
        </w:rPr>
        <w:t>Fundraise”</w:t>
      </w:r>
      <w:r>
        <w:rPr>
          <w:color w:val="231F20"/>
        </w:rPr>
        <w:tab/>
        <w:t>a fundraise of £2,000,000 carried out by the Company pursuant to the RTO, through a placing of 10,766,667 new Ordinary Shares and subscription for 15,900,000 new Ordinary Shares, which completed on 3 July</w:t>
      </w:r>
      <w:r>
        <w:rPr>
          <w:color w:val="231F20"/>
          <w:spacing w:val="-17"/>
        </w:rPr>
        <w:t xml:space="preserve"> </w:t>
      </w:r>
      <w:proofErr w:type="gramStart"/>
      <w:r>
        <w:rPr>
          <w:color w:val="231F20"/>
        </w:rPr>
        <w:t>2018;</w:t>
      </w:r>
      <w:proofErr w:type="gramEnd"/>
    </w:p>
    <w:p w14:paraId="7584CB35" w14:textId="77777777" w:rsidR="00240151" w:rsidRDefault="00240151" w:rsidP="00240151">
      <w:pPr>
        <w:pStyle w:val="BodyText"/>
        <w:kinsoku w:val="0"/>
        <w:overflowPunct w:val="0"/>
      </w:pPr>
    </w:p>
    <w:p w14:paraId="02749CE7" w14:textId="77777777" w:rsidR="00240151" w:rsidRDefault="00240151" w:rsidP="00051CFB">
      <w:pPr>
        <w:pStyle w:val="BodyText"/>
        <w:tabs>
          <w:tab w:val="left" w:pos="4395"/>
        </w:tabs>
        <w:kinsoku w:val="0"/>
        <w:overflowPunct w:val="0"/>
        <w:ind w:left="4395" w:right="1446" w:hanging="4168"/>
        <w:jc w:val="both"/>
        <w:rPr>
          <w:color w:val="231F20"/>
        </w:rPr>
      </w:pPr>
      <w:r>
        <w:rPr>
          <w:color w:val="231F20"/>
        </w:rPr>
        <w:t>“RTO</w:t>
      </w:r>
      <w:r>
        <w:rPr>
          <w:color w:val="231F20"/>
          <w:spacing w:val="-3"/>
        </w:rPr>
        <w:t xml:space="preserve"> </w:t>
      </w:r>
      <w:r>
        <w:rPr>
          <w:color w:val="231F20"/>
        </w:rPr>
        <w:t>Investors”</w:t>
      </w:r>
      <w:r>
        <w:rPr>
          <w:color w:val="231F20"/>
        </w:rPr>
        <w:tab/>
        <w:t xml:space="preserve">those </w:t>
      </w:r>
      <w:proofErr w:type="spellStart"/>
      <w:r>
        <w:rPr>
          <w:color w:val="231F20"/>
        </w:rPr>
        <w:t>placees</w:t>
      </w:r>
      <w:proofErr w:type="spellEnd"/>
      <w:r>
        <w:rPr>
          <w:color w:val="231F20"/>
        </w:rPr>
        <w:t xml:space="preserve"> and subscribers who participated in the RTO</w:t>
      </w:r>
      <w:r>
        <w:rPr>
          <w:color w:val="231F20"/>
          <w:spacing w:val="-4"/>
        </w:rPr>
        <w:t xml:space="preserve"> </w:t>
      </w:r>
      <w:proofErr w:type="gramStart"/>
      <w:r>
        <w:rPr>
          <w:color w:val="231F20"/>
        </w:rPr>
        <w:t>Fundraise;</w:t>
      </w:r>
      <w:proofErr w:type="gramEnd"/>
    </w:p>
    <w:p w14:paraId="4EB40C14" w14:textId="77777777" w:rsidR="00240151" w:rsidRDefault="00240151" w:rsidP="00240151">
      <w:pPr>
        <w:pStyle w:val="BodyText"/>
        <w:kinsoku w:val="0"/>
        <w:overflowPunct w:val="0"/>
      </w:pPr>
    </w:p>
    <w:p w14:paraId="6C404404" w14:textId="68493ADA" w:rsidR="00240151" w:rsidRDefault="00240151" w:rsidP="00051CFB">
      <w:pPr>
        <w:pStyle w:val="BodyText"/>
        <w:tabs>
          <w:tab w:val="left" w:pos="4395"/>
        </w:tabs>
        <w:kinsoku w:val="0"/>
        <w:overflowPunct w:val="0"/>
        <w:ind w:left="228"/>
        <w:rPr>
          <w:color w:val="231F20"/>
        </w:rPr>
      </w:pPr>
      <w:r>
        <w:rPr>
          <w:color w:val="231F20"/>
        </w:rPr>
        <w:t>“SEC”</w:t>
      </w:r>
      <w:r>
        <w:rPr>
          <w:color w:val="231F20"/>
        </w:rPr>
        <w:tab/>
        <w:t>the United States Securities and Exchange</w:t>
      </w:r>
      <w:r>
        <w:rPr>
          <w:color w:val="231F20"/>
          <w:spacing w:val="2"/>
        </w:rPr>
        <w:t xml:space="preserve"> </w:t>
      </w:r>
      <w:proofErr w:type="gramStart"/>
      <w:r>
        <w:rPr>
          <w:color w:val="231F20"/>
        </w:rPr>
        <w:t>Commission;</w:t>
      </w:r>
      <w:proofErr w:type="gramEnd"/>
    </w:p>
    <w:p w14:paraId="18966DF6" w14:textId="5E05256C" w:rsidR="006A307D" w:rsidRDefault="006A307D" w:rsidP="00240151">
      <w:pPr>
        <w:pStyle w:val="BodyText"/>
        <w:tabs>
          <w:tab w:val="left" w:pos="4395"/>
        </w:tabs>
        <w:kinsoku w:val="0"/>
        <w:overflowPunct w:val="0"/>
        <w:ind w:left="228"/>
        <w:rPr>
          <w:color w:val="231F20"/>
        </w:rPr>
      </w:pPr>
    </w:p>
    <w:p w14:paraId="1DC6F69D" w14:textId="77777777" w:rsidR="00240151" w:rsidRDefault="00240151" w:rsidP="00240151">
      <w:pPr>
        <w:pStyle w:val="BodyText"/>
        <w:tabs>
          <w:tab w:val="left" w:pos="4395"/>
        </w:tabs>
        <w:kinsoku w:val="0"/>
        <w:overflowPunct w:val="0"/>
        <w:ind w:left="4395" w:right="1491" w:hanging="4111"/>
        <w:jc w:val="both"/>
        <w:rPr>
          <w:color w:val="231F20"/>
        </w:rPr>
      </w:pPr>
      <w:r>
        <w:rPr>
          <w:color w:val="231F20"/>
        </w:rPr>
        <w:t>“Seed</w:t>
      </w:r>
      <w:r>
        <w:rPr>
          <w:color w:val="231F20"/>
          <w:spacing w:val="-1"/>
        </w:rPr>
        <w:t xml:space="preserve"> </w:t>
      </w:r>
      <w:r>
        <w:rPr>
          <w:color w:val="231F20"/>
        </w:rPr>
        <w:t>Investors”</w:t>
      </w:r>
      <w:r>
        <w:rPr>
          <w:color w:val="231F20"/>
        </w:rPr>
        <w:tab/>
        <w:t xml:space="preserve">Derek Crowhurst, Peter Damouni, David Cliff, Christopher Hall, Mark Stephenson, Glenn </w:t>
      </w:r>
      <w:proofErr w:type="spellStart"/>
      <w:r>
        <w:rPr>
          <w:color w:val="231F20"/>
        </w:rPr>
        <w:t>Olnick</w:t>
      </w:r>
      <w:proofErr w:type="spellEnd"/>
      <w:r>
        <w:rPr>
          <w:color w:val="231F20"/>
        </w:rPr>
        <w:t xml:space="preserve">, John </w:t>
      </w:r>
      <w:proofErr w:type="spellStart"/>
      <w:r>
        <w:rPr>
          <w:color w:val="231F20"/>
        </w:rPr>
        <w:t>Kutzschan</w:t>
      </w:r>
      <w:proofErr w:type="spellEnd"/>
      <w:r>
        <w:rPr>
          <w:color w:val="231F20"/>
        </w:rPr>
        <w:t xml:space="preserve"> and Michael</w:t>
      </w:r>
      <w:r>
        <w:rPr>
          <w:color w:val="231F20"/>
          <w:spacing w:val="-8"/>
        </w:rPr>
        <w:t xml:space="preserve"> </w:t>
      </w:r>
      <w:proofErr w:type="gramStart"/>
      <w:r>
        <w:rPr>
          <w:color w:val="231F20"/>
        </w:rPr>
        <w:t>Johnson;</w:t>
      </w:r>
      <w:proofErr w:type="gramEnd"/>
    </w:p>
    <w:p w14:paraId="74EFB1FC" w14:textId="77777777" w:rsidR="00240151" w:rsidRDefault="00240151" w:rsidP="00240151">
      <w:pPr>
        <w:pStyle w:val="BodyText"/>
        <w:kinsoku w:val="0"/>
        <w:overflowPunct w:val="0"/>
      </w:pPr>
    </w:p>
    <w:p w14:paraId="2A8BFF4B" w14:textId="77777777" w:rsidR="00240151" w:rsidRDefault="00240151" w:rsidP="00240151">
      <w:pPr>
        <w:pStyle w:val="BodyText"/>
        <w:tabs>
          <w:tab w:val="left" w:pos="4395"/>
        </w:tabs>
        <w:kinsoku w:val="0"/>
        <w:overflowPunct w:val="0"/>
        <w:ind w:left="4395" w:right="1488" w:hanging="4111"/>
        <w:jc w:val="both"/>
        <w:rPr>
          <w:color w:val="231F20"/>
        </w:rPr>
      </w:pPr>
      <w:r>
        <w:rPr>
          <w:color w:val="231F20"/>
        </w:rPr>
        <w:t>“Series</w:t>
      </w:r>
      <w:r>
        <w:rPr>
          <w:color w:val="231F20"/>
          <w:spacing w:val="-2"/>
        </w:rPr>
        <w:t xml:space="preserve"> </w:t>
      </w:r>
      <w:r>
        <w:rPr>
          <w:color w:val="231F20"/>
        </w:rPr>
        <w:t>A</w:t>
      </w:r>
      <w:r>
        <w:rPr>
          <w:color w:val="231F20"/>
          <w:spacing w:val="-5"/>
        </w:rPr>
        <w:t xml:space="preserve"> </w:t>
      </w:r>
      <w:r>
        <w:rPr>
          <w:color w:val="231F20"/>
        </w:rPr>
        <w:t>Warrants”</w:t>
      </w:r>
      <w:r>
        <w:rPr>
          <w:color w:val="231F20"/>
        </w:rPr>
        <w:tab/>
        <w:t>the 5,00,000 warrants to subscribe for new Ordinary Shares at a subscription price</w:t>
      </w:r>
      <w:r>
        <w:rPr>
          <w:color w:val="231F20"/>
          <w:spacing w:val="-9"/>
        </w:rPr>
        <w:t xml:space="preserve"> </w:t>
      </w:r>
      <w:r>
        <w:rPr>
          <w:color w:val="231F20"/>
        </w:rPr>
        <w:t>of</w:t>
      </w:r>
      <w:r>
        <w:rPr>
          <w:color w:val="231F20"/>
          <w:spacing w:val="-8"/>
        </w:rPr>
        <w:t xml:space="preserve"> </w:t>
      </w:r>
      <w:r>
        <w:rPr>
          <w:color w:val="231F20"/>
        </w:rPr>
        <w:t>5p</w:t>
      </w:r>
      <w:r>
        <w:rPr>
          <w:color w:val="231F20"/>
          <w:spacing w:val="-9"/>
        </w:rPr>
        <w:t xml:space="preserve"> </w:t>
      </w:r>
      <w:r>
        <w:rPr>
          <w:color w:val="231F20"/>
        </w:rPr>
        <w:t>per</w:t>
      </w:r>
      <w:r>
        <w:rPr>
          <w:color w:val="231F20"/>
          <w:spacing w:val="-8"/>
        </w:rPr>
        <w:t xml:space="preserve"> </w:t>
      </w:r>
      <w:r>
        <w:rPr>
          <w:color w:val="231F20"/>
        </w:rPr>
        <w:t>share</w:t>
      </w:r>
      <w:r>
        <w:rPr>
          <w:color w:val="231F20"/>
          <w:spacing w:val="-8"/>
        </w:rPr>
        <w:t xml:space="preserve"> </w:t>
      </w:r>
      <w:r>
        <w:rPr>
          <w:color w:val="231F20"/>
        </w:rPr>
        <w:t>from</w:t>
      </w:r>
      <w:r>
        <w:rPr>
          <w:color w:val="231F20"/>
          <w:spacing w:val="-6"/>
        </w:rPr>
        <w:t xml:space="preserve"> </w:t>
      </w:r>
      <w:r>
        <w:rPr>
          <w:color w:val="231F20"/>
        </w:rPr>
        <w:t>the</w:t>
      </w:r>
      <w:r>
        <w:rPr>
          <w:color w:val="231F20"/>
          <w:spacing w:val="-10"/>
        </w:rPr>
        <w:t xml:space="preserve"> </w:t>
      </w:r>
      <w:r>
        <w:rPr>
          <w:color w:val="231F20"/>
        </w:rPr>
        <w:t>date</w:t>
      </w:r>
      <w:r>
        <w:rPr>
          <w:color w:val="231F20"/>
          <w:spacing w:val="-9"/>
        </w:rPr>
        <w:t xml:space="preserve"> </w:t>
      </w:r>
      <w:r>
        <w:rPr>
          <w:color w:val="231F20"/>
        </w:rPr>
        <w:t>of</w:t>
      </w:r>
      <w:r>
        <w:rPr>
          <w:color w:val="231F20"/>
          <w:spacing w:val="-8"/>
        </w:rPr>
        <w:t xml:space="preserve"> </w:t>
      </w:r>
      <w:r>
        <w:rPr>
          <w:color w:val="231F20"/>
        </w:rPr>
        <w:t>IPO</w:t>
      </w:r>
      <w:r>
        <w:rPr>
          <w:color w:val="231F20"/>
          <w:spacing w:val="-7"/>
        </w:rPr>
        <w:t xml:space="preserve"> </w:t>
      </w:r>
      <w:r>
        <w:rPr>
          <w:color w:val="231F20"/>
        </w:rPr>
        <w:t>Admission,</w:t>
      </w:r>
      <w:r>
        <w:rPr>
          <w:color w:val="231F20"/>
          <w:spacing w:val="-9"/>
        </w:rPr>
        <w:t xml:space="preserve"> </w:t>
      </w:r>
      <w:r>
        <w:rPr>
          <w:color w:val="231F20"/>
        </w:rPr>
        <w:t>being</w:t>
      </w:r>
      <w:r>
        <w:rPr>
          <w:color w:val="231F20"/>
          <w:spacing w:val="-8"/>
        </w:rPr>
        <w:t xml:space="preserve"> </w:t>
      </w:r>
      <w:r>
        <w:rPr>
          <w:color w:val="231F20"/>
        </w:rPr>
        <w:t>29</w:t>
      </w:r>
      <w:r>
        <w:rPr>
          <w:color w:val="231F20"/>
          <w:spacing w:val="-5"/>
        </w:rPr>
        <w:t xml:space="preserve"> </w:t>
      </w:r>
      <w:r>
        <w:rPr>
          <w:color w:val="231F20"/>
        </w:rPr>
        <w:t>August</w:t>
      </w:r>
      <w:r>
        <w:rPr>
          <w:color w:val="231F20"/>
          <w:spacing w:val="-8"/>
        </w:rPr>
        <w:t xml:space="preserve"> </w:t>
      </w:r>
      <w:r>
        <w:rPr>
          <w:color w:val="231F20"/>
        </w:rPr>
        <w:t>2017,</w:t>
      </w:r>
      <w:r>
        <w:rPr>
          <w:color w:val="231F20"/>
          <w:spacing w:val="-9"/>
        </w:rPr>
        <w:t xml:space="preserve"> </w:t>
      </w:r>
      <w:r>
        <w:rPr>
          <w:color w:val="231F20"/>
        </w:rPr>
        <w:t>until the</w:t>
      </w:r>
      <w:r>
        <w:rPr>
          <w:color w:val="231F20"/>
          <w:spacing w:val="-10"/>
        </w:rPr>
        <w:t xml:space="preserve"> </w:t>
      </w:r>
      <w:r>
        <w:rPr>
          <w:color w:val="231F20"/>
        </w:rPr>
        <w:t>fifth</w:t>
      </w:r>
      <w:r>
        <w:rPr>
          <w:color w:val="231F20"/>
          <w:spacing w:val="-10"/>
        </w:rPr>
        <w:t xml:space="preserve"> </w:t>
      </w:r>
      <w:r>
        <w:rPr>
          <w:color w:val="231F20"/>
        </w:rPr>
        <w:t>anniversary</w:t>
      </w:r>
      <w:r>
        <w:rPr>
          <w:color w:val="231F20"/>
          <w:spacing w:val="-10"/>
        </w:rPr>
        <w:t xml:space="preserve"> </w:t>
      </w:r>
      <w:r>
        <w:rPr>
          <w:color w:val="231F20"/>
        </w:rPr>
        <w:t>of</w:t>
      </w:r>
      <w:r>
        <w:rPr>
          <w:color w:val="231F20"/>
          <w:spacing w:val="-11"/>
        </w:rPr>
        <w:t xml:space="preserve"> </w:t>
      </w:r>
      <w:r>
        <w:rPr>
          <w:color w:val="231F20"/>
        </w:rPr>
        <w:t>IPO</w:t>
      </w:r>
      <w:r>
        <w:rPr>
          <w:color w:val="231F20"/>
          <w:spacing w:val="-10"/>
        </w:rPr>
        <w:t xml:space="preserve"> </w:t>
      </w:r>
      <w:r>
        <w:rPr>
          <w:color w:val="231F20"/>
        </w:rPr>
        <w:t>Admission,</w:t>
      </w:r>
      <w:r>
        <w:rPr>
          <w:color w:val="231F20"/>
          <w:spacing w:val="-9"/>
        </w:rPr>
        <w:t xml:space="preserve"> </w:t>
      </w:r>
      <w:r>
        <w:rPr>
          <w:color w:val="231F20"/>
        </w:rPr>
        <w:t>being</w:t>
      </w:r>
      <w:r>
        <w:rPr>
          <w:color w:val="231F20"/>
          <w:spacing w:val="-9"/>
        </w:rPr>
        <w:t xml:space="preserve"> </w:t>
      </w:r>
      <w:r>
        <w:rPr>
          <w:color w:val="231F20"/>
        </w:rPr>
        <w:t>29</w:t>
      </w:r>
      <w:r>
        <w:rPr>
          <w:color w:val="231F20"/>
          <w:spacing w:val="-11"/>
        </w:rPr>
        <w:t xml:space="preserve"> </w:t>
      </w:r>
      <w:r>
        <w:rPr>
          <w:color w:val="231F20"/>
        </w:rPr>
        <w:t>August</w:t>
      </w:r>
      <w:r>
        <w:rPr>
          <w:color w:val="231F20"/>
          <w:spacing w:val="-11"/>
        </w:rPr>
        <w:t xml:space="preserve"> </w:t>
      </w:r>
      <w:r>
        <w:rPr>
          <w:color w:val="231F20"/>
        </w:rPr>
        <w:t>2022,</w:t>
      </w:r>
      <w:r>
        <w:rPr>
          <w:color w:val="231F20"/>
          <w:spacing w:val="-9"/>
        </w:rPr>
        <w:t xml:space="preserve"> </w:t>
      </w:r>
      <w:r>
        <w:rPr>
          <w:color w:val="231F20"/>
        </w:rPr>
        <w:t>created</w:t>
      </w:r>
      <w:r>
        <w:rPr>
          <w:color w:val="231F20"/>
          <w:spacing w:val="-11"/>
        </w:rPr>
        <w:t xml:space="preserve"> </w:t>
      </w:r>
      <w:r>
        <w:rPr>
          <w:color w:val="231F20"/>
        </w:rPr>
        <w:t>and</w:t>
      </w:r>
      <w:r>
        <w:rPr>
          <w:color w:val="231F20"/>
          <w:spacing w:val="-11"/>
        </w:rPr>
        <w:t xml:space="preserve"> </w:t>
      </w:r>
      <w:r>
        <w:rPr>
          <w:color w:val="231F20"/>
        </w:rPr>
        <w:t>issued pursuant to the warrant deeds setting out the terms of the Series A Warrants;</w:t>
      </w:r>
    </w:p>
    <w:p w14:paraId="57CDA5B4" w14:textId="77777777" w:rsidR="00240151" w:rsidRDefault="00240151" w:rsidP="00240151">
      <w:pPr>
        <w:pStyle w:val="BodyText"/>
        <w:kinsoku w:val="0"/>
        <w:overflowPunct w:val="0"/>
        <w:spacing w:before="1"/>
      </w:pPr>
    </w:p>
    <w:p w14:paraId="075AD2D8" w14:textId="77777777" w:rsidR="00240151" w:rsidRDefault="00240151" w:rsidP="00240151">
      <w:pPr>
        <w:pStyle w:val="BodyText"/>
        <w:tabs>
          <w:tab w:val="left" w:pos="4395"/>
        </w:tabs>
        <w:kinsoku w:val="0"/>
        <w:overflowPunct w:val="0"/>
        <w:ind w:left="4395" w:right="1487" w:hanging="4111"/>
        <w:jc w:val="both"/>
        <w:rPr>
          <w:color w:val="231F20"/>
        </w:rPr>
      </w:pPr>
      <w:r>
        <w:rPr>
          <w:color w:val="231F20"/>
        </w:rPr>
        <w:t>“Series</w:t>
      </w:r>
      <w:r>
        <w:rPr>
          <w:color w:val="231F20"/>
          <w:spacing w:val="-2"/>
        </w:rPr>
        <w:t xml:space="preserve"> </w:t>
      </w:r>
      <w:r>
        <w:rPr>
          <w:color w:val="231F20"/>
        </w:rPr>
        <w:t>B</w:t>
      </w:r>
      <w:r>
        <w:rPr>
          <w:color w:val="231F20"/>
          <w:spacing w:val="-5"/>
        </w:rPr>
        <w:t xml:space="preserve"> </w:t>
      </w:r>
      <w:r>
        <w:rPr>
          <w:color w:val="231F20"/>
        </w:rPr>
        <w:t>Warrants”</w:t>
      </w:r>
      <w:r>
        <w:rPr>
          <w:color w:val="231F20"/>
        </w:rPr>
        <w:tab/>
        <w:t>the 13,000,000 warrants to subscribe for new Ordinary Shares at a subscription price of 10p per share from the date of IPO Admission, being 29 August 2017, until the third anniversary of IPO Admission, being 29 August 2020, created and issued pursuant to the Series B Warrant</w:t>
      </w:r>
      <w:r>
        <w:rPr>
          <w:color w:val="231F20"/>
          <w:spacing w:val="-11"/>
        </w:rPr>
        <w:t xml:space="preserve"> </w:t>
      </w:r>
      <w:r>
        <w:rPr>
          <w:color w:val="231F20"/>
        </w:rPr>
        <w:t>Deed;</w:t>
      </w:r>
    </w:p>
    <w:p w14:paraId="425763E3" w14:textId="77777777" w:rsidR="00240151" w:rsidRDefault="00240151" w:rsidP="00240151">
      <w:pPr>
        <w:pStyle w:val="BodyText"/>
        <w:kinsoku w:val="0"/>
        <w:overflowPunct w:val="0"/>
        <w:spacing w:before="11"/>
        <w:rPr>
          <w:sz w:val="17"/>
          <w:szCs w:val="17"/>
        </w:rPr>
      </w:pPr>
    </w:p>
    <w:p w14:paraId="2D9FD6E1" w14:textId="77777777" w:rsidR="00240151" w:rsidRDefault="00240151" w:rsidP="00240151">
      <w:pPr>
        <w:pStyle w:val="BodyText"/>
        <w:kinsoku w:val="0"/>
        <w:overflowPunct w:val="0"/>
        <w:ind w:left="4395" w:right="1490" w:hanging="4111"/>
        <w:jc w:val="both"/>
        <w:rPr>
          <w:color w:val="231F20"/>
        </w:rPr>
      </w:pPr>
      <w:r>
        <w:rPr>
          <w:color w:val="231F20"/>
        </w:rPr>
        <w:t xml:space="preserve">“Series B Warrant Deed” </w:t>
      </w:r>
      <w:r>
        <w:rPr>
          <w:color w:val="231F20"/>
        </w:rPr>
        <w:tab/>
        <w:t xml:space="preserve">the warrant deed dated 22 August 2017 setting out the terms of the Series B </w:t>
      </w:r>
      <w:proofErr w:type="gramStart"/>
      <w:r>
        <w:rPr>
          <w:color w:val="231F20"/>
        </w:rPr>
        <w:t>Warrants;</w:t>
      </w:r>
      <w:proofErr w:type="gramEnd"/>
    </w:p>
    <w:p w14:paraId="6803404A" w14:textId="77777777" w:rsidR="00240151" w:rsidRDefault="00240151" w:rsidP="00240151">
      <w:pPr>
        <w:pStyle w:val="BodyText"/>
        <w:kinsoku w:val="0"/>
        <w:overflowPunct w:val="0"/>
      </w:pPr>
    </w:p>
    <w:p w14:paraId="5FC64CD1" w14:textId="77777777" w:rsidR="00240151" w:rsidRDefault="00240151" w:rsidP="00240151">
      <w:pPr>
        <w:pStyle w:val="BodyText"/>
        <w:tabs>
          <w:tab w:val="left" w:pos="4395"/>
        </w:tabs>
        <w:kinsoku w:val="0"/>
        <w:overflowPunct w:val="0"/>
        <w:ind w:left="4395" w:right="1488" w:hanging="4111"/>
        <w:jc w:val="both"/>
        <w:rPr>
          <w:color w:val="231F20"/>
        </w:rPr>
      </w:pPr>
      <w:r>
        <w:rPr>
          <w:color w:val="231F20"/>
        </w:rPr>
        <w:t>“Series</w:t>
      </w:r>
      <w:r>
        <w:rPr>
          <w:color w:val="231F20"/>
          <w:spacing w:val="-1"/>
        </w:rPr>
        <w:t xml:space="preserve"> </w:t>
      </w:r>
      <w:r>
        <w:rPr>
          <w:color w:val="231F20"/>
        </w:rPr>
        <w:t>C</w:t>
      </w:r>
      <w:r>
        <w:rPr>
          <w:color w:val="231F20"/>
          <w:spacing w:val="-4"/>
        </w:rPr>
        <w:t xml:space="preserve"> </w:t>
      </w:r>
      <w:r>
        <w:rPr>
          <w:color w:val="231F20"/>
        </w:rPr>
        <w:t>Warrants”</w:t>
      </w:r>
      <w:r>
        <w:rPr>
          <w:color w:val="231F20"/>
        </w:rPr>
        <w:tab/>
        <w:t>the 13,333,322 warrants to subscribe for new Ordinary Shares at a subscription price</w:t>
      </w:r>
      <w:r>
        <w:rPr>
          <w:color w:val="231F20"/>
          <w:spacing w:val="-6"/>
        </w:rPr>
        <w:t xml:space="preserve"> </w:t>
      </w:r>
      <w:r>
        <w:rPr>
          <w:color w:val="231F20"/>
        </w:rPr>
        <w:t>of</w:t>
      </w:r>
      <w:r>
        <w:rPr>
          <w:color w:val="231F20"/>
          <w:spacing w:val="-5"/>
        </w:rPr>
        <w:t xml:space="preserve"> </w:t>
      </w:r>
      <w:r>
        <w:rPr>
          <w:color w:val="231F20"/>
        </w:rPr>
        <w:t>15p</w:t>
      </w:r>
      <w:r>
        <w:rPr>
          <w:color w:val="231F20"/>
          <w:spacing w:val="-5"/>
        </w:rPr>
        <w:t xml:space="preserve"> </w:t>
      </w:r>
      <w:r>
        <w:rPr>
          <w:color w:val="231F20"/>
        </w:rPr>
        <w:t>per</w:t>
      </w:r>
      <w:r>
        <w:rPr>
          <w:color w:val="231F20"/>
          <w:spacing w:val="-6"/>
        </w:rPr>
        <w:t xml:space="preserve"> </w:t>
      </w:r>
      <w:r>
        <w:rPr>
          <w:color w:val="231F20"/>
        </w:rPr>
        <w:t>share</w:t>
      </w:r>
      <w:r>
        <w:rPr>
          <w:color w:val="231F20"/>
          <w:spacing w:val="-3"/>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date</w:t>
      </w:r>
      <w:r>
        <w:rPr>
          <w:color w:val="231F20"/>
          <w:spacing w:val="-5"/>
        </w:rPr>
        <w:t xml:space="preserve"> </w:t>
      </w:r>
      <w:r>
        <w:rPr>
          <w:color w:val="231F20"/>
        </w:rPr>
        <w:t>of</w:t>
      </w:r>
      <w:r>
        <w:rPr>
          <w:color w:val="231F20"/>
          <w:spacing w:val="-3"/>
        </w:rPr>
        <w:t xml:space="preserve"> </w:t>
      </w:r>
      <w:r>
        <w:rPr>
          <w:color w:val="231F20"/>
        </w:rPr>
        <w:t>Admission</w:t>
      </w:r>
      <w:r>
        <w:rPr>
          <w:color w:val="231F20"/>
          <w:spacing w:val="-5"/>
        </w:rPr>
        <w:t xml:space="preserve"> </w:t>
      </w:r>
      <w:r>
        <w:rPr>
          <w:color w:val="231F20"/>
        </w:rPr>
        <w:t>until</w:t>
      </w:r>
      <w:r>
        <w:rPr>
          <w:color w:val="231F20"/>
          <w:spacing w:val="-5"/>
        </w:rPr>
        <w:t xml:space="preserve"> </w:t>
      </w:r>
      <w:r>
        <w:rPr>
          <w:color w:val="231F20"/>
        </w:rPr>
        <w:t>the</w:t>
      </w:r>
      <w:r>
        <w:rPr>
          <w:color w:val="231F20"/>
          <w:spacing w:val="-5"/>
        </w:rPr>
        <w:t xml:space="preserve"> </w:t>
      </w:r>
      <w:r>
        <w:rPr>
          <w:color w:val="231F20"/>
        </w:rPr>
        <w:t>second</w:t>
      </w:r>
      <w:r>
        <w:rPr>
          <w:color w:val="231F20"/>
          <w:spacing w:val="-5"/>
        </w:rPr>
        <w:t xml:space="preserve"> </w:t>
      </w:r>
      <w:r>
        <w:rPr>
          <w:color w:val="231F20"/>
        </w:rPr>
        <w:t>anniversary</w:t>
      </w:r>
      <w:r>
        <w:rPr>
          <w:color w:val="231F20"/>
          <w:spacing w:val="-7"/>
        </w:rPr>
        <w:t xml:space="preserve"> </w:t>
      </w:r>
      <w:r>
        <w:rPr>
          <w:color w:val="231F20"/>
        </w:rPr>
        <w:t>of Admission, created and to be issued pursuant to the Series C Warrant</w:t>
      </w:r>
      <w:r>
        <w:rPr>
          <w:color w:val="231F20"/>
          <w:spacing w:val="-16"/>
        </w:rPr>
        <w:t xml:space="preserve"> </w:t>
      </w:r>
      <w:r>
        <w:rPr>
          <w:color w:val="231F20"/>
        </w:rPr>
        <w:t>Deed;</w:t>
      </w:r>
    </w:p>
    <w:p w14:paraId="557DEA61" w14:textId="77777777" w:rsidR="00240151" w:rsidRDefault="00240151" w:rsidP="00240151">
      <w:pPr>
        <w:pStyle w:val="BodyText"/>
        <w:kinsoku w:val="0"/>
        <w:overflowPunct w:val="0"/>
      </w:pPr>
    </w:p>
    <w:p w14:paraId="5A958020" w14:textId="77777777" w:rsidR="00240151" w:rsidRDefault="00240151" w:rsidP="00240151">
      <w:pPr>
        <w:pStyle w:val="BodyText"/>
        <w:kinsoku w:val="0"/>
        <w:overflowPunct w:val="0"/>
        <w:ind w:left="4395" w:right="1487" w:hanging="4111"/>
        <w:jc w:val="both"/>
        <w:rPr>
          <w:color w:val="231F20"/>
        </w:rPr>
      </w:pPr>
      <w:r>
        <w:rPr>
          <w:color w:val="231F20"/>
        </w:rPr>
        <w:t xml:space="preserve">“Series C Warrant Deed” </w:t>
      </w:r>
      <w:r>
        <w:rPr>
          <w:color w:val="231F20"/>
        </w:rPr>
        <w:tab/>
        <w:t xml:space="preserve">the warrant deed dated 28 June 2018 setting out the terms of the Series </w:t>
      </w:r>
      <w:proofErr w:type="gramStart"/>
      <w:r>
        <w:rPr>
          <w:color w:val="231F20"/>
        </w:rPr>
        <w:t>C  Warrants</w:t>
      </w:r>
      <w:proofErr w:type="gramEnd"/>
      <w:r>
        <w:rPr>
          <w:color w:val="231F20"/>
        </w:rPr>
        <w:t>;</w:t>
      </w:r>
    </w:p>
    <w:p w14:paraId="34613340" w14:textId="77777777" w:rsidR="00240151" w:rsidRDefault="00240151" w:rsidP="00240151">
      <w:pPr>
        <w:pStyle w:val="BodyText"/>
        <w:kinsoku w:val="0"/>
        <w:overflowPunct w:val="0"/>
        <w:spacing w:before="10"/>
        <w:rPr>
          <w:sz w:val="17"/>
          <w:szCs w:val="17"/>
        </w:rPr>
      </w:pPr>
    </w:p>
    <w:p w14:paraId="0FF8001C" w14:textId="77777777" w:rsidR="00240151" w:rsidRDefault="00240151" w:rsidP="00240151">
      <w:pPr>
        <w:pStyle w:val="BodyText"/>
        <w:tabs>
          <w:tab w:val="left" w:pos="4395"/>
        </w:tabs>
        <w:kinsoku w:val="0"/>
        <w:overflowPunct w:val="0"/>
        <w:ind w:left="4395" w:right="1487" w:hanging="4111"/>
        <w:jc w:val="both"/>
        <w:rPr>
          <w:color w:val="231F20"/>
        </w:rPr>
      </w:pPr>
      <w:r>
        <w:rPr>
          <w:color w:val="231F20"/>
        </w:rPr>
        <w:t>“Shard</w:t>
      </w:r>
      <w:r>
        <w:rPr>
          <w:color w:val="231F20"/>
          <w:spacing w:val="-4"/>
        </w:rPr>
        <w:t xml:space="preserve"> </w:t>
      </w:r>
      <w:r>
        <w:rPr>
          <w:color w:val="231F20"/>
        </w:rPr>
        <w:t>Warrants”</w:t>
      </w:r>
      <w:r>
        <w:rPr>
          <w:color w:val="231F20"/>
        </w:rPr>
        <w:tab/>
        <w:t>the</w:t>
      </w:r>
      <w:r>
        <w:rPr>
          <w:color w:val="231F20"/>
          <w:spacing w:val="-11"/>
        </w:rPr>
        <w:t xml:space="preserve"> </w:t>
      </w:r>
      <w:r>
        <w:rPr>
          <w:color w:val="231F20"/>
        </w:rPr>
        <w:t>494,300</w:t>
      </w:r>
      <w:r>
        <w:rPr>
          <w:color w:val="231F20"/>
          <w:spacing w:val="-12"/>
        </w:rPr>
        <w:t xml:space="preserve"> </w:t>
      </w:r>
      <w:r>
        <w:rPr>
          <w:color w:val="231F20"/>
        </w:rPr>
        <w:t>warrants</w:t>
      </w:r>
      <w:r>
        <w:rPr>
          <w:color w:val="231F20"/>
          <w:spacing w:val="-10"/>
        </w:rPr>
        <w:t xml:space="preserve"> </w:t>
      </w:r>
      <w:r>
        <w:rPr>
          <w:color w:val="231F20"/>
        </w:rPr>
        <w:t>to</w:t>
      </w:r>
      <w:r>
        <w:rPr>
          <w:color w:val="231F20"/>
          <w:spacing w:val="-13"/>
        </w:rPr>
        <w:t xml:space="preserve"> </w:t>
      </w:r>
      <w:r>
        <w:rPr>
          <w:color w:val="231F20"/>
        </w:rPr>
        <w:t>subscribe</w:t>
      </w:r>
      <w:r>
        <w:rPr>
          <w:color w:val="231F20"/>
          <w:spacing w:val="-12"/>
        </w:rPr>
        <w:t xml:space="preserve"> </w:t>
      </w:r>
      <w:r>
        <w:rPr>
          <w:color w:val="231F20"/>
        </w:rPr>
        <w:t>for</w:t>
      </w:r>
      <w:r>
        <w:rPr>
          <w:color w:val="231F20"/>
          <w:spacing w:val="-12"/>
        </w:rPr>
        <w:t xml:space="preserve"> </w:t>
      </w:r>
      <w:r>
        <w:rPr>
          <w:color w:val="231F20"/>
        </w:rPr>
        <w:t>new</w:t>
      </w:r>
      <w:r>
        <w:rPr>
          <w:color w:val="231F20"/>
          <w:spacing w:val="-14"/>
        </w:rPr>
        <w:t xml:space="preserve"> </w:t>
      </w:r>
      <w:r>
        <w:rPr>
          <w:color w:val="231F20"/>
        </w:rPr>
        <w:t>Ordinary</w:t>
      </w:r>
      <w:r>
        <w:rPr>
          <w:color w:val="231F20"/>
          <w:spacing w:val="-13"/>
        </w:rPr>
        <w:t xml:space="preserve"> </w:t>
      </w:r>
      <w:r>
        <w:rPr>
          <w:color w:val="231F20"/>
        </w:rPr>
        <w:t>Shares</w:t>
      </w:r>
      <w:r>
        <w:rPr>
          <w:color w:val="231F20"/>
          <w:spacing w:val="-11"/>
        </w:rPr>
        <w:t xml:space="preserve"> </w:t>
      </w:r>
      <w:r>
        <w:rPr>
          <w:color w:val="231F20"/>
        </w:rPr>
        <w:t>at</w:t>
      </w:r>
      <w:r>
        <w:rPr>
          <w:color w:val="231F20"/>
          <w:spacing w:val="-16"/>
        </w:rPr>
        <w:t xml:space="preserve"> </w:t>
      </w:r>
      <w:r>
        <w:rPr>
          <w:color w:val="231F20"/>
        </w:rPr>
        <w:t>a</w:t>
      </w:r>
      <w:r>
        <w:rPr>
          <w:color w:val="231F20"/>
          <w:spacing w:val="-10"/>
        </w:rPr>
        <w:t xml:space="preserve"> </w:t>
      </w:r>
      <w:r>
        <w:rPr>
          <w:color w:val="231F20"/>
        </w:rPr>
        <w:t>subscription</w:t>
      </w:r>
      <w:r>
        <w:rPr>
          <w:color w:val="231F20"/>
          <w:spacing w:val="-13"/>
        </w:rPr>
        <w:t xml:space="preserve"> </w:t>
      </w:r>
      <w:r>
        <w:rPr>
          <w:color w:val="231F20"/>
        </w:rPr>
        <w:t>price of 5p per share from the date of IPO Admission, being 29 August 2017, until the second</w:t>
      </w:r>
      <w:r>
        <w:rPr>
          <w:color w:val="231F20"/>
          <w:spacing w:val="-12"/>
        </w:rPr>
        <w:t xml:space="preserve"> </w:t>
      </w:r>
      <w:r>
        <w:rPr>
          <w:color w:val="231F20"/>
        </w:rPr>
        <w:t>anniversary</w:t>
      </w:r>
      <w:r>
        <w:rPr>
          <w:color w:val="231F20"/>
          <w:spacing w:val="-10"/>
        </w:rPr>
        <w:t xml:space="preserve"> </w:t>
      </w:r>
      <w:r>
        <w:rPr>
          <w:color w:val="231F20"/>
        </w:rPr>
        <w:t>of</w:t>
      </w:r>
      <w:r>
        <w:rPr>
          <w:color w:val="231F20"/>
          <w:spacing w:val="-10"/>
        </w:rPr>
        <w:t xml:space="preserve"> </w:t>
      </w:r>
      <w:r>
        <w:rPr>
          <w:color w:val="231F20"/>
        </w:rPr>
        <w:t>IPO</w:t>
      </w:r>
      <w:r>
        <w:rPr>
          <w:color w:val="231F20"/>
          <w:spacing w:val="-10"/>
        </w:rPr>
        <w:t xml:space="preserve"> </w:t>
      </w:r>
      <w:r>
        <w:rPr>
          <w:color w:val="231F20"/>
        </w:rPr>
        <w:t>Admission,</w:t>
      </w:r>
      <w:r>
        <w:rPr>
          <w:color w:val="231F20"/>
          <w:spacing w:val="-9"/>
        </w:rPr>
        <w:t xml:space="preserve"> </w:t>
      </w:r>
      <w:r>
        <w:rPr>
          <w:color w:val="231F20"/>
        </w:rPr>
        <w:t>being</w:t>
      </w:r>
      <w:r>
        <w:rPr>
          <w:color w:val="231F20"/>
          <w:spacing w:val="-10"/>
        </w:rPr>
        <w:t xml:space="preserve"> </w:t>
      </w:r>
      <w:r>
        <w:rPr>
          <w:color w:val="231F20"/>
        </w:rPr>
        <w:t>29</w:t>
      </w:r>
      <w:r>
        <w:rPr>
          <w:color w:val="231F20"/>
          <w:spacing w:val="-9"/>
        </w:rPr>
        <w:t xml:space="preserve"> </w:t>
      </w:r>
      <w:r>
        <w:rPr>
          <w:color w:val="231F20"/>
        </w:rPr>
        <w:t>August</w:t>
      </w:r>
      <w:r>
        <w:rPr>
          <w:color w:val="231F20"/>
          <w:spacing w:val="-10"/>
        </w:rPr>
        <w:t xml:space="preserve"> </w:t>
      </w:r>
      <w:r>
        <w:rPr>
          <w:color w:val="231F20"/>
        </w:rPr>
        <w:t>2019,</w:t>
      </w:r>
      <w:r>
        <w:rPr>
          <w:color w:val="231F20"/>
          <w:spacing w:val="-9"/>
        </w:rPr>
        <w:t xml:space="preserve"> </w:t>
      </w:r>
      <w:r>
        <w:rPr>
          <w:color w:val="231F20"/>
        </w:rPr>
        <w:t>created</w:t>
      </w:r>
      <w:r>
        <w:rPr>
          <w:color w:val="231F20"/>
          <w:spacing w:val="-11"/>
        </w:rPr>
        <w:t xml:space="preserve"> </w:t>
      </w:r>
      <w:r>
        <w:rPr>
          <w:color w:val="231F20"/>
        </w:rPr>
        <w:t>and</w:t>
      </w:r>
      <w:r>
        <w:rPr>
          <w:color w:val="231F20"/>
          <w:spacing w:val="-12"/>
        </w:rPr>
        <w:t xml:space="preserve"> </w:t>
      </w:r>
      <w:r>
        <w:rPr>
          <w:color w:val="231F20"/>
        </w:rPr>
        <w:t>issued pursuant to the Shard Warrant</w:t>
      </w:r>
      <w:r>
        <w:rPr>
          <w:color w:val="231F20"/>
          <w:spacing w:val="-5"/>
        </w:rPr>
        <w:t xml:space="preserve"> </w:t>
      </w:r>
      <w:r>
        <w:rPr>
          <w:color w:val="231F20"/>
        </w:rPr>
        <w:t>Deed;</w:t>
      </w:r>
    </w:p>
    <w:p w14:paraId="3828EE31" w14:textId="77777777" w:rsidR="00240151" w:rsidRDefault="00240151" w:rsidP="00240151">
      <w:pPr>
        <w:pStyle w:val="BodyText"/>
        <w:kinsoku w:val="0"/>
        <w:overflowPunct w:val="0"/>
        <w:spacing w:before="2"/>
      </w:pPr>
    </w:p>
    <w:p w14:paraId="1546943C" w14:textId="77777777" w:rsidR="00240151" w:rsidRDefault="00240151" w:rsidP="00240151">
      <w:pPr>
        <w:pStyle w:val="BodyText"/>
        <w:tabs>
          <w:tab w:val="left" w:pos="4395"/>
        </w:tabs>
        <w:kinsoku w:val="0"/>
        <w:overflowPunct w:val="0"/>
        <w:ind w:left="4395" w:right="1490" w:hanging="4111"/>
        <w:jc w:val="both"/>
        <w:rPr>
          <w:color w:val="231F20"/>
        </w:rPr>
      </w:pPr>
      <w:r>
        <w:rPr>
          <w:color w:val="231F20"/>
        </w:rPr>
        <w:t>“Shard</w:t>
      </w:r>
      <w:r>
        <w:rPr>
          <w:color w:val="231F20"/>
          <w:spacing w:val="-5"/>
        </w:rPr>
        <w:t xml:space="preserve"> </w:t>
      </w:r>
      <w:r>
        <w:rPr>
          <w:color w:val="231F20"/>
        </w:rPr>
        <w:t>Warrant Deed”</w:t>
      </w:r>
      <w:r>
        <w:rPr>
          <w:color w:val="231F20"/>
        </w:rPr>
        <w:tab/>
        <w:t xml:space="preserve">the warrant deed dated 22 August 2017, setting out the terms of the Shard </w:t>
      </w:r>
      <w:proofErr w:type="gramStart"/>
      <w:r>
        <w:rPr>
          <w:color w:val="231F20"/>
        </w:rPr>
        <w:t>Warrants;</w:t>
      </w:r>
      <w:proofErr w:type="gramEnd"/>
    </w:p>
    <w:p w14:paraId="4FB191BF" w14:textId="77777777" w:rsidR="00240151" w:rsidRDefault="00240151" w:rsidP="00240151">
      <w:pPr>
        <w:pStyle w:val="BodyText"/>
        <w:kinsoku w:val="0"/>
        <w:overflowPunct w:val="0"/>
      </w:pPr>
    </w:p>
    <w:p w14:paraId="6A311EF5" w14:textId="3A6DD43C" w:rsidR="00240151" w:rsidRDefault="00240151" w:rsidP="00240151">
      <w:pPr>
        <w:pStyle w:val="BodyText"/>
        <w:tabs>
          <w:tab w:val="left" w:pos="4395"/>
        </w:tabs>
        <w:kinsoku w:val="0"/>
        <w:overflowPunct w:val="0"/>
        <w:ind w:left="228" w:right="1448"/>
        <w:rPr>
          <w:color w:val="231F20"/>
        </w:rPr>
      </w:pPr>
      <w:r>
        <w:rPr>
          <w:color w:val="231F20"/>
        </w:rPr>
        <w:t>“Shareholders”</w:t>
      </w:r>
      <w:r>
        <w:rPr>
          <w:color w:val="231F20"/>
        </w:rPr>
        <w:tab/>
        <w:t>holders of Ordinary</w:t>
      </w:r>
      <w:r>
        <w:rPr>
          <w:color w:val="231F20"/>
          <w:spacing w:val="-1"/>
        </w:rPr>
        <w:t xml:space="preserve"> </w:t>
      </w:r>
      <w:proofErr w:type="gramStart"/>
      <w:r>
        <w:rPr>
          <w:color w:val="231F20"/>
        </w:rPr>
        <w:t>Shares;</w:t>
      </w:r>
      <w:proofErr w:type="gramEnd"/>
    </w:p>
    <w:p w14:paraId="2273C576" w14:textId="4E6AF42B" w:rsidR="00595A97" w:rsidRDefault="00595A97" w:rsidP="00240151">
      <w:pPr>
        <w:pStyle w:val="BodyText"/>
        <w:tabs>
          <w:tab w:val="left" w:pos="4395"/>
        </w:tabs>
        <w:kinsoku w:val="0"/>
        <w:overflowPunct w:val="0"/>
        <w:ind w:left="228" w:right="1448"/>
        <w:rPr>
          <w:color w:val="231F20"/>
        </w:r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025"/>
      </w:tblGrid>
      <w:tr w:rsidR="00595A97" w14:paraId="63C492C9" w14:textId="77777777" w:rsidTr="002115EE">
        <w:tc>
          <w:tcPr>
            <w:tcW w:w="4206" w:type="dxa"/>
          </w:tcPr>
          <w:p w14:paraId="1E08D652" w14:textId="77777777" w:rsidR="00595A97" w:rsidRDefault="00595A97" w:rsidP="00595A97">
            <w:pPr>
              <w:pStyle w:val="BodyText"/>
              <w:kinsoku w:val="0"/>
              <w:overflowPunct w:val="0"/>
              <w:ind w:right="1488"/>
              <w:jc w:val="both"/>
              <w:rPr>
                <w:color w:val="231F20"/>
              </w:rPr>
            </w:pPr>
            <w:r>
              <w:rPr>
                <w:color w:val="231F20"/>
              </w:rPr>
              <w:t>“Share Purchase</w:t>
            </w:r>
          </w:p>
          <w:p w14:paraId="3BB94928" w14:textId="5412C4B4" w:rsidR="00595A97" w:rsidRDefault="00595A97" w:rsidP="00595A97">
            <w:pPr>
              <w:pStyle w:val="BodyText"/>
              <w:tabs>
                <w:tab w:val="left" w:pos="2632"/>
              </w:tabs>
              <w:kinsoku w:val="0"/>
              <w:overflowPunct w:val="0"/>
              <w:spacing w:after="240"/>
              <w:rPr>
                <w:color w:val="231F20"/>
              </w:rPr>
            </w:pPr>
            <w:r>
              <w:rPr>
                <w:color w:val="231F20"/>
              </w:rPr>
              <w:t xml:space="preserve"> Agreement”</w:t>
            </w:r>
          </w:p>
        </w:tc>
        <w:tc>
          <w:tcPr>
            <w:tcW w:w="5025" w:type="dxa"/>
          </w:tcPr>
          <w:p w14:paraId="4E385FEB" w14:textId="56AA9298" w:rsidR="00595A97" w:rsidRDefault="00595A97" w:rsidP="00595A97">
            <w:pPr>
              <w:pStyle w:val="BodyText"/>
              <w:tabs>
                <w:tab w:val="left" w:pos="4395"/>
              </w:tabs>
              <w:kinsoku w:val="0"/>
              <w:overflowPunct w:val="0"/>
              <w:spacing w:after="240"/>
              <w:ind w:right="168"/>
              <w:jc w:val="both"/>
              <w:rPr>
                <w:color w:val="231F20"/>
              </w:rPr>
            </w:pPr>
            <w:r>
              <w:rPr>
                <w:color w:val="231F20"/>
              </w:rPr>
              <w:t xml:space="preserve">the share purchase agreement dated </w:t>
            </w:r>
            <w:r>
              <w:t xml:space="preserve">18 May 2021 </w:t>
            </w:r>
            <w:r>
              <w:rPr>
                <w:color w:val="231F20"/>
              </w:rPr>
              <w:t xml:space="preserve">between the Company and Altius relating to the Labrador Acquisition, details of which are set out in paragraph 14.1 of Part VII of this </w:t>
            </w:r>
            <w:proofErr w:type="gramStart"/>
            <w:r>
              <w:rPr>
                <w:color w:val="231F20"/>
              </w:rPr>
              <w:t>Document;</w:t>
            </w:r>
            <w:proofErr w:type="gramEnd"/>
          </w:p>
        </w:tc>
      </w:tr>
    </w:tbl>
    <w:p w14:paraId="0B9B96C7" w14:textId="77777777" w:rsidR="00240151" w:rsidRDefault="00240151" w:rsidP="00051CFB">
      <w:pPr>
        <w:pStyle w:val="BodyText"/>
        <w:tabs>
          <w:tab w:val="left" w:pos="4395"/>
        </w:tabs>
        <w:kinsoku w:val="0"/>
        <w:overflowPunct w:val="0"/>
        <w:ind w:left="4395" w:right="1448" w:hanging="4111"/>
        <w:jc w:val="both"/>
        <w:rPr>
          <w:color w:val="231F20"/>
        </w:rPr>
      </w:pPr>
      <w:r>
        <w:rPr>
          <w:color w:val="231F20"/>
        </w:rPr>
        <w:t>“Special</w:t>
      </w:r>
      <w:r>
        <w:rPr>
          <w:color w:val="231F20"/>
          <w:spacing w:val="-2"/>
        </w:rPr>
        <w:t xml:space="preserve"> </w:t>
      </w:r>
      <w:r>
        <w:rPr>
          <w:color w:val="231F20"/>
        </w:rPr>
        <w:t>Resolution”</w:t>
      </w:r>
      <w:r>
        <w:rPr>
          <w:color w:val="231F20"/>
        </w:rPr>
        <w:tab/>
        <w:t xml:space="preserve">a special resolution within the meaning of section 283 of the </w:t>
      </w:r>
      <w:r>
        <w:rPr>
          <w:color w:val="231F20"/>
        </w:rPr>
        <w:lastRenderedPageBreak/>
        <w:t xml:space="preserve">Companies </w:t>
      </w:r>
      <w:proofErr w:type="gramStart"/>
      <w:r>
        <w:rPr>
          <w:color w:val="231F20"/>
        </w:rPr>
        <w:t>Act;</w:t>
      </w:r>
      <w:proofErr w:type="gramEnd"/>
      <w:r>
        <w:rPr>
          <w:color w:val="231F20"/>
        </w:rPr>
        <w:t xml:space="preserve"> </w:t>
      </w:r>
    </w:p>
    <w:p w14:paraId="7751FBA6" w14:textId="77777777" w:rsidR="001A7287" w:rsidRDefault="001A7287" w:rsidP="00051CFB">
      <w:pPr>
        <w:pStyle w:val="BodyText"/>
        <w:tabs>
          <w:tab w:val="left" w:pos="4395"/>
        </w:tabs>
        <w:kinsoku w:val="0"/>
        <w:overflowPunct w:val="0"/>
        <w:ind w:left="4395" w:right="1448" w:hanging="4111"/>
        <w:jc w:val="both"/>
        <w:rPr>
          <w:color w:val="231F20"/>
        </w:rPr>
      </w:pPr>
    </w:p>
    <w:p w14:paraId="30D3B0A0" w14:textId="5C63AF89" w:rsidR="00240151" w:rsidRDefault="00240151" w:rsidP="00051CFB">
      <w:pPr>
        <w:pStyle w:val="BodyText"/>
        <w:tabs>
          <w:tab w:val="left" w:pos="4395"/>
        </w:tabs>
        <w:kinsoku w:val="0"/>
        <w:overflowPunct w:val="0"/>
        <w:ind w:left="4395" w:right="1448" w:hanging="4111"/>
        <w:jc w:val="both"/>
        <w:rPr>
          <w:color w:val="231F20"/>
        </w:rPr>
      </w:pPr>
      <w:r>
        <w:rPr>
          <w:color w:val="231F20"/>
        </w:rPr>
        <w:t>“Standard</w:t>
      </w:r>
      <w:r>
        <w:rPr>
          <w:color w:val="231F20"/>
          <w:spacing w:val="-2"/>
        </w:rPr>
        <w:t xml:space="preserve"> </w:t>
      </w:r>
      <w:r>
        <w:rPr>
          <w:color w:val="231F20"/>
        </w:rPr>
        <w:t>Listing”</w:t>
      </w:r>
      <w:r>
        <w:rPr>
          <w:color w:val="231F20"/>
        </w:rPr>
        <w:tab/>
        <w:t>a standard listing under Chapter 14 of the Listing</w:t>
      </w:r>
      <w:r>
        <w:rPr>
          <w:color w:val="231F20"/>
          <w:spacing w:val="1"/>
        </w:rPr>
        <w:t xml:space="preserve"> </w:t>
      </w:r>
      <w:proofErr w:type="gramStart"/>
      <w:r>
        <w:rPr>
          <w:color w:val="231F20"/>
        </w:rPr>
        <w:t>Rules;</w:t>
      </w:r>
      <w:proofErr w:type="gramEnd"/>
    </w:p>
    <w:p w14:paraId="442BAC96" w14:textId="77777777" w:rsidR="00240151" w:rsidRDefault="00240151" w:rsidP="00240151">
      <w:pPr>
        <w:pStyle w:val="BodyText"/>
        <w:tabs>
          <w:tab w:val="left" w:pos="2632"/>
        </w:tabs>
        <w:kinsoku w:val="0"/>
        <w:overflowPunct w:val="0"/>
        <w:spacing w:before="6" w:line="237" w:lineRule="auto"/>
        <w:ind w:left="2632" w:right="1488" w:hanging="2405"/>
        <w:jc w:val="both"/>
        <w:rPr>
          <w:color w:val="231F20"/>
        </w:rPr>
      </w:pPr>
    </w:p>
    <w:p w14:paraId="5A88D4C0" w14:textId="77777777" w:rsidR="00240151" w:rsidRDefault="00240151" w:rsidP="00240151">
      <w:pPr>
        <w:pStyle w:val="BodyText"/>
        <w:tabs>
          <w:tab w:val="left" w:pos="4395"/>
        </w:tabs>
        <w:kinsoku w:val="0"/>
        <w:overflowPunct w:val="0"/>
        <w:spacing w:before="6" w:line="237" w:lineRule="auto"/>
        <w:ind w:left="4395" w:right="1488" w:hanging="4111"/>
        <w:jc w:val="both"/>
        <w:rPr>
          <w:color w:val="231F20"/>
        </w:rPr>
      </w:pPr>
      <w:r>
        <w:rPr>
          <w:color w:val="231F20"/>
        </w:rPr>
        <w:t>“Subscriber”</w:t>
      </w:r>
      <w:r>
        <w:rPr>
          <w:color w:val="231F20"/>
        </w:rPr>
        <w:tab/>
        <w:t>a person who confirms his agreement to subscribe for Subscription Shares in accordance with the terms of a subscription letter with the Company and being referred to collectively as the</w:t>
      </w:r>
      <w:r>
        <w:rPr>
          <w:color w:val="231F20"/>
          <w:spacing w:val="-2"/>
        </w:rPr>
        <w:t xml:space="preserve"> </w:t>
      </w:r>
      <w:r>
        <w:rPr>
          <w:color w:val="231F20"/>
        </w:rPr>
        <w:t>“</w:t>
      </w:r>
      <w:r>
        <w:rPr>
          <w:b/>
          <w:bCs/>
          <w:color w:val="231F20"/>
        </w:rPr>
        <w:t>Subscribers</w:t>
      </w:r>
      <w:proofErr w:type="gramStart"/>
      <w:r>
        <w:rPr>
          <w:color w:val="231F20"/>
        </w:rPr>
        <w:t>”;</w:t>
      </w:r>
      <w:proofErr w:type="gramEnd"/>
    </w:p>
    <w:p w14:paraId="4E56B6EC" w14:textId="77777777" w:rsidR="00240151" w:rsidRDefault="00240151" w:rsidP="00240151">
      <w:pPr>
        <w:pStyle w:val="BodyText"/>
        <w:kinsoku w:val="0"/>
        <w:overflowPunct w:val="0"/>
        <w:spacing w:before="2"/>
      </w:pPr>
    </w:p>
    <w:p w14:paraId="6FB44829" w14:textId="3D1246D1" w:rsidR="00240151" w:rsidRDefault="00240151" w:rsidP="00240151">
      <w:pPr>
        <w:pStyle w:val="BodyText"/>
        <w:tabs>
          <w:tab w:val="left" w:pos="4395"/>
        </w:tabs>
        <w:kinsoku w:val="0"/>
        <w:overflowPunct w:val="0"/>
        <w:ind w:left="4395" w:right="1488" w:hanging="4111"/>
        <w:jc w:val="both"/>
        <w:rPr>
          <w:color w:val="231F20"/>
        </w:rPr>
      </w:pPr>
      <w:r>
        <w:rPr>
          <w:color w:val="231F20"/>
        </w:rPr>
        <w:t>“Subscription”</w:t>
      </w:r>
      <w:r>
        <w:rPr>
          <w:color w:val="231F20"/>
        </w:rPr>
        <w:tab/>
        <w:t>the subscription by the Subscribers for a total of 3,333,333 new Ordinary Shares at the December 2020 Fundraise</w:t>
      </w:r>
      <w:r>
        <w:rPr>
          <w:color w:val="231F20"/>
          <w:spacing w:val="-2"/>
        </w:rPr>
        <w:t xml:space="preserve"> </w:t>
      </w:r>
      <w:proofErr w:type="gramStart"/>
      <w:r>
        <w:rPr>
          <w:color w:val="231F20"/>
        </w:rPr>
        <w:t>Price;</w:t>
      </w:r>
      <w:proofErr w:type="gramEnd"/>
    </w:p>
    <w:p w14:paraId="01339B0B" w14:textId="33CFA3AD" w:rsidR="00505CDD" w:rsidRDefault="00505CDD" w:rsidP="00240151">
      <w:pPr>
        <w:pStyle w:val="BodyText"/>
        <w:tabs>
          <w:tab w:val="left" w:pos="4395"/>
        </w:tabs>
        <w:kinsoku w:val="0"/>
        <w:overflowPunct w:val="0"/>
        <w:ind w:left="4395" w:right="1488" w:hanging="4111"/>
        <w:jc w:val="both"/>
        <w:rPr>
          <w:color w:val="231F20"/>
        </w:rPr>
      </w:pPr>
    </w:p>
    <w:p w14:paraId="72413139" w14:textId="7BECAD8B" w:rsidR="00240151" w:rsidRDefault="00240151" w:rsidP="00505CDD">
      <w:pPr>
        <w:pStyle w:val="BodyText"/>
        <w:tabs>
          <w:tab w:val="left" w:pos="4395"/>
        </w:tabs>
        <w:kinsoku w:val="0"/>
        <w:overflowPunct w:val="0"/>
        <w:ind w:left="4395" w:right="1486" w:hanging="4111"/>
        <w:jc w:val="both"/>
        <w:rPr>
          <w:color w:val="231F20"/>
        </w:rPr>
      </w:pPr>
      <w:r>
        <w:rPr>
          <w:color w:val="231F20"/>
        </w:rPr>
        <w:t>“Subscription</w:t>
      </w:r>
      <w:r w:rsidRPr="00505CDD">
        <w:rPr>
          <w:color w:val="231F20"/>
        </w:rPr>
        <w:t xml:space="preserve"> </w:t>
      </w:r>
      <w:r>
        <w:rPr>
          <w:color w:val="231F20"/>
        </w:rPr>
        <w:t>Shares”</w:t>
      </w:r>
      <w:r>
        <w:rPr>
          <w:color w:val="231F20"/>
        </w:rPr>
        <w:tab/>
        <w:t>means</w:t>
      </w:r>
      <w:r w:rsidRPr="00505CDD">
        <w:rPr>
          <w:color w:val="231F20"/>
        </w:rPr>
        <w:t xml:space="preserve"> </w:t>
      </w:r>
      <w:r>
        <w:rPr>
          <w:color w:val="231F20"/>
        </w:rPr>
        <w:t>new</w:t>
      </w:r>
      <w:r w:rsidRPr="00505CDD">
        <w:rPr>
          <w:color w:val="231F20"/>
        </w:rPr>
        <w:t xml:space="preserve"> </w:t>
      </w:r>
      <w:r>
        <w:rPr>
          <w:color w:val="231F20"/>
        </w:rPr>
        <w:t>Ordinary</w:t>
      </w:r>
      <w:r w:rsidRPr="00505CDD">
        <w:rPr>
          <w:color w:val="231F20"/>
        </w:rPr>
        <w:t xml:space="preserve"> </w:t>
      </w:r>
      <w:r>
        <w:rPr>
          <w:color w:val="231F20"/>
        </w:rPr>
        <w:t>Shares</w:t>
      </w:r>
      <w:r w:rsidRPr="00505CDD">
        <w:rPr>
          <w:color w:val="231F20"/>
        </w:rPr>
        <w:t xml:space="preserve"> </w:t>
      </w:r>
      <w:r>
        <w:rPr>
          <w:color w:val="231F20"/>
        </w:rPr>
        <w:t>subscribed</w:t>
      </w:r>
      <w:r w:rsidRPr="00505CDD">
        <w:rPr>
          <w:color w:val="231F20"/>
        </w:rPr>
        <w:t xml:space="preserve"> </w:t>
      </w:r>
      <w:r>
        <w:rPr>
          <w:color w:val="231F20"/>
        </w:rPr>
        <w:t>for</w:t>
      </w:r>
      <w:r w:rsidRPr="00505CDD">
        <w:rPr>
          <w:color w:val="231F20"/>
        </w:rPr>
        <w:t xml:space="preserve"> </w:t>
      </w:r>
      <w:r>
        <w:rPr>
          <w:color w:val="231F20"/>
        </w:rPr>
        <w:t>by</w:t>
      </w:r>
      <w:r w:rsidRPr="00505CDD">
        <w:rPr>
          <w:color w:val="231F20"/>
        </w:rPr>
        <w:t xml:space="preserve"> </w:t>
      </w:r>
      <w:r>
        <w:rPr>
          <w:color w:val="231F20"/>
        </w:rPr>
        <w:t>the</w:t>
      </w:r>
      <w:r>
        <w:rPr>
          <w:color w:val="231F20"/>
          <w:spacing w:val="-11"/>
        </w:rPr>
        <w:t xml:space="preserve"> </w:t>
      </w:r>
      <w:r>
        <w:rPr>
          <w:color w:val="231F20"/>
        </w:rPr>
        <w:t>Subscribers</w:t>
      </w:r>
      <w:r>
        <w:rPr>
          <w:color w:val="231F20"/>
          <w:spacing w:val="-9"/>
        </w:rPr>
        <w:t xml:space="preserve"> </w:t>
      </w:r>
      <w:r>
        <w:rPr>
          <w:color w:val="231F20"/>
        </w:rPr>
        <w:t>in</w:t>
      </w:r>
      <w:r>
        <w:rPr>
          <w:color w:val="231F20"/>
          <w:spacing w:val="-10"/>
        </w:rPr>
        <w:t xml:space="preserve"> </w:t>
      </w:r>
      <w:r>
        <w:rPr>
          <w:color w:val="231F20"/>
        </w:rPr>
        <w:t>connection</w:t>
      </w:r>
      <w:r>
        <w:rPr>
          <w:color w:val="231F20"/>
          <w:spacing w:val="-12"/>
        </w:rPr>
        <w:t xml:space="preserve"> </w:t>
      </w:r>
      <w:r>
        <w:rPr>
          <w:color w:val="231F20"/>
        </w:rPr>
        <w:t xml:space="preserve">with the </w:t>
      </w:r>
      <w:proofErr w:type="gramStart"/>
      <w:r>
        <w:rPr>
          <w:color w:val="231F20"/>
        </w:rPr>
        <w:t>Subscription;</w:t>
      </w:r>
      <w:proofErr w:type="gramEnd"/>
    </w:p>
    <w:p w14:paraId="41CAB6EA" w14:textId="18D80DF2" w:rsidR="00505CDD" w:rsidRDefault="00505CDD" w:rsidP="00505CDD">
      <w:pPr>
        <w:pStyle w:val="BodyText"/>
        <w:tabs>
          <w:tab w:val="left" w:pos="4395"/>
        </w:tabs>
        <w:kinsoku w:val="0"/>
        <w:overflowPunct w:val="0"/>
        <w:ind w:left="4395" w:right="1486" w:hanging="4111"/>
        <w:jc w:val="both"/>
        <w:rPr>
          <w:color w:val="231F20"/>
        </w:rPr>
      </w:pPr>
    </w:p>
    <w:p w14:paraId="055D8B20" w14:textId="565F1FE2" w:rsidR="00240151" w:rsidRDefault="00240151" w:rsidP="00505CDD">
      <w:pPr>
        <w:pStyle w:val="BodyText"/>
        <w:tabs>
          <w:tab w:val="left" w:pos="4395"/>
        </w:tabs>
        <w:kinsoku w:val="0"/>
        <w:overflowPunct w:val="0"/>
        <w:ind w:left="4395" w:right="1486" w:hanging="4111"/>
        <w:jc w:val="both"/>
        <w:rPr>
          <w:color w:val="231F20"/>
        </w:rPr>
      </w:pPr>
      <w:r>
        <w:rPr>
          <w:color w:val="231F20"/>
        </w:rPr>
        <w:t>“Sulphides” or “Sulphide Mineralisation”</w:t>
      </w:r>
      <w:r>
        <w:rPr>
          <w:color w:val="231F20"/>
        </w:rPr>
        <w:tab/>
        <w:t xml:space="preserve">metal sulphide ore </w:t>
      </w:r>
      <w:proofErr w:type="gramStart"/>
      <w:r>
        <w:rPr>
          <w:color w:val="231F20"/>
        </w:rPr>
        <w:t>deposits;</w:t>
      </w:r>
      <w:proofErr w:type="gramEnd"/>
    </w:p>
    <w:p w14:paraId="1A5716BE" w14:textId="1A10313F" w:rsidR="00505CDD" w:rsidRDefault="00505CDD" w:rsidP="00505CDD">
      <w:pPr>
        <w:pStyle w:val="BodyText"/>
        <w:tabs>
          <w:tab w:val="left" w:pos="4395"/>
        </w:tabs>
        <w:kinsoku w:val="0"/>
        <w:overflowPunct w:val="0"/>
        <w:ind w:left="4395" w:right="1486" w:hanging="4111"/>
        <w:jc w:val="both"/>
        <w:rPr>
          <w:color w:val="231F20"/>
        </w:rPr>
      </w:pPr>
    </w:p>
    <w:p w14:paraId="052313F0" w14:textId="37070CDA" w:rsidR="00240151" w:rsidRDefault="00240151" w:rsidP="00505CDD">
      <w:pPr>
        <w:pStyle w:val="BodyText"/>
        <w:tabs>
          <w:tab w:val="left" w:pos="4395"/>
        </w:tabs>
        <w:kinsoku w:val="0"/>
        <w:overflowPunct w:val="0"/>
        <w:ind w:left="4395" w:right="1486" w:hanging="4111"/>
        <w:jc w:val="both"/>
        <w:rPr>
          <w:color w:val="231F20"/>
        </w:rPr>
      </w:pPr>
      <w:r>
        <w:rPr>
          <w:color w:val="231F20"/>
        </w:rPr>
        <w:t>“Takeover</w:t>
      </w:r>
      <w:r w:rsidRPr="00505CDD">
        <w:rPr>
          <w:color w:val="231F20"/>
        </w:rPr>
        <w:t xml:space="preserve"> </w:t>
      </w:r>
      <w:r>
        <w:rPr>
          <w:color w:val="231F20"/>
        </w:rPr>
        <w:t>Code”</w:t>
      </w:r>
      <w:r>
        <w:rPr>
          <w:color w:val="231F20"/>
        </w:rPr>
        <w:tab/>
        <w:t>the City Code on Takeovers and Mergers as published by the Takeover Panel from time to</w:t>
      </w:r>
      <w:r>
        <w:rPr>
          <w:color w:val="231F20"/>
          <w:spacing w:val="-1"/>
        </w:rPr>
        <w:t xml:space="preserve"> </w:t>
      </w:r>
      <w:proofErr w:type="gramStart"/>
      <w:r>
        <w:rPr>
          <w:color w:val="231F20"/>
        </w:rPr>
        <w:t>time;</w:t>
      </w:r>
      <w:proofErr w:type="gramEnd"/>
    </w:p>
    <w:p w14:paraId="2484CC5B" w14:textId="77777777" w:rsidR="00505CDD" w:rsidRDefault="00505CDD" w:rsidP="00505CDD">
      <w:pPr>
        <w:pStyle w:val="BodyText"/>
        <w:tabs>
          <w:tab w:val="left" w:pos="4395"/>
        </w:tabs>
        <w:kinsoku w:val="0"/>
        <w:overflowPunct w:val="0"/>
        <w:ind w:left="4395" w:right="1486" w:hanging="4111"/>
        <w:jc w:val="both"/>
        <w:rPr>
          <w:color w:val="231F20"/>
        </w:rPr>
      </w:pPr>
    </w:p>
    <w:p w14:paraId="51B7A060" w14:textId="2F804971" w:rsidR="00240151" w:rsidRDefault="00240151" w:rsidP="00505CDD">
      <w:pPr>
        <w:pStyle w:val="BodyText"/>
        <w:tabs>
          <w:tab w:val="left" w:pos="4395"/>
        </w:tabs>
        <w:kinsoku w:val="0"/>
        <w:overflowPunct w:val="0"/>
        <w:ind w:left="4395" w:right="1486" w:hanging="4111"/>
        <w:jc w:val="both"/>
        <w:rPr>
          <w:color w:val="231F20"/>
        </w:rPr>
      </w:pPr>
      <w:r>
        <w:rPr>
          <w:color w:val="231F20"/>
        </w:rPr>
        <w:t>“Takeover</w:t>
      </w:r>
      <w:r w:rsidRPr="00505CDD">
        <w:rPr>
          <w:color w:val="231F20"/>
        </w:rPr>
        <w:t xml:space="preserve"> </w:t>
      </w:r>
      <w:r>
        <w:rPr>
          <w:color w:val="231F20"/>
        </w:rPr>
        <w:t>Panel”</w:t>
      </w:r>
      <w:r>
        <w:rPr>
          <w:color w:val="231F20"/>
        </w:rPr>
        <w:tab/>
        <w:t>the Panel on Takeovers and</w:t>
      </w:r>
      <w:r w:rsidRPr="00505CDD">
        <w:rPr>
          <w:color w:val="231F20"/>
        </w:rPr>
        <w:t xml:space="preserve"> </w:t>
      </w:r>
      <w:proofErr w:type="gramStart"/>
      <w:r>
        <w:rPr>
          <w:color w:val="231F20"/>
        </w:rPr>
        <w:t>Mergers;</w:t>
      </w:r>
      <w:proofErr w:type="gramEnd"/>
    </w:p>
    <w:p w14:paraId="0C905D04" w14:textId="77777777" w:rsidR="00240151" w:rsidRDefault="00240151" w:rsidP="00240151">
      <w:pPr>
        <w:pStyle w:val="BodyText"/>
        <w:kinsoku w:val="0"/>
        <w:overflowPunct w:val="0"/>
        <w:spacing w:before="10"/>
        <w:rPr>
          <w:sz w:val="17"/>
          <w:szCs w:val="17"/>
        </w:rPr>
      </w:pPr>
    </w:p>
    <w:p w14:paraId="194D29A3" w14:textId="77777777" w:rsidR="00240151" w:rsidRDefault="00240151" w:rsidP="00240151">
      <w:pPr>
        <w:pStyle w:val="BodyText"/>
        <w:tabs>
          <w:tab w:val="left" w:pos="4395"/>
        </w:tabs>
        <w:kinsoku w:val="0"/>
        <w:overflowPunct w:val="0"/>
        <w:ind w:left="4395" w:right="1487" w:hanging="4111"/>
        <w:jc w:val="both"/>
        <w:rPr>
          <w:color w:val="231F20"/>
        </w:rPr>
      </w:pPr>
      <w:r>
        <w:rPr>
          <w:color w:val="231F20"/>
        </w:rPr>
        <w:t>“Troodos</w:t>
      </w:r>
      <w:r>
        <w:rPr>
          <w:color w:val="231F20"/>
          <w:spacing w:val="-1"/>
        </w:rPr>
        <w:t xml:space="preserve"> </w:t>
      </w:r>
      <w:r>
        <w:rPr>
          <w:color w:val="231F20"/>
        </w:rPr>
        <w:t>North”</w:t>
      </w:r>
      <w:r>
        <w:rPr>
          <w:color w:val="231F20"/>
        </w:rPr>
        <w:tab/>
        <w:t>the</w:t>
      </w:r>
      <w:r>
        <w:rPr>
          <w:color w:val="231F20"/>
          <w:spacing w:val="-12"/>
        </w:rPr>
        <w:t xml:space="preserve"> </w:t>
      </w:r>
      <w:r>
        <w:rPr>
          <w:color w:val="231F20"/>
        </w:rPr>
        <w:t>project</w:t>
      </w:r>
      <w:r>
        <w:rPr>
          <w:color w:val="231F20"/>
          <w:spacing w:val="-12"/>
        </w:rPr>
        <w:t xml:space="preserve"> </w:t>
      </w:r>
      <w:r>
        <w:rPr>
          <w:color w:val="231F20"/>
        </w:rPr>
        <w:t>area</w:t>
      </w:r>
      <w:r>
        <w:rPr>
          <w:color w:val="231F20"/>
          <w:spacing w:val="-14"/>
        </w:rPr>
        <w:t xml:space="preserve"> </w:t>
      </w:r>
      <w:r>
        <w:rPr>
          <w:color w:val="231F20"/>
        </w:rPr>
        <w:t>covered</w:t>
      </w:r>
      <w:r>
        <w:rPr>
          <w:color w:val="231F20"/>
          <w:spacing w:val="-14"/>
        </w:rPr>
        <w:t xml:space="preserve"> </w:t>
      </w:r>
      <w:r>
        <w:rPr>
          <w:color w:val="231F20"/>
        </w:rPr>
        <w:t>by</w:t>
      </w:r>
      <w:r>
        <w:rPr>
          <w:color w:val="231F20"/>
          <w:spacing w:val="-14"/>
        </w:rPr>
        <w:t xml:space="preserve"> </w:t>
      </w:r>
      <w:r>
        <w:rPr>
          <w:color w:val="231F20"/>
        </w:rPr>
        <w:t>three</w:t>
      </w:r>
      <w:r>
        <w:rPr>
          <w:color w:val="231F20"/>
          <w:spacing w:val="-12"/>
        </w:rPr>
        <w:t xml:space="preserve"> </w:t>
      </w:r>
      <w:r>
        <w:rPr>
          <w:color w:val="231F20"/>
        </w:rPr>
        <w:t>Granted</w:t>
      </w:r>
      <w:r>
        <w:rPr>
          <w:color w:val="231F20"/>
          <w:spacing w:val="-12"/>
        </w:rPr>
        <w:t xml:space="preserve"> </w:t>
      </w:r>
      <w:r>
        <w:rPr>
          <w:color w:val="231F20"/>
        </w:rPr>
        <w:t>Prospecting</w:t>
      </w:r>
      <w:r>
        <w:rPr>
          <w:color w:val="231F20"/>
          <w:spacing w:val="-11"/>
        </w:rPr>
        <w:t xml:space="preserve"> </w:t>
      </w:r>
      <w:r>
        <w:rPr>
          <w:color w:val="231F20"/>
        </w:rPr>
        <w:t>Permits</w:t>
      </w:r>
      <w:r>
        <w:rPr>
          <w:color w:val="231F20"/>
          <w:spacing w:val="-11"/>
        </w:rPr>
        <w:t xml:space="preserve"> </w:t>
      </w:r>
      <w:r>
        <w:rPr>
          <w:color w:val="231F20"/>
        </w:rPr>
        <w:t>(AE4706,</w:t>
      </w:r>
      <w:r>
        <w:rPr>
          <w:color w:val="231F20"/>
          <w:spacing w:val="-12"/>
        </w:rPr>
        <w:t xml:space="preserve"> </w:t>
      </w:r>
      <w:r>
        <w:rPr>
          <w:color w:val="231F20"/>
        </w:rPr>
        <w:t>AE4708 and AE 4709) on the northern side of the Troodos</w:t>
      </w:r>
      <w:r>
        <w:rPr>
          <w:color w:val="231F20"/>
          <w:spacing w:val="-8"/>
        </w:rPr>
        <w:t xml:space="preserve"> </w:t>
      </w:r>
      <w:proofErr w:type="gramStart"/>
      <w:r>
        <w:rPr>
          <w:color w:val="231F20"/>
        </w:rPr>
        <w:t>Mountains;</w:t>
      </w:r>
      <w:proofErr w:type="gramEnd"/>
    </w:p>
    <w:p w14:paraId="40431B1F" w14:textId="77777777" w:rsidR="00240151" w:rsidRDefault="00240151" w:rsidP="00240151">
      <w:pPr>
        <w:pStyle w:val="BodyText"/>
        <w:kinsoku w:val="0"/>
        <w:overflowPunct w:val="0"/>
      </w:pPr>
    </w:p>
    <w:p w14:paraId="697443FC" w14:textId="0CF3D07E" w:rsidR="00240151" w:rsidRDefault="00240151" w:rsidP="00240151">
      <w:pPr>
        <w:pStyle w:val="BodyText"/>
        <w:tabs>
          <w:tab w:val="left" w:pos="4395"/>
        </w:tabs>
        <w:kinsoku w:val="0"/>
        <w:overflowPunct w:val="0"/>
        <w:ind w:left="4395" w:right="1486" w:hanging="4111"/>
        <w:jc w:val="both"/>
        <w:rPr>
          <w:color w:val="231F20"/>
        </w:rPr>
      </w:pPr>
      <w:r>
        <w:rPr>
          <w:color w:val="231F20"/>
        </w:rPr>
        <w:t>“Troodos</w:t>
      </w:r>
      <w:r>
        <w:rPr>
          <w:color w:val="231F20"/>
          <w:spacing w:val="-4"/>
        </w:rPr>
        <w:t xml:space="preserve"> </w:t>
      </w:r>
      <w:r>
        <w:rPr>
          <w:color w:val="231F20"/>
        </w:rPr>
        <w:t>West”</w:t>
      </w:r>
      <w:r>
        <w:rPr>
          <w:color w:val="231F20"/>
        </w:rPr>
        <w:tab/>
      </w:r>
      <w:bookmarkStart w:id="21" w:name="_Hlk71112177"/>
      <w:r>
        <w:rPr>
          <w:color w:val="231F20"/>
        </w:rPr>
        <w:t>the project area covered by certain of the Granted Prospecting Permits (namely AE4659, AE4660, AE4661, AE4664, AE4665, AE4672, AE4673, AE4722, AE4724, AE4728, AE4739, AE4777, AE4773, AE4788)</w:t>
      </w:r>
      <w:bookmarkEnd w:id="21"/>
      <w:r>
        <w:rPr>
          <w:color w:val="231F20"/>
        </w:rPr>
        <w:t xml:space="preserve"> on the western side of the Troodos Mountains;</w:t>
      </w:r>
    </w:p>
    <w:p w14:paraId="2C60FE94" w14:textId="77777777" w:rsidR="00240151" w:rsidRDefault="00240151" w:rsidP="00240151">
      <w:pPr>
        <w:pStyle w:val="BodyText"/>
        <w:kinsoku w:val="0"/>
        <w:overflowPunct w:val="0"/>
        <w:spacing w:before="10"/>
        <w:rPr>
          <w:sz w:val="17"/>
          <w:szCs w:val="17"/>
        </w:rPr>
      </w:pPr>
    </w:p>
    <w:p w14:paraId="20133A0D" w14:textId="77777777" w:rsidR="00240151" w:rsidRDefault="00240151" w:rsidP="00240151">
      <w:pPr>
        <w:pStyle w:val="BodyText"/>
        <w:tabs>
          <w:tab w:val="left" w:pos="4395"/>
        </w:tabs>
        <w:kinsoku w:val="0"/>
        <w:overflowPunct w:val="0"/>
        <w:ind w:left="284" w:right="1448"/>
        <w:rPr>
          <w:color w:val="231F20"/>
        </w:rPr>
      </w:pPr>
      <w:r>
        <w:rPr>
          <w:color w:val="231F20"/>
        </w:rPr>
        <w:t>“UK” or</w:t>
      </w:r>
      <w:r>
        <w:rPr>
          <w:color w:val="231F20"/>
          <w:spacing w:val="-4"/>
        </w:rPr>
        <w:t xml:space="preserve"> </w:t>
      </w:r>
      <w:r>
        <w:rPr>
          <w:color w:val="231F20"/>
        </w:rPr>
        <w:t>“United Kingdom”</w:t>
      </w:r>
      <w:r>
        <w:rPr>
          <w:color w:val="231F20"/>
        </w:rPr>
        <w:tab/>
        <w:t>the United Kingdom of Great Britain and Northern</w:t>
      </w:r>
      <w:r>
        <w:rPr>
          <w:color w:val="231F20"/>
          <w:spacing w:val="-7"/>
        </w:rPr>
        <w:t xml:space="preserve"> </w:t>
      </w:r>
      <w:proofErr w:type="gramStart"/>
      <w:r>
        <w:rPr>
          <w:color w:val="231F20"/>
        </w:rPr>
        <w:t>Ireland;</w:t>
      </w:r>
      <w:proofErr w:type="gramEnd"/>
    </w:p>
    <w:p w14:paraId="1CA6C6BD" w14:textId="77777777" w:rsidR="00240151" w:rsidRDefault="00240151" w:rsidP="00240151">
      <w:pPr>
        <w:pStyle w:val="BodyText"/>
        <w:kinsoku w:val="0"/>
        <w:overflowPunct w:val="0"/>
        <w:spacing w:before="1"/>
      </w:pPr>
    </w:p>
    <w:p w14:paraId="4522F51C" w14:textId="15A08BA3" w:rsidR="00240151" w:rsidRDefault="00240151" w:rsidP="00240151">
      <w:pPr>
        <w:pStyle w:val="BodyText"/>
        <w:tabs>
          <w:tab w:val="left" w:pos="4395"/>
        </w:tabs>
        <w:kinsoku w:val="0"/>
        <w:overflowPunct w:val="0"/>
        <w:ind w:left="4395" w:right="1488" w:hanging="4111"/>
        <w:jc w:val="both"/>
        <w:rPr>
          <w:color w:val="231F20"/>
        </w:rPr>
      </w:pPr>
      <w:r>
        <w:rPr>
          <w:color w:val="231F20"/>
        </w:rPr>
        <w:t>“UK</w:t>
      </w:r>
      <w:r>
        <w:rPr>
          <w:color w:val="231F20"/>
          <w:spacing w:val="-3"/>
        </w:rPr>
        <w:t xml:space="preserve"> </w:t>
      </w:r>
      <w:r>
        <w:rPr>
          <w:color w:val="231F20"/>
        </w:rPr>
        <w:t>Listing</w:t>
      </w:r>
      <w:r>
        <w:rPr>
          <w:color w:val="231F20"/>
          <w:spacing w:val="-2"/>
        </w:rPr>
        <w:t xml:space="preserve"> </w:t>
      </w:r>
      <w:r>
        <w:rPr>
          <w:color w:val="231F20"/>
        </w:rPr>
        <w:t>Authority”</w:t>
      </w:r>
      <w:r>
        <w:rPr>
          <w:color w:val="231F20"/>
        </w:rPr>
        <w:tab/>
        <w:t>the</w:t>
      </w:r>
      <w:r>
        <w:rPr>
          <w:color w:val="231F20"/>
          <w:spacing w:val="-3"/>
        </w:rPr>
        <w:t xml:space="preserve"> </w:t>
      </w:r>
      <w:r>
        <w:rPr>
          <w:color w:val="231F20"/>
        </w:rPr>
        <w:t>FCA</w:t>
      </w:r>
      <w:r>
        <w:rPr>
          <w:color w:val="231F20"/>
          <w:spacing w:val="-4"/>
        </w:rPr>
        <w:t xml:space="preserve"> </w:t>
      </w:r>
      <w:r>
        <w:rPr>
          <w:color w:val="231F20"/>
        </w:rPr>
        <w:t>acting</w:t>
      </w:r>
      <w:r>
        <w:rPr>
          <w:color w:val="231F20"/>
          <w:spacing w:val="-3"/>
        </w:rPr>
        <w:t xml:space="preserve"> </w:t>
      </w:r>
      <w:r>
        <w:rPr>
          <w:color w:val="231F20"/>
        </w:rPr>
        <w:t>in</w:t>
      </w:r>
      <w:r>
        <w:rPr>
          <w:color w:val="231F20"/>
          <w:spacing w:val="-6"/>
        </w:rPr>
        <w:t xml:space="preserve"> </w:t>
      </w:r>
      <w:r>
        <w:rPr>
          <w:color w:val="231F20"/>
        </w:rPr>
        <w:t>its</w:t>
      </w:r>
      <w:r>
        <w:rPr>
          <w:color w:val="231F20"/>
          <w:spacing w:val="-5"/>
        </w:rPr>
        <w:t xml:space="preserve"> </w:t>
      </w:r>
      <w:r>
        <w:rPr>
          <w:color w:val="231F20"/>
        </w:rPr>
        <w:t>capacity</w:t>
      </w:r>
      <w:r>
        <w:rPr>
          <w:color w:val="231F20"/>
          <w:spacing w:val="-6"/>
        </w:rPr>
        <w:t xml:space="preserve"> </w:t>
      </w:r>
      <w:r>
        <w:rPr>
          <w:color w:val="231F20"/>
        </w:rPr>
        <w:t>as</w:t>
      </w:r>
      <w:r>
        <w:rPr>
          <w:color w:val="231F20"/>
          <w:spacing w:val="-2"/>
        </w:rPr>
        <w:t xml:space="preserve"> </w:t>
      </w:r>
      <w:r>
        <w:rPr>
          <w:color w:val="231F20"/>
        </w:rPr>
        <w:t>the</w:t>
      </w:r>
      <w:r>
        <w:rPr>
          <w:color w:val="231F20"/>
          <w:spacing w:val="-4"/>
        </w:rPr>
        <w:t xml:space="preserve"> </w:t>
      </w:r>
      <w:r>
        <w:rPr>
          <w:color w:val="231F20"/>
        </w:rPr>
        <w:t>competent</w:t>
      </w:r>
      <w:r>
        <w:rPr>
          <w:color w:val="231F20"/>
          <w:spacing w:val="-5"/>
        </w:rPr>
        <w:t xml:space="preserve"> </w:t>
      </w:r>
      <w:r>
        <w:rPr>
          <w:color w:val="231F20"/>
        </w:rPr>
        <w:t>authority</w:t>
      </w:r>
      <w:r>
        <w:rPr>
          <w:color w:val="231F20"/>
          <w:spacing w:val="-6"/>
        </w:rPr>
        <w:t xml:space="preserve"> </w:t>
      </w:r>
      <w:r>
        <w:rPr>
          <w:color w:val="231F20"/>
        </w:rPr>
        <w:t>for</w:t>
      </w:r>
      <w:r>
        <w:rPr>
          <w:color w:val="231F20"/>
          <w:spacing w:val="-6"/>
        </w:rPr>
        <w:t xml:space="preserve"> </w:t>
      </w:r>
      <w:r>
        <w:rPr>
          <w:color w:val="231F20"/>
        </w:rPr>
        <w:t>the</w:t>
      </w:r>
      <w:r>
        <w:rPr>
          <w:color w:val="231F20"/>
          <w:spacing w:val="-4"/>
        </w:rPr>
        <w:t xml:space="preserve"> </w:t>
      </w:r>
      <w:r>
        <w:rPr>
          <w:color w:val="231F20"/>
        </w:rPr>
        <w:t>purposes</w:t>
      </w:r>
      <w:r>
        <w:rPr>
          <w:color w:val="231F20"/>
          <w:spacing w:val="-2"/>
        </w:rPr>
        <w:t xml:space="preserve"> </w:t>
      </w:r>
      <w:r>
        <w:rPr>
          <w:color w:val="231F20"/>
        </w:rPr>
        <w:t>of</w:t>
      </w:r>
      <w:r>
        <w:rPr>
          <w:color w:val="231F20"/>
          <w:spacing w:val="-4"/>
        </w:rPr>
        <w:t xml:space="preserve"> </w:t>
      </w:r>
      <w:r>
        <w:rPr>
          <w:color w:val="231F20"/>
        </w:rPr>
        <w:t xml:space="preserve">Part VI of the FSMA and in the exercise of its functions in respect of admission to the Official </w:t>
      </w:r>
      <w:proofErr w:type="gramStart"/>
      <w:r>
        <w:rPr>
          <w:color w:val="231F20"/>
        </w:rPr>
        <w:t>List;</w:t>
      </w:r>
      <w:proofErr w:type="gramEnd"/>
    </w:p>
    <w:p w14:paraId="4B19B81E" w14:textId="34B930D0" w:rsidR="00505CDD" w:rsidRDefault="00505CDD" w:rsidP="00240151">
      <w:pPr>
        <w:pStyle w:val="BodyText"/>
        <w:tabs>
          <w:tab w:val="left" w:pos="4395"/>
        </w:tabs>
        <w:kinsoku w:val="0"/>
        <w:overflowPunct w:val="0"/>
        <w:ind w:left="4395" w:right="1488" w:hanging="4111"/>
        <w:jc w:val="both"/>
        <w:rPr>
          <w:color w:val="231F20"/>
        </w:rPr>
      </w:pPr>
    </w:p>
    <w:p w14:paraId="5B3473EE" w14:textId="11CC7868" w:rsidR="00240151" w:rsidRDefault="00240151" w:rsidP="00505CDD">
      <w:pPr>
        <w:pStyle w:val="BodyText"/>
        <w:tabs>
          <w:tab w:val="left" w:pos="4395"/>
        </w:tabs>
        <w:kinsoku w:val="0"/>
        <w:overflowPunct w:val="0"/>
        <w:ind w:left="4395" w:right="1488" w:hanging="4111"/>
        <w:jc w:val="both"/>
        <w:rPr>
          <w:color w:val="231F20"/>
        </w:rPr>
      </w:pPr>
      <w:r>
        <w:rPr>
          <w:color w:val="231F20"/>
        </w:rPr>
        <w:t>“UK Prospectus Regulation”</w:t>
      </w:r>
      <w:r>
        <w:rPr>
          <w:color w:val="231F20"/>
        </w:rPr>
        <w:tab/>
        <w:t xml:space="preserve">the UK version of Regulation (EU) 2017/1129 which is part of UK law by </w:t>
      </w:r>
      <w:r w:rsidR="00595A97">
        <w:rPr>
          <w:color w:val="231F20"/>
        </w:rPr>
        <w:t>virtue</w:t>
      </w:r>
      <w:r>
        <w:rPr>
          <w:color w:val="231F20"/>
        </w:rPr>
        <w:t xml:space="preserve"> of the European (Withdrawal) Act 2018/</w:t>
      </w:r>
      <w:proofErr w:type="gramStart"/>
      <w:r>
        <w:rPr>
          <w:color w:val="231F20"/>
        </w:rPr>
        <w:t>EUWA;</w:t>
      </w:r>
      <w:proofErr w:type="gramEnd"/>
    </w:p>
    <w:p w14:paraId="5622A411" w14:textId="77777777" w:rsidR="00240151" w:rsidRDefault="00240151" w:rsidP="00240151">
      <w:pPr>
        <w:pStyle w:val="BodyText"/>
        <w:kinsoku w:val="0"/>
        <w:overflowPunct w:val="0"/>
      </w:pPr>
    </w:p>
    <w:p w14:paraId="09FD1332" w14:textId="77777777" w:rsidR="00240151" w:rsidRDefault="00240151" w:rsidP="00595A97">
      <w:pPr>
        <w:pStyle w:val="BodyText"/>
        <w:tabs>
          <w:tab w:val="left" w:pos="4395"/>
        </w:tabs>
        <w:kinsoku w:val="0"/>
        <w:overflowPunct w:val="0"/>
        <w:ind w:left="4395" w:right="1448" w:hanging="4111"/>
        <w:jc w:val="both"/>
        <w:rPr>
          <w:color w:val="231F20"/>
        </w:rPr>
      </w:pPr>
      <w:r>
        <w:rPr>
          <w:color w:val="231F20"/>
        </w:rPr>
        <w:t>“US” or</w:t>
      </w:r>
      <w:r>
        <w:rPr>
          <w:color w:val="231F20"/>
          <w:spacing w:val="-3"/>
        </w:rPr>
        <w:t xml:space="preserve"> </w:t>
      </w:r>
      <w:r>
        <w:rPr>
          <w:color w:val="231F20"/>
        </w:rPr>
        <w:t>“United States”</w:t>
      </w:r>
      <w:r>
        <w:rPr>
          <w:color w:val="231F20"/>
        </w:rPr>
        <w:tab/>
        <w:t>the United States of America, its territories and</w:t>
      </w:r>
      <w:r>
        <w:rPr>
          <w:color w:val="231F20"/>
          <w:spacing w:val="-4"/>
        </w:rPr>
        <w:t xml:space="preserve"> </w:t>
      </w:r>
      <w:proofErr w:type="gramStart"/>
      <w:r>
        <w:rPr>
          <w:color w:val="231F20"/>
        </w:rPr>
        <w:t>possessions;</w:t>
      </w:r>
      <w:proofErr w:type="gramEnd"/>
    </w:p>
    <w:p w14:paraId="4CD611AC" w14:textId="77777777" w:rsidR="00240151" w:rsidRDefault="00240151" w:rsidP="00240151">
      <w:pPr>
        <w:pStyle w:val="BodyText"/>
        <w:tabs>
          <w:tab w:val="left" w:pos="4395"/>
        </w:tabs>
        <w:kinsoku w:val="0"/>
        <w:overflowPunct w:val="0"/>
        <w:ind w:left="284"/>
        <w:rPr>
          <w:color w:val="231F20"/>
        </w:rPr>
      </w:pPr>
    </w:p>
    <w:p w14:paraId="4B70C947" w14:textId="77777777" w:rsidR="00240151" w:rsidRDefault="00240151" w:rsidP="00240151">
      <w:pPr>
        <w:pStyle w:val="BodyText"/>
        <w:tabs>
          <w:tab w:val="left" w:pos="4395"/>
        </w:tabs>
        <w:kinsoku w:val="0"/>
        <w:overflowPunct w:val="0"/>
        <w:ind w:left="4395" w:right="1448" w:hanging="4111"/>
        <w:rPr>
          <w:color w:val="231F20"/>
        </w:rPr>
      </w:pPr>
      <w:r>
        <w:rPr>
          <w:color w:val="231F20"/>
        </w:rPr>
        <w:t>“US Investment Company Act”</w:t>
      </w:r>
      <w:r>
        <w:rPr>
          <w:color w:val="231F20"/>
        </w:rPr>
        <w:tab/>
        <w:t xml:space="preserve">the United States Investment Company Act of 1940, as amended, and related </w:t>
      </w:r>
      <w:proofErr w:type="gramStart"/>
      <w:r>
        <w:rPr>
          <w:color w:val="231F20"/>
        </w:rPr>
        <w:t>rules;</w:t>
      </w:r>
      <w:proofErr w:type="gramEnd"/>
    </w:p>
    <w:p w14:paraId="40E681CF" w14:textId="77777777" w:rsidR="00240151" w:rsidRDefault="00240151" w:rsidP="00240151">
      <w:pPr>
        <w:pStyle w:val="BodyText"/>
        <w:tabs>
          <w:tab w:val="left" w:pos="4395"/>
        </w:tabs>
        <w:kinsoku w:val="0"/>
        <w:overflowPunct w:val="0"/>
        <w:ind w:left="284"/>
        <w:rPr>
          <w:color w:val="231F20"/>
        </w:rPr>
      </w:pPr>
    </w:p>
    <w:p w14:paraId="660EB3F2" w14:textId="77777777" w:rsidR="00240151" w:rsidRDefault="00240151" w:rsidP="00240151">
      <w:pPr>
        <w:pStyle w:val="BodyText"/>
        <w:tabs>
          <w:tab w:val="left" w:pos="4395"/>
        </w:tabs>
        <w:kinsoku w:val="0"/>
        <w:overflowPunct w:val="0"/>
        <w:ind w:left="4395" w:right="1448" w:hanging="4111"/>
        <w:rPr>
          <w:color w:val="231F20"/>
        </w:rPr>
      </w:pPr>
      <w:r>
        <w:rPr>
          <w:color w:val="231F20"/>
        </w:rPr>
        <w:t>“US</w:t>
      </w:r>
      <w:r>
        <w:rPr>
          <w:color w:val="231F20"/>
          <w:spacing w:val="-1"/>
        </w:rPr>
        <w:t xml:space="preserve"> </w:t>
      </w:r>
      <w:r>
        <w:rPr>
          <w:color w:val="231F20"/>
        </w:rPr>
        <w:t>Securities Act”</w:t>
      </w:r>
      <w:r>
        <w:rPr>
          <w:color w:val="231F20"/>
        </w:rPr>
        <w:tab/>
        <w:t>the United States Securities Act of 1933, as amended; “VAT”</w:t>
      </w:r>
      <w:r>
        <w:rPr>
          <w:color w:val="231F20"/>
        </w:rPr>
        <w:tab/>
        <w:t>UK value added</w:t>
      </w:r>
      <w:r>
        <w:rPr>
          <w:color w:val="231F20"/>
          <w:spacing w:val="-2"/>
        </w:rPr>
        <w:t xml:space="preserve"> </w:t>
      </w:r>
      <w:proofErr w:type="gramStart"/>
      <w:r>
        <w:rPr>
          <w:color w:val="231F20"/>
        </w:rPr>
        <w:t>tax;</w:t>
      </w:r>
      <w:proofErr w:type="gramEnd"/>
    </w:p>
    <w:p w14:paraId="5D1A2B45" w14:textId="77777777" w:rsidR="00240151" w:rsidRDefault="00240151" w:rsidP="00240151">
      <w:pPr>
        <w:pStyle w:val="BodyText"/>
        <w:tabs>
          <w:tab w:val="left" w:pos="2632"/>
        </w:tabs>
        <w:kinsoku w:val="0"/>
        <w:overflowPunct w:val="0"/>
        <w:ind w:left="2632" w:right="1487" w:hanging="2405"/>
        <w:jc w:val="both"/>
        <w:rPr>
          <w:color w:val="231F20"/>
        </w:rPr>
      </w:pPr>
    </w:p>
    <w:p w14:paraId="4FFAE688" w14:textId="77777777" w:rsidR="00240151" w:rsidRDefault="00240151" w:rsidP="00240151">
      <w:pPr>
        <w:pStyle w:val="BodyText"/>
        <w:tabs>
          <w:tab w:val="left" w:pos="4395"/>
        </w:tabs>
        <w:kinsoku w:val="0"/>
        <w:overflowPunct w:val="0"/>
        <w:ind w:left="4395" w:right="1487" w:hanging="4111"/>
        <w:jc w:val="both"/>
        <w:rPr>
          <w:color w:val="231F20"/>
        </w:rPr>
      </w:pPr>
      <w:r>
        <w:rPr>
          <w:color w:val="231F20"/>
        </w:rPr>
        <w:t>“VMS</w:t>
      </w:r>
      <w:r>
        <w:rPr>
          <w:color w:val="231F20"/>
          <w:spacing w:val="-2"/>
        </w:rPr>
        <w:t xml:space="preserve"> </w:t>
      </w:r>
      <w:r>
        <w:rPr>
          <w:color w:val="231F20"/>
        </w:rPr>
        <w:t>Deposits”</w:t>
      </w:r>
      <w:r>
        <w:rPr>
          <w:color w:val="231F20"/>
        </w:rPr>
        <w:tab/>
        <w:t>volcanogenic massive sulphide deposits a type of metal sulphide ore deposits which</w:t>
      </w:r>
      <w:r>
        <w:rPr>
          <w:color w:val="231F20"/>
          <w:spacing w:val="-3"/>
        </w:rPr>
        <w:t xml:space="preserve"> </w:t>
      </w:r>
      <w:r>
        <w:rPr>
          <w:color w:val="231F20"/>
        </w:rPr>
        <w:t>are</w:t>
      </w:r>
      <w:r>
        <w:rPr>
          <w:color w:val="231F20"/>
          <w:spacing w:val="-5"/>
        </w:rPr>
        <w:t xml:space="preserve"> </w:t>
      </w:r>
      <w:r>
        <w:rPr>
          <w:color w:val="231F20"/>
        </w:rPr>
        <w:t>created</w:t>
      </w:r>
      <w:r>
        <w:rPr>
          <w:color w:val="231F20"/>
          <w:spacing w:val="-5"/>
        </w:rPr>
        <w:t xml:space="preserve"> </w:t>
      </w:r>
      <w:r>
        <w:rPr>
          <w:color w:val="231F20"/>
        </w:rPr>
        <w:t>by</w:t>
      </w:r>
      <w:r>
        <w:rPr>
          <w:color w:val="231F20"/>
          <w:spacing w:val="-4"/>
        </w:rPr>
        <w:t xml:space="preserve"> </w:t>
      </w:r>
      <w:r>
        <w:rPr>
          <w:color w:val="231F20"/>
        </w:rPr>
        <w:t>volcanic-associated</w:t>
      </w:r>
      <w:r>
        <w:rPr>
          <w:color w:val="231F20"/>
          <w:spacing w:val="-5"/>
        </w:rPr>
        <w:t xml:space="preserve"> </w:t>
      </w:r>
      <w:r>
        <w:rPr>
          <w:color w:val="231F20"/>
        </w:rPr>
        <w:t>hydrothermal</w:t>
      </w:r>
      <w:r>
        <w:rPr>
          <w:color w:val="231F20"/>
          <w:spacing w:val="-5"/>
        </w:rPr>
        <w:t xml:space="preserve"> </w:t>
      </w:r>
      <w:r>
        <w:rPr>
          <w:color w:val="231F20"/>
        </w:rPr>
        <w:t>events,</w:t>
      </w:r>
      <w:r>
        <w:rPr>
          <w:color w:val="231F20"/>
          <w:spacing w:val="-3"/>
        </w:rPr>
        <w:t xml:space="preserve"> </w:t>
      </w:r>
      <w:r>
        <w:rPr>
          <w:color w:val="231F20"/>
        </w:rPr>
        <w:t>are</w:t>
      </w:r>
      <w:r>
        <w:rPr>
          <w:color w:val="231F20"/>
          <w:spacing w:val="-5"/>
        </w:rPr>
        <w:t xml:space="preserve"> </w:t>
      </w:r>
      <w:r>
        <w:rPr>
          <w:color w:val="231F20"/>
        </w:rPr>
        <w:t>composed</w:t>
      </w:r>
      <w:r>
        <w:rPr>
          <w:color w:val="231F20"/>
          <w:spacing w:val="-5"/>
        </w:rPr>
        <w:t xml:space="preserve"> </w:t>
      </w:r>
      <w:r>
        <w:rPr>
          <w:color w:val="231F20"/>
        </w:rPr>
        <w:t>of more</w:t>
      </w:r>
      <w:r>
        <w:rPr>
          <w:color w:val="231F20"/>
          <w:spacing w:val="-11"/>
        </w:rPr>
        <w:t xml:space="preserve"> </w:t>
      </w:r>
      <w:r>
        <w:rPr>
          <w:color w:val="231F20"/>
        </w:rPr>
        <w:t>than</w:t>
      </w:r>
      <w:r>
        <w:rPr>
          <w:color w:val="231F20"/>
          <w:spacing w:val="-9"/>
        </w:rPr>
        <w:t xml:space="preserve"> </w:t>
      </w:r>
      <w:r>
        <w:rPr>
          <w:color w:val="231F20"/>
        </w:rPr>
        <w:t>50%</w:t>
      </w:r>
      <w:r>
        <w:rPr>
          <w:color w:val="231F20"/>
          <w:spacing w:val="-11"/>
        </w:rPr>
        <w:t xml:space="preserve"> </w:t>
      </w:r>
      <w:r>
        <w:rPr>
          <w:color w:val="231F20"/>
        </w:rPr>
        <w:t>metal</w:t>
      </w:r>
      <w:r>
        <w:rPr>
          <w:color w:val="231F20"/>
          <w:spacing w:val="-10"/>
        </w:rPr>
        <w:t xml:space="preserve"> </w:t>
      </w:r>
      <w:r>
        <w:rPr>
          <w:color w:val="231F20"/>
        </w:rPr>
        <w:t>sulphides</w:t>
      </w:r>
      <w:r>
        <w:rPr>
          <w:color w:val="231F20"/>
          <w:spacing w:val="-8"/>
        </w:rPr>
        <w:t xml:space="preserve"> </w:t>
      </w:r>
      <w:r>
        <w:rPr>
          <w:color w:val="231F20"/>
        </w:rPr>
        <w:t>and</w:t>
      </w:r>
      <w:r>
        <w:rPr>
          <w:color w:val="231F20"/>
          <w:spacing w:val="-9"/>
        </w:rPr>
        <w:t xml:space="preserve"> </w:t>
      </w:r>
      <w:r>
        <w:rPr>
          <w:color w:val="231F20"/>
        </w:rPr>
        <w:t>are</w:t>
      </w:r>
      <w:r>
        <w:rPr>
          <w:color w:val="231F20"/>
          <w:spacing w:val="-9"/>
        </w:rPr>
        <w:t xml:space="preserve"> </w:t>
      </w:r>
      <w:r>
        <w:rPr>
          <w:color w:val="231F20"/>
        </w:rPr>
        <w:t>often</w:t>
      </w:r>
      <w:r>
        <w:rPr>
          <w:color w:val="231F20"/>
          <w:spacing w:val="-10"/>
        </w:rPr>
        <w:t xml:space="preserve"> </w:t>
      </w:r>
      <w:r>
        <w:rPr>
          <w:color w:val="231F20"/>
        </w:rPr>
        <w:t>rich</w:t>
      </w:r>
      <w:r>
        <w:rPr>
          <w:color w:val="231F20"/>
          <w:spacing w:val="-11"/>
        </w:rPr>
        <w:t xml:space="preserve"> </w:t>
      </w:r>
      <w:r>
        <w:rPr>
          <w:color w:val="231F20"/>
        </w:rPr>
        <w:t>in</w:t>
      </w:r>
      <w:r>
        <w:rPr>
          <w:color w:val="231F20"/>
          <w:spacing w:val="-11"/>
        </w:rPr>
        <w:t xml:space="preserve"> </w:t>
      </w:r>
      <w:r>
        <w:rPr>
          <w:color w:val="231F20"/>
        </w:rPr>
        <w:t>metals</w:t>
      </w:r>
      <w:r>
        <w:rPr>
          <w:color w:val="231F20"/>
          <w:spacing w:val="-9"/>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copper,</w:t>
      </w:r>
      <w:r>
        <w:rPr>
          <w:color w:val="231F20"/>
          <w:spacing w:val="-10"/>
        </w:rPr>
        <w:t xml:space="preserve"> </w:t>
      </w:r>
      <w:r>
        <w:rPr>
          <w:color w:val="231F20"/>
        </w:rPr>
        <w:t>lead, zinc and gold;</w:t>
      </w:r>
      <w:r>
        <w:rPr>
          <w:color w:val="231F20"/>
          <w:spacing w:val="-1"/>
        </w:rPr>
        <w:t xml:space="preserve"> </w:t>
      </w:r>
      <w:r>
        <w:rPr>
          <w:color w:val="231F20"/>
        </w:rPr>
        <w:t>and</w:t>
      </w:r>
    </w:p>
    <w:p w14:paraId="676AE1E5" w14:textId="77777777" w:rsidR="00240151" w:rsidRDefault="00240151" w:rsidP="00240151">
      <w:pPr>
        <w:pStyle w:val="BodyText"/>
        <w:kinsoku w:val="0"/>
        <w:overflowPunct w:val="0"/>
        <w:spacing w:before="9"/>
        <w:rPr>
          <w:sz w:val="17"/>
          <w:szCs w:val="17"/>
        </w:rPr>
      </w:pPr>
    </w:p>
    <w:p w14:paraId="2F9C8546" w14:textId="77777777" w:rsidR="00240151" w:rsidRDefault="00240151" w:rsidP="00240151">
      <w:pPr>
        <w:pStyle w:val="BodyText"/>
        <w:tabs>
          <w:tab w:val="left" w:pos="426"/>
          <w:tab w:val="left" w:pos="4395"/>
        </w:tabs>
        <w:kinsoku w:val="0"/>
        <w:overflowPunct w:val="0"/>
        <w:ind w:left="4395" w:right="1489" w:hanging="4111"/>
        <w:jc w:val="both"/>
        <w:rPr>
          <w:color w:val="231F20"/>
        </w:rPr>
      </w:pPr>
      <w:r>
        <w:rPr>
          <w:color w:val="231F20"/>
        </w:rPr>
        <w:t>“Warrants”</w:t>
      </w:r>
      <w:r>
        <w:rPr>
          <w:color w:val="231F20"/>
        </w:rPr>
        <w:tab/>
        <w:t>means a warrant to subscribe for Ordinary Shares in the capital of the</w:t>
      </w:r>
      <w:r>
        <w:rPr>
          <w:color w:val="231F20"/>
          <w:spacing w:val="-33"/>
        </w:rPr>
        <w:t xml:space="preserve"> </w:t>
      </w:r>
      <w:r>
        <w:rPr>
          <w:color w:val="231F20"/>
        </w:rPr>
        <w:t>Company</w:t>
      </w:r>
    </w:p>
    <w:p w14:paraId="5CC2D651" w14:textId="77777777" w:rsidR="00EB2F25" w:rsidRDefault="00EB2F25" w:rsidP="00240151">
      <w:pPr>
        <w:pStyle w:val="BodyText"/>
        <w:tabs>
          <w:tab w:val="left" w:pos="426"/>
          <w:tab w:val="left" w:pos="4395"/>
        </w:tabs>
        <w:kinsoku w:val="0"/>
        <w:overflowPunct w:val="0"/>
        <w:ind w:left="4395" w:right="1489" w:hanging="4111"/>
        <w:jc w:val="both"/>
        <w:rPr>
          <w:color w:val="231F20"/>
        </w:rPr>
      </w:pPr>
    </w:p>
    <w:p w14:paraId="014BFEE3" w14:textId="77777777" w:rsidR="00EB2F25" w:rsidRDefault="00EB2F25" w:rsidP="00240151">
      <w:pPr>
        <w:pStyle w:val="BodyText"/>
        <w:tabs>
          <w:tab w:val="left" w:pos="426"/>
          <w:tab w:val="left" w:pos="4395"/>
        </w:tabs>
        <w:kinsoku w:val="0"/>
        <w:overflowPunct w:val="0"/>
        <w:ind w:left="4395" w:right="1489" w:hanging="4111"/>
        <w:jc w:val="both"/>
        <w:rPr>
          <w:color w:val="231F20"/>
        </w:rPr>
      </w:pPr>
    </w:p>
    <w:p w14:paraId="095ED0EE" w14:textId="77777777" w:rsidR="00EB2F25" w:rsidRDefault="00EB2F25" w:rsidP="00240151">
      <w:pPr>
        <w:pStyle w:val="BodyText"/>
        <w:tabs>
          <w:tab w:val="left" w:pos="426"/>
          <w:tab w:val="left" w:pos="4395"/>
        </w:tabs>
        <w:kinsoku w:val="0"/>
        <w:overflowPunct w:val="0"/>
        <w:ind w:left="4395" w:right="1489" w:hanging="4111"/>
        <w:jc w:val="both"/>
        <w:rPr>
          <w:color w:val="231F20"/>
        </w:rPr>
      </w:pPr>
    </w:p>
    <w:p w14:paraId="19D08D68" w14:textId="77777777" w:rsidR="00EB2F25" w:rsidRDefault="00EB2F25" w:rsidP="00240151">
      <w:pPr>
        <w:pStyle w:val="BodyText"/>
        <w:tabs>
          <w:tab w:val="left" w:pos="426"/>
          <w:tab w:val="left" w:pos="4395"/>
        </w:tabs>
        <w:kinsoku w:val="0"/>
        <w:overflowPunct w:val="0"/>
        <w:ind w:left="4395" w:right="1489" w:hanging="4111"/>
        <w:jc w:val="both"/>
        <w:rPr>
          <w:color w:val="231F20"/>
        </w:rPr>
      </w:pPr>
    </w:p>
    <w:p w14:paraId="744E0B00"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7F1F77A2"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550095D4"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74635727"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5E971CC2"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6CF9F295"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5B1F36E6"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62B75B98" w14:textId="77777777" w:rsidR="009715D1" w:rsidRDefault="009715D1" w:rsidP="00240151">
      <w:pPr>
        <w:pStyle w:val="BodyText"/>
        <w:tabs>
          <w:tab w:val="left" w:pos="426"/>
          <w:tab w:val="left" w:pos="4395"/>
        </w:tabs>
        <w:kinsoku w:val="0"/>
        <w:overflowPunct w:val="0"/>
        <w:ind w:left="4395" w:right="1489" w:hanging="4111"/>
        <w:jc w:val="both"/>
        <w:rPr>
          <w:color w:val="231F20"/>
        </w:rPr>
      </w:pPr>
    </w:p>
    <w:p w14:paraId="0A68FD04" w14:textId="5789F636" w:rsidR="009715D1" w:rsidRDefault="009715D1" w:rsidP="00240151">
      <w:pPr>
        <w:pStyle w:val="BodyText"/>
        <w:tabs>
          <w:tab w:val="left" w:pos="426"/>
          <w:tab w:val="left" w:pos="4395"/>
        </w:tabs>
        <w:kinsoku w:val="0"/>
        <w:overflowPunct w:val="0"/>
        <w:ind w:left="4395" w:right="1489" w:hanging="4111"/>
        <w:jc w:val="both"/>
        <w:rPr>
          <w:color w:val="231F20"/>
        </w:rPr>
        <w:sectPr w:rsidR="009715D1" w:rsidSect="00A976DD">
          <w:type w:val="continuous"/>
          <w:pgSz w:w="11900" w:h="16840"/>
          <w:pgMar w:top="1360" w:right="240" w:bottom="280" w:left="1140" w:header="720" w:footer="720" w:gutter="0"/>
          <w:cols w:space="720" w:equalWidth="0">
            <w:col w:w="10520"/>
          </w:cols>
          <w:noEndnote/>
        </w:sectPr>
      </w:pPr>
    </w:p>
    <w:p w14:paraId="52A4940B" w14:textId="547A55B5" w:rsidR="0056138B" w:rsidRDefault="0056138B" w:rsidP="0056138B">
      <w:pPr>
        <w:pStyle w:val="Heading1"/>
        <w:kinsoku w:val="0"/>
        <w:overflowPunct w:val="0"/>
        <w:spacing w:before="73"/>
        <w:ind w:left="352" w:right="1273"/>
        <w:jc w:val="center"/>
        <w:rPr>
          <w:color w:val="231F20"/>
        </w:rPr>
      </w:pPr>
      <w:r>
        <w:rPr>
          <w:color w:val="231F20"/>
        </w:rPr>
        <w:t>ANNEX I</w:t>
      </w:r>
    </w:p>
    <w:p w14:paraId="0ED058D2" w14:textId="2680DF77" w:rsidR="0056138B" w:rsidRDefault="0056138B" w:rsidP="0056138B">
      <w:pPr>
        <w:pStyle w:val="BodyText"/>
        <w:kinsoku w:val="0"/>
        <w:overflowPunct w:val="0"/>
        <w:rPr>
          <w:b/>
          <w:bCs/>
          <w:sz w:val="20"/>
          <w:szCs w:val="20"/>
        </w:rPr>
      </w:pPr>
    </w:p>
    <w:p w14:paraId="3909AF26" w14:textId="77777777" w:rsidR="00EB2F25" w:rsidRDefault="00EB2F25" w:rsidP="0056138B">
      <w:pPr>
        <w:pStyle w:val="BodyText"/>
        <w:kinsoku w:val="0"/>
        <w:overflowPunct w:val="0"/>
        <w:rPr>
          <w:b/>
          <w:bCs/>
          <w:sz w:val="20"/>
          <w:szCs w:val="20"/>
        </w:rPr>
      </w:pPr>
    </w:p>
    <w:p w14:paraId="69EC1633" w14:textId="1AFB6353" w:rsidR="0056138B" w:rsidRDefault="0056138B" w:rsidP="0056138B">
      <w:pPr>
        <w:pStyle w:val="BodyText"/>
        <w:kinsoku w:val="0"/>
        <w:overflowPunct w:val="0"/>
        <w:spacing w:before="153"/>
        <w:ind w:left="352" w:right="1273"/>
        <w:jc w:val="center"/>
        <w:rPr>
          <w:b/>
          <w:bCs/>
          <w:color w:val="231F20"/>
        </w:rPr>
      </w:pPr>
      <w:r>
        <w:rPr>
          <w:b/>
          <w:bCs/>
          <w:color w:val="231F20"/>
        </w:rPr>
        <w:t>COMPETENT PERSON’S REPORT</w:t>
      </w:r>
    </w:p>
    <w:p w14:paraId="7F3941F7" w14:textId="2F41B83A" w:rsidR="0056138B" w:rsidRDefault="0056138B" w:rsidP="00D56AD8"/>
    <w:p w14:paraId="07455307" w14:textId="23152BD1" w:rsidR="00153266" w:rsidRDefault="00153266" w:rsidP="00D56AD8"/>
    <w:p w14:paraId="7E3EB5B5" w14:textId="77777777" w:rsidR="00153266" w:rsidRDefault="00153266">
      <w:pPr>
        <w:widowControl/>
        <w:autoSpaceDE/>
        <w:autoSpaceDN/>
        <w:adjustRightInd/>
        <w:spacing w:after="160" w:line="259" w:lineRule="auto"/>
      </w:pPr>
      <w:r>
        <w:br w:type="page"/>
      </w:r>
    </w:p>
    <w:p w14:paraId="0C9B2853" w14:textId="77777777" w:rsidR="00153266" w:rsidRPr="00153266" w:rsidRDefault="00153266" w:rsidP="00153266">
      <w:pPr>
        <w:widowControl/>
        <w:autoSpaceDE/>
        <w:autoSpaceDN/>
        <w:adjustRightInd/>
        <w:jc w:val="both"/>
        <w:rPr>
          <w:rFonts w:ascii="Times New Roman" w:eastAsiaTheme="minorHAnsi" w:hAnsi="Times New Roman" w:cstheme="minorBidi"/>
          <w:b/>
          <w:color w:val="0F3063"/>
          <w:sz w:val="32"/>
          <w:szCs w:val="32"/>
          <w:lang w:val="en-US" w:eastAsia="en-US"/>
        </w:rPr>
      </w:pPr>
      <w:bookmarkStart w:id="22" w:name="_Hlk70370852"/>
      <w:bookmarkStart w:id="23" w:name="_Toc525894941"/>
      <w:bookmarkEnd w:id="22"/>
    </w:p>
    <w:p w14:paraId="3766B7EB" w14:textId="77777777" w:rsidR="00153266" w:rsidRPr="00153266" w:rsidRDefault="00153266" w:rsidP="00153266">
      <w:pPr>
        <w:widowControl/>
        <w:autoSpaceDE/>
        <w:autoSpaceDN/>
        <w:adjustRightInd/>
        <w:jc w:val="both"/>
        <w:rPr>
          <w:rFonts w:ascii="Times New Roman" w:eastAsiaTheme="minorHAnsi" w:hAnsi="Times New Roman" w:cstheme="minorBidi"/>
          <w:b/>
          <w:color w:val="0F3063"/>
          <w:sz w:val="32"/>
          <w:szCs w:val="32"/>
          <w:lang w:val="en-US" w:eastAsia="en-US"/>
        </w:rPr>
      </w:pPr>
    </w:p>
    <w:p w14:paraId="7AAA7BF3" w14:textId="77777777" w:rsidR="00153266" w:rsidRPr="00153266" w:rsidRDefault="00153266" w:rsidP="00153266">
      <w:pPr>
        <w:widowControl/>
        <w:autoSpaceDE/>
        <w:autoSpaceDN/>
        <w:adjustRightInd/>
        <w:jc w:val="both"/>
        <w:rPr>
          <w:rFonts w:ascii="Times New Roman" w:eastAsiaTheme="minorHAnsi" w:hAnsi="Times New Roman" w:cstheme="minorBidi"/>
          <w:b/>
          <w:sz w:val="32"/>
          <w:szCs w:val="32"/>
          <w:lang w:val="en-US" w:eastAsia="en-US"/>
        </w:rPr>
      </w:pPr>
    </w:p>
    <w:p w14:paraId="79620159" w14:textId="77777777" w:rsidR="00153266" w:rsidRPr="00153266" w:rsidRDefault="00153266" w:rsidP="00153266">
      <w:pPr>
        <w:widowControl/>
        <w:autoSpaceDE/>
        <w:autoSpaceDN/>
        <w:adjustRightInd/>
        <w:jc w:val="both"/>
        <w:rPr>
          <w:rFonts w:asciiTheme="minorHAnsi" w:eastAsiaTheme="minorHAnsi" w:hAnsiTheme="minorHAnsi" w:cstheme="minorHAnsi"/>
          <w:b/>
          <w:sz w:val="32"/>
          <w:szCs w:val="32"/>
          <w:lang w:val="en-US" w:eastAsia="en-US"/>
        </w:rPr>
      </w:pPr>
    </w:p>
    <w:p w14:paraId="3FDABF13" w14:textId="77777777" w:rsidR="00153266" w:rsidRPr="00153266" w:rsidRDefault="00153266" w:rsidP="00153266">
      <w:pPr>
        <w:widowControl/>
        <w:autoSpaceDE/>
        <w:autoSpaceDN/>
        <w:adjustRightInd/>
        <w:jc w:val="center"/>
        <w:rPr>
          <w:rFonts w:asciiTheme="minorHAnsi" w:eastAsiaTheme="minorHAnsi" w:hAnsiTheme="minorHAnsi" w:cstheme="minorHAnsi"/>
          <w:b/>
          <w:sz w:val="36"/>
          <w:szCs w:val="36"/>
          <w:lang w:val="en-US" w:eastAsia="en-US"/>
        </w:rPr>
      </w:pPr>
      <w:r w:rsidRPr="00153266">
        <w:rPr>
          <w:rFonts w:asciiTheme="minorHAnsi" w:eastAsiaTheme="minorHAnsi" w:hAnsiTheme="minorHAnsi" w:cstheme="minorHAnsi"/>
          <w:b/>
          <w:sz w:val="36"/>
          <w:szCs w:val="36"/>
          <w:lang w:val="en-US" w:eastAsia="en-US"/>
        </w:rPr>
        <w:t>COMPETENT PERSON’S REPORT</w:t>
      </w:r>
    </w:p>
    <w:p w14:paraId="45E10C9A" w14:textId="77777777" w:rsidR="00153266" w:rsidRPr="00153266" w:rsidRDefault="00153266" w:rsidP="00153266">
      <w:pPr>
        <w:widowControl/>
        <w:autoSpaceDE/>
        <w:autoSpaceDN/>
        <w:adjustRightInd/>
        <w:jc w:val="center"/>
        <w:rPr>
          <w:rFonts w:asciiTheme="minorHAnsi" w:eastAsiaTheme="minorHAnsi" w:hAnsiTheme="minorHAnsi" w:cstheme="minorHAnsi"/>
          <w:b/>
          <w:sz w:val="32"/>
          <w:szCs w:val="32"/>
          <w:lang w:val="en-US" w:eastAsia="en-US"/>
        </w:rPr>
      </w:pPr>
    </w:p>
    <w:p w14:paraId="65AD3B79" w14:textId="77777777" w:rsidR="00153266" w:rsidRPr="00153266" w:rsidRDefault="00153266" w:rsidP="00153266">
      <w:pPr>
        <w:widowControl/>
        <w:autoSpaceDE/>
        <w:autoSpaceDN/>
        <w:adjustRightInd/>
        <w:jc w:val="center"/>
        <w:rPr>
          <w:rFonts w:asciiTheme="minorHAnsi" w:eastAsiaTheme="minorHAnsi" w:hAnsiTheme="minorHAnsi" w:cstheme="minorHAnsi"/>
          <w:b/>
          <w:sz w:val="36"/>
          <w:szCs w:val="36"/>
          <w:lang w:val="en-US" w:eastAsia="en-US"/>
        </w:rPr>
      </w:pPr>
      <w:r w:rsidRPr="00153266">
        <w:rPr>
          <w:rFonts w:asciiTheme="minorHAnsi" w:eastAsiaTheme="minorHAnsi" w:hAnsiTheme="minorHAnsi" w:cstheme="minorHAnsi"/>
          <w:b/>
          <w:sz w:val="36"/>
          <w:szCs w:val="36"/>
          <w:lang w:val="en-US" w:eastAsia="en-US"/>
        </w:rPr>
        <w:t>ADELINE COPPER PROJECT</w:t>
      </w:r>
    </w:p>
    <w:p w14:paraId="41CF6E65" w14:textId="77777777" w:rsidR="00153266" w:rsidRPr="00153266" w:rsidRDefault="00153266" w:rsidP="00153266">
      <w:pPr>
        <w:widowControl/>
        <w:autoSpaceDE/>
        <w:autoSpaceDN/>
        <w:adjustRightInd/>
        <w:jc w:val="center"/>
        <w:rPr>
          <w:rFonts w:asciiTheme="minorHAnsi" w:eastAsiaTheme="minorHAnsi" w:hAnsiTheme="minorHAnsi" w:cstheme="minorHAnsi"/>
          <w:b/>
          <w:sz w:val="28"/>
          <w:szCs w:val="28"/>
          <w:lang w:val="en-US" w:eastAsia="en-US"/>
        </w:rPr>
      </w:pPr>
      <w:r w:rsidRPr="00153266">
        <w:rPr>
          <w:rFonts w:asciiTheme="minorHAnsi" w:eastAsiaTheme="minorHAnsi" w:hAnsiTheme="minorHAnsi" w:cstheme="minorHAnsi"/>
          <w:b/>
          <w:sz w:val="28"/>
          <w:szCs w:val="28"/>
          <w:lang w:val="en-US" w:eastAsia="en-US"/>
        </w:rPr>
        <w:t>NEWFOUNDLAND AND LABRADOR, CANADA</w:t>
      </w:r>
    </w:p>
    <w:bookmarkEnd w:id="23"/>
    <w:p w14:paraId="4DCADF93" w14:textId="77777777" w:rsidR="00153266" w:rsidRPr="00153266" w:rsidRDefault="00153266" w:rsidP="00153266">
      <w:pPr>
        <w:widowControl/>
        <w:autoSpaceDE/>
        <w:autoSpaceDN/>
        <w:adjustRightInd/>
        <w:jc w:val="center"/>
        <w:rPr>
          <w:rFonts w:asciiTheme="minorHAnsi" w:eastAsiaTheme="minorHAnsi" w:hAnsiTheme="minorHAnsi" w:cstheme="minorHAnsi"/>
          <w:b/>
          <w:sz w:val="32"/>
          <w:szCs w:val="32"/>
          <w:lang w:val="en-US" w:eastAsia="en-US"/>
        </w:rPr>
      </w:pPr>
    </w:p>
    <w:p w14:paraId="7AEFDDCB" w14:textId="77777777" w:rsidR="00153266" w:rsidRPr="00153266" w:rsidRDefault="00153266" w:rsidP="00153266">
      <w:pPr>
        <w:widowControl/>
        <w:autoSpaceDE/>
        <w:autoSpaceDN/>
        <w:adjustRightInd/>
        <w:jc w:val="center"/>
        <w:rPr>
          <w:rFonts w:asciiTheme="minorHAnsi" w:eastAsiaTheme="minorHAnsi" w:hAnsiTheme="minorHAnsi" w:cstheme="minorHAnsi"/>
          <w:sz w:val="32"/>
          <w:szCs w:val="32"/>
          <w:lang w:val="en-US" w:eastAsia="en-US"/>
        </w:rPr>
      </w:pPr>
    </w:p>
    <w:p w14:paraId="5F1CBB51" w14:textId="77777777" w:rsidR="00153266" w:rsidRPr="00153266" w:rsidRDefault="00153266" w:rsidP="00153266">
      <w:pPr>
        <w:widowControl/>
        <w:autoSpaceDE/>
        <w:autoSpaceDN/>
        <w:adjustRightInd/>
        <w:jc w:val="center"/>
        <w:rPr>
          <w:rFonts w:asciiTheme="minorHAnsi" w:eastAsiaTheme="minorHAnsi" w:hAnsiTheme="minorHAnsi" w:cstheme="minorHAnsi"/>
          <w:sz w:val="32"/>
          <w:szCs w:val="32"/>
          <w:lang w:val="en-US" w:eastAsia="en-US"/>
        </w:rPr>
      </w:pPr>
    </w:p>
    <w:p w14:paraId="6C4AF4F4" w14:textId="77777777" w:rsidR="00153266" w:rsidRPr="00153266" w:rsidRDefault="00153266" w:rsidP="00153266">
      <w:pPr>
        <w:widowControl/>
        <w:autoSpaceDE/>
        <w:autoSpaceDN/>
        <w:adjustRightInd/>
        <w:jc w:val="center"/>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Prepared for</w:t>
      </w:r>
    </w:p>
    <w:p w14:paraId="12A42F60" w14:textId="77777777" w:rsidR="00153266" w:rsidRPr="00153266" w:rsidRDefault="00153266" w:rsidP="00153266">
      <w:pPr>
        <w:widowControl/>
        <w:autoSpaceDE/>
        <w:autoSpaceDN/>
        <w:adjustRightInd/>
        <w:jc w:val="center"/>
        <w:rPr>
          <w:rFonts w:asciiTheme="minorHAnsi" w:eastAsiaTheme="minorHAnsi" w:hAnsiTheme="minorHAnsi" w:cstheme="minorHAnsi"/>
          <w:color w:val="0F3063"/>
          <w:lang w:val="en-US" w:eastAsia="en-US"/>
        </w:rPr>
      </w:pPr>
    </w:p>
    <w:p w14:paraId="3FBA3DBB" w14:textId="77777777" w:rsidR="00153266" w:rsidRPr="00153266" w:rsidRDefault="00153266" w:rsidP="00153266">
      <w:pPr>
        <w:widowControl/>
        <w:autoSpaceDE/>
        <w:autoSpaceDN/>
        <w:adjustRightInd/>
        <w:jc w:val="center"/>
        <w:rPr>
          <w:rFonts w:asciiTheme="minorHAnsi" w:eastAsiaTheme="minorHAnsi" w:hAnsiTheme="minorHAnsi" w:cstheme="minorHAnsi"/>
          <w:caps/>
          <w:color w:val="0F3063"/>
          <w:sz w:val="28"/>
          <w:szCs w:val="28"/>
          <w:lang w:val="en-US" w:eastAsia="en-US"/>
        </w:rPr>
      </w:pPr>
    </w:p>
    <w:p w14:paraId="66DF1030" w14:textId="51677276" w:rsidR="00153266" w:rsidRPr="00153266" w:rsidRDefault="00153266" w:rsidP="00153266">
      <w:pPr>
        <w:widowControl/>
        <w:autoSpaceDE/>
        <w:autoSpaceDN/>
        <w:adjustRightInd/>
        <w:jc w:val="center"/>
        <w:rPr>
          <w:rFonts w:asciiTheme="minorHAnsi" w:eastAsiaTheme="minorHAnsi" w:hAnsiTheme="minorHAnsi" w:cstheme="minorHAnsi"/>
          <w:b/>
          <w:sz w:val="28"/>
          <w:szCs w:val="28"/>
          <w:lang w:val="en-CA" w:eastAsia="en-US"/>
        </w:rPr>
      </w:pPr>
      <w:r w:rsidRPr="00153266">
        <w:rPr>
          <w:rFonts w:asciiTheme="minorHAnsi" w:eastAsiaTheme="minorHAnsi" w:hAnsiTheme="minorHAnsi" w:cstheme="minorHAnsi"/>
          <w:b/>
          <w:bCs/>
          <w:sz w:val="28"/>
          <w:szCs w:val="28"/>
          <w:lang w:val="en-CA" w:eastAsia="en-US"/>
        </w:rPr>
        <w:t>Chesterfield Resources PLC</w:t>
      </w:r>
    </w:p>
    <w:p w14:paraId="167CF8CD" w14:textId="77777777" w:rsidR="00153266" w:rsidRPr="00153266" w:rsidRDefault="00153266" w:rsidP="00153266">
      <w:pPr>
        <w:widowControl/>
        <w:autoSpaceDE/>
        <w:autoSpaceDN/>
        <w:adjustRightInd/>
        <w:jc w:val="center"/>
        <w:rPr>
          <w:rFonts w:asciiTheme="minorHAnsi" w:eastAsiaTheme="minorHAnsi" w:hAnsiTheme="minorHAnsi" w:cstheme="minorHAnsi"/>
          <w:bCs/>
          <w:sz w:val="24"/>
          <w:szCs w:val="24"/>
          <w:lang w:val="en-CA" w:eastAsia="en-US"/>
        </w:rPr>
      </w:pPr>
      <w:r w:rsidRPr="00153266">
        <w:rPr>
          <w:rFonts w:asciiTheme="minorHAnsi" w:eastAsiaTheme="minorHAnsi" w:hAnsiTheme="minorHAnsi" w:cstheme="minorHAnsi"/>
          <w:bCs/>
          <w:sz w:val="24"/>
          <w:szCs w:val="24"/>
          <w:lang w:val="en-CA" w:eastAsia="en-US"/>
        </w:rPr>
        <w:t>7-9 Swallow Street</w:t>
      </w:r>
    </w:p>
    <w:p w14:paraId="53619182" w14:textId="77777777" w:rsidR="00153266" w:rsidRPr="00153266" w:rsidRDefault="00153266" w:rsidP="00153266">
      <w:pPr>
        <w:widowControl/>
        <w:autoSpaceDE/>
        <w:autoSpaceDN/>
        <w:adjustRightInd/>
        <w:jc w:val="center"/>
        <w:rPr>
          <w:rFonts w:asciiTheme="minorHAnsi" w:eastAsiaTheme="minorHAnsi" w:hAnsiTheme="minorHAnsi" w:cstheme="minorHAnsi"/>
          <w:bCs/>
          <w:sz w:val="24"/>
          <w:szCs w:val="24"/>
          <w:lang w:val="en-CA" w:eastAsia="en-US"/>
        </w:rPr>
      </w:pPr>
      <w:r w:rsidRPr="00153266">
        <w:rPr>
          <w:rFonts w:asciiTheme="minorHAnsi" w:eastAsiaTheme="minorHAnsi" w:hAnsiTheme="minorHAnsi" w:cstheme="minorHAnsi"/>
          <w:bCs/>
          <w:sz w:val="24"/>
          <w:szCs w:val="24"/>
          <w:lang w:val="en-CA" w:eastAsia="en-US"/>
        </w:rPr>
        <w:t>London, W1B 4DE</w:t>
      </w:r>
    </w:p>
    <w:p w14:paraId="61181B8A" w14:textId="77777777" w:rsidR="00153266" w:rsidRPr="00153266" w:rsidRDefault="00153266" w:rsidP="00153266">
      <w:pPr>
        <w:widowControl/>
        <w:autoSpaceDE/>
        <w:autoSpaceDN/>
        <w:adjustRightInd/>
        <w:jc w:val="center"/>
        <w:rPr>
          <w:rFonts w:asciiTheme="minorHAnsi" w:eastAsiaTheme="minorHAnsi" w:hAnsiTheme="minorHAnsi" w:cstheme="minorHAnsi"/>
          <w:color w:val="0F3063"/>
          <w:lang w:val="en-US" w:eastAsia="en-US"/>
        </w:rPr>
      </w:pPr>
    </w:p>
    <w:p w14:paraId="74E56BE0" w14:textId="77777777" w:rsidR="00153266" w:rsidRPr="00153266" w:rsidRDefault="00153266" w:rsidP="00153266">
      <w:pPr>
        <w:widowControl/>
        <w:autoSpaceDE/>
        <w:autoSpaceDN/>
        <w:adjustRightInd/>
        <w:jc w:val="center"/>
        <w:rPr>
          <w:rFonts w:asciiTheme="minorHAnsi" w:eastAsiaTheme="minorHAnsi" w:hAnsiTheme="minorHAnsi" w:cstheme="minorHAnsi"/>
          <w:color w:val="0F3063"/>
          <w:lang w:val="en-US" w:eastAsia="en-US"/>
        </w:rPr>
      </w:pPr>
    </w:p>
    <w:p w14:paraId="20685C0D"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bookmarkStart w:id="24" w:name="_Toc525894947"/>
      <w:r w:rsidRPr="00153266">
        <w:rPr>
          <w:rFonts w:asciiTheme="minorHAnsi" w:eastAsiaTheme="minorHAnsi" w:hAnsiTheme="minorHAnsi" w:cstheme="minorHAnsi"/>
          <w:lang w:val="en-US" w:eastAsia="en-US"/>
        </w:rPr>
        <w:t>Prepared by</w:t>
      </w:r>
      <w:bookmarkEnd w:id="24"/>
    </w:p>
    <w:p w14:paraId="5EA012F2"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3E03BEE8"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30BFA0D3" w14:textId="77777777" w:rsidR="00153266" w:rsidRPr="00153266" w:rsidRDefault="00153266" w:rsidP="00153266">
      <w:pPr>
        <w:widowControl/>
        <w:autoSpaceDE/>
        <w:autoSpaceDN/>
        <w:adjustRightInd/>
        <w:jc w:val="center"/>
        <w:rPr>
          <w:rFonts w:asciiTheme="minorHAnsi" w:eastAsiaTheme="minorHAnsi" w:hAnsiTheme="minorHAnsi" w:cstheme="minorHAnsi"/>
          <w:b/>
          <w:sz w:val="28"/>
          <w:szCs w:val="28"/>
          <w:lang w:val="en-US" w:eastAsia="en-US"/>
        </w:rPr>
      </w:pPr>
      <w:r w:rsidRPr="00153266">
        <w:rPr>
          <w:rFonts w:asciiTheme="minorHAnsi" w:eastAsiaTheme="minorHAnsi" w:hAnsiTheme="minorHAnsi" w:cstheme="minorHAnsi"/>
          <w:b/>
          <w:sz w:val="28"/>
          <w:szCs w:val="28"/>
          <w:lang w:val="en-US" w:eastAsia="en-US"/>
        </w:rPr>
        <w:t xml:space="preserve">Derek H.C. Wilton, Ph.D., </w:t>
      </w:r>
      <w:proofErr w:type="spellStart"/>
      <w:r w:rsidRPr="00153266">
        <w:rPr>
          <w:rFonts w:asciiTheme="minorHAnsi" w:eastAsiaTheme="minorHAnsi" w:hAnsiTheme="minorHAnsi" w:cstheme="minorHAnsi"/>
          <w:b/>
          <w:sz w:val="28"/>
          <w:szCs w:val="28"/>
          <w:lang w:val="en-US" w:eastAsia="en-US"/>
        </w:rPr>
        <w:t>P.Geo</w:t>
      </w:r>
      <w:proofErr w:type="spellEnd"/>
      <w:r w:rsidRPr="00153266">
        <w:rPr>
          <w:rFonts w:asciiTheme="minorHAnsi" w:eastAsiaTheme="minorHAnsi" w:hAnsiTheme="minorHAnsi" w:cstheme="minorHAnsi"/>
          <w:b/>
          <w:sz w:val="28"/>
          <w:szCs w:val="28"/>
          <w:lang w:val="en-US" w:eastAsia="en-US"/>
        </w:rPr>
        <w:t>.</w:t>
      </w:r>
    </w:p>
    <w:p w14:paraId="428990A0" w14:textId="77777777" w:rsidR="00153266" w:rsidRPr="00153266" w:rsidRDefault="00153266" w:rsidP="00153266">
      <w:pPr>
        <w:widowControl/>
        <w:autoSpaceDE/>
        <w:autoSpaceDN/>
        <w:adjustRightInd/>
        <w:jc w:val="center"/>
        <w:rPr>
          <w:rFonts w:asciiTheme="minorHAnsi" w:eastAsiaTheme="minorHAnsi" w:hAnsiTheme="minorHAnsi" w:cstheme="minorHAnsi"/>
          <w:bCs/>
          <w:lang w:val="en-US" w:eastAsia="en-US"/>
        </w:rPr>
      </w:pPr>
      <w:r w:rsidRPr="00153266">
        <w:rPr>
          <w:rFonts w:asciiTheme="minorHAnsi" w:eastAsiaTheme="minorHAnsi" w:hAnsiTheme="minorHAnsi" w:cstheme="minorHAnsi"/>
          <w:bCs/>
          <w:lang w:val="en-US" w:eastAsia="en-US"/>
        </w:rPr>
        <w:t>A Competent Person of Terra Rosetta Inc.</w:t>
      </w:r>
    </w:p>
    <w:p w14:paraId="327E1907"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r w:rsidRPr="00153266">
        <w:rPr>
          <w:rFonts w:asciiTheme="minorHAnsi" w:eastAsiaTheme="minorHAnsi" w:hAnsiTheme="minorHAnsi" w:cstheme="minorHAnsi"/>
          <w:lang w:val="en-US" w:eastAsia="en-US"/>
        </w:rPr>
        <w:t>7 Yellowknife Street</w:t>
      </w:r>
    </w:p>
    <w:p w14:paraId="2A92DF49"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r w:rsidRPr="00153266">
        <w:rPr>
          <w:rFonts w:asciiTheme="minorHAnsi" w:eastAsiaTheme="minorHAnsi" w:hAnsiTheme="minorHAnsi" w:cstheme="minorHAnsi"/>
          <w:lang w:val="en-US" w:eastAsia="en-US"/>
        </w:rPr>
        <w:t>St. John’s, Newfoundland Labrador</w:t>
      </w:r>
    </w:p>
    <w:p w14:paraId="5F8CC0C5"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r w:rsidRPr="00153266">
        <w:rPr>
          <w:rFonts w:asciiTheme="minorHAnsi" w:eastAsiaTheme="minorHAnsi" w:hAnsiTheme="minorHAnsi" w:cstheme="minorHAnsi"/>
          <w:lang w:val="en-US" w:eastAsia="en-US"/>
        </w:rPr>
        <w:t>Canada A1A 2Z7</w:t>
      </w:r>
    </w:p>
    <w:p w14:paraId="35CC29D2"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746D3879"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1D1C7C56"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68DAA4D0"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26F1BAE5" w14:textId="77777777" w:rsidR="00153266" w:rsidRPr="00153266" w:rsidRDefault="00153266" w:rsidP="00153266">
      <w:pPr>
        <w:widowControl/>
        <w:autoSpaceDE/>
        <w:autoSpaceDN/>
        <w:adjustRightInd/>
        <w:jc w:val="center"/>
        <w:rPr>
          <w:rFonts w:asciiTheme="minorHAnsi" w:eastAsiaTheme="minorHAnsi" w:hAnsiTheme="minorHAnsi" w:cstheme="minorHAnsi"/>
          <w:lang w:val="en-US" w:eastAsia="en-US"/>
        </w:rPr>
      </w:pPr>
    </w:p>
    <w:p w14:paraId="229BBC49" w14:textId="77777777" w:rsidR="00153266" w:rsidRPr="00153266" w:rsidRDefault="00153266" w:rsidP="00153266">
      <w:pPr>
        <w:widowControl/>
        <w:autoSpaceDE/>
        <w:autoSpaceDN/>
        <w:adjustRightInd/>
        <w:jc w:val="center"/>
        <w:rPr>
          <w:rFonts w:asciiTheme="minorHAnsi" w:eastAsiaTheme="minorHAnsi" w:hAnsiTheme="minorHAnsi" w:cstheme="minorHAnsi"/>
          <w:b/>
          <w:bCs/>
          <w:sz w:val="28"/>
          <w:szCs w:val="28"/>
          <w:lang w:val="en-US" w:eastAsia="en-US"/>
        </w:rPr>
      </w:pPr>
      <w:bookmarkStart w:id="25" w:name="_Toc525894950"/>
      <w:r w:rsidRPr="00153266">
        <w:rPr>
          <w:rFonts w:asciiTheme="minorHAnsi" w:eastAsiaTheme="minorHAnsi" w:hAnsiTheme="minorHAnsi" w:cstheme="minorHAnsi"/>
          <w:b/>
          <w:bCs/>
          <w:sz w:val="28"/>
          <w:szCs w:val="28"/>
          <w:lang w:val="en-US" w:eastAsia="en-US"/>
        </w:rPr>
        <w:t>Effective Date: July 02, 20</w:t>
      </w:r>
      <w:bookmarkEnd w:id="25"/>
      <w:r w:rsidRPr="00153266">
        <w:rPr>
          <w:rFonts w:asciiTheme="minorHAnsi" w:eastAsiaTheme="minorHAnsi" w:hAnsiTheme="minorHAnsi" w:cstheme="minorHAnsi"/>
          <w:b/>
          <w:bCs/>
          <w:sz w:val="28"/>
          <w:szCs w:val="28"/>
          <w:lang w:val="en-US" w:eastAsia="en-US"/>
        </w:rPr>
        <w:t>21</w:t>
      </w:r>
    </w:p>
    <w:p w14:paraId="4B92EEDF" w14:textId="77777777" w:rsidR="00153266" w:rsidRPr="00153266" w:rsidRDefault="00153266" w:rsidP="00153266">
      <w:pPr>
        <w:widowControl/>
        <w:autoSpaceDE/>
        <w:autoSpaceDN/>
        <w:adjustRightInd/>
        <w:jc w:val="both"/>
        <w:rPr>
          <w:rFonts w:asciiTheme="minorHAnsi" w:eastAsiaTheme="minorHAnsi" w:hAnsiTheme="minorHAnsi" w:cstheme="minorHAnsi"/>
          <w:lang w:val="en-US" w:eastAsia="en-US"/>
        </w:rPr>
      </w:pPr>
    </w:p>
    <w:p w14:paraId="5EE2BD3F" w14:textId="77777777" w:rsidR="00153266" w:rsidRPr="00153266" w:rsidRDefault="00153266" w:rsidP="00153266">
      <w:pPr>
        <w:widowControl/>
        <w:autoSpaceDE/>
        <w:autoSpaceDN/>
        <w:adjustRightInd/>
        <w:jc w:val="both"/>
        <w:rPr>
          <w:rFonts w:ascii="Times New Roman" w:eastAsiaTheme="minorHAnsi" w:hAnsi="Times New Roman" w:cstheme="minorBidi"/>
          <w:lang w:val="en-US" w:eastAsia="en-US"/>
        </w:rPr>
      </w:pPr>
    </w:p>
    <w:p w14:paraId="3B830ABB"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2D3F708A"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75CD3858" w14:textId="089EFD20" w:rsid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56616973" w14:textId="72173CC9" w:rsid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0083ED53" w14:textId="603437D5" w:rsid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4E4EC670" w14:textId="3F1F96BF" w:rsid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39E6F1FB" w14:textId="6BDE06CB" w:rsid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3FB78711"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5CF77C7B"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1D6F65E9"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55A54C59"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bookmarkStart w:id="26" w:name="_Hlk69286378"/>
      <w:r w:rsidRPr="00153266">
        <w:rPr>
          <w:rFonts w:asciiTheme="minorHAnsi" w:eastAsiaTheme="minorHAnsi" w:hAnsiTheme="minorHAnsi" w:cstheme="minorHAnsi"/>
          <w:b/>
          <w:bCs/>
          <w:sz w:val="28"/>
          <w:szCs w:val="28"/>
          <w:lang w:val="en-US" w:eastAsia="en-US"/>
        </w:rPr>
        <w:lastRenderedPageBreak/>
        <w:t>TABLE OF CONTENTS</w:t>
      </w:r>
    </w:p>
    <w:bookmarkEnd w:id="26"/>
    <w:p w14:paraId="416ECEB8"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52FD4142"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bookmarkStart w:id="27" w:name="_Hlk69289037"/>
      <w:r w:rsidRPr="00153266">
        <w:rPr>
          <w:rFonts w:asciiTheme="minorHAnsi" w:eastAsiaTheme="minorHAnsi" w:hAnsiTheme="minorHAnsi" w:cstheme="minorHAnsi"/>
          <w:sz w:val="24"/>
          <w:szCs w:val="24"/>
          <w:lang w:val="en-US" w:eastAsia="en-US"/>
        </w:rPr>
        <w:t>EXECUTIVE SUMMARY</w:t>
      </w:r>
    </w:p>
    <w:p w14:paraId="58BD67B4"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INTRODUCTION</w:t>
      </w:r>
    </w:p>
    <w:p w14:paraId="75403F5A"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Terms of Reference AND QUALIFICATIONS OF COMPETENT PERSON</w:t>
      </w:r>
    </w:p>
    <w:p w14:paraId="3CCB4D2B"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Terms, Definitions and Units</w:t>
      </w:r>
    </w:p>
    <w:p w14:paraId="5E5C2CA2"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Sources of Information</w:t>
      </w:r>
    </w:p>
    <w:p w14:paraId="11291DAB"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Involvement of Competent Person</w:t>
      </w:r>
    </w:p>
    <w:p w14:paraId="7163E24A"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PROJECT DESCRIPTION</w:t>
      </w:r>
    </w:p>
    <w:p w14:paraId="1FED216D"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 xml:space="preserve">Location, </w:t>
      </w:r>
      <w:proofErr w:type="gramStart"/>
      <w:r w:rsidRPr="00153266">
        <w:rPr>
          <w:rFonts w:asciiTheme="minorHAnsi" w:eastAsiaTheme="minorHAnsi" w:hAnsiTheme="minorHAnsi" w:cstheme="minorHAnsi"/>
          <w:caps/>
          <w:sz w:val="24"/>
          <w:szCs w:val="24"/>
          <w:lang w:val="en-US" w:eastAsia="en-US"/>
        </w:rPr>
        <w:t>Access</w:t>
      </w:r>
      <w:proofErr w:type="gramEnd"/>
      <w:r w:rsidRPr="00153266">
        <w:rPr>
          <w:rFonts w:asciiTheme="minorHAnsi" w:eastAsiaTheme="minorHAnsi" w:hAnsiTheme="minorHAnsi" w:cstheme="minorHAnsi"/>
          <w:caps/>
          <w:sz w:val="24"/>
          <w:szCs w:val="24"/>
          <w:lang w:val="en-US" w:eastAsia="en-US"/>
        </w:rPr>
        <w:t xml:space="preserve"> and Infrastructure</w:t>
      </w:r>
    </w:p>
    <w:p w14:paraId="672825D7"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Climate, Physiography &amp; VEGETATION</w:t>
      </w:r>
    </w:p>
    <w:p w14:paraId="0A40A1BE"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Project Ownership, Land Tenure and Work requirements</w:t>
      </w:r>
    </w:p>
    <w:p w14:paraId="6C89BA6E"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OVERVIEW OF THE GOVRNMENT OF NeWFOUNDLaND AND LABRADOR’S MINERAL LAND TENURE SYSTEM</w:t>
      </w:r>
    </w:p>
    <w:p w14:paraId="7AC207F1"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Permitting, EnVIRONMENTAL, community considerations AND POTENTIAL RISK FACTORS</w:t>
      </w:r>
    </w:p>
    <w:p w14:paraId="00B79DAB"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HISTORY</w:t>
      </w:r>
    </w:p>
    <w:p w14:paraId="1F285901"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GOVERNMENT SURVEYS AND ACADEMIC RESEARCHRY SURVEYS</w:t>
      </w:r>
    </w:p>
    <w:p w14:paraId="69EB3176"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GEOLOGICAL SETTING AND MINERALIZATION</w:t>
      </w:r>
    </w:p>
    <w:p w14:paraId="7ED566C0"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REGIONAL GEOLOGY</w:t>
      </w:r>
    </w:p>
    <w:p w14:paraId="5BD3C50A"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LOCAL GEOLOGY</w:t>
      </w:r>
    </w:p>
    <w:p w14:paraId="663B030C"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MINERALIZATION AND DEPOSIT TYPE</w:t>
      </w:r>
    </w:p>
    <w:p w14:paraId="00F0CB37"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MINERAL RESOURCES AND MINERAL RESERVES</w:t>
      </w:r>
    </w:p>
    <w:p w14:paraId="30B0A704"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EXPLORATION TARGETS</w:t>
      </w:r>
    </w:p>
    <w:p w14:paraId="04041A7A"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TARGET 1: ADELINE ISLAND EAST EXTENSION </w:t>
      </w:r>
    </w:p>
    <w:p w14:paraId="2C786704"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TARGET 2: ADELINE TO ELLIS </w:t>
      </w:r>
    </w:p>
    <w:p w14:paraId="2214D87D"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TARGET 3: ELLIS </w:t>
      </w:r>
    </w:p>
    <w:p w14:paraId="14C1EEF2" w14:textId="77777777" w:rsidR="00153266" w:rsidRPr="00153266" w:rsidRDefault="00153266" w:rsidP="00512495">
      <w:pPr>
        <w:widowControl/>
        <w:numPr>
          <w:ilvl w:val="1"/>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TARGET 4: DUCK LAKE EAST </w:t>
      </w:r>
    </w:p>
    <w:p w14:paraId="6EF8663B"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DISCUSSION AND CONCLUSIONS</w:t>
      </w:r>
    </w:p>
    <w:p w14:paraId="4A76E35A"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RECOMMENDATIONS</w:t>
      </w:r>
    </w:p>
    <w:p w14:paraId="4DFCC3F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8.1 BUDGET</w:t>
      </w:r>
    </w:p>
    <w:p w14:paraId="74F5E2FE" w14:textId="77777777" w:rsidR="00153266" w:rsidRPr="00153266" w:rsidRDefault="00153266" w:rsidP="00512495">
      <w:pPr>
        <w:widowControl/>
        <w:numPr>
          <w:ilvl w:val="0"/>
          <w:numId w:val="34"/>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REFERENCES</w:t>
      </w:r>
    </w:p>
    <w:bookmarkEnd w:id="27"/>
    <w:p w14:paraId="18122070"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0A732D66"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FA16B2E"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E99CEB3"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1D9BA722"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76791CC"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5B514621" w14:textId="670841B1"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42CD1857" w14:textId="4BD406E8"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2019D809" w14:textId="1A819E60"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9A578D3" w14:textId="5C194072"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4FCA30C0" w14:textId="1ABD1FB4"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475E9B8" w14:textId="1A9433ED"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4298DD25" w14:textId="7D68AA4E"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335A78AF" w14:textId="30D49F47"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7EF2821" w14:textId="5CE362D0" w:rsid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1A52A3D3"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57FC461D"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4"/>
          <w:szCs w:val="24"/>
          <w:lang w:val="en-US" w:eastAsia="en-US"/>
        </w:rPr>
      </w:pPr>
    </w:p>
    <w:p w14:paraId="041AB67B"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4"/>
          <w:szCs w:val="24"/>
          <w:lang w:val="en-US" w:eastAsia="en-US"/>
        </w:rPr>
      </w:pPr>
    </w:p>
    <w:p w14:paraId="0FD74E66"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r w:rsidRPr="00153266">
        <w:rPr>
          <w:rFonts w:asciiTheme="minorHAnsi" w:eastAsiaTheme="minorHAnsi" w:hAnsiTheme="minorHAnsi" w:cstheme="minorHAnsi"/>
          <w:b/>
          <w:bCs/>
          <w:sz w:val="28"/>
          <w:szCs w:val="28"/>
          <w:lang w:val="en-US" w:eastAsia="en-US"/>
        </w:rPr>
        <w:lastRenderedPageBreak/>
        <w:t>LIST OF FIGURES</w:t>
      </w:r>
    </w:p>
    <w:p w14:paraId="51E75DFE"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p>
    <w:p w14:paraId="340DC94B"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8"/>
          <w:szCs w:val="28"/>
          <w:lang w:val="en-US" w:eastAsia="en-US"/>
        </w:rPr>
      </w:pPr>
      <w:r w:rsidRPr="00153266">
        <w:rPr>
          <w:rFonts w:asciiTheme="minorHAnsi" w:eastAsiaTheme="minorHAnsi" w:hAnsiTheme="minorHAnsi" w:cstheme="minorHAnsi"/>
          <w:b/>
          <w:bCs/>
          <w:sz w:val="28"/>
          <w:szCs w:val="28"/>
          <w:lang w:val="en-US" w:eastAsia="en-US"/>
        </w:rPr>
        <w:t>LIST OF TABLES</w:t>
      </w:r>
    </w:p>
    <w:p w14:paraId="0FF00AEE" w14:textId="77777777" w:rsidR="00153266" w:rsidRPr="00153266" w:rsidRDefault="00153266" w:rsidP="00153266">
      <w:pPr>
        <w:widowControl/>
        <w:autoSpaceDE/>
        <w:autoSpaceDN/>
        <w:adjustRightInd/>
        <w:jc w:val="both"/>
        <w:rPr>
          <w:rFonts w:asciiTheme="minorHAnsi" w:eastAsiaTheme="minorHAnsi" w:hAnsiTheme="minorHAnsi" w:cstheme="minorHAnsi"/>
          <w:b/>
          <w:bCs/>
          <w:sz w:val="24"/>
          <w:szCs w:val="24"/>
          <w:lang w:val="en-US" w:eastAsia="en-US"/>
        </w:rPr>
      </w:pPr>
    </w:p>
    <w:p w14:paraId="7449BF80" w14:textId="5B76274B"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Appendix 1: Certificate of Qualifications, Consent, Date and Signature</w:t>
      </w:r>
    </w:p>
    <w:p w14:paraId="4C4495E6"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E3770E4"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2FF2E0F3"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13ACA984" w14:textId="77777777" w:rsidR="00153266" w:rsidRPr="00153266" w:rsidRDefault="00153266" w:rsidP="00512495">
      <w:pPr>
        <w:widowControl/>
        <w:numPr>
          <w:ilvl w:val="0"/>
          <w:numId w:val="42"/>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EXECUTIVE SUMMARY</w:t>
      </w:r>
    </w:p>
    <w:p w14:paraId="61EFDB4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9BB568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On April 12, 2021, Derek H. C. Wilton, PhD., </w:t>
      </w:r>
      <w:proofErr w:type="spellStart"/>
      <w:r w:rsidRPr="00153266">
        <w:rPr>
          <w:rFonts w:asciiTheme="minorHAnsi" w:eastAsiaTheme="minorHAnsi" w:hAnsiTheme="minorHAnsi" w:cstheme="minorHAnsi"/>
          <w:sz w:val="24"/>
          <w:szCs w:val="24"/>
          <w:lang w:val="en-US" w:eastAsia="en-US"/>
        </w:rPr>
        <w:t>P.Geo</w:t>
      </w:r>
      <w:proofErr w:type="spellEnd"/>
      <w:r w:rsidRPr="00153266">
        <w:rPr>
          <w:rFonts w:asciiTheme="minorHAnsi" w:eastAsiaTheme="minorHAnsi" w:hAnsiTheme="minorHAnsi" w:cstheme="minorHAnsi"/>
          <w:sz w:val="24"/>
          <w:szCs w:val="24"/>
          <w:lang w:val="en-US" w:eastAsia="en-US"/>
        </w:rPr>
        <w:t xml:space="preserve">., (CP), a competent person (the “Competent Person” or “CP”), of Terra Rosetta Inc., of St. John’s, Newfoundland and Labrador, Canada, was commissioned by Chesterfield Resources PLC (“Chesterfield”) of London, UK, to prepare a Competent Person’s Report on the Adeline Copper Project (the “Property”) located in central Labrador, Newfoundland and Labrador, Canada currently held by Altius Resources Inc. (“Altius”).  </w:t>
      </w:r>
    </w:p>
    <w:p w14:paraId="32F46EC9" w14:textId="77777777" w:rsidR="00153266" w:rsidRPr="00153266" w:rsidRDefault="00153266" w:rsidP="00153266">
      <w:pPr>
        <w:widowControl/>
        <w:shd w:val="clear" w:color="auto" w:fill="FFFFFF"/>
        <w:autoSpaceDE/>
        <w:autoSpaceDN/>
        <w:adjustRightInd/>
        <w:spacing w:before="100" w:beforeAutospacing="1" w:after="100" w:afterAutospacing="1"/>
        <w:ind w:right="1164"/>
        <w:jc w:val="both"/>
        <w:rPr>
          <w:rFonts w:asciiTheme="minorHAnsi" w:eastAsia="Times New Roman" w:hAnsiTheme="minorHAnsi" w:cstheme="minorHAnsi"/>
          <w:color w:val="1D2228"/>
          <w:sz w:val="24"/>
          <w:szCs w:val="24"/>
          <w:lang w:val="en-CA" w:eastAsia="en-CA"/>
        </w:rPr>
      </w:pPr>
      <w:r w:rsidRPr="00153266">
        <w:rPr>
          <w:rFonts w:asciiTheme="minorHAnsi" w:eastAsia="Times New Roman" w:hAnsiTheme="minorHAnsi" w:cstheme="minorHAnsi"/>
          <w:color w:val="1D2228"/>
          <w:sz w:val="24"/>
          <w:szCs w:val="24"/>
          <w:lang w:val="en-CA" w:eastAsia="en-CA"/>
        </w:rPr>
        <w:t>On Monday April 19, 2021, Altius and Chesterfield executed a Letter of Intent (“LOI”) for the 100% sale of the Property to Chesterfield.  The terms include a one-time payment of 10,089,199 common shares of Chesterfield (equal to a 9.9% stake) and 11,100,000 common share purchase warrants of Chesterfield priced at 20p with an exercise option duration of 36 months. Chesterfield will be required to spend an aggregate of $1,000,000 (CAD) on the Property within twenty-four months of the date of the Definitive Agreement, including a minimum expenditure commitment for year 1 of $250,000.  The Definitive Agreement is anticipated to conclude on or about July 12, 2021.</w:t>
      </w:r>
    </w:p>
    <w:p w14:paraId="664AEFC1" w14:textId="77777777" w:rsidR="00153266" w:rsidRPr="00153266" w:rsidRDefault="00153266" w:rsidP="00153266">
      <w:pPr>
        <w:widowControl/>
        <w:autoSpaceDE/>
        <w:autoSpaceDN/>
        <w:adjustRightInd/>
        <w:ind w:right="1164"/>
        <w:jc w:val="both"/>
        <w:rPr>
          <w:rFonts w:asciiTheme="minorHAnsi" w:eastAsiaTheme="minorHAnsi" w:hAnsiTheme="minorHAnsi" w:cstheme="minorBidi"/>
          <w:sz w:val="24"/>
          <w:szCs w:val="24"/>
          <w:lang w:val="en-CA" w:eastAsia="en-US"/>
        </w:rPr>
      </w:pPr>
      <w:r w:rsidRPr="00153266">
        <w:rPr>
          <w:rFonts w:asciiTheme="minorHAnsi" w:eastAsiaTheme="minorHAnsi" w:hAnsiTheme="minorHAnsi" w:cstheme="minorHAnsi"/>
          <w:sz w:val="24"/>
          <w:szCs w:val="24"/>
          <w:lang w:val="en-US" w:eastAsia="en-US"/>
        </w:rPr>
        <w:t xml:space="preserve">This report has been prepared to the standards of the United Kingdom Listing Authority (“UKLA”).  It has been produced by the Competent Person.  </w:t>
      </w:r>
      <w:r w:rsidRPr="00153266">
        <w:rPr>
          <w:rFonts w:asciiTheme="minorHAnsi" w:eastAsiaTheme="minorHAnsi" w:hAnsiTheme="minorHAnsi" w:cstheme="minorBidi"/>
          <w:sz w:val="24"/>
          <w:szCs w:val="24"/>
          <w:lang w:val="en-CA" w:eastAsia="en-US"/>
        </w:rPr>
        <w:t xml:space="preserve">The Competent Person is responsible for this report which appears as part of the prospectus (“Prospectus”) prepared by Chesterfield at Annex I. The Competent Person is responsible for all scientific and technical information in relation to the Property contained in the Prospectus as well as references to this report and statements of information attributed to the Competent Person or extracted from this report and included in the Prospectus. The Competent Person declares that to the best of his knowledge, the information contained in the Prospectus, including this report, is in accordance with the facts and contains no omission likely to affect its import. This declaration is included in the Prospectus. </w:t>
      </w:r>
    </w:p>
    <w:p w14:paraId="63DCBE0A" w14:textId="77777777" w:rsidR="00153266" w:rsidRPr="00153266" w:rsidRDefault="00153266" w:rsidP="00153266">
      <w:pPr>
        <w:widowControl/>
        <w:autoSpaceDE/>
        <w:autoSpaceDN/>
        <w:adjustRightInd/>
        <w:ind w:right="1164"/>
        <w:jc w:val="both"/>
        <w:rPr>
          <w:rFonts w:asciiTheme="minorHAnsi" w:eastAsiaTheme="minorHAnsi" w:hAnsiTheme="minorHAnsi" w:cstheme="minorBidi"/>
          <w:sz w:val="24"/>
          <w:szCs w:val="24"/>
          <w:lang w:val="en-CA" w:eastAsia="en-US"/>
        </w:rPr>
      </w:pPr>
    </w:p>
    <w:p w14:paraId="26737A4C" w14:textId="77777777" w:rsidR="00153266" w:rsidRPr="00153266" w:rsidRDefault="00153266" w:rsidP="00153266">
      <w:pPr>
        <w:widowControl/>
        <w:autoSpaceDE/>
        <w:autoSpaceDN/>
        <w:adjustRightInd/>
        <w:ind w:right="1164"/>
        <w:jc w:val="both"/>
        <w:rPr>
          <w:rFonts w:asciiTheme="minorHAnsi" w:eastAsiaTheme="minorHAnsi" w:hAnsiTheme="minorHAnsi" w:cstheme="minorBidi"/>
          <w:sz w:val="24"/>
          <w:szCs w:val="24"/>
          <w:lang w:val="en-CA" w:eastAsia="en-US"/>
        </w:rPr>
      </w:pPr>
      <w:r w:rsidRPr="00153266">
        <w:rPr>
          <w:rFonts w:asciiTheme="minorHAnsi" w:eastAsiaTheme="minorHAnsi" w:hAnsiTheme="minorHAnsi" w:cstheme="minorBidi"/>
          <w:sz w:val="24"/>
          <w:szCs w:val="24"/>
          <w:lang w:val="en-CA" w:eastAsia="en-US"/>
        </w:rPr>
        <w:t xml:space="preserve">The Competent Person, acting in his capacity as Chesterfield’s competent person, has given and has not withdrawn his written consent to the issue of the Prospectus with the inclusion in it of this report in Annex I and the references to his report and to his name in it and has authorised the contents of this report for the purpose of the Prospectus. This declaration is included in the Prospectus. </w:t>
      </w:r>
    </w:p>
    <w:p w14:paraId="37278855" w14:textId="77777777" w:rsidR="00153266" w:rsidRPr="00153266" w:rsidRDefault="00153266" w:rsidP="00153266">
      <w:pPr>
        <w:widowControl/>
        <w:autoSpaceDE/>
        <w:autoSpaceDN/>
        <w:adjustRightInd/>
        <w:ind w:right="1164"/>
        <w:jc w:val="both"/>
        <w:rPr>
          <w:rFonts w:asciiTheme="minorHAnsi" w:eastAsiaTheme="minorHAnsi" w:hAnsiTheme="minorHAnsi" w:cstheme="minorBidi"/>
          <w:sz w:val="24"/>
          <w:szCs w:val="24"/>
          <w:lang w:val="en-CA" w:eastAsia="en-US"/>
        </w:rPr>
      </w:pPr>
    </w:p>
    <w:p w14:paraId="02A5ECB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Terra Rosetta has herein completed a technical compilation and evaluation of all available exploration-related and geoscientific data pertaining to the Property, with the objective of reporting on the copper exploration potential of the project.</w:t>
      </w:r>
    </w:p>
    <w:p w14:paraId="3277C98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87C1D9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en-US"/>
        </w:rPr>
      </w:pPr>
      <w:r w:rsidRPr="00153266">
        <w:rPr>
          <w:rFonts w:asciiTheme="minorHAnsi" w:eastAsiaTheme="minorHAnsi" w:hAnsiTheme="minorHAnsi" w:cstheme="minorHAnsi"/>
          <w:sz w:val="24"/>
          <w:szCs w:val="24"/>
          <w:lang w:val="en-CA" w:eastAsia="en-US"/>
        </w:rPr>
        <w:t>The Property is in central Labrador, Newfoundland Labrador, Canada</w:t>
      </w:r>
      <w:r w:rsidRPr="00153266">
        <w:rPr>
          <w:rFonts w:asciiTheme="minorHAnsi" w:eastAsiaTheme="minorHAnsi" w:hAnsiTheme="minorHAnsi" w:cstheme="minorHAnsi"/>
          <w:sz w:val="24"/>
          <w:szCs w:val="24"/>
          <w:lang w:val="en-US" w:eastAsia="en-US"/>
        </w:rPr>
        <w:t xml:space="preserve"> and consists of </w:t>
      </w:r>
      <w:r w:rsidRPr="00153266">
        <w:rPr>
          <w:rFonts w:asciiTheme="minorHAnsi" w:eastAsiaTheme="minorHAnsi" w:hAnsiTheme="minorHAnsi" w:cstheme="minorHAnsi"/>
          <w:sz w:val="24"/>
          <w:szCs w:val="24"/>
          <w:lang w:val="en-CA" w:eastAsia="en-US"/>
        </w:rPr>
        <w:t>10 contiguous map-staked mineral licenses containing a total of 1189 claims covering 29725 Ha (297.25 km</w:t>
      </w:r>
      <w:r w:rsidRPr="00153266">
        <w:rPr>
          <w:rFonts w:asciiTheme="minorHAnsi" w:eastAsiaTheme="minorHAnsi" w:hAnsiTheme="minorHAnsi" w:cstheme="minorHAnsi"/>
          <w:sz w:val="24"/>
          <w:szCs w:val="24"/>
          <w:vertAlign w:val="superscript"/>
          <w:lang w:val="en-CA" w:eastAsia="en-US"/>
        </w:rPr>
        <w:t>2</w:t>
      </w:r>
      <w:r w:rsidRPr="00153266">
        <w:rPr>
          <w:rFonts w:asciiTheme="minorHAnsi" w:eastAsiaTheme="minorHAnsi" w:hAnsiTheme="minorHAnsi" w:cstheme="minorHAnsi"/>
          <w:sz w:val="24"/>
          <w:szCs w:val="24"/>
          <w:lang w:val="en-CA" w:eastAsia="en-US"/>
        </w:rPr>
        <w:t xml:space="preserve">).  </w:t>
      </w:r>
    </w:p>
    <w:p w14:paraId="0C87DB8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en-US"/>
        </w:rPr>
      </w:pPr>
    </w:p>
    <w:p w14:paraId="52FDDAA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Property is remote and must accessed by helicopter and float plane air support from the community of Happy Valley - Goose Bay</w:t>
      </w:r>
      <w:r w:rsidRPr="00153266">
        <w:rPr>
          <w:rFonts w:asciiTheme="minorHAnsi" w:eastAsiaTheme="minorHAnsi" w:hAnsiTheme="minorHAnsi" w:cstheme="minorHAnsi"/>
          <w:sz w:val="24"/>
          <w:szCs w:val="24"/>
          <w:lang w:val="en-CA" w:eastAsia="en-US"/>
        </w:rPr>
        <w:t>)</w:t>
      </w:r>
      <w:r w:rsidRPr="00153266">
        <w:rPr>
          <w:rFonts w:asciiTheme="minorHAnsi" w:eastAsiaTheme="minorHAnsi" w:hAnsiTheme="minorHAnsi" w:cstheme="minorHAnsi"/>
          <w:sz w:val="24"/>
          <w:szCs w:val="24"/>
          <w:lang w:val="en-US" w:eastAsia="en-US"/>
        </w:rPr>
        <w:t xml:space="preserve"> located approximately 145 km to the southeast of the </w:t>
      </w:r>
      <w:r w:rsidRPr="00153266">
        <w:rPr>
          <w:rFonts w:asciiTheme="minorHAnsi" w:eastAsiaTheme="minorHAnsi" w:hAnsiTheme="minorHAnsi" w:cstheme="minorHAnsi"/>
          <w:sz w:val="24"/>
          <w:szCs w:val="24"/>
          <w:lang w:val="en-US" w:eastAsia="en-US"/>
        </w:rPr>
        <w:lastRenderedPageBreak/>
        <w:t xml:space="preserve">project.  Happy Valley - Goose Bay is the </w:t>
      </w:r>
      <w:r w:rsidRPr="00153266">
        <w:rPr>
          <w:rFonts w:asciiTheme="minorHAnsi" w:eastAsiaTheme="minorHAnsi" w:hAnsiTheme="minorHAnsi" w:cstheme="minorHAnsi"/>
          <w:sz w:val="24"/>
          <w:szCs w:val="24"/>
          <w:lang w:val="en-CA" w:eastAsia="en-US"/>
        </w:rPr>
        <w:t xml:space="preserve">major regional service centre </w:t>
      </w:r>
      <w:r w:rsidRPr="00153266">
        <w:rPr>
          <w:rFonts w:asciiTheme="minorHAnsi" w:eastAsiaTheme="minorHAnsi" w:hAnsiTheme="minorHAnsi" w:cstheme="minorHAnsi"/>
          <w:sz w:val="24"/>
          <w:szCs w:val="24"/>
          <w:lang w:val="en-US" w:eastAsia="en-US"/>
        </w:rPr>
        <w:t xml:space="preserve">and is </w:t>
      </w:r>
      <w:r w:rsidRPr="00153266">
        <w:rPr>
          <w:rFonts w:asciiTheme="minorHAnsi" w:eastAsiaTheme="minorHAnsi" w:hAnsiTheme="minorHAnsi" w:cstheme="minorHAnsi"/>
          <w:sz w:val="24"/>
          <w:szCs w:val="24"/>
          <w:lang w:val="en-CA" w:eastAsia="en-US"/>
        </w:rPr>
        <w:t xml:space="preserve">a full-service community </w:t>
      </w:r>
      <w:r w:rsidRPr="00153266">
        <w:rPr>
          <w:rFonts w:asciiTheme="minorHAnsi" w:eastAsiaTheme="minorHAnsi" w:hAnsiTheme="minorHAnsi" w:cstheme="minorHAnsi"/>
          <w:sz w:val="24"/>
          <w:szCs w:val="24"/>
          <w:lang w:val="en-US" w:eastAsia="en-US"/>
        </w:rPr>
        <w:t xml:space="preserve">with </w:t>
      </w:r>
      <w:r w:rsidRPr="00153266">
        <w:rPr>
          <w:rFonts w:asciiTheme="minorHAnsi" w:eastAsiaTheme="minorHAnsi" w:hAnsiTheme="minorHAnsi" w:cstheme="minorHAnsi"/>
          <w:sz w:val="24"/>
          <w:szCs w:val="24"/>
          <w:lang w:val="en-CA" w:eastAsia="en-US"/>
        </w:rPr>
        <w:t>a government-serviced airport with air traffic control</w:t>
      </w:r>
      <w:r w:rsidRPr="00153266">
        <w:rPr>
          <w:rFonts w:asciiTheme="minorHAnsi" w:eastAsiaTheme="minorHAnsi" w:hAnsiTheme="minorHAnsi" w:cstheme="minorHAnsi"/>
          <w:sz w:val="24"/>
          <w:szCs w:val="24"/>
          <w:lang w:val="en-US" w:eastAsia="en-US"/>
        </w:rPr>
        <w:t xml:space="preserve">. Helicopter and small boat-supported ground traversing will be the most effective means for covering much of the project area.  </w:t>
      </w:r>
    </w:p>
    <w:p w14:paraId="6FBA283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3A67165"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CA" w:eastAsia="en-CA"/>
        </w:rPr>
      </w:pPr>
      <w:r w:rsidRPr="00153266">
        <w:rPr>
          <w:rFonts w:asciiTheme="minorHAnsi" w:eastAsia="Times New Roman" w:hAnsiTheme="minorHAnsi" w:cstheme="minorHAnsi"/>
          <w:sz w:val="24"/>
          <w:szCs w:val="20"/>
          <w:lang w:val="en-CA" w:eastAsia="fr-CA"/>
        </w:rPr>
        <w:t xml:space="preserve">All </w:t>
      </w:r>
      <w:r w:rsidRPr="00153266">
        <w:rPr>
          <w:rFonts w:asciiTheme="minorHAnsi" w:eastAsia="Times New Roman" w:hAnsiTheme="minorHAnsi" w:cstheme="minorHAnsi"/>
          <w:i/>
          <w:iCs/>
          <w:sz w:val="24"/>
          <w:szCs w:val="20"/>
          <w:lang w:val="en-CA" w:eastAsia="fr-CA"/>
        </w:rPr>
        <w:t>issued</w:t>
      </w:r>
      <w:r w:rsidRPr="00153266">
        <w:rPr>
          <w:rFonts w:asciiTheme="minorHAnsi" w:eastAsia="Times New Roman" w:hAnsiTheme="minorHAnsi" w:cstheme="minorHAnsi"/>
          <w:sz w:val="24"/>
          <w:szCs w:val="20"/>
          <w:lang w:val="en-CA" w:eastAsia="fr-CA"/>
        </w:rPr>
        <w:t xml:space="preserve"> licenses comprising the Property are in their first year of tenure and require expenditures of CDN$200/claim to be incurred on or before December 27, 2021, totaling CDN$103,400 for all claims.</w:t>
      </w:r>
      <w:r w:rsidRPr="00153266" w:rsidDel="00524661">
        <w:rPr>
          <w:rFonts w:asciiTheme="minorHAnsi" w:eastAsia="Times New Roman" w:hAnsiTheme="minorHAnsi" w:cstheme="minorHAnsi"/>
          <w:color w:val="FF0000"/>
          <w:sz w:val="24"/>
          <w:szCs w:val="20"/>
          <w:lang w:val="en-CA" w:eastAsia="fr-CA"/>
        </w:rPr>
        <w:t xml:space="preserve"> </w:t>
      </w:r>
      <w:r w:rsidRPr="00153266">
        <w:rPr>
          <w:rFonts w:asciiTheme="minorHAnsi" w:eastAsia="Times New Roman" w:hAnsiTheme="minorHAnsi" w:cstheme="minorHAnsi"/>
          <w:color w:val="FF0000"/>
          <w:sz w:val="24"/>
          <w:szCs w:val="20"/>
          <w:lang w:val="en-CA" w:eastAsia="fr-CA"/>
        </w:rPr>
        <w:t xml:space="preserve"> </w:t>
      </w:r>
      <w:r w:rsidRPr="00153266">
        <w:rPr>
          <w:rFonts w:asciiTheme="minorHAnsi" w:eastAsia="Times New Roman" w:hAnsiTheme="minorHAnsi" w:cstheme="minorHAnsi"/>
          <w:sz w:val="24"/>
          <w:szCs w:val="20"/>
          <w:lang w:val="en-CA" w:eastAsia="fr-CA"/>
        </w:rPr>
        <w:t xml:space="preserve">A mineral exploration licence is issued for terms of five years </w:t>
      </w:r>
      <w:r w:rsidRPr="00153266">
        <w:rPr>
          <w:rFonts w:asciiTheme="minorHAnsi" w:eastAsia="Times New Roman" w:hAnsiTheme="minorHAnsi" w:cstheme="minorHAnsi"/>
          <w:sz w:val="24"/>
          <w:szCs w:val="20"/>
          <w:lang w:val="en-US" w:eastAsia="en-US"/>
        </w:rPr>
        <w:t>(which is renewable for three additional five-year terms and 10 additional one-year terms)</w:t>
      </w:r>
      <w:r w:rsidRPr="00153266">
        <w:rPr>
          <w:rFonts w:asciiTheme="minorHAnsi" w:eastAsia="Times New Roman" w:hAnsiTheme="minorHAnsi" w:cstheme="minorHAnsi"/>
          <w:sz w:val="24"/>
          <w:szCs w:val="20"/>
          <w:lang w:val="en-CA" w:eastAsia="fr-CA"/>
        </w:rPr>
        <w:t xml:space="preserve"> and can be held for a maximum of thirty years. The minimum annual assessment work required to be completed on each claim held in a licence increases annually from CDN$200/claim in the first year to CDN</w:t>
      </w:r>
      <w:r w:rsidRPr="00153266">
        <w:rPr>
          <w:rFonts w:asciiTheme="minorHAnsi" w:eastAsia="Times New Roman" w:hAnsiTheme="minorHAnsi" w:cstheme="minorHAnsi"/>
          <w:sz w:val="24"/>
          <w:szCs w:val="20"/>
          <w:lang w:val="en-CA" w:eastAsia="en-CA"/>
        </w:rPr>
        <w:t xml:space="preserve"> $2,500/claim/year for years </w:t>
      </w:r>
      <w:proofErr w:type="gramStart"/>
      <w:r w:rsidRPr="00153266">
        <w:rPr>
          <w:rFonts w:asciiTheme="minorHAnsi" w:eastAsia="Times New Roman" w:hAnsiTheme="minorHAnsi" w:cstheme="minorHAnsi"/>
          <w:sz w:val="24"/>
          <w:szCs w:val="20"/>
          <w:lang w:val="en-CA" w:eastAsia="en-CA"/>
        </w:rPr>
        <w:t>twenty six</w:t>
      </w:r>
      <w:proofErr w:type="gramEnd"/>
      <w:r w:rsidRPr="00153266">
        <w:rPr>
          <w:rFonts w:asciiTheme="minorHAnsi" w:eastAsia="Times New Roman" w:hAnsiTheme="minorHAnsi" w:cstheme="minorHAnsi"/>
          <w:sz w:val="24"/>
          <w:szCs w:val="20"/>
          <w:lang w:val="en-CA" w:eastAsia="en-CA"/>
        </w:rPr>
        <w:t xml:space="preserve"> to thirty inclusive.</w:t>
      </w:r>
    </w:p>
    <w:p w14:paraId="3359033D"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CA" w:eastAsia="en-CA"/>
        </w:rPr>
      </w:pPr>
    </w:p>
    <w:p w14:paraId="78DE02F0"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CA" w:eastAsia="en-CA"/>
        </w:rPr>
      </w:pPr>
      <w:r w:rsidRPr="00153266">
        <w:rPr>
          <w:rFonts w:asciiTheme="minorHAnsi" w:eastAsia="Times New Roman" w:hAnsiTheme="minorHAnsi" w:cstheme="minorHAnsi"/>
          <w:sz w:val="24"/>
          <w:szCs w:val="20"/>
          <w:lang w:val="en-CA" w:eastAsia="en-CA"/>
        </w:rPr>
        <w:t xml:space="preserve">Copper was first discovered on the Property area in 1946, but significant exploration, including geological mapping, geochemical and geophysical surveying and diamond drilling was not undertaken until 1951-57. The next cycle of exploration lasted from 1968-1972 and included a variety of exploration techniques up to diamond drilling. From 1991-1992, Noranda, explored the region and in 2011 a junior exploration company, Playfair, drilled </w:t>
      </w:r>
      <w:r w:rsidRPr="00153266">
        <w:rPr>
          <w:rFonts w:asciiTheme="minorHAnsi" w:eastAsia="Times New Roman" w:hAnsiTheme="minorHAnsi" w:cstheme="minorHAnsi"/>
          <w:sz w:val="24"/>
          <w:szCs w:val="20"/>
          <w:lang w:val="en-US" w:eastAsia="en-US"/>
        </w:rPr>
        <w:t xml:space="preserve">24 holes with a cumulative depth of 4354.7 m. Altius conducted reconnaissance work in 2015. </w:t>
      </w:r>
      <w:r w:rsidRPr="00153266">
        <w:rPr>
          <w:rFonts w:asciiTheme="minorHAnsi" w:eastAsia="Times New Roman" w:hAnsiTheme="minorHAnsi" w:cstheme="minorHAnsi"/>
          <w:sz w:val="24"/>
          <w:szCs w:val="20"/>
          <w:lang w:val="en-CA" w:eastAsia="en-CA"/>
        </w:rPr>
        <w:t xml:space="preserve"> None of these exploration programs defined economically exploitable mineralization.</w:t>
      </w:r>
    </w:p>
    <w:p w14:paraId="7823B1D6"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CA" w:eastAsia="en-CA"/>
        </w:rPr>
      </w:pPr>
    </w:p>
    <w:p w14:paraId="0C6A5A4D"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US" w:eastAsia="en-US"/>
        </w:rPr>
      </w:pPr>
      <w:r w:rsidRPr="00153266">
        <w:rPr>
          <w:rFonts w:asciiTheme="minorHAnsi" w:eastAsia="Times New Roman" w:hAnsiTheme="minorHAnsi" w:cstheme="minorHAnsi"/>
          <w:sz w:val="24"/>
          <w:szCs w:val="20"/>
          <w:lang w:val="en-CA" w:eastAsia="en-CA"/>
        </w:rPr>
        <w:t xml:space="preserve">The Property covers the ca. 1224-1250 million-year-old (Ma) Seal Lake Group. This unit is a 5.2-14 km thick sequence of relatively unmetamorphosed </w:t>
      </w:r>
      <w:r w:rsidRPr="00153266">
        <w:rPr>
          <w:rFonts w:asciiTheme="minorHAnsi" w:eastAsia="Times New Roman" w:hAnsiTheme="minorHAnsi" w:cstheme="minorHAnsi"/>
          <w:sz w:val="24"/>
          <w:szCs w:val="24"/>
          <w:lang w:val="en-US" w:eastAsia="en-US"/>
        </w:rPr>
        <w:t xml:space="preserve">shallow-marine to </w:t>
      </w:r>
      <w:proofErr w:type="gramStart"/>
      <w:r w:rsidRPr="00153266">
        <w:rPr>
          <w:rFonts w:asciiTheme="minorHAnsi" w:eastAsia="Times New Roman" w:hAnsiTheme="minorHAnsi" w:cstheme="minorHAnsi"/>
          <w:sz w:val="24"/>
          <w:szCs w:val="24"/>
          <w:lang w:val="en-US" w:eastAsia="en-US"/>
        </w:rPr>
        <w:t>continentally-derived</w:t>
      </w:r>
      <w:proofErr w:type="gramEnd"/>
      <w:r w:rsidRPr="00153266">
        <w:rPr>
          <w:rFonts w:asciiTheme="minorHAnsi" w:eastAsia="Times New Roman" w:hAnsiTheme="minorHAnsi" w:cstheme="minorHAnsi"/>
          <w:sz w:val="24"/>
          <w:szCs w:val="24"/>
          <w:lang w:val="en-US" w:eastAsia="en-US"/>
        </w:rPr>
        <w:t xml:space="preserve"> sedimentary units and flood basalts along with voluminous diabase sills, that were slightly </w:t>
      </w:r>
      <w:r w:rsidRPr="00153266">
        <w:rPr>
          <w:rFonts w:asciiTheme="minorHAnsi" w:eastAsia="Times New Roman" w:hAnsiTheme="minorHAnsi" w:cstheme="minorHAnsi"/>
          <w:sz w:val="24"/>
          <w:szCs w:val="20"/>
          <w:lang w:val="en-US" w:eastAsia="en-US"/>
        </w:rPr>
        <w:t>deformed during the ca. 1000</w:t>
      </w:r>
      <w:r w:rsidRPr="00153266">
        <w:rPr>
          <w:rFonts w:asciiTheme="minorHAnsi" w:eastAsia="Times New Roman" w:hAnsiTheme="minorHAnsi" w:cstheme="minorHAnsi"/>
          <w:sz w:val="24"/>
          <w:szCs w:val="20"/>
          <w:lang w:val="en-CA" w:eastAsia="en-CA"/>
        </w:rPr>
        <w:t xml:space="preserve"> Ma </w:t>
      </w:r>
      <w:r w:rsidRPr="00153266">
        <w:rPr>
          <w:rFonts w:asciiTheme="minorHAnsi" w:eastAsia="Times New Roman" w:hAnsiTheme="minorHAnsi" w:cstheme="minorHAnsi"/>
          <w:sz w:val="24"/>
          <w:szCs w:val="20"/>
          <w:lang w:val="en-US" w:eastAsia="en-US"/>
        </w:rPr>
        <w:t xml:space="preserve">Grenville Orogeny. </w:t>
      </w:r>
    </w:p>
    <w:p w14:paraId="671703AD"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US" w:eastAsia="en-US"/>
        </w:rPr>
      </w:pPr>
    </w:p>
    <w:p w14:paraId="78F4FD87"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US" w:eastAsia="en-US"/>
        </w:rPr>
      </w:pPr>
      <w:r w:rsidRPr="00153266">
        <w:rPr>
          <w:rFonts w:asciiTheme="minorHAnsi" w:eastAsia="Times New Roman" w:hAnsiTheme="minorHAnsi" w:cstheme="minorHAnsi"/>
          <w:sz w:val="24"/>
          <w:szCs w:val="20"/>
          <w:lang w:val="en-US" w:eastAsia="en-US"/>
        </w:rPr>
        <w:t xml:space="preserve">The Seal Lake Group hosts at least 250 copper occurrences and the mineralization has been dated at </w:t>
      </w:r>
      <w:r w:rsidRPr="00153266">
        <w:rPr>
          <w:rFonts w:asciiTheme="minorHAnsi" w:eastAsia="Times New Roman" w:hAnsiTheme="minorHAnsi" w:cstheme="minorHAnsi"/>
          <w:sz w:val="24"/>
          <w:szCs w:val="24"/>
          <w:lang w:val="en-US" w:eastAsia="en-US"/>
        </w:rPr>
        <w:t>1084</w:t>
      </w:r>
      <w:r w:rsidRPr="00153266">
        <w:rPr>
          <w:rFonts w:asciiTheme="minorHAnsi" w:eastAsia="Calibri" w:hAnsiTheme="minorHAnsi" w:cstheme="minorHAnsi"/>
          <w:sz w:val="24"/>
          <w:szCs w:val="24"/>
          <w:lang w:val="en-US" w:eastAsia="es-MX"/>
        </w:rPr>
        <w:t xml:space="preserve"> and 1064-</w:t>
      </w:r>
      <w:r w:rsidRPr="00153266">
        <w:rPr>
          <w:rFonts w:asciiTheme="minorHAnsi" w:eastAsia="Times New Roman" w:hAnsiTheme="minorHAnsi" w:cstheme="minorHAnsi"/>
          <w:sz w:val="24"/>
          <w:szCs w:val="24"/>
          <w:lang w:val="en-US" w:eastAsia="en-US"/>
        </w:rPr>
        <w:t xml:space="preserve">1069.6 Ma, respectively at two different occurrences. </w:t>
      </w:r>
      <w:r w:rsidRPr="00153266">
        <w:rPr>
          <w:rFonts w:asciiTheme="minorHAnsi" w:eastAsia="Times New Roman" w:hAnsiTheme="minorHAnsi" w:cstheme="minorHAnsi"/>
          <w:sz w:val="24"/>
          <w:szCs w:val="20"/>
          <w:lang w:val="en-US" w:eastAsia="en-US"/>
        </w:rPr>
        <w:t xml:space="preserve">The mineralization appears to be epigenetic with respect to the immediate host rocks and has many striking parallels with other </w:t>
      </w:r>
      <w:r w:rsidRPr="00153266">
        <w:rPr>
          <w:rFonts w:asciiTheme="minorHAnsi" w:eastAsia="Times New Roman" w:hAnsiTheme="minorHAnsi" w:cstheme="minorHAnsi"/>
          <w:sz w:val="24"/>
          <w:szCs w:val="24"/>
          <w:lang w:val="en-US" w:eastAsia="en-US"/>
        </w:rPr>
        <w:t xml:space="preserve">sediment-hosted stratiform copper (SSC) deposits including the </w:t>
      </w:r>
      <w:proofErr w:type="spellStart"/>
      <w:r w:rsidRPr="00153266">
        <w:rPr>
          <w:rFonts w:asciiTheme="minorHAnsi" w:eastAsia="Times New Roman" w:hAnsiTheme="minorHAnsi" w:cstheme="minorHAnsi"/>
          <w:sz w:val="24"/>
          <w:szCs w:val="20"/>
          <w:lang w:val="en-US" w:eastAsia="en-US"/>
        </w:rPr>
        <w:t>Kupferschiefer</w:t>
      </w:r>
      <w:proofErr w:type="spellEnd"/>
      <w:r w:rsidRPr="00153266">
        <w:rPr>
          <w:rFonts w:asciiTheme="minorHAnsi" w:eastAsia="Times New Roman" w:hAnsiTheme="minorHAnsi" w:cstheme="minorHAnsi"/>
          <w:sz w:val="24"/>
          <w:szCs w:val="20"/>
          <w:lang w:val="en-US" w:eastAsia="en-US"/>
        </w:rPr>
        <w:t xml:space="preserve"> the </w:t>
      </w:r>
      <w:proofErr w:type="spellStart"/>
      <w:r w:rsidRPr="00153266">
        <w:rPr>
          <w:rFonts w:asciiTheme="minorHAnsi" w:eastAsia="Times New Roman" w:hAnsiTheme="minorHAnsi" w:cstheme="minorHAnsi"/>
          <w:sz w:val="24"/>
          <w:szCs w:val="20"/>
          <w:lang w:val="en-US" w:eastAsia="en-US"/>
        </w:rPr>
        <w:t>Katangan</w:t>
      </w:r>
      <w:proofErr w:type="spellEnd"/>
      <w:r w:rsidRPr="00153266">
        <w:rPr>
          <w:rFonts w:asciiTheme="minorHAnsi" w:eastAsia="Times New Roman" w:hAnsiTheme="minorHAnsi" w:cstheme="minorHAnsi"/>
          <w:sz w:val="24"/>
          <w:szCs w:val="20"/>
          <w:lang w:val="en-US" w:eastAsia="en-US"/>
        </w:rPr>
        <w:t xml:space="preserve"> Copperbelt.</w:t>
      </w:r>
    </w:p>
    <w:p w14:paraId="69AF23A5"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0"/>
          <w:lang w:val="en-US" w:eastAsia="en-US"/>
        </w:rPr>
      </w:pPr>
    </w:p>
    <w:p w14:paraId="7EF757A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Property clearly demonstrates potential to host significant sediment-hosted copper (SSC) mineralization, particularly within reduced grey beds of the Adeline Island Formation of the Seal Lake Group. Previous exploration campaigns sought small, very high-grade copper deposits and as such only involved shallow drilling programs and short step outs and lacked sustained effort or focus. </w:t>
      </w:r>
    </w:p>
    <w:p w14:paraId="71EB161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2BB113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program proposed herein for the Property targets four stratigraphic horizons in the Seal Like Group with first phase programs of core re-logging, detailed geological mapping, prospecting, and soil sampling to identify drill targets within the target areas.</w:t>
      </w:r>
    </w:p>
    <w:p w14:paraId="3D91943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4EF3B1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color w:val="1D2228"/>
          <w:sz w:val="24"/>
          <w:szCs w:val="24"/>
          <w:shd w:val="clear" w:color="auto" w:fill="FFFFFF"/>
          <w:lang w:val="en-US" w:eastAsia="en-US"/>
        </w:rPr>
        <w:t xml:space="preserve">The Definitive Agreement is anticipated to conclude on or about </w:t>
      </w:r>
      <w:proofErr w:type="gramStart"/>
      <w:r w:rsidRPr="00153266">
        <w:rPr>
          <w:rFonts w:asciiTheme="minorHAnsi" w:eastAsiaTheme="minorHAnsi" w:hAnsiTheme="minorHAnsi" w:cstheme="minorHAnsi"/>
          <w:color w:val="1D2228"/>
          <w:sz w:val="24"/>
          <w:szCs w:val="24"/>
          <w:shd w:val="clear" w:color="auto" w:fill="FFFFFF"/>
          <w:lang w:val="en-US" w:eastAsia="en-US"/>
        </w:rPr>
        <w:t>July,</w:t>
      </w:r>
      <w:proofErr w:type="gramEnd"/>
      <w:r w:rsidRPr="00153266">
        <w:rPr>
          <w:rFonts w:asciiTheme="minorHAnsi" w:eastAsiaTheme="minorHAnsi" w:hAnsiTheme="minorHAnsi" w:cstheme="minorHAnsi"/>
          <w:color w:val="1D2228"/>
          <w:sz w:val="24"/>
          <w:szCs w:val="24"/>
          <w:shd w:val="clear" w:color="auto" w:fill="FFFFFF"/>
          <w:lang w:val="en-US" w:eastAsia="en-US"/>
        </w:rPr>
        <w:t xml:space="preserve"> 12, 2021.</w:t>
      </w:r>
    </w:p>
    <w:p w14:paraId="38BB0E5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B22EF48" w14:textId="50620174"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ADE8EDD" w14:textId="271B9851"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8AF21B5" w14:textId="21AD0522"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5AA9DCE" w14:textId="7D74A101"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E5193E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64293C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32BB4B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lastRenderedPageBreak/>
        <w:t>2.0 INTRODUCTION</w:t>
      </w:r>
    </w:p>
    <w:p w14:paraId="7EC0F3F8"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4B5C7E5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2.1 Terms of Reference AND QUALIFICATIONS OF COMPETENT PERSON</w:t>
      </w:r>
    </w:p>
    <w:p w14:paraId="36676BDB" w14:textId="77777777" w:rsidR="00153266" w:rsidRPr="00153266" w:rsidRDefault="00153266" w:rsidP="00153266">
      <w:pPr>
        <w:widowControl/>
        <w:autoSpaceDE/>
        <w:autoSpaceDN/>
        <w:adjustRightInd/>
        <w:ind w:left="1440" w:right="1164"/>
        <w:contextualSpacing/>
        <w:jc w:val="both"/>
        <w:rPr>
          <w:rFonts w:asciiTheme="minorHAnsi" w:eastAsiaTheme="minorHAnsi" w:hAnsiTheme="minorHAnsi" w:cstheme="minorHAnsi"/>
          <w:caps/>
          <w:sz w:val="24"/>
          <w:szCs w:val="24"/>
          <w:lang w:val="en-US" w:eastAsia="en-US"/>
        </w:rPr>
      </w:pPr>
    </w:p>
    <w:p w14:paraId="38A17664"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r w:rsidRPr="00153266">
        <w:rPr>
          <w:rFonts w:asciiTheme="minorHAnsi" w:eastAsia="Times New Roman" w:hAnsiTheme="minorHAnsi" w:cstheme="minorHAnsi"/>
          <w:sz w:val="24"/>
          <w:szCs w:val="20"/>
          <w:lang w:eastAsia="en-US"/>
        </w:rPr>
        <w:t xml:space="preserve">Terms of reference for this report were established through discussions between Chesterfield and the author in </w:t>
      </w:r>
      <w:proofErr w:type="gramStart"/>
      <w:r w:rsidRPr="00153266">
        <w:rPr>
          <w:rFonts w:asciiTheme="minorHAnsi" w:eastAsia="Times New Roman" w:hAnsiTheme="minorHAnsi" w:cstheme="minorHAnsi"/>
          <w:sz w:val="24"/>
          <w:szCs w:val="20"/>
          <w:lang w:eastAsia="en-US"/>
        </w:rPr>
        <w:t>April,</w:t>
      </w:r>
      <w:proofErr w:type="gramEnd"/>
      <w:r w:rsidRPr="00153266">
        <w:rPr>
          <w:rFonts w:asciiTheme="minorHAnsi" w:eastAsia="Times New Roman" w:hAnsiTheme="minorHAnsi" w:cstheme="minorHAnsi"/>
          <w:sz w:val="24"/>
          <w:szCs w:val="20"/>
          <w:lang w:eastAsia="en-US"/>
        </w:rPr>
        <w:t xml:space="preserve"> 2021, and on April 12</w:t>
      </w:r>
      <w:r w:rsidRPr="00153266">
        <w:rPr>
          <w:rFonts w:asciiTheme="minorHAnsi" w:eastAsia="Times New Roman" w:hAnsiTheme="minorHAnsi" w:cstheme="minorHAnsi"/>
          <w:sz w:val="24"/>
          <w:szCs w:val="20"/>
          <w:vertAlign w:val="superscript"/>
          <w:lang w:eastAsia="en-US"/>
        </w:rPr>
        <w:t>th</w:t>
      </w:r>
      <w:r w:rsidRPr="00153266">
        <w:rPr>
          <w:rFonts w:asciiTheme="minorHAnsi" w:eastAsia="Times New Roman" w:hAnsiTheme="minorHAnsi" w:cstheme="minorHAnsi"/>
          <w:sz w:val="24"/>
          <w:szCs w:val="20"/>
          <w:lang w:eastAsia="en-US"/>
        </w:rPr>
        <w:t>, 2021, Chesterfield retained the author to prepare this Competent Person’s Report. This report has been prepared to the standards of the United Kingdom Listing Authority (“UKLA”). The report was prepared in St. John’s, in June-</w:t>
      </w:r>
      <w:proofErr w:type="gramStart"/>
      <w:r w:rsidRPr="00153266">
        <w:rPr>
          <w:rFonts w:asciiTheme="minorHAnsi" w:eastAsia="Times New Roman" w:hAnsiTheme="minorHAnsi" w:cstheme="minorHAnsi"/>
          <w:sz w:val="24"/>
          <w:szCs w:val="20"/>
          <w:lang w:eastAsia="en-US"/>
        </w:rPr>
        <w:t>July,</w:t>
      </w:r>
      <w:proofErr w:type="gramEnd"/>
      <w:r w:rsidRPr="00153266">
        <w:rPr>
          <w:rFonts w:asciiTheme="minorHAnsi" w:eastAsia="Times New Roman" w:hAnsiTheme="minorHAnsi" w:cstheme="minorHAnsi"/>
          <w:sz w:val="24"/>
          <w:szCs w:val="20"/>
          <w:lang w:eastAsia="en-US"/>
        </w:rPr>
        <w:t xml:space="preserve"> 2021.</w:t>
      </w:r>
    </w:p>
    <w:p w14:paraId="2547BF42" w14:textId="77777777" w:rsidR="00153266" w:rsidRPr="00153266" w:rsidRDefault="00153266" w:rsidP="00153266">
      <w:pPr>
        <w:widowControl/>
        <w:autoSpaceDE/>
        <w:autoSpaceDN/>
        <w:adjustRightInd/>
        <w:spacing w:after="240"/>
        <w:ind w:right="1164"/>
        <w:jc w:val="both"/>
        <w:rPr>
          <w:rFonts w:asciiTheme="minorHAnsi" w:eastAsia="Calibri" w:hAnsiTheme="minorHAnsi" w:cstheme="minorHAnsi"/>
          <w:sz w:val="24"/>
          <w:szCs w:val="20"/>
          <w:lang w:eastAsia="es-MX"/>
        </w:rPr>
      </w:pPr>
      <w:r w:rsidRPr="00153266">
        <w:rPr>
          <w:rFonts w:asciiTheme="minorHAnsi" w:eastAsia="Calibri" w:hAnsiTheme="minorHAnsi" w:cstheme="minorHAnsi"/>
          <w:sz w:val="24"/>
          <w:szCs w:val="20"/>
          <w:lang w:eastAsia="en-US"/>
        </w:rPr>
        <w:t xml:space="preserve">The author of this report, </w:t>
      </w:r>
      <w:proofErr w:type="spellStart"/>
      <w:r w:rsidRPr="00153266">
        <w:rPr>
          <w:rFonts w:asciiTheme="minorHAnsi" w:eastAsia="Times New Roman" w:hAnsiTheme="minorHAnsi" w:cstheme="minorHAnsi"/>
          <w:sz w:val="24"/>
          <w:szCs w:val="20"/>
          <w:lang w:eastAsia="en-US"/>
        </w:rPr>
        <w:t>Dr.</w:t>
      </w:r>
      <w:proofErr w:type="spellEnd"/>
      <w:r w:rsidRPr="00153266">
        <w:rPr>
          <w:rFonts w:asciiTheme="minorHAnsi" w:eastAsia="Times New Roman" w:hAnsiTheme="minorHAnsi" w:cstheme="minorHAnsi"/>
          <w:sz w:val="24"/>
          <w:szCs w:val="20"/>
          <w:lang w:eastAsia="en-US"/>
        </w:rPr>
        <w:t xml:space="preserve"> Derek H.C. Wilton, </w:t>
      </w:r>
      <w:proofErr w:type="spellStart"/>
      <w:r w:rsidRPr="00153266">
        <w:rPr>
          <w:rFonts w:asciiTheme="minorHAnsi" w:eastAsia="Times New Roman" w:hAnsiTheme="minorHAnsi" w:cstheme="minorHAnsi"/>
          <w:sz w:val="24"/>
          <w:szCs w:val="20"/>
          <w:lang w:eastAsia="en-US"/>
        </w:rPr>
        <w:t>P.Geo</w:t>
      </w:r>
      <w:proofErr w:type="spellEnd"/>
      <w:r w:rsidRPr="00153266">
        <w:rPr>
          <w:rFonts w:asciiTheme="minorHAnsi" w:eastAsia="Times New Roman" w:hAnsiTheme="minorHAnsi" w:cstheme="minorHAnsi"/>
          <w:sz w:val="24"/>
          <w:szCs w:val="20"/>
          <w:lang w:eastAsia="en-US"/>
        </w:rPr>
        <w:t>.,</w:t>
      </w:r>
      <w:r w:rsidRPr="00153266">
        <w:rPr>
          <w:rFonts w:asciiTheme="minorHAnsi" w:eastAsia="Calibri" w:hAnsiTheme="minorHAnsi" w:cstheme="minorHAnsi"/>
          <w:sz w:val="24"/>
          <w:szCs w:val="20"/>
          <w:lang w:eastAsia="en-US"/>
        </w:rPr>
        <w:t xml:space="preserve"> is an independent Qualified Person who </w:t>
      </w:r>
      <w:r w:rsidRPr="00153266">
        <w:rPr>
          <w:rFonts w:asciiTheme="minorHAnsi" w:eastAsia="Calibri" w:hAnsiTheme="minorHAnsi" w:cstheme="minorHAnsi"/>
          <w:sz w:val="24"/>
          <w:szCs w:val="20"/>
          <w:lang w:eastAsia="es-MX"/>
        </w:rPr>
        <w:t xml:space="preserve">carried out the work associated with report preparation on a fee for service basis. </w:t>
      </w:r>
      <w:r w:rsidRPr="00153266">
        <w:rPr>
          <w:rFonts w:asciiTheme="minorHAnsi" w:eastAsia="Times New Roman" w:hAnsiTheme="minorHAnsi" w:cstheme="minorHAnsi"/>
          <w:sz w:val="24"/>
          <w:szCs w:val="20"/>
          <w:lang w:eastAsia="en-US"/>
        </w:rPr>
        <w:t xml:space="preserve">The author was a long-time professor of Economic Geology at Memorial University and presently is an </w:t>
      </w:r>
      <w:proofErr w:type="spellStart"/>
      <w:r w:rsidRPr="00153266">
        <w:rPr>
          <w:rFonts w:asciiTheme="minorHAnsi" w:eastAsia="Times New Roman" w:hAnsiTheme="minorHAnsi" w:cstheme="minorHAnsi"/>
          <w:sz w:val="24"/>
          <w:szCs w:val="20"/>
          <w:lang w:eastAsia="en-US"/>
        </w:rPr>
        <w:t>Honourary</w:t>
      </w:r>
      <w:proofErr w:type="spellEnd"/>
      <w:r w:rsidRPr="00153266">
        <w:rPr>
          <w:rFonts w:asciiTheme="minorHAnsi" w:eastAsia="Times New Roman" w:hAnsiTheme="minorHAnsi" w:cstheme="minorHAnsi"/>
          <w:sz w:val="24"/>
          <w:szCs w:val="20"/>
          <w:lang w:eastAsia="en-US"/>
        </w:rPr>
        <w:t xml:space="preserve"> Research Professor there.  The author is registered with the Professional Engineers and Geoscientists Newfoundland &amp; Labrador (PEGNL). The author followed Canadian National Instrument 43-101 (“NI 43-101”), Form 43-101F1, Technical Report standards and ESMA CESR recommendations in writing this report.</w:t>
      </w:r>
    </w:p>
    <w:p w14:paraId="4C811427" w14:textId="77777777" w:rsidR="00153266" w:rsidRPr="00153266" w:rsidRDefault="00153266" w:rsidP="00153266">
      <w:pPr>
        <w:widowControl/>
        <w:autoSpaceDE/>
        <w:autoSpaceDN/>
        <w:adjustRightInd/>
        <w:ind w:right="1164"/>
        <w:jc w:val="both"/>
        <w:rPr>
          <w:rFonts w:asciiTheme="minorHAnsi" w:eastAsia="Calibri" w:hAnsiTheme="minorHAnsi" w:cstheme="minorHAnsi"/>
          <w:sz w:val="24"/>
          <w:szCs w:val="20"/>
          <w:lang w:val="en-US" w:eastAsia="es-MX"/>
        </w:rPr>
      </w:pPr>
      <w:r w:rsidRPr="00153266">
        <w:rPr>
          <w:rFonts w:asciiTheme="minorHAnsi" w:eastAsia="Times New Roman" w:hAnsiTheme="minorHAnsi" w:cstheme="minorHAnsi"/>
          <w:sz w:val="24"/>
          <w:szCs w:val="20"/>
          <w:lang w:val="en-US" w:eastAsia="en-US"/>
        </w:rPr>
        <w:t xml:space="preserve">Wilton has past consulting and academic experience on the geology and mineral occurrences of the Adeline project area. In detail, </w:t>
      </w:r>
      <w:r w:rsidRPr="00153266">
        <w:rPr>
          <w:rFonts w:asciiTheme="minorHAnsi" w:eastAsia="Calibri" w:hAnsiTheme="minorHAnsi" w:cstheme="minorHAnsi"/>
          <w:sz w:val="24"/>
          <w:szCs w:val="20"/>
          <w:lang w:val="en-US" w:eastAsia="es-MX"/>
        </w:rPr>
        <w:t xml:space="preserve">Wilton has worked on copper occurrences in the region from 1985 to the present and has published a number of reports thereon, including </w:t>
      </w:r>
      <w:proofErr w:type="spellStart"/>
      <w:r w:rsidRPr="00153266">
        <w:rPr>
          <w:rFonts w:asciiTheme="minorHAnsi" w:eastAsia="Calibri" w:hAnsiTheme="minorHAnsi" w:cstheme="minorHAnsi"/>
          <w:sz w:val="24"/>
          <w:szCs w:val="20"/>
          <w:lang w:val="en-US" w:eastAsia="es-MX"/>
        </w:rPr>
        <w:t>Ivany</w:t>
      </w:r>
      <w:proofErr w:type="spellEnd"/>
      <w:r w:rsidRPr="00153266">
        <w:rPr>
          <w:rFonts w:asciiTheme="minorHAnsi" w:eastAsia="Calibri" w:hAnsiTheme="minorHAnsi" w:cstheme="minorHAnsi"/>
          <w:sz w:val="24"/>
          <w:szCs w:val="20"/>
          <w:lang w:val="en-US" w:eastAsia="es-MX"/>
        </w:rPr>
        <w:t xml:space="preserve"> and Wilton (1989), </w:t>
      </w:r>
      <w:proofErr w:type="spellStart"/>
      <w:r w:rsidRPr="00153266">
        <w:rPr>
          <w:rFonts w:asciiTheme="minorHAnsi" w:eastAsia="Calibri" w:hAnsiTheme="minorHAnsi" w:cstheme="minorHAnsi"/>
          <w:sz w:val="24"/>
          <w:szCs w:val="20"/>
          <w:lang w:val="en-US" w:eastAsia="es-MX"/>
        </w:rPr>
        <w:t>Perrelló</w:t>
      </w:r>
      <w:proofErr w:type="spellEnd"/>
      <w:r w:rsidRPr="00153266">
        <w:rPr>
          <w:rFonts w:asciiTheme="minorHAnsi" w:eastAsia="Calibri" w:hAnsiTheme="minorHAnsi" w:cstheme="minorHAnsi"/>
          <w:sz w:val="24"/>
          <w:szCs w:val="20"/>
          <w:lang w:val="en-US" w:eastAsia="es-MX"/>
        </w:rPr>
        <w:t xml:space="preserve"> et al. (2017), Romer et al. (1995), Wardle and Wilton (1995), Wilton (1989a, 1989b, 1996), and Wilton and Selby (2017). Wilton wrote a report on the petrography of copper mineralization and host rocks from area for Altius in 2015 (Wilton, 2015). He has visited almost copper occurrences in the region, sampling many.</w:t>
      </w:r>
    </w:p>
    <w:p w14:paraId="0EEEF975" w14:textId="77777777" w:rsidR="00153266" w:rsidRPr="00153266" w:rsidRDefault="00153266" w:rsidP="00153266">
      <w:pPr>
        <w:widowControl/>
        <w:autoSpaceDE/>
        <w:autoSpaceDN/>
        <w:adjustRightInd/>
        <w:ind w:right="1164"/>
        <w:jc w:val="both"/>
        <w:rPr>
          <w:rFonts w:asciiTheme="minorHAnsi" w:eastAsia="Calibri" w:hAnsiTheme="minorHAnsi" w:cstheme="minorHAnsi"/>
          <w:sz w:val="24"/>
          <w:szCs w:val="20"/>
          <w:lang w:val="en-US" w:eastAsia="es-MX"/>
        </w:rPr>
      </w:pPr>
    </w:p>
    <w:p w14:paraId="00E4B674"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sz w:val="24"/>
          <w:szCs w:val="24"/>
          <w:lang w:val="en-US" w:eastAsia="en-US"/>
        </w:rPr>
      </w:pPr>
      <w:r w:rsidRPr="00153266">
        <w:rPr>
          <w:rFonts w:asciiTheme="minorHAnsi" w:eastAsia="Times New Roman" w:hAnsiTheme="minorHAnsi" w:cstheme="minorHAnsi"/>
          <w:sz w:val="24"/>
          <w:szCs w:val="24"/>
          <w:lang w:val="en-US" w:eastAsia="en-US"/>
        </w:rPr>
        <w:t>The author of this report consulted with Altius concerning its previous activity on the Property. The author also made use of the Altius cartography staff to produce some of the map images, but under his direction.</w:t>
      </w:r>
    </w:p>
    <w:p w14:paraId="6138356A" w14:textId="77777777" w:rsidR="00153266" w:rsidRPr="00153266" w:rsidRDefault="00153266" w:rsidP="00153266">
      <w:pPr>
        <w:widowControl/>
        <w:autoSpaceDE/>
        <w:autoSpaceDN/>
        <w:adjustRightInd/>
        <w:ind w:right="1164"/>
        <w:jc w:val="both"/>
        <w:rPr>
          <w:rFonts w:ascii="Calibri" w:eastAsia="Calibri" w:hAnsi="Calibri" w:cs="Times New Roman"/>
          <w:sz w:val="24"/>
          <w:szCs w:val="20"/>
          <w:lang w:val="en-US" w:eastAsia="es-MX"/>
        </w:rPr>
      </w:pPr>
    </w:p>
    <w:p w14:paraId="446602F8"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r w:rsidRPr="00153266">
        <w:rPr>
          <w:rFonts w:asciiTheme="minorHAnsi" w:eastAsia="Times New Roman" w:hAnsiTheme="minorHAnsi" w:cstheme="minorHAnsi"/>
          <w:sz w:val="24"/>
          <w:szCs w:val="20"/>
          <w:lang w:eastAsia="en-US"/>
        </w:rPr>
        <w:t>The author of this report (including family members or associates) does not have a business relationship, other than acting as an independent consultant, with Chesterfield or Altius or their affiliates, nor with any other company mentioned in the report, which is likely to materially influence their impartiality or create the perception that the report could be compromised or biased in any way.  The views expressed herein are genuinely held and deemed independent of Chesterfield and Altius.</w:t>
      </w:r>
    </w:p>
    <w:p w14:paraId="188CB2C5"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r w:rsidRPr="00153266">
        <w:rPr>
          <w:rFonts w:asciiTheme="minorHAnsi" w:eastAsia="Times New Roman" w:hAnsiTheme="minorHAnsi" w:cstheme="minorHAnsi"/>
          <w:sz w:val="24"/>
          <w:szCs w:val="20"/>
          <w:lang w:eastAsia="en-US"/>
        </w:rPr>
        <w:t>Moreover, the author of the report (nor his family members or associates) does not have any financial interest in the outcome of any transaction involving the properties considered in this report, other than the payment of normal professional fees for the work undertaken in their preparation (which are based upon hourly charge-out rates and reimbursement of expenses).  The payment of such fees is not dependent upon the content or the conclusions of either this report, or any consequences of any proposed transaction.</w:t>
      </w:r>
    </w:p>
    <w:p w14:paraId="68B2FEC3"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r w:rsidRPr="00153266">
        <w:rPr>
          <w:rFonts w:asciiTheme="minorHAnsi" w:eastAsia="Times New Roman" w:hAnsiTheme="minorHAnsi" w:cstheme="minorHAnsi"/>
          <w:sz w:val="24"/>
          <w:szCs w:val="20"/>
          <w:lang w:eastAsia="en-US"/>
        </w:rPr>
        <w:t xml:space="preserve">Chesterfield has accepted that the qualifications, expertise, experience, competence, and professional reputation of the author are appropriate and relevant for the preparation of this report.  </w:t>
      </w:r>
    </w:p>
    <w:p w14:paraId="35E47ED1" w14:textId="1AA3FE87" w:rsid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p>
    <w:p w14:paraId="20685364"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p>
    <w:p w14:paraId="19E1FB0F" w14:textId="77777777" w:rsidR="00153266" w:rsidRPr="00153266" w:rsidRDefault="00153266" w:rsidP="00512495">
      <w:pPr>
        <w:widowControl/>
        <w:numPr>
          <w:ilvl w:val="1"/>
          <w:numId w:val="41"/>
        </w:numPr>
        <w:autoSpaceDE/>
        <w:autoSpaceDN/>
        <w:adjustRightInd/>
        <w:ind w:right="1164"/>
        <w:contextualSpacing/>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lastRenderedPageBreak/>
        <w:t>Terms, Definitions and Units</w:t>
      </w:r>
    </w:p>
    <w:p w14:paraId="0D692DD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7105E3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This Report uses both the Imperial and Metric Systems (System International or “SI”) as systems of length and measure. Many of the geological publications and the more recent work assessment files use the SI system, but older geological work, including assessment files, almost exclusively refers to the Imperial System.  </w:t>
      </w:r>
    </w:p>
    <w:p w14:paraId="69FAED9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olor w:val="4472C4" w:themeColor="accent1"/>
          <w:sz w:val="24"/>
          <w:szCs w:val="24"/>
          <w:u w:val="single"/>
          <w:lang w:val="en-US" w:eastAsia="en-US"/>
        </w:rPr>
      </w:pPr>
    </w:p>
    <w:p w14:paraId="5A78DD7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ar-SA"/>
        </w:rPr>
      </w:pPr>
      <w:r w:rsidRPr="00153266">
        <w:rPr>
          <w:rFonts w:asciiTheme="minorHAnsi" w:eastAsiaTheme="minorHAnsi" w:hAnsiTheme="minorHAnsi" w:cstheme="minorHAnsi"/>
          <w:sz w:val="24"/>
          <w:szCs w:val="24"/>
          <w:lang w:val="en-US" w:eastAsia="ar-SA"/>
        </w:rPr>
        <w:t xml:space="preserve">All costs contained in this report are in Canadian dollars (CDN$).  Distances are reported in </w:t>
      </w:r>
      <w:proofErr w:type="spellStart"/>
      <w:r w:rsidRPr="00153266">
        <w:rPr>
          <w:rFonts w:asciiTheme="minorHAnsi" w:eastAsiaTheme="minorHAnsi" w:hAnsiTheme="minorHAnsi" w:cstheme="minorHAnsi"/>
          <w:sz w:val="24"/>
          <w:szCs w:val="24"/>
          <w:lang w:val="en-US" w:eastAsia="ar-SA"/>
        </w:rPr>
        <w:t>centimetres</w:t>
      </w:r>
      <w:proofErr w:type="spellEnd"/>
      <w:r w:rsidRPr="00153266">
        <w:rPr>
          <w:rFonts w:asciiTheme="minorHAnsi" w:eastAsiaTheme="minorHAnsi" w:hAnsiTheme="minorHAnsi" w:cstheme="minorHAnsi"/>
          <w:sz w:val="24"/>
          <w:szCs w:val="24"/>
          <w:lang w:val="en-US" w:eastAsia="ar-SA"/>
        </w:rPr>
        <w:t xml:space="preserve"> (cm), </w:t>
      </w:r>
      <w:proofErr w:type="spellStart"/>
      <w:r w:rsidRPr="00153266">
        <w:rPr>
          <w:rFonts w:asciiTheme="minorHAnsi" w:eastAsiaTheme="minorHAnsi" w:hAnsiTheme="minorHAnsi" w:cstheme="minorHAnsi"/>
          <w:sz w:val="24"/>
          <w:szCs w:val="24"/>
          <w:lang w:val="en-US" w:eastAsia="ar-SA"/>
        </w:rPr>
        <w:t>metres</w:t>
      </w:r>
      <w:proofErr w:type="spellEnd"/>
      <w:r w:rsidRPr="00153266">
        <w:rPr>
          <w:rFonts w:asciiTheme="minorHAnsi" w:eastAsiaTheme="minorHAnsi" w:hAnsiTheme="minorHAnsi" w:cstheme="minorHAnsi"/>
          <w:sz w:val="24"/>
          <w:szCs w:val="24"/>
          <w:lang w:val="en-US" w:eastAsia="ar-SA"/>
        </w:rPr>
        <w:t xml:space="preserve"> (m) and km (</w:t>
      </w:r>
      <w:proofErr w:type="spellStart"/>
      <w:r w:rsidRPr="00153266">
        <w:rPr>
          <w:rFonts w:asciiTheme="minorHAnsi" w:eastAsiaTheme="minorHAnsi" w:hAnsiTheme="minorHAnsi" w:cstheme="minorHAnsi"/>
          <w:sz w:val="24"/>
          <w:szCs w:val="24"/>
          <w:lang w:val="en-US" w:eastAsia="ar-SA"/>
        </w:rPr>
        <w:t>kilometres</w:t>
      </w:r>
      <w:proofErr w:type="spellEnd"/>
      <w:r w:rsidRPr="00153266">
        <w:rPr>
          <w:rFonts w:asciiTheme="minorHAnsi" w:eastAsiaTheme="minorHAnsi" w:hAnsiTheme="minorHAnsi" w:cstheme="minorHAnsi"/>
          <w:sz w:val="24"/>
          <w:szCs w:val="24"/>
          <w:lang w:val="en-US" w:eastAsia="ar-SA"/>
        </w:rPr>
        <w:t xml:space="preserve">).  Area is reported in hectares (Ha or ha), </w:t>
      </w:r>
      <w:proofErr w:type="spellStart"/>
      <w:r w:rsidRPr="00153266">
        <w:rPr>
          <w:rFonts w:asciiTheme="minorHAnsi" w:eastAsiaTheme="minorHAnsi" w:hAnsiTheme="minorHAnsi" w:cstheme="minorHAnsi"/>
          <w:sz w:val="24"/>
          <w:szCs w:val="24"/>
          <w:lang w:val="en-US" w:eastAsia="ar-SA"/>
        </w:rPr>
        <w:t>kilometres</w:t>
      </w:r>
      <w:proofErr w:type="spellEnd"/>
      <w:r w:rsidRPr="00153266">
        <w:rPr>
          <w:rFonts w:asciiTheme="minorHAnsi" w:eastAsiaTheme="minorHAnsi" w:hAnsiTheme="minorHAnsi" w:cstheme="minorHAnsi"/>
          <w:sz w:val="24"/>
          <w:szCs w:val="24"/>
          <w:lang w:val="en-US" w:eastAsia="ar-SA"/>
        </w:rPr>
        <w:t xml:space="preserve"> squared (Km</w:t>
      </w:r>
      <w:r w:rsidRPr="00153266">
        <w:rPr>
          <w:rFonts w:asciiTheme="minorHAnsi" w:eastAsiaTheme="minorHAnsi" w:hAnsiTheme="minorHAnsi" w:cstheme="minorHAnsi"/>
          <w:sz w:val="24"/>
          <w:szCs w:val="24"/>
          <w:vertAlign w:val="superscript"/>
          <w:lang w:val="en-US" w:eastAsia="ar-SA"/>
        </w:rPr>
        <w:t>2</w:t>
      </w:r>
      <w:r w:rsidRPr="00153266">
        <w:rPr>
          <w:rFonts w:asciiTheme="minorHAnsi" w:eastAsiaTheme="minorHAnsi" w:hAnsiTheme="minorHAnsi" w:cstheme="minorHAnsi"/>
          <w:sz w:val="24"/>
          <w:szCs w:val="24"/>
          <w:lang w:val="en-US" w:eastAsia="ar-SA"/>
        </w:rPr>
        <w:t>, km</w:t>
      </w:r>
      <w:r w:rsidRPr="00153266">
        <w:rPr>
          <w:rFonts w:asciiTheme="minorHAnsi" w:eastAsiaTheme="minorHAnsi" w:hAnsiTheme="minorHAnsi" w:cstheme="minorHAnsi"/>
          <w:sz w:val="24"/>
          <w:szCs w:val="24"/>
          <w:vertAlign w:val="superscript"/>
          <w:lang w:val="en-US" w:eastAsia="ar-SA"/>
        </w:rPr>
        <w:t>2</w:t>
      </w:r>
      <w:r w:rsidRPr="00153266">
        <w:rPr>
          <w:rFonts w:asciiTheme="minorHAnsi" w:eastAsiaTheme="minorHAnsi" w:hAnsiTheme="minorHAnsi" w:cstheme="minorHAnsi"/>
          <w:sz w:val="24"/>
          <w:szCs w:val="24"/>
          <w:lang w:val="en-US" w:eastAsia="ar-SA"/>
        </w:rPr>
        <w:t xml:space="preserve">).  </w:t>
      </w:r>
    </w:p>
    <w:p w14:paraId="69D51FDB"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ar-SA"/>
        </w:rPr>
      </w:pPr>
    </w:p>
    <w:p w14:paraId="3033F78A" w14:textId="77777777" w:rsidR="00153266" w:rsidRPr="00153266" w:rsidRDefault="00153266" w:rsidP="00153266">
      <w:pPr>
        <w:widowControl/>
        <w:autoSpaceDE/>
        <w:autoSpaceDN/>
        <w:adjustRightInd/>
        <w:ind w:left="144"/>
        <w:jc w:val="both"/>
        <w:rPr>
          <w:rFonts w:ascii="Calibri" w:eastAsia="Times New Roman" w:hAnsi="Calibri" w:cs="Times New Roman"/>
          <w:iCs/>
          <w:sz w:val="24"/>
          <w:szCs w:val="24"/>
          <w:lang w:val="en-US" w:eastAsia="en-US"/>
        </w:rPr>
      </w:pPr>
      <w:r w:rsidRPr="00153266">
        <w:rPr>
          <w:rFonts w:ascii="Calibri" w:eastAsia="Times New Roman" w:hAnsi="Calibri" w:cs="Times New Roman"/>
          <w:iCs/>
          <w:sz w:val="24"/>
          <w:szCs w:val="24"/>
          <w:lang w:val="en-US" w:eastAsia="en-US"/>
        </w:rPr>
        <w:t xml:space="preserve">Table 1. List of Abbreviations used in Text </w:t>
      </w:r>
    </w:p>
    <w:tbl>
      <w:tblPr>
        <w:tblW w:w="9350" w:type="dxa"/>
        <w:jc w:val="center"/>
        <w:tblLook w:val="04A0" w:firstRow="1" w:lastRow="0" w:firstColumn="1" w:lastColumn="0" w:noHBand="0" w:noVBand="1"/>
      </w:tblPr>
      <w:tblGrid>
        <w:gridCol w:w="2640"/>
        <w:gridCol w:w="1436"/>
        <w:gridCol w:w="1477"/>
        <w:gridCol w:w="2320"/>
        <w:gridCol w:w="1477"/>
      </w:tblGrid>
      <w:tr w:rsidR="00153266" w:rsidRPr="00153266" w14:paraId="3A0696D5" w14:textId="77777777" w:rsidTr="00153266">
        <w:trPr>
          <w:trHeight w:val="288"/>
          <w:jc w:val="center"/>
        </w:trPr>
        <w:tc>
          <w:tcPr>
            <w:tcW w:w="26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4AC40F3"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Source</w:t>
            </w:r>
          </w:p>
        </w:tc>
        <w:tc>
          <w:tcPr>
            <w:tcW w:w="1436" w:type="dxa"/>
            <w:tcBorders>
              <w:top w:val="single" w:sz="4" w:space="0" w:color="auto"/>
              <w:left w:val="nil"/>
              <w:bottom w:val="single" w:sz="4" w:space="0" w:color="auto"/>
              <w:right w:val="nil"/>
            </w:tcBorders>
            <w:shd w:val="clear" w:color="000000" w:fill="E7E6E6"/>
          </w:tcPr>
          <w:p w14:paraId="6F447F9E"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single" w:sz="4" w:space="0" w:color="auto"/>
              <w:left w:val="nil"/>
              <w:bottom w:val="single" w:sz="4" w:space="0" w:color="auto"/>
              <w:right w:val="single" w:sz="4" w:space="0" w:color="auto"/>
            </w:tcBorders>
            <w:shd w:val="clear" w:color="000000" w:fill="E7E6E6"/>
            <w:noWrap/>
            <w:vAlign w:val="bottom"/>
            <w:hideMark/>
          </w:tcPr>
          <w:p w14:paraId="31E0CC55"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Abbreviation </w:t>
            </w:r>
          </w:p>
        </w:tc>
        <w:tc>
          <w:tcPr>
            <w:tcW w:w="2320" w:type="dxa"/>
            <w:tcBorders>
              <w:top w:val="single" w:sz="4" w:space="0" w:color="auto"/>
              <w:left w:val="nil"/>
              <w:bottom w:val="single" w:sz="4" w:space="0" w:color="auto"/>
              <w:right w:val="single" w:sz="4" w:space="0" w:color="auto"/>
            </w:tcBorders>
            <w:shd w:val="clear" w:color="000000" w:fill="E7E6E6"/>
            <w:noWrap/>
            <w:vAlign w:val="bottom"/>
            <w:hideMark/>
          </w:tcPr>
          <w:p w14:paraId="180B9D24"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Source</w:t>
            </w:r>
          </w:p>
        </w:tc>
        <w:tc>
          <w:tcPr>
            <w:tcW w:w="1477" w:type="dxa"/>
            <w:tcBorders>
              <w:top w:val="single" w:sz="4" w:space="0" w:color="auto"/>
              <w:left w:val="nil"/>
              <w:bottom w:val="single" w:sz="4" w:space="0" w:color="auto"/>
              <w:right w:val="single" w:sz="4" w:space="0" w:color="auto"/>
            </w:tcBorders>
            <w:shd w:val="clear" w:color="000000" w:fill="E7E6E6"/>
            <w:noWrap/>
            <w:vAlign w:val="bottom"/>
            <w:hideMark/>
          </w:tcPr>
          <w:p w14:paraId="109833C4"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Abbreviation </w:t>
            </w:r>
          </w:p>
        </w:tc>
      </w:tr>
      <w:tr w:rsidR="00153266" w:rsidRPr="00153266" w14:paraId="4A369805" w14:textId="77777777" w:rsidTr="00153266">
        <w:trPr>
          <w:trHeight w:val="288"/>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9D53ECD"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Competent Person</w:t>
            </w:r>
          </w:p>
        </w:tc>
        <w:tc>
          <w:tcPr>
            <w:tcW w:w="1436" w:type="dxa"/>
            <w:tcBorders>
              <w:top w:val="nil"/>
              <w:left w:val="nil"/>
              <w:bottom w:val="single" w:sz="4" w:space="0" w:color="auto"/>
              <w:right w:val="nil"/>
            </w:tcBorders>
          </w:tcPr>
          <w:p w14:paraId="74D6F4A5"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7574444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CP</w:t>
            </w:r>
          </w:p>
        </w:tc>
        <w:tc>
          <w:tcPr>
            <w:tcW w:w="2320" w:type="dxa"/>
            <w:tcBorders>
              <w:top w:val="nil"/>
              <w:left w:val="nil"/>
              <w:bottom w:val="single" w:sz="4" w:space="0" w:color="auto"/>
              <w:right w:val="single" w:sz="4" w:space="0" w:color="auto"/>
            </w:tcBorders>
            <w:shd w:val="clear" w:color="auto" w:fill="auto"/>
            <w:noWrap/>
            <w:vAlign w:val="bottom"/>
            <w:hideMark/>
          </w:tcPr>
          <w:p w14:paraId="086CCFE2"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Qualified Person</w:t>
            </w:r>
          </w:p>
        </w:tc>
        <w:tc>
          <w:tcPr>
            <w:tcW w:w="1477" w:type="dxa"/>
            <w:tcBorders>
              <w:top w:val="nil"/>
              <w:left w:val="nil"/>
              <w:bottom w:val="single" w:sz="4" w:space="0" w:color="auto"/>
              <w:right w:val="single" w:sz="4" w:space="0" w:color="auto"/>
            </w:tcBorders>
            <w:shd w:val="clear" w:color="auto" w:fill="auto"/>
            <w:noWrap/>
            <w:vAlign w:val="bottom"/>
            <w:hideMark/>
          </w:tcPr>
          <w:p w14:paraId="516FD47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QP</w:t>
            </w:r>
          </w:p>
        </w:tc>
      </w:tr>
      <w:tr w:rsidR="00153266" w:rsidRPr="00153266" w14:paraId="1B06974A" w14:textId="77777777" w:rsidTr="00153266">
        <w:trPr>
          <w:trHeight w:val="576"/>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B72D9E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Professional Geoscientist</w:t>
            </w:r>
          </w:p>
        </w:tc>
        <w:tc>
          <w:tcPr>
            <w:tcW w:w="1436" w:type="dxa"/>
            <w:tcBorders>
              <w:top w:val="nil"/>
              <w:left w:val="nil"/>
              <w:bottom w:val="single" w:sz="4" w:space="0" w:color="auto"/>
              <w:right w:val="nil"/>
            </w:tcBorders>
          </w:tcPr>
          <w:p w14:paraId="701E1D7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4E5DB1C1"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roofErr w:type="spellStart"/>
            <w:r w:rsidRPr="00153266">
              <w:rPr>
                <w:rFonts w:asciiTheme="minorHAnsi" w:eastAsiaTheme="minorHAnsi" w:hAnsiTheme="minorHAnsi" w:cstheme="minorHAnsi"/>
                <w:color w:val="000000"/>
                <w:sz w:val="24"/>
                <w:szCs w:val="24"/>
                <w:lang w:val="en-CA" w:eastAsia="en-CA"/>
              </w:rPr>
              <w:t>PGeo</w:t>
            </w:r>
            <w:proofErr w:type="spellEnd"/>
            <w:r w:rsidRPr="00153266">
              <w:rPr>
                <w:rFonts w:asciiTheme="minorHAnsi" w:eastAsiaTheme="minorHAnsi" w:hAnsiTheme="minorHAnsi" w:cstheme="minorHAnsi"/>
                <w:color w:val="000000"/>
                <w:sz w:val="24"/>
                <w:szCs w:val="24"/>
                <w:lang w:val="en-CA" w:eastAsia="en-CA"/>
              </w:rPr>
              <w:t xml:space="preserve">. </w:t>
            </w:r>
          </w:p>
        </w:tc>
        <w:tc>
          <w:tcPr>
            <w:tcW w:w="2320" w:type="dxa"/>
            <w:tcBorders>
              <w:top w:val="nil"/>
              <w:left w:val="nil"/>
              <w:bottom w:val="single" w:sz="4" w:space="0" w:color="auto"/>
              <w:right w:val="single" w:sz="4" w:space="0" w:color="auto"/>
            </w:tcBorders>
            <w:shd w:val="clear" w:color="auto" w:fill="auto"/>
            <w:vAlign w:val="bottom"/>
            <w:hideMark/>
          </w:tcPr>
          <w:p w14:paraId="7B790A42"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Fellow, Geoscientists Canada</w:t>
            </w:r>
          </w:p>
        </w:tc>
        <w:tc>
          <w:tcPr>
            <w:tcW w:w="1477" w:type="dxa"/>
            <w:tcBorders>
              <w:top w:val="nil"/>
              <w:left w:val="nil"/>
              <w:bottom w:val="single" w:sz="4" w:space="0" w:color="auto"/>
              <w:right w:val="single" w:sz="4" w:space="0" w:color="auto"/>
            </w:tcBorders>
            <w:shd w:val="clear" w:color="auto" w:fill="auto"/>
            <w:noWrap/>
            <w:vAlign w:val="bottom"/>
            <w:hideMark/>
          </w:tcPr>
          <w:p w14:paraId="6D8B7B50"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FGC</w:t>
            </w:r>
          </w:p>
        </w:tc>
      </w:tr>
      <w:tr w:rsidR="00153266" w:rsidRPr="00153266" w14:paraId="1479328C" w14:textId="77777777" w:rsidTr="00153266">
        <w:trPr>
          <w:trHeight w:val="576"/>
          <w:jc w:val="center"/>
        </w:trPr>
        <w:tc>
          <w:tcPr>
            <w:tcW w:w="2640" w:type="dxa"/>
            <w:tcBorders>
              <w:top w:val="nil"/>
              <w:left w:val="single" w:sz="4" w:space="0" w:color="auto"/>
              <w:bottom w:val="single" w:sz="4" w:space="0" w:color="auto"/>
              <w:right w:val="single" w:sz="4" w:space="0" w:color="auto"/>
            </w:tcBorders>
            <w:shd w:val="clear" w:color="auto" w:fill="auto"/>
            <w:vAlign w:val="bottom"/>
            <w:hideMark/>
          </w:tcPr>
          <w:p w14:paraId="66E6A2A9"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United Kingdom Listing Authority</w:t>
            </w:r>
          </w:p>
        </w:tc>
        <w:tc>
          <w:tcPr>
            <w:tcW w:w="1436" w:type="dxa"/>
            <w:tcBorders>
              <w:top w:val="nil"/>
              <w:left w:val="nil"/>
              <w:bottom w:val="single" w:sz="4" w:space="0" w:color="auto"/>
              <w:right w:val="nil"/>
            </w:tcBorders>
          </w:tcPr>
          <w:p w14:paraId="38FB10C0"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12BE6A0C"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UKLA</w:t>
            </w:r>
          </w:p>
        </w:tc>
        <w:tc>
          <w:tcPr>
            <w:tcW w:w="2320" w:type="dxa"/>
            <w:tcBorders>
              <w:top w:val="nil"/>
              <w:left w:val="nil"/>
              <w:bottom w:val="single" w:sz="4" w:space="0" w:color="auto"/>
              <w:right w:val="single" w:sz="4" w:space="0" w:color="auto"/>
            </w:tcBorders>
            <w:shd w:val="clear" w:color="auto" w:fill="auto"/>
            <w:noWrap/>
            <w:vAlign w:val="bottom"/>
            <w:hideMark/>
          </w:tcPr>
          <w:p w14:paraId="2DF70F19"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Letter of Intent</w:t>
            </w:r>
          </w:p>
        </w:tc>
        <w:tc>
          <w:tcPr>
            <w:tcW w:w="1477" w:type="dxa"/>
            <w:tcBorders>
              <w:top w:val="nil"/>
              <w:left w:val="nil"/>
              <w:bottom w:val="single" w:sz="4" w:space="0" w:color="auto"/>
              <w:right w:val="single" w:sz="4" w:space="0" w:color="auto"/>
            </w:tcBorders>
            <w:shd w:val="clear" w:color="auto" w:fill="auto"/>
            <w:noWrap/>
            <w:vAlign w:val="bottom"/>
            <w:hideMark/>
          </w:tcPr>
          <w:p w14:paraId="7A0B0985"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LOI</w:t>
            </w:r>
          </w:p>
        </w:tc>
      </w:tr>
      <w:tr w:rsidR="00153266" w:rsidRPr="00153266" w14:paraId="365CE41D" w14:textId="77777777" w:rsidTr="00153266">
        <w:trPr>
          <w:trHeight w:val="576"/>
          <w:jc w:val="center"/>
        </w:trPr>
        <w:tc>
          <w:tcPr>
            <w:tcW w:w="2640" w:type="dxa"/>
            <w:tcBorders>
              <w:top w:val="nil"/>
              <w:left w:val="single" w:sz="4" w:space="0" w:color="auto"/>
              <w:bottom w:val="single" w:sz="4" w:space="0" w:color="auto"/>
              <w:right w:val="single" w:sz="4" w:space="0" w:color="auto"/>
            </w:tcBorders>
            <w:shd w:val="clear" w:color="auto" w:fill="auto"/>
            <w:vAlign w:val="bottom"/>
            <w:hideMark/>
          </w:tcPr>
          <w:p w14:paraId="0894E8D3"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Syngenetic Sediment-hosted Stratiform Copper</w:t>
            </w:r>
          </w:p>
        </w:tc>
        <w:tc>
          <w:tcPr>
            <w:tcW w:w="1436" w:type="dxa"/>
            <w:tcBorders>
              <w:top w:val="nil"/>
              <w:left w:val="nil"/>
              <w:bottom w:val="single" w:sz="4" w:space="0" w:color="auto"/>
              <w:right w:val="nil"/>
            </w:tcBorders>
          </w:tcPr>
          <w:p w14:paraId="53B4907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5116E658"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SSC</w:t>
            </w:r>
          </w:p>
        </w:tc>
        <w:tc>
          <w:tcPr>
            <w:tcW w:w="2320" w:type="dxa"/>
            <w:tcBorders>
              <w:top w:val="nil"/>
              <w:left w:val="nil"/>
              <w:bottom w:val="single" w:sz="4" w:space="0" w:color="auto"/>
              <w:right w:val="single" w:sz="4" w:space="0" w:color="auto"/>
            </w:tcBorders>
            <w:shd w:val="clear" w:color="auto" w:fill="auto"/>
            <w:noWrap/>
            <w:vAlign w:val="bottom"/>
            <w:hideMark/>
          </w:tcPr>
          <w:p w14:paraId="768F91E3"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Above Sea Level</w:t>
            </w:r>
          </w:p>
        </w:tc>
        <w:tc>
          <w:tcPr>
            <w:tcW w:w="1477" w:type="dxa"/>
            <w:tcBorders>
              <w:top w:val="nil"/>
              <w:left w:val="nil"/>
              <w:bottom w:val="single" w:sz="4" w:space="0" w:color="auto"/>
              <w:right w:val="single" w:sz="4" w:space="0" w:color="auto"/>
            </w:tcBorders>
            <w:shd w:val="clear" w:color="auto" w:fill="auto"/>
            <w:noWrap/>
            <w:vAlign w:val="bottom"/>
            <w:hideMark/>
          </w:tcPr>
          <w:p w14:paraId="7CDC9C1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ASL, asl</w:t>
            </w:r>
          </w:p>
        </w:tc>
      </w:tr>
      <w:tr w:rsidR="00153266" w:rsidRPr="00153266" w14:paraId="3D36FEA4" w14:textId="77777777" w:rsidTr="00153266">
        <w:trPr>
          <w:trHeight w:val="144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4A80A92"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Department of Industry, Energy and Technology, Government of </w:t>
            </w:r>
            <w:proofErr w:type="gramStart"/>
            <w:r w:rsidRPr="00153266">
              <w:rPr>
                <w:rFonts w:asciiTheme="minorHAnsi" w:eastAsiaTheme="minorHAnsi" w:hAnsiTheme="minorHAnsi" w:cstheme="minorHAnsi"/>
                <w:color w:val="000000"/>
                <w:sz w:val="24"/>
                <w:szCs w:val="24"/>
                <w:lang w:val="en-CA" w:eastAsia="en-CA"/>
              </w:rPr>
              <w:t>Newfoundland</w:t>
            </w:r>
            <w:proofErr w:type="gramEnd"/>
            <w:r w:rsidRPr="00153266">
              <w:rPr>
                <w:rFonts w:asciiTheme="minorHAnsi" w:eastAsiaTheme="minorHAnsi" w:hAnsiTheme="minorHAnsi" w:cstheme="minorHAnsi"/>
                <w:color w:val="000000"/>
                <w:sz w:val="24"/>
                <w:szCs w:val="24"/>
                <w:lang w:val="en-CA" w:eastAsia="en-CA"/>
              </w:rPr>
              <w:t xml:space="preserve"> and Labrador</w:t>
            </w:r>
          </w:p>
        </w:tc>
        <w:tc>
          <w:tcPr>
            <w:tcW w:w="1436" w:type="dxa"/>
            <w:tcBorders>
              <w:top w:val="nil"/>
              <w:left w:val="nil"/>
              <w:bottom w:val="single" w:sz="4" w:space="0" w:color="auto"/>
              <w:right w:val="nil"/>
            </w:tcBorders>
          </w:tcPr>
          <w:p w14:paraId="5DAA5B4E"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6B7D9820"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DIET</w:t>
            </w:r>
          </w:p>
        </w:tc>
        <w:tc>
          <w:tcPr>
            <w:tcW w:w="2320" w:type="dxa"/>
            <w:tcBorders>
              <w:top w:val="nil"/>
              <w:left w:val="nil"/>
              <w:bottom w:val="single" w:sz="4" w:space="0" w:color="auto"/>
              <w:right w:val="single" w:sz="4" w:space="0" w:color="auto"/>
            </w:tcBorders>
            <w:shd w:val="clear" w:color="auto" w:fill="auto"/>
            <w:vAlign w:val="bottom"/>
            <w:hideMark/>
          </w:tcPr>
          <w:p w14:paraId="4C41E6D4"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Province of Newfoundland and Labrador </w:t>
            </w:r>
          </w:p>
        </w:tc>
        <w:tc>
          <w:tcPr>
            <w:tcW w:w="1477" w:type="dxa"/>
            <w:tcBorders>
              <w:top w:val="nil"/>
              <w:left w:val="nil"/>
              <w:bottom w:val="single" w:sz="4" w:space="0" w:color="auto"/>
              <w:right w:val="single" w:sz="4" w:space="0" w:color="auto"/>
            </w:tcBorders>
            <w:shd w:val="clear" w:color="auto" w:fill="auto"/>
            <w:noWrap/>
            <w:vAlign w:val="bottom"/>
            <w:hideMark/>
          </w:tcPr>
          <w:p w14:paraId="17413FBD"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NL</w:t>
            </w:r>
          </w:p>
        </w:tc>
      </w:tr>
      <w:tr w:rsidR="00153266" w:rsidRPr="00153266" w14:paraId="0182854D" w14:textId="77777777" w:rsidTr="00153266">
        <w:trPr>
          <w:trHeight w:val="576"/>
          <w:jc w:val="center"/>
        </w:trPr>
        <w:tc>
          <w:tcPr>
            <w:tcW w:w="2640" w:type="dxa"/>
            <w:tcBorders>
              <w:top w:val="nil"/>
              <w:left w:val="single" w:sz="4" w:space="0" w:color="auto"/>
              <w:bottom w:val="single" w:sz="4" w:space="0" w:color="auto"/>
              <w:right w:val="single" w:sz="4" w:space="0" w:color="auto"/>
            </w:tcBorders>
            <w:shd w:val="clear" w:color="auto" w:fill="auto"/>
            <w:vAlign w:val="bottom"/>
            <w:hideMark/>
          </w:tcPr>
          <w:p w14:paraId="01D3B04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Mineral Rights Administration System, DIET</w:t>
            </w:r>
          </w:p>
        </w:tc>
        <w:tc>
          <w:tcPr>
            <w:tcW w:w="1436" w:type="dxa"/>
            <w:tcBorders>
              <w:top w:val="nil"/>
              <w:left w:val="nil"/>
              <w:bottom w:val="single" w:sz="4" w:space="0" w:color="auto"/>
              <w:right w:val="nil"/>
            </w:tcBorders>
          </w:tcPr>
          <w:p w14:paraId="311E26F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6CCA0B7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MIRAID</w:t>
            </w:r>
          </w:p>
        </w:tc>
        <w:tc>
          <w:tcPr>
            <w:tcW w:w="2320" w:type="dxa"/>
            <w:tcBorders>
              <w:top w:val="nil"/>
              <w:left w:val="nil"/>
              <w:bottom w:val="single" w:sz="4" w:space="0" w:color="auto"/>
              <w:right w:val="single" w:sz="4" w:space="0" w:color="auto"/>
            </w:tcBorders>
            <w:shd w:val="clear" w:color="auto" w:fill="auto"/>
            <w:vAlign w:val="bottom"/>
            <w:hideMark/>
          </w:tcPr>
          <w:p w14:paraId="1E27432E"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US" w:eastAsia="en-CA"/>
              </w:rPr>
              <w:t>Mineral Occurrence Database System, DIET</w:t>
            </w:r>
          </w:p>
        </w:tc>
        <w:tc>
          <w:tcPr>
            <w:tcW w:w="1477" w:type="dxa"/>
            <w:tcBorders>
              <w:top w:val="nil"/>
              <w:left w:val="nil"/>
              <w:bottom w:val="single" w:sz="4" w:space="0" w:color="auto"/>
              <w:right w:val="single" w:sz="4" w:space="0" w:color="auto"/>
            </w:tcBorders>
            <w:shd w:val="clear" w:color="auto" w:fill="auto"/>
            <w:noWrap/>
            <w:vAlign w:val="bottom"/>
            <w:hideMark/>
          </w:tcPr>
          <w:p w14:paraId="6348F8ED"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MODS</w:t>
            </w:r>
          </w:p>
        </w:tc>
      </w:tr>
      <w:tr w:rsidR="00153266" w:rsidRPr="00153266" w14:paraId="5816B86A" w14:textId="77777777" w:rsidTr="00153266">
        <w:trPr>
          <w:trHeight w:val="864"/>
          <w:jc w:val="center"/>
        </w:trPr>
        <w:tc>
          <w:tcPr>
            <w:tcW w:w="2640" w:type="dxa"/>
            <w:tcBorders>
              <w:top w:val="nil"/>
              <w:left w:val="single" w:sz="4" w:space="0" w:color="auto"/>
              <w:bottom w:val="single" w:sz="4" w:space="0" w:color="auto"/>
              <w:right w:val="single" w:sz="4" w:space="0" w:color="auto"/>
            </w:tcBorders>
            <w:shd w:val="clear" w:color="auto" w:fill="auto"/>
            <w:vAlign w:val="bottom"/>
            <w:hideMark/>
          </w:tcPr>
          <w:p w14:paraId="07408F5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Universal Transverse Mercator co-ordinate system</w:t>
            </w:r>
          </w:p>
        </w:tc>
        <w:tc>
          <w:tcPr>
            <w:tcW w:w="1436" w:type="dxa"/>
            <w:tcBorders>
              <w:top w:val="nil"/>
              <w:left w:val="nil"/>
              <w:bottom w:val="single" w:sz="4" w:space="0" w:color="auto"/>
              <w:right w:val="nil"/>
            </w:tcBorders>
          </w:tcPr>
          <w:p w14:paraId="52C821E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62C94E5B"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UTM</w:t>
            </w:r>
          </w:p>
        </w:tc>
        <w:tc>
          <w:tcPr>
            <w:tcW w:w="2320" w:type="dxa"/>
            <w:tcBorders>
              <w:top w:val="nil"/>
              <w:left w:val="nil"/>
              <w:bottom w:val="single" w:sz="4" w:space="0" w:color="auto"/>
              <w:right w:val="single" w:sz="4" w:space="0" w:color="auto"/>
            </w:tcBorders>
            <w:shd w:val="clear" w:color="auto" w:fill="auto"/>
            <w:vAlign w:val="bottom"/>
            <w:hideMark/>
          </w:tcPr>
          <w:p w14:paraId="5FCFDA77"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National Topographic System, Canada</w:t>
            </w:r>
          </w:p>
        </w:tc>
        <w:tc>
          <w:tcPr>
            <w:tcW w:w="1477" w:type="dxa"/>
            <w:tcBorders>
              <w:top w:val="nil"/>
              <w:left w:val="nil"/>
              <w:bottom w:val="single" w:sz="4" w:space="0" w:color="auto"/>
              <w:right w:val="single" w:sz="4" w:space="0" w:color="auto"/>
            </w:tcBorders>
            <w:shd w:val="clear" w:color="auto" w:fill="auto"/>
            <w:noWrap/>
            <w:vAlign w:val="bottom"/>
            <w:hideMark/>
          </w:tcPr>
          <w:p w14:paraId="43FCE62A"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NTS</w:t>
            </w:r>
          </w:p>
        </w:tc>
      </w:tr>
      <w:tr w:rsidR="00153266" w:rsidRPr="00153266" w14:paraId="40966A6A" w14:textId="77777777" w:rsidTr="00153266">
        <w:trPr>
          <w:trHeight w:val="288"/>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7AADAE92"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US" w:eastAsia="en-CA"/>
              </w:rPr>
              <w:t>Million years</w:t>
            </w:r>
          </w:p>
        </w:tc>
        <w:tc>
          <w:tcPr>
            <w:tcW w:w="1436" w:type="dxa"/>
            <w:tcBorders>
              <w:top w:val="nil"/>
              <w:left w:val="nil"/>
              <w:bottom w:val="single" w:sz="4" w:space="0" w:color="auto"/>
              <w:right w:val="nil"/>
            </w:tcBorders>
          </w:tcPr>
          <w:p w14:paraId="740EFEBD"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7E4F817B"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Ma</w:t>
            </w:r>
          </w:p>
        </w:tc>
        <w:tc>
          <w:tcPr>
            <w:tcW w:w="2320" w:type="dxa"/>
            <w:tcBorders>
              <w:top w:val="nil"/>
              <w:left w:val="nil"/>
              <w:bottom w:val="single" w:sz="4" w:space="0" w:color="auto"/>
              <w:right w:val="single" w:sz="4" w:space="0" w:color="auto"/>
            </w:tcBorders>
            <w:shd w:val="clear" w:color="auto" w:fill="auto"/>
            <w:noWrap/>
            <w:vAlign w:val="bottom"/>
            <w:hideMark/>
          </w:tcPr>
          <w:p w14:paraId="4B275062"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Billion years</w:t>
            </w:r>
          </w:p>
        </w:tc>
        <w:tc>
          <w:tcPr>
            <w:tcW w:w="1477" w:type="dxa"/>
            <w:tcBorders>
              <w:top w:val="nil"/>
              <w:left w:val="nil"/>
              <w:bottom w:val="single" w:sz="4" w:space="0" w:color="auto"/>
              <w:right w:val="single" w:sz="4" w:space="0" w:color="auto"/>
            </w:tcBorders>
            <w:shd w:val="clear" w:color="auto" w:fill="auto"/>
            <w:noWrap/>
            <w:vAlign w:val="bottom"/>
            <w:hideMark/>
          </w:tcPr>
          <w:p w14:paraId="3E438D74"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Ga</w:t>
            </w:r>
          </w:p>
        </w:tc>
      </w:tr>
      <w:tr w:rsidR="00153266" w:rsidRPr="00153266" w14:paraId="3989A5FC" w14:textId="77777777" w:rsidTr="00153266">
        <w:trPr>
          <w:trHeight w:val="324"/>
          <w:jc w:val="center"/>
        </w:trPr>
        <w:tc>
          <w:tcPr>
            <w:tcW w:w="2640" w:type="dxa"/>
            <w:tcBorders>
              <w:top w:val="nil"/>
              <w:left w:val="single" w:sz="4" w:space="0" w:color="auto"/>
              <w:bottom w:val="single" w:sz="4" w:space="0" w:color="auto"/>
              <w:right w:val="single" w:sz="4" w:space="0" w:color="auto"/>
            </w:tcBorders>
            <w:shd w:val="clear" w:color="auto" w:fill="auto"/>
            <w:vAlign w:val="bottom"/>
            <w:hideMark/>
          </w:tcPr>
          <w:p w14:paraId="657D4517"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Temperatures, </w:t>
            </w:r>
            <w:proofErr w:type="spellStart"/>
            <w:r w:rsidRPr="00153266">
              <w:rPr>
                <w:rFonts w:asciiTheme="minorHAnsi" w:eastAsiaTheme="minorHAnsi" w:hAnsiTheme="minorHAnsi" w:cstheme="minorHAnsi"/>
                <w:color w:val="000000"/>
                <w:sz w:val="24"/>
                <w:szCs w:val="24"/>
                <w:lang w:val="en-CA" w:eastAsia="en-CA"/>
              </w:rPr>
              <w:t>celsius</w:t>
            </w:r>
            <w:proofErr w:type="spellEnd"/>
          </w:p>
        </w:tc>
        <w:tc>
          <w:tcPr>
            <w:tcW w:w="1436" w:type="dxa"/>
            <w:tcBorders>
              <w:top w:val="nil"/>
              <w:left w:val="nil"/>
              <w:bottom w:val="single" w:sz="4" w:space="0" w:color="auto"/>
              <w:right w:val="nil"/>
            </w:tcBorders>
          </w:tcPr>
          <w:p w14:paraId="11D0625E"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vertAlign w:val="superscript"/>
                <w:lang w:val="en-CA" w:eastAsia="en-CA"/>
              </w:rPr>
            </w:pPr>
          </w:p>
        </w:tc>
        <w:tc>
          <w:tcPr>
            <w:tcW w:w="1477" w:type="dxa"/>
            <w:tcBorders>
              <w:top w:val="nil"/>
              <w:left w:val="nil"/>
              <w:bottom w:val="single" w:sz="4" w:space="0" w:color="auto"/>
              <w:right w:val="single" w:sz="4" w:space="0" w:color="auto"/>
            </w:tcBorders>
            <w:shd w:val="clear" w:color="auto" w:fill="auto"/>
            <w:noWrap/>
            <w:vAlign w:val="bottom"/>
            <w:hideMark/>
          </w:tcPr>
          <w:p w14:paraId="025A6FEB"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proofErr w:type="spellStart"/>
            <w:r w:rsidRPr="00153266">
              <w:rPr>
                <w:rFonts w:asciiTheme="minorHAnsi" w:eastAsiaTheme="minorHAnsi" w:hAnsiTheme="minorHAnsi" w:cstheme="minorHAnsi"/>
                <w:color w:val="000000"/>
                <w:sz w:val="24"/>
                <w:szCs w:val="24"/>
                <w:vertAlign w:val="superscript"/>
                <w:lang w:val="en-CA" w:eastAsia="en-CA"/>
              </w:rPr>
              <w:t>o</w:t>
            </w:r>
            <w:r w:rsidRPr="00153266">
              <w:rPr>
                <w:rFonts w:asciiTheme="minorHAnsi" w:eastAsiaTheme="minorHAnsi" w:hAnsiTheme="minorHAnsi" w:cstheme="minorHAnsi"/>
                <w:color w:val="000000"/>
                <w:sz w:val="24"/>
                <w:szCs w:val="24"/>
                <w:lang w:val="en-CA" w:eastAsia="en-CA"/>
              </w:rPr>
              <w:t>C</w:t>
            </w:r>
            <w:proofErr w:type="spellEnd"/>
          </w:p>
        </w:tc>
        <w:tc>
          <w:tcPr>
            <w:tcW w:w="2320" w:type="dxa"/>
            <w:tcBorders>
              <w:top w:val="nil"/>
              <w:left w:val="nil"/>
              <w:bottom w:val="single" w:sz="4" w:space="0" w:color="auto"/>
              <w:right w:val="single" w:sz="4" w:space="0" w:color="auto"/>
            </w:tcBorders>
            <w:shd w:val="clear" w:color="auto" w:fill="auto"/>
            <w:vAlign w:val="bottom"/>
            <w:hideMark/>
          </w:tcPr>
          <w:p w14:paraId="62842D96"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Altius Resources Inc.</w:t>
            </w:r>
          </w:p>
        </w:tc>
        <w:tc>
          <w:tcPr>
            <w:tcW w:w="1477" w:type="dxa"/>
            <w:tcBorders>
              <w:top w:val="nil"/>
              <w:left w:val="nil"/>
              <w:bottom w:val="single" w:sz="4" w:space="0" w:color="auto"/>
              <w:right w:val="single" w:sz="4" w:space="0" w:color="auto"/>
            </w:tcBorders>
            <w:shd w:val="clear" w:color="auto" w:fill="auto"/>
            <w:noWrap/>
            <w:vAlign w:val="bottom"/>
            <w:hideMark/>
          </w:tcPr>
          <w:p w14:paraId="03D5BB93" w14:textId="77777777" w:rsidR="00153266" w:rsidRPr="00153266" w:rsidRDefault="00153266" w:rsidP="00153266">
            <w:pPr>
              <w:widowControl/>
              <w:autoSpaceDE/>
              <w:autoSpaceDN/>
              <w:adjustRightInd/>
              <w:jc w:val="both"/>
              <w:rPr>
                <w:rFonts w:asciiTheme="minorHAnsi" w:eastAsiaTheme="minorHAnsi" w:hAnsiTheme="minorHAnsi" w:cstheme="minorHAnsi"/>
                <w:color w:val="000000"/>
                <w:sz w:val="24"/>
                <w:szCs w:val="24"/>
                <w:lang w:val="en-CA" w:eastAsia="en-CA"/>
              </w:rPr>
            </w:pPr>
            <w:r w:rsidRPr="00153266">
              <w:rPr>
                <w:rFonts w:asciiTheme="minorHAnsi" w:eastAsiaTheme="minorHAnsi" w:hAnsiTheme="minorHAnsi" w:cstheme="minorHAnsi"/>
                <w:color w:val="000000"/>
                <w:sz w:val="24"/>
                <w:szCs w:val="24"/>
                <w:lang w:val="en-CA" w:eastAsia="en-CA"/>
              </w:rPr>
              <w:t xml:space="preserve">Altius </w:t>
            </w:r>
          </w:p>
        </w:tc>
      </w:tr>
    </w:tbl>
    <w:p w14:paraId="70B17522" w14:textId="77777777" w:rsidR="00153266" w:rsidRPr="00153266" w:rsidRDefault="00153266" w:rsidP="00153266">
      <w:pPr>
        <w:widowControl/>
        <w:autoSpaceDE/>
        <w:autoSpaceDN/>
        <w:adjustRightInd/>
        <w:spacing w:after="240"/>
        <w:jc w:val="both"/>
        <w:rPr>
          <w:rFonts w:asciiTheme="minorHAnsi" w:eastAsia="Times New Roman" w:hAnsiTheme="minorHAnsi" w:cstheme="minorHAnsi"/>
          <w:sz w:val="24"/>
          <w:szCs w:val="20"/>
          <w:lang w:eastAsia="en-US"/>
        </w:rPr>
      </w:pPr>
    </w:p>
    <w:p w14:paraId="62E78938" w14:textId="77777777" w:rsidR="00153266" w:rsidRPr="00153266" w:rsidRDefault="00153266" w:rsidP="00153266">
      <w:pPr>
        <w:widowControl/>
        <w:autoSpaceDE/>
        <w:autoSpaceDN/>
        <w:adjustRightInd/>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2.3 Sources of Information</w:t>
      </w:r>
    </w:p>
    <w:p w14:paraId="67880A86" w14:textId="77777777" w:rsidR="00153266" w:rsidRPr="00153266" w:rsidRDefault="00153266" w:rsidP="00153266">
      <w:pPr>
        <w:keepNext/>
        <w:keepLines/>
        <w:widowControl/>
        <w:autoSpaceDE/>
        <w:autoSpaceDN/>
        <w:adjustRightInd/>
        <w:jc w:val="both"/>
        <w:rPr>
          <w:rFonts w:asciiTheme="minorHAnsi" w:eastAsiaTheme="minorHAnsi" w:hAnsiTheme="minorHAnsi" w:cstheme="minorHAnsi"/>
          <w:sz w:val="24"/>
          <w:szCs w:val="24"/>
          <w:lang w:val="en-US" w:eastAsia="en-US"/>
        </w:rPr>
      </w:pPr>
    </w:p>
    <w:p w14:paraId="6908A712" w14:textId="77777777" w:rsidR="00153266" w:rsidRPr="00153266" w:rsidRDefault="00153266" w:rsidP="00153266">
      <w:pPr>
        <w:keepNext/>
        <w:keepLines/>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author has relied on information provided by independent legal counsel commissioned by Chesterfield on the legal status of the mineral licenses that constitute the Adeline Copper Project.  The author has further reviewed the claim status information as posted on the Newfoundland </w:t>
      </w:r>
    </w:p>
    <w:p w14:paraId="0BFE4911" w14:textId="77777777" w:rsidR="00153266" w:rsidRPr="00153266" w:rsidRDefault="00153266" w:rsidP="00153266">
      <w:pPr>
        <w:widowControl/>
        <w:autoSpaceDE/>
        <w:autoSpaceDN/>
        <w:adjustRightInd/>
        <w:jc w:val="both"/>
        <w:rPr>
          <w:rFonts w:asciiTheme="minorHAnsi" w:eastAsiaTheme="minorHAnsi" w:hAnsiTheme="minorHAnsi" w:cstheme="minorHAnsi"/>
          <w:caps/>
          <w:sz w:val="24"/>
          <w:szCs w:val="24"/>
          <w:lang w:val="en-US" w:eastAsia="en-US"/>
        </w:rPr>
      </w:pPr>
    </w:p>
    <w:p w14:paraId="3545B764" w14:textId="77777777" w:rsidR="00153266" w:rsidRPr="00153266" w:rsidRDefault="00153266" w:rsidP="00153266">
      <w:pPr>
        <w:keepNext/>
        <w:keepLines/>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lastRenderedPageBreak/>
        <w:t>Labrador Department of Industry, Energy and Technology (“DIET”) website (</w:t>
      </w:r>
      <w:hyperlink r:id="rId44" w:history="1">
        <w:r w:rsidRPr="00153266">
          <w:rPr>
            <w:rFonts w:asciiTheme="minorHAnsi" w:eastAsiaTheme="minorHAnsi" w:hAnsiTheme="minorHAnsi" w:cstheme="minorHAnsi"/>
            <w:color w:val="0563C1" w:themeColor="hyperlink"/>
            <w:sz w:val="24"/>
            <w:szCs w:val="24"/>
            <w:u w:val="single"/>
            <w:lang w:val="en-US" w:eastAsia="en-US"/>
          </w:rPr>
          <w:t>https://www.gov.nl.ca/iet/</w:t>
        </w:r>
      </w:hyperlink>
      <w:r w:rsidRPr="00153266">
        <w:rPr>
          <w:rFonts w:asciiTheme="minorHAnsi" w:eastAsiaTheme="minorHAnsi" w:hAnsiTheme="minorHAnsi" w:cstheme="minorHAnsi"/>
          <w:sz w:val="24"/>
          <w:szCs w:val="24"/>
          <w:lang w:val="en-US" w:eastAsia="en-US"/>
        </w:rPr>
        <w:t xml:space="preserve">); however, the author shall not be held liable for any errors or omissions relating to the legal status of claims and mineral licenses described in this report. </w:t>
      </w:r>
    </w:p>
    <w:p w14:paraId="4E99433B" w14:textId="77777777" w:rsidR="00153266" w:rsidRPr="00153266" w:rsidRDefault="00153266" w:rsidP="00153266">
      <w:pPr>
        <w:keepNext/>
        <w:keepLines/>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author has relied on information provided by independent legal counsel commissioned by Chesterfield on the legal status of the mineral licenses that constitute the Adeline Copper Project.  The author has further reviewed the claim status information as posted on the Newfoundland Labrador Department of Industry, Energy and Technology (“DIET”) website (</w:t>
      </w:r>
      <w:hyperlink r:id="rId45" w:history="1">
        <w:r w:rsidRPr="00153266">
          <w:rPr>
            <w:rFonts w:asciiTheme="minorHAnsi" w:eastAsiaTheme="minorHAnsi" w:hAnsiTheme="minorHAnsi" w:cstheme="minorHAnsi"/>
            <w:color w:val="0563C1" w:themeColor="hyperlink"/>
            <w:sz w:val="24"/>
            <w:szCs w:val="24"/>
            <w:u w:val="single"/>
            <w:lang w:val="en-US" w:eastAsia="en-US"/>
          </w:rPr>
          <w:t>https://www.gov.nl.ca/iet/</w:t>
        </w:r>
      </w:hyperlink>
      <w:r w:rsidRPr="00153266">
        <w:rPr>
          <w:rFonts w:asciiTheme="minorHAnsi" w:eastAsiaTheme="minorHAnsi" w:hAnsiTheme="minorHAnsi" w:cstheme="minorHAnsi"/>
          <w:sz w:val="24"/>
          <w:szCs w:val="24"/>
          <w:lang w:val="en-US" w:eastAsia="en-US"/>
        </w:rPr>
        <w:t xml:space="preserve">); however, the author shall not be held liable for any errors or omissions relating to the legal status of claims and mineral licenses described in this report. </w:t>
      </w:r>
    </w:p>
    <w:p w14:paraId="68B50858" w14:textId="77777777" w:rsidR="00153266" w:rsidRPr="00153266" w:rsidRDefault="00153266" w:rsidP="00153266">
      <w:pPr>
        <w:keepNext/>
        <w:keepLines/>
        <w:widowControl/>
        <w:autoSpaceDE/>
        <w:autoSpaceDN/>
        <w:adjustRightInd/>
        <w:ind w:right="1164"/>
        <w:jc w:val="both"/>
        <w:rPr>
          <w:rFonts w:asciiTheme="minorHAnsi" w:eastAsiaTheme="minorHAnsi" w:hAnsiTheme="minorHAnsi" w:cstheme="minorHAnsi"/>
          <w:sz w:val="24"/>
          <w:szCs w:val="24"/>
          <w:lang w:val="en-US" w:eastAsia="en-US"/>
        </w:rPr>
      </w:pPr>
    </w:p>
    <w:p w14:paraId="040E16FA" w14:textId="77777777" w:rsidR="00153266" w:rsidRPr="00153266" w:rsidRDefault="00153266" w:rsidP="00153266">
      <w:pPr>
        <w:keepNext/>
        <w:keepLines/>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In addition, all historic exploration information and data reported herein which forms the basis of this report was sourced from the Newfoundland and Labrador Department of Industry, Energy and Technology Geoscience Atlas (</w:t>
      </w:r>
      <w:hyperlink r:id="rId46" w:history="1">
        <w:r w:rsidRPr="00153266">
          <w:rPr>
            <w:rFonts w:asciiTheme="minorHAnsi" w:eastAsiaTheme="minorHAnsi" w:hAnsiTheme="minorHAnsi" w:cstheme="minorHAnsi"/>
            <w:color w:val="0563C1" w:themeColor="hyperlink"/>
            <w:sz w:val="24"/>
            <w:szCs w:val="24"/>
            <w:u w:val="single"/>
            <w:lang w:val="en-US" w:eastAsia="en-US"/>
          </w:rPr>
          <w:t>https://gis.geosurv.gov.nl.ca</w:t>
        </w:r>
      </w:hyperlink>
      <w:r w:rsidRPr="00153266">
        <w:rPr>
          <w:rFonts w:asciiTheme="minorHAnsi" w:eastAsiaTheme="minorHAnsi" w:hAnsiTheme="minorHAnsi" w:cstheme="minorHAnsi"/>
          <w:sz w:val="24"/>
          <w:szCs w:val="24"/>
          <w:lang w:val="en-US" w:eastAsia="en-US"/>
        </w:rPr>
        <w:t xml:space="preserve">). </w:t>
      </w:r>
    </w:p>
    <w:p w14:paraId="2B9423BA" w14:textId="77777777" w:rsidR="00153266" w:rsidRPr="00153266" w:rsidRDefault="00153266" w:rsidP="00153266">
      <w:pPr>
        <w:widowControl/>
        <w:shd w:val="clear" w:color="auto" w:fill="FFFFFF"/>
        <w:autoSpaceDE/>
        <w:autoSpaceDN/>
        <w:adjustRightInd/>
        <w:spacing w:before="100" w:beforeAutospacing="1" w:after="100" w:afterAutospacing="1"/>
        <w:ind w:right="1164"/>
        <w:jc w:val="both"/>
        <w:rPr>
          <w:rFonts w:asciiTheme="minorHAnsi" w:eastAsia="Times New Roman" w:hAnsiTheme="minorHAnsi" w:cstheme="minorHAnsi"/>
          <w:sz w:val="24"/>
          <w:szCs w:val="24"/>
          <w:lang w:val="en-CA" w:eastAsia="en-CA"/>
        </w:rPr>
      </w:pPr>
      <w:r w:rsidRPr="00153266">
        <w:rPr>
          <w:rFonts w:asciiTheme="minorHAnsi" w:eastAsia="Times New Roman" w:hAnsiTheme="minorHAnsi" w:cstheme="minorHAnsi"/>
          <w:sz w:val="24"/>
          <w:szCs w:val="24"/>
          <w:lang w:val="en-CA" w:eastAsia="en-CA"/>
        </w:rPr>
        <w:t>The author has also relied on the description of exploration targets as defined by Seymour et al. (2016). It should be noted that the author was a co-author on that earlier report. Mr. Roderick Smith of Altius provided some of the information on previous work as well as Altius’s experience with permitting.</w:t>
      </w:r>
    </w:p>
    <w:p w14:paraId="6D2B652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34D5113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2.4 Involvement of Competent Person</w:t>
      </w:r>
    </w:p>
    <w:p w14:paraId="6D0248B7" w14:textId="77777777" w:rsidR="00153266" w:rsidRPr="00153266" w:rsidRDefault="00153266" w:rsidP="00153266">
      <w:pPr>
        <w:widowControl/>
        <w:autoSpaceDE/>
        <w:autoSpaceDN/>
        <w:adjustRightInd/>
        <w:ind w:left="720" w:right="1164"/>
        <w:jc w:val="both"/>
        <w:rPr>
          <w:rFonts w:asciiTheme="minorHAnsi" w:eastAsiaTheme="minorHAnsi" w:hAnsiTheme="minorHAnsi" w:cstheme="minorHAnsi"/>
          <w:caps/>
          <w:sz w:val="24"/>
          <w:szCs w:val="24"/>
          <w:lang w:val="en-US" w:eastAsia="en-US"/>
        </w:rPr>
      </w:pPr>
    </w:p>
    <w:p w14:paraId="0BAC773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r w:rsidRPr="00153266">
        <w:rPr>
          <w:rFonts w:asciiTheme="minorHAnsi" w:eastAsiaTheme="minorHAnsi" w:hAnsiTheme="minorHAnsi" w:cstheme="minorHAnsi"/>
          <w:sz w:val="24"/>
          <w:szCs w:val="24"/>
          <w:lang w:val="en-CA" w:eastAsia="en-US"/>
        </w:rPr>
        <w:t xml:space="preserve">The author has not specifically visited the Property due to  weather limiting access (snow cover) and Covid-19 restrictions during the time of writing, but he has visited the site on numerous occasions in the past and is satisfied that this should be sufficient for the purposes of this report.  The author has reviewed and verified historical data on regional and local geology, topography, and access. </w:t>
      </w:r>
      <w:r w:rsidRPr="00153266">
        <w:rPr>
          <w:rFonts w:asciiTheme="minorHAnsi" w:eastAsiaTheme="minorHAnsi" w:hAnsiTheme="minorHAnsi" w:cstheme="minorHAnsi"/>
          <w:sz w:val="24"/>
          <w:szCs w:val="24"/>
          <w:lang w:val="en-CA" w:eastAsia="ar-SA"/>
        </w:rPr>
        <w:t xml:space="preserve">The author is responsible for all sections of this report. The maps and some tables in this report were prepared by Altius personnel under the direction of the author. </w:t>
      </w:r>
    </w:p>
    <w:p w14:paraId="7267223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p>
    <w:p w14:paraId="7998ADF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p>
    <w:p w14:paraId="71578F4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p>
    <w:p w14:paraId="471FDAC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p>
    <w:p w14:paraId="2C18CB4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3.0 PROJECT DESCRIPTION</w:t>
      </w:r>
    </w:p>
    <w:p w14:paraId="4E3A309D"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2967D32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3.1 Location, Access, and infrastructure</w:t>
      </w:r>
    </w:p>
    <w:p w14:paraId="0F1B2F2C" w14:textId="77777777" w:rsidR="00153266" w:rsidRPr="00153266" w:rsidRDefault="00153266" w:rsidP="00153266">
      <w:pPr>
        <w:widowControl/>
        <w:autoSpaceDE/>
        <w:autoSpaceDN/>
        <w:adjustRightInd/>
        <w:ind w:left="1440" w:right="1164"/>
        <w:contextualSpacing/>
        <w:jc w:val="both"/>
        <w:rPr>
          <w:rFonts w:asciiTheme="minorHAnsi" w:eastAsiaTheme="minorHAnsi" w:hAnsiTheme="minorHAnsi" w:cstheme="minorHAnsi"/>
          <w:caps/>
          <w:sz w:val="24"/>
          <w:szCs w:val="24"/>
          <w:lang w:val="en-US" w:eastAsia="en-US"/>
        </w:rPr>
      </w:pPr>
    </w:p>
    <w:p w14:paraId="20ED557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en-US"/>
        </w:rPr>
      </w:pPr>
      <w:bookmarkStart w:id="28" w:name="_Hlk70856671"/>
      <w:r w:rsidRPr="00153266">
        <w:rPr>
          <w:rFonts w:asciiTheme="minorHAnsi" w:eastAsiaTheme="minorHAnsi" w:hAnsiTheme="minorHAnsi" w:cstheme="minorHAnsi"/>
          <w:sz w:val="24"/>
          <w:szCs w:val="24"/>
          <w:lang w:val="en-CA" w:eastAsia="en-US"/>
        </w:rPr>
        <w:t>The Property is in central Labrador, within the Province of Newfoundland Labrador, Canada (Figure 1).  The project is included within NTS map sheets 13K/05 and 13L/08 and approximately centered on 578,000mE and 6,017,500mN (UTM NAD27, Zone 20 projection) (Figure 2).</w:t>
      </w:r>
    </w:p>
    <w:p w14:paraId="4BF4B60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en-US"/>
        </w:rPr>
      </w:pPr>
    </w:p>
    <w:p w14:paraId="05F932A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en-US"/>
        </w:rPr>
      </w:pPr>
      <w:r w:rsidRPr="00153266">
        <w:rPr>
          <w:rFonts w:asciiTheme="minorHAnsi" w:eastAsiaTheme="minorHAnsi" w:hAnsiTheme="minorHAnsi" w:cstheme="minorHAnsi"/>
          <w:sz w:val="24"/>
          <w:szCs w:val="24"/>
          <w:lang w:val="en-US" w:eastAsia="en-US"/>
        </w:rPr>
        <w:t>The project can be best accessed by a combination of helicopter and float plane air support from the community of Happy Valley - Goose Bay (</w:t>
      </w:r>
      <w:r w:rsidRPr="00153266">
        <w:rPr>
          <w:rFonts w:asciiTheme="minorHAnsi" w:eastAsiaTheme="minorHAnsi" w:hAnsiTheme="minorHAnsi" w:cstheme="minorHAnsi"/>
          <w:sz w:val="24"/>
          <w:szCs w:val="24"/>
          <w:lang w:val="en-CA" w:eastAsia="en-US"/>
        </w:rPr>
        <w:t>population of 8,109 - 2016 Census, Stat-Can)</w:t>
      </w:r>
      <w:r w:rsidRPr="00153266">
        <w:rPr>
          <w:rFonts w:asciiTheme="minorHAnsi" w:eastAsiaTheme="minorHAnsi" w:hAnsiTheme="minorHAnsi" w:cstheme="minorHAnsi"/>
          <w:sz w:val="24"/>
          <w:szCs w:val="24"/>
          <w:lang w:val="en-US" w:eastAsia="en-US"/>
        </w:rPr>
        <w:t xml:space="preserve"> located approximately 145 km to the southeast of the project.  Happy Valley - Goose Bay is the </w:t>
      </w:r>
      <w:r w:rsidRPr="00153266">
        <w:rPr>
          <w:rFonts w:asciiTheme="minorHAnsi" w:eastAsiaTheme="minorHAnsi" w:hAnsiTheme="minorHAnsi" w:cstheme="minorHAnsi"/>
          <w:sz w:val="24"/>
          <w:szCs w:val="24"/>
          <w:lang w:val="en-CA" w:eastAsia="en-US"/>
        </w:rPr>
        <w:t xml:space="preserve">major regional service centre for </w:t>
      </w:r>
      <w:r w:rsidRPr="00153266">
        <w:rPr>
          <w:rFonts w:asciiTheme="minorHAnsi" w:eastAsiaTheme="minorHAnsi" w:hAnsiTheme="minorHAnsi" w:cstheme="minorHAnsi"/>
          <w:sz w:val="24"/>
          <w:szCs w:val="24"/>
          <w:lang w:val="en-US" w:eastAsia="en-US"/>
        </w:rPr>
        <w:t xml:space="preserve">most of Labrador and is </w:t>
      </w:r>
      <w:r w:rsidRPr="00153266">
        <w:rPr>
          <w:rFonts w:asciiTheme="minorHAnsi" w:eastAsiaTheme="minorHAnsi" w:hAnsiTheme="minorHAnsi" w:cstheme="minorHAnsi"/>
          <w:sz w:val="24"/>
          <w:szCs w:val="24"/>
          <w:lang w:val="en-CA" w:eastAsia="en-US"/>
        </w:rPr>
        <w:t xml:space="preserve">a full-service community with available skilled and unskilled labour workforce, grocery and fuel services, a hospital, a government-serviced airport with air traffic control, motel accommodations, drilling contractors, geophysical contractors, expediting, </w:t>
      </w:r>
      <w:r w:rsidRPr="00153266">
        <w:rPr>
          <w:rFonts w:asciiTheme="minorHAnsi" w:eastAsiaTheme="minorHAnsi" w:hAnsiTheme="minorHAnsi" w:cstheme="minorHAnsi"/>
          <w:sz w:val="24"/>
          <w:szCs w:val="24"/>
          <w:lang w:val="en-US" w:eastAsia="en-US"/>
        </w:rPr>
        <w:t xml:space="preserve">helicopter and fixed wing support, </w:t>
      </w:r>
      <w:r w:rsidRPr="00153266">
        <w:rPr>
          <w:rFonts w:asciiTheme="minorHAnsi" w:eastAsiaTheme="minorHAnsi" w:hAnsiTheme="minorHAnsi" w:cstheme="minorHAnsi"/>
          <w:sz w:val="24"/>
          <w:szCs w:val="24"/>
          <w:lang w:val="en-CA" w:eastAsia="en-US"/>
        </w:rPr>
        <w:t>and heavy equipment services.</w:t>
      </w:r>
    </w:p>
    <w:p w14:paraId="4418AB9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CA" w:eastAsia="ar-SA"/>
        </w:rPr>
      </w:pPr>
      <w:r w:rsidRPr="00153266">
        <w:rPr>
          <w:rFonts w:asciiTheme="minorHAnsi" w:eastAsiaTheme="minorHAnsi" w:hAnsiTheme="minorHAnsi" w:cstheme="minorHAnsi"/>
          <w:sz w:val="24"/>
          <w:szCs w:val="24"/>
          <w:lang w:val="en-CA" w:eastAsia="en-US"/>
        </w:rPr>
        <w:t xml:space="preserve">  </w:t>
      </w:r>
    </w:p>
    <w:p w14:paraId="017AF2C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Trans-Labrador Highway is located approximately 110 km to the south of the project and the 5,428-megawatt Churchill Falls hydroelectric facility is located approximately 180 km to the southwest.  A hydro access road is located ~60 km of the west end of the project. </w:t>
      </w:r>
    </w:p>
    <w:p w14:paraId="64BFB37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9550F3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A combination of helicopter and small boat-supported ground traversing would be the most effective means for covering much of the project area.  There are number of large lakes (e.g., Seal Lake, Adeline Lake) that allow for good float plane and boat access throughout the project area. </w:t>
      </w:r>
    </w:p>
    <w:bookmarkEnd w:id="28"/>
    <w:p w14:paraId="3F3653C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238D11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3.2 Climate, physiography and vegetation</w:t>
      </w:r>
    </w:p>
    <w:p w14:paraId="78BAF483" w14:textId="77777777" w:rsidR="00153266" w:rsidRPr="00153266" w:rsidRDefault="00153266" w:rsidP="00153266">
      <w:pPr>
        <w:widowControl/>
        <w:autoSpaceDE/>
        <w:autoSpaceDN/>
        <w:adjustRightInd/>
        <w:ind w:left="1440" w:right="1164"/>
        <w:contextualSpacing/>
        <w:jc w:val="both"/>
        <w:rPr>
          <w:rFonts w:asciiTheme="minorHAnsi" w:eastAsiaTheme="minorHAnsi" w:hAnsiTheme="minorHAnsi" w:cstheme="minorHAnsi"/>
          <w:caps/>
          <w:sz w:val="24"/>
          <w:szCs w:val="24"/>
          <w:lang w:val="en-US" w:eastAsia="en-US"/>
        </w:rPr>
      </w:pPr>
    </w:p>
    <w:p w14:paraId="37434186"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US" w:eastAsia="en-US"/>
        </w:rPr>
      </w:pPr>
      <w:r w:rsidRPr="00153266">
        <w:rPr>
          <w:rFonts w:ascii="Calibri" w:eastAsia="Times New Roman" w:hAnsi="Calibri" w:cs="Times New Roman"/>
          <w:sz w:val="24"/>
          <w:szCs w:val="20"/>
          <w:lang w:val="en-US" w:eastAsia="en-US"/>
        </w:rPr>
        <w:t>The climate at lower elevations is subarctic with normal average temperatures at Goose Bay ranging between -12</w:t>
      </w:r>
      <w:r w:rsidRPr="00153266">
        <w:rPr>
          <w:rFonts w:ascii="Calibri" w:eastAsia="Times New Roman" w:hAnsi="Calibri" w:cs="Times New Roman"/>
          <w:sz w:val="24"/>
          <w:szCs w:val="20"/>
          <w:vertAlign w:val="superscript"/>
          <w:lang w:val="en-US" w:eastAsia="en-US"/>
        </w:rPr>
        <w:t>o</w:t>
      </w:r>
      <w:r w:rsidRPr="00153266">
        <w:rPr>
          <w:rFonts w:ascii="Calibri" w:eastAsia="Times New Roman" w:hAnsi="Calibri" w:cs="Times New Roman"/>
          <w:sz w:val="24"/>
          <w:szCs w:val="20"/>
          <w:lang w:val="en-US" w:eastAsia="en-US"/>
        </w:rPr>
        <w:t>C in January, to an average of 20</w:t>
      </w:r>
      <w:r w:rsidRPr="00153266">
        <w:rPr>
          <w:rFonts w:ascii="Calibri" w:eastAsia="Times New Roman" w:hAnsi="Calibri" w:cs="Times New Roman"/>
          <w:sz w:val="24"/>
          <w:szCs w:val="20"/>
          <w:vertAlign w:val="superscript"/>
          <w:lang w:val="en-US" w:eastAsia="en-US"/>
        </w:rPr>
        <w:t>o</w:t>
      </w:r>
      <w:r w:rsidRPr="00153266">
        <w:rPr>
          <w:rFonts w:ascii="Calibri" w:eastAsia="Times New Roman" w:hAnsi="Calibri" w:cs="Times New Roman"/>
          <w:sz w:val="24"/>
          <w:szCs w:val="20"/>
          <w:lang w:val="en-US" w:eastAsia="en-US"/>
        </w:rPr>
        <w:t xml:space="preserve">C in July.  Annual precipitation is in the order of 940 mm, distributed between the short, wet, warmer summers and cold, snowy winters. Exploration work can be carried out year-round with slightly more planning and preparation needed during the winter months. The general prospecting and geological mapping season </w:t>
      </w:r>
      <w:proofErr w:type="gramStart"/>
      <w:r w:rsidRPr="00153266">
        <w:rPr>
          <w:rFonts w:ascii="Calibri" w:eastAsia="Times New Roman" w:hAnsi="Calibri" w:cs="Times New Roman"/>
          <w:sz w:val="24"/>
          <w:szCs w:val="20"/>
          <w:lang w:val="en-US" w:eastAsia="en-US"/>
        </w:rPr>
        <w:t>runs</w:t>
      </w:r>
      <w:proofErr w:type="gramEnd"/>
      <w:r w:rsidRPr="00153266">
        <w:rPr>
          <w:rFonts w:ascii="Calibri" w:eastAsia="Times New Roman" w:hAnsi="Calibri" w:cs="Times New Roman"/>
          <w:sz w:val="24"/>
          <w:szCs w:val="20"/>
          <w:lang w:val="en-US" w:eastAsia="en-US"/>
        </w:rPr>
        <w:t xml:space="preserve"> from mid-June through mid-October with thaw of late ice occurring around mid-June.</w:t>
      </w:r>
      <w:r w:rsidRPr="00153266">
        <w:rPr>
          <w:rFonts w:ascii="Calibri" w:eastAsia="Times New Roman" w:hAnsi="Calibri" w:cs="Times New Roman"/>
          <w:color w:val="FF0000"/>
          <w:sz w:val="24"/>
          <w:szCs w:val="20"/>
          <w:lang w:val="en-US" w:eastAsia="en-US"/>
        </w:rPr>
        <w:t xml:space="preserve"> </w:t>
      </w:r>
    </w:p>
    <w:p w14:paraId="2A3575F1"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US" w:eastAsia="en-US"/>
        </w:rPr>
      </w:pPr>
    </w:p>
    <w:p w14:paraId="5FFA643C"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US" w:eastAsia="en-US"/>
        </w:rPr>
      </w:pPr>
      <w:r w:rsidRPr="00153266">
        <w:rPr>
          <w:rFonts w:ascii="Calibri" w:eastAsia="Times New Roman" w:hAnsi="Calibri" w:cs="Times New Roman"/>
          <w:sz w:val="24"/>
          <w:szCs w:val="20"/>
          <w:lang w:val="en-US" w:eastAsia="en-US"/>
        </w:rPr>
        <w:t xml:space="preserve">The physiography of the area is dominated by the east-west trending Seal Lake, which is approximately 35 km long and up to 1.5 km wide. Seal Lake is surrounded by rugged, densely forested hills and ridges to the north and east, and steep-sided, north facing escarpments and ridges to the south. Elevations range from 212 m above sea level (ASL) at Seal Lake to over 520 m ASL in the area just south of Adeline Lake. The generally narrow, east-trending valleys which separate the higher ridges contain thick spruce, alder, and spruce forests, small </w:t>
      </w:r>
      <w:proofErr w:type="gramStart"/>
      <w:r w:rsidRPr="00153266">
        <w:rPr>
          <w:rFonts w:ascii="Calibri" w:eastAsia="Times New Roman" w:hAnsi="Calibri" w:cs="Times New Roman"/>
          <w:sz w:val="24"/>
          <w:szCs w:val="20"/>
          <w:lang w:val="en-US" w:eastAsia="en-US"/>
        </w:rPr>
        <w:t>lakes</w:t>
      </w:r>
      <w:proofErr w:type="gramEnd"/>
      <w:r w:rsidRPr="00153266">
        <w:rPr>
          <w:rFonts w:ascii="Calibri" w:eastAsia="Times New Roman" w:hAnsi="Calibri" w:cs="Times New Roman"/>
          <w:sz w:val="24"/>
          <w:szCs w:val="20"/>
          <w:lang w:val="en-US" w:eastAsia="en-US"/>
        </w:rPr>
        <w:t xml:space="preserve"> and intermittent swamps. Bedrock exposure ranges up to 20-25% and is best along ridge tops, steep-sided escarpments, and shorelines.</w:t>
      </w:r>
    </w:p>
    <w:p w14:paraId="23E428C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2FDA2C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imes New Roman" w:eastAsiaTheme="minorHAnsi" w:hAnsi="Times New Roman" w:cstheme="minorBidi"/>
          <w:noProof/>
          <w:lang w:val="en-US" w:eastAsia="en-US"/>
        </w:rPr>
        <w:lastRenderedPageBreak/>
        <w:drawing>
          <wp:inline distT="0" distB="0" distL="0" distR="0" wp14:anchorId="0B133859" wp14:editId="7B655F55">
            <wp:extent cx="5943600" cy="7686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86040"/>
                    </a:xfrm>
                    <a:prstGeom prst="rect">
                      <a:avLst/>
                    </a:prstGeom>
                    <a:noFill/>
                    <a:ln>
                      <a:noFill/>
                    </a:ln>
                  </pic:spPr>
                </pic:pic>
              </a:graphicData>
            </a:graphic>
          </wp:inline>
        </w:drawing>
      </w:r>
    </w:p>
    <w:p w14:paraId="575B6F0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1</w:t>
      </w:r>
      <w:r w:rsidRPr="00153266">
        <w:rPr>
          <w:rFonts w:asciiTheme="minorHAnsi" w:eastAsiaTheme="minorHAnsi" w:hAnsiTheme="minorHAnsi" w:cstheme="minorHAnsi"/>
          <w:sz w:val="24"/>
          <w:szCs w:val="24"/>
          <w:lang w:val="en-US" w:eastAsia="en-US"/>
        </w:rPr>
        <w:t xml:space="preserve">: Location of the Adeline Copper Project within the Central Mineral Belt of Labrador, Newfoundland and Labrador, Canada. </w:t>
      </w:r>
    </w:p>
    <w:p w14:paraId="69BE861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D2AA2C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imes New Roman" w:eastAsiaTheme="minorHAnsi" w:hAnsi="Times New Roman" w:cstheme="minorBidi"/>
          <w:noProof/>
          <w:lang w:val="en-US" w:eastAsia="en-US"/>
        </w:rPr>
        <w:lastRenderedPageBreak/>
        <w:drawing>
          <wp:inline distT="0" distB="0" distL="0" distR="0" wp14:anchorId="7B073823" wp14:editId="5F018515">
            <wp:extent cx="5943600" cy="4596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p>
    <w:p w14:paraId="77B298C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2</w:t>
      </w:r>
      <w:r w:rsidRPr="00153266">
        <w:rPr>
          <w:rFonts w:asciiTheme="minorHAnsi" w:eastAsiaTheme="minorHAnsi" w:hAnsiTheme="minorHAnsi" w:cstheme="minorHAnsi"/>
          <w:sz w:val="24"/>
          <w:szCs w:val="24"/>
          <w:lang w:val="en-US" w:eastAsia="en-US"/>
        </w:rPr>
        <w:t>: Mineral Licenses comprising the Adeline Copper Project, central Labrador, Newfoundland and Labrador, Canada.</w:t>
      </w:r>
    </w:p>
    <w:p w14:paraId="199B31B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1CF921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4324A7A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7040216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74E830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4A055AE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4A7DA5C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514D131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14E3213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87F1BF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F60C7C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EDC9FC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20E9FBE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4B714400" w14:textId="37B66704" w:rsid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B9ACC88" w14:textId="2CA57392"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24F6CBF" w14:textId="1C0BCAE2"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0B72FE5F" w14:textId="559533D0"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57F1A055" w14:textId="6BA0BAB0"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1026DBAA" w14:textId="3DC5C7A0"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78807CF" w14:textId="68A0835D" w:rsidR="00170424"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70DC6797" w14:textId="77777777" w:rsidR="00170424" w:rsidRPr="00153266" w:rsidRDefault="00170424"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534A9C9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7066894C"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US" w:eastAsia="en-US"/>
        </w:rPr>
      </w:pPr>
    </w:p>
    <w:p w14:paraId="28AE2225" w14:textId="77777777" w:rsidR="00153266" w:rsidRPr="00153266" w:rsidRDefault="00153266" w:rsidP="00153266">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right="1164"/>
        <w:jc w:val="both"/>
        <w:rPr>
          <w:rFonts w:asciiTheme="minorHAnsi" w:eastAsia="Times New Roman" w:hAnsiTheme="minorHAnsi" w:cstheme="minorHAnsi"/>
          <w:b/>
          <w:sz w:val="24"/>
          <w:szCs w:val="20"/>
          <w:lang w:val="en-CA" w:eastAsia="en-US"/>
        </w:rPr>
      </w:pPr>
      <w:bookmarkStart w:id="29" w:name="_Toc66878925"/>
      <w:r w:rsidRPr="00153266">
        <w:rPr>
          <w:rFonts w:asciiTheme="minorHAnsi" w:eastAsia="Times New Roman" w:hAnsiTheme="minorHAnsi" w:cstheme="minorHAnsi"/>
          <w:b/>
          <w:sz w:val="24"/>
          <w:szCs w:val="20"/>
          <w:lang w:val="en-CA" w:eastAsia="en-US"/>
        </w:rPr>
        <w:lastRenderedPageBreak/>
        <w:t>Table 2:</w:t>
      </w:r>
      <w:r w:rsidRPr="00153266">
        <w:rPr>
          <w:rFonts w:asciiTheme="minorHAnsi" w:eastAsia="Times New Roman" w:hAnsiTheme="minorHAnsi" w:cstheme="minorHAnsi"/>
          <w:b/>
          <w:sz w:val="24"/>
          <w:szCs w:val="20"/>
          <w:lang w:val="en-CA" w:eastAsia="en-US"/>
        </w:rPr>
        <w:tab/>
        <w:t>Annual Climate Data for Happy Valley-Goose Bay, NL</w:t>
      </w:r>
      <w:bookmarkEnd w:id="29"/>
    </w:p>
    <w:p w14:paraId="3B60B0E5"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US" w:eastAsia="en-US"/>
        </w:rPr>
      </w:pPr>
      <w:r w:rsidRPr="00153266">
        <w:rPr>
          <w:rFonts w:ascii="Calibri" w:eastAsia="Times New Roman" w:hAnsi="Calibri" w:cs="Times New Roman"/>
          <w:noProof/>
          <w:color w:val="FF0000"/>
          <w:sz w:val="24"/>
          <w:szCs w:val="20"/>
          <w:lang w:val="en-US" w:eastAsia="en-US"/>
        </w:rPr>
        <w:drawing>
          <wp:inline distT="0" distB="0" distL="0" distR="0" wp14:anchorId="585B65E5" wp14:editId="4560F847">
            <wp:extent cx="5044440" cy="4176135"/>
            <wp:effectExtent l="0" t="0" r="3810" b="0"/>
            <wp:docPr id="38" name="Picture 3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rotWithShape="1">
                    <a:blip r:embed="rId49">
                      <a:extLst>
                        <a:ext uri="{28A0092B-C50C-407E-A947-70E740481C1C}">
                          <a14:useLocalDpi xmlns:a14="http://schemas.microsoft.com/office/drawing/2010/main" val="0"/>
                        </a:ext>
                      </a:extLst>
                    </a:blip>
                    <a:srcRect l="18333" t="5697" r="19103" b="2222"/>
                    <a:stretch/>
                  </pic:blipFill>
                  <pic:spPr bwMode="auto">
                    <a:xfrm>
                      <a:off x="0" y="0"/>
                      <a:ext cx="5065792" cy="4193812"/>
                    </a:xfrm>
                    <a:prstGeom prst="rect">
                      <a:avLst/>
                    </a:prstGeom>
                    <a:ln>
                      <a:noFill/>
                    </a:ln>
                    <a:extLst>
                      <a:ext uri="{53640926-AAD7-44D8-BBD7-CCE9431645EC}">
                        <a14:shadowObscured xmlns:a14="http://schemas.microsoft.com/office/drawing/2010/main"/>
                      </a:ext>
                    </a:extLst>
                  </pic:spPr>
                </pic:pic>
              </a:graphicData>
            </a:graphic>
          </wp:inline>
        </w:drawing>
      </w:r>
    </w:p>
    <w:p w14:paraId="076F17AA"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w:t>
      </w:r>
    </w:p>
    <w:p w14:paraId="4BEB7966" w14:textId="77777777" w:rsidR="00153266" w:rsidRPr="00153266" w:rsidRDefault="00153266" w:rsidP="00153266">
      <w:pPr>
        <w:widowControl/>
        <w:autoSpaceDE/>
        <w:autoSpaceDN/>
        <w:adjustRightInd/>
        <w:ind w:right="1164"/>
        <w:jc w:val="both"/>
        <w:rPr>
          <w:rFonts w:asciiTheme="minorHAnsi" w:eastAsia="Times New Roman" w:hAnsiTheme="minorHAnsi" w:cstheme="minorHAnsi"/>
          <w:caps/>
          <w:sz w:val="24"/>
          <w:szCs w:val="24"/>
          <w:lang w:val="en-US" w:eastAsia="en-US"/>
        </w:rPr>
      </w:pPr>
    </w:p>
    <w:p w14:paraId="239D111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3.3 Project Ownership, Land Tenure and work requirements</w:t>
      </w:r>
    </w:p>
    <w:p w14:paraId="5BA4E9A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60A3BC9F"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CA" w:eastAsia="en-US"/>
        </w:rPr>
      </w:pPr>
      <w:bookmarkStart w:id="30" w:name="_Hlk70856725"/>
      <w:r w:rsidRPr="00153266">
        <w:rPr>
          <w:rFonts w:ascii="Calibri" w:eastAsia="Times New Roman" w:hAnsi="Calibri" w:cs="Times New Roman"/>
          <w:sz w:val="24"/>
          <w:szCs w:val="20"/>
          <w:lang w:val="en-CA" w:eastAsia="en-US"/>
        </w:rPr>
        <w:t xml:space="preserve">The Property comprises 10 contiguous map-staked mineral licenses containing a total of 1189 claims covering </w:t>
      </w:r>
      <w:proofErr w:type="gramStart"/>
      <w:r w:rsidRPr="00153266">
        <w:rPr>
          <w:rFonts w:ascii="Calibri" w:eastAsia="Times New Roman" w:hAnsi="Calibri" w:cs="Times New Roman"/>
          <w:sz w:val="24"/>
          <w:szCs w:val="20"/>
          <w:lang w:val="en-CA" w:eastAsia="en-US"/>
        </w:rPr>
        <w:t>29,725  Ha</w:t>
      </w:r>
      <w:proofErr w:type="gramEnd"/>
      <w:r w:rsidRPr="00153266">
        <w:rPr>
          <w:rFonts w:ascii="Calibri" w:eastAsia="Times New Roman" w:hAnsi="Calibri" w:cs="Times New Roman"/>
          <w:sz w:val="24"/>
          <w:szCs w:val="20"/>
          <w:lang w:val="en-CA" w:eastAsia="en-US"/>
        </w:rPr>
        <w:t xml:space="preserve"> (297.25 km</w:t>
      </w:r>
      <w:r w:rsidRPr="00153266">
        <w:rPr>
          <w:rFonts w:ascii="Calibri" w:eastAsia="Times New Roman" w:hAnsi="Calibri" w:cs="Times New Roman"/>
          <w:sz w:val="24"/>
          <w:szCs w:val="20"/>
          <w:vertAlign w:val="superscript"/>
          <w:lang w:val="en-CA" w:eastAsia="en-US"/>
        </w:rPr>
        <w:t>2</w:t>
      </w:r>
      <w:r w:rsidRPr="00153266">
        <w:rPr>
          <w:rFonts w:ascii="Calibri" w:eastAsia="Times New Roman" w:hAnsi="Calibri" w:cs="Times New Roman"/>
          <w:sz w:val="24"/>
          <w:szCs w:val="20"/>
          <w:lang w:val="en-CA" w:eastAsia="en-US"/>
        </w:rPr>
        <w:t xml:space="preserve">). The claims were map-staked by Altius on November 27, 2020 and the licences issued by the mineral </w:t>
      </w:r>
      <w:proofErr w:type="gramStart"/>
      <w:r w:rsidRPr="00153266">
        <w:rPr>
          <w:rFonts w:ascii="Calibri" w:eastAsia="Times New Roman" w:hAnsi="Calibri" w:cs="Times New Roman"/>
          <w:sz w:val="24"/>
          <w:szCs w:val="20"/>
          <w:lang w:val="en-CA" w:eastAsia="en-US"/>
        </w:rPr>
        <w:t>claims</w:t>
      </w:r>
      <w:proofErr w:type="gramEnd"/>
      <w:r w:rsidRPr="00153266">
        <w:rPr>
          <w:rFonts w:ascii="Calibri" w:eastAsia="Times New Roman" w:hAnsi="Calibri" w:cs="Times New Roman"/>
          <w:sz w:val="24"/>
          <w:szCs w:val="20"/>
          <w:lang w:val="en-CA" w:eastAsia="en-US"/>
        </w:rPr>
        <w:t xml:space="preserve"> recorder on December 27, 2020.  Altius staked 672 additional claims surrounding the 2020 claims on April 21, 2021 and the licences issued by the mineral </w:t>
      </w:r>
      <w:proofErr w:type="gramStart"/>
      <w:r w:rsidRPr="00153266">
        <w:rPr>
          <w:rFonts w:ascii="Calibri" w:eastAsia="Times New Roman" w:hAnsi="Calibri" w:cs="Times New Roman"/>
          <w:sz w:val="24"/>
          <w:szCs w:val="20"/>
          <w:lang w:val="en-CA" w:eastAsia="en-US"/>
        </w:rPr>
        <w:t>claims</w:t>
      </w:r>
      <w:proofErr w:type="gramEnd"/>
      <w:r w:rsidRPr="00153266">
        <w:rPr>
          <w:rFonts w:ascii="Calibri" w:eastAsia="Times New Roman" w:hAnsi="Calibri" w:cs="Times New Roman"/>
          <w:sz w:val="24"/>
          <w:szCs w:val="20"/>
          <w:lang w:val="en-CA" w:eastAsia="en-US"/>
        </w:rPr>
        <w:t xml:space="preserve"> recorder on May, 21, 2021.</w:t>
      </w:r>
      <w:bookmarkEnd w:id="30"/>
      <w:r w:rsidRPr="00153266">
        <w:rPr>
          <w:rFonts w:ascii="Calibri" w:eastAsia="Times New Roman" w:hAnsi="Calibri" w:cs="Times New Roman"/>
          <w:sz w:val="24"/>
          <w:szCs w:val="20"/>
          <w:lang w:val="en-CA" w:eastAsia="en-US"/>
        </w:rPr>
        <w:t xml:space="preserve"> </w:t>
      </w:r>
    </w:p>
    <w:p w14:paraId="048818A0"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CA" w:eastAsia="en-US"/>
        </w:rPr>
      </w:pPr>
    </w:p>
    <w:p w14:paraId="74256513"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CA" w:eastAsia="en-US"/>
        </w:rPr>
      </w:pPr>
      <w:r w:rsidRPr="00153266">
        <w:rPr>
          <w:rFonts w:ascii="Calibri" w:eastAsia="Times New Roman" w:hAnsi="Calibri" w:cs="Times New Roman"/>
          <w:sz w:val="24"/>
          <w:szCs w:val="20"/>
          <w:lang w:val="en-CA" w:eastAsia="en-US"/>
        </w:rPr>
        <w:t xml:space="preserve">Table 3 below, provides details of each of the 2020 and 2021 map-staked licenses, while Figure 2 shows a mineral claims map.  The license number is also hyperlinked to the Mineral Rights Inquiry page at the Department of Industry, Energy and Technology, Mineral Rights Division, which provides additional information on each of the licenses.  </w:t>
      </w:r>
    </w:p>
    <w:p w14:paraId="59A37785"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en-US"/>
        </w:rPr>
      </w:pPr>
    </w:p>
    <w:p w14:paraId="6F2D1FA0"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4"/>
          <w:lang w:val="en-CA" w:eastAsia="en-US"/>
        </w:rPr>
      </w:pPr>
      <w:bookmarkStart w:id="31" w:name="_Hlk70857310"/>
      <w:r w:rsidRPr="00153266">
        <w:rPr>
          <w:rFonts w:ascii="Calibri" w:eastAsia="Times New Roman" w:hAnsi="Calibri" w:cs="Times New Roman"/>
          <w:sz w:val="24"/>
          <w:szCs w:val="20"/>
          <w:lang w:val="en-CA" w:eastAsia="fr-CA"/>
        </w:rPr>
        <w:t xml:space="preserve">Currently, all  2020 licenses comprising the Property are in their first year of tenure and require expenditures of CDN$200 / claim to be incurred on or before December 27, 2021, totaling CDN$103,400 for all claims and all 2021 licenses require expenditures of CDN$200 / claim to be incurred on or before May 21, 2022 </w:t>
      </w:r>
      <w:r w:rsidRPr="00153266">
        <w:rPr>
          <w:rFonts w:ascii="Calibri" w:eastAsia="Times New Roman" w:hAnsi="Calibri" w:cs="Times New Roman"/>
          <w:sz w:val="24"/>
          <w:szCs w:val="24"/>
          <w:lang w:val="en-CA" w:eastAsia="fr-CA"/>
        </w:rPr>
        <w:t>totalling $</w:t>
      </w:r>
      <w:r w:rsidRPr="00153266">
        <w:rPr>
          <w:rFonts w:ascii="Calibri" w:eastAsia="Times New Roman" w:hAnsi="Calibri" w:cstheme="minorHAnsi"/>
          <w:sz w:val="24"/>
          <w:szCs w:val="24"/>
          <w:lang w:val="en-US" w:eastAsia="en-CA"/>
        </w:rPr>
        <w:t>237,800 for all claims</w:t>
      </w:r>
      <w:r w:rsidRPr="00153266">
        <w:rPr>
          <w:rFonts w:ascii="Calibri" w:eastAsia="Times New Roman" w:hAnsi="Calibri" w:cs="Times New Roman"/>
          <w:sz w:val="24"/>
          <w:szCs w:val="24"/>
          <w:lang w:val="en-CA" w:eastAsia="fr-CA"/>
        </w:rPr>
        <w:t>.</w:t>
      </w:r>
      <w:r w:rsidRPr="00153266" w:rsidDel="00524661">
        <w:rPr>
          <w:rFonts w:ascii="Calibri" w:eastAsia="Times New Roman" w:hAnsi="Calibri" w:cs="Times New Roman"/>
          <w:color w:val="FF0000"/>
          <w:sz w:val="24"/>
          <w:szCs w:val="24"/>
          <w:lang w:val="en-CA" w:eastAsia="fr-CA"/>
        </w:rPr>
        <w:t xml:space="preserve"> </w:t>
      </w:r>
    </w:p>
    <w:bookmarkEnd w:id="31"/>
    <w:p w14:paraId="3123360F"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1E189ACE"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bookmarkStart w:id="32" w:name="_Toc448386185"/>
    </w:p>
    <w:p w14:paraId="24874C9F"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2C4AE3D6"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125DC3F1"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5ED78A05"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053147F2"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2EDDBDE2" w14:textId="0DD6D18A" w:rsidR="00153266" w:rsidRDefault="00153266" w:rsidP="00153266">
      <w:pPr>
        <w:widowControl/>
        <w:autoSpaceDE/>
        <w:autoSpaceDN/>
        <w:adjustRightInd/>
        <w:ind w:left="144" w:right="1164"/>
        <w:jc w:val="both"/>
        <w:rPr>
          <w:rFonts w:ascii="Calibri" w:eastAsia="Times New Roman" w:hAnsi="Calibri" w:cs="Times New Roman"/>
          <w:iCs/>
          <w:sz w:val="24"/>
          <w:szCs w:val="24"/>
          <w:lang w:val="en-US" w:eastAsia="en-US"/>
        </w:rPr>
      </w:pPr>
      <w:r w:rsidRPr="00153266">
        <w:rPr>
          <w:rFonts w:ascii="Calibri" w:eastAsia="Times New Roman" w:hAnsi="Calibri" w:cs="Times New Roman"/>
          <w:iCs/>
          <w:sz w:val="24"/>
          <w:szCs w:val="24"/>
          <w:lang w:val="en-US" w:eastAsia="en-US"/>
        </w:rPr>
        <w:lastRenderedPageBreak/>
        <w:t>Table 3. Listing of Mineral License Details</w:t>
      </w:r>
      <w:bookmarkEnd w:id="32"/>
    </w:p>
    <w:p w14:paraId="7096916B" w14:textId="77777777"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765"/>
        <w:gridCol w:w="824"/>
        <w:gridCol w:w="851"/>
        <w:gridCol w:w="1134"/>
        <w:gridCol w:w="850"/>
        <w:gridCol w:w="838"/>
        <w:gridCol w:w="721"/>
        <w:gridCol w:w="981"/>
        <w:gridCol w:w="862"/>
        <w:gridCol w:w="922"/>
        <w:gridCol w:w="946"/>
      </w:tblGrid>
      <w:tr w:rsidR="00170424" w:rsidRPr="00153266" w14:paraId="47930BEA" w14:textId="77777777" w:rsidTr="00170424">
        <w:trPr>
          <w:trHeight w:val="864"/>
          <w:jc w:val="center"/>
        </w:trPr>
        <w:tc>
          <w:tcPr>
            <w:tcW w:w="816" w:type="dxa"/>
            <w:shd w:val="clear" w:color="auto" w:fill="auto"/>
            <w:hideMark/>
          </w:tcPr>
          <w:p w14:paraId="6F458030"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roofErr w:type="spellStart"/>
            <w:r w:rsidRPr="00170424">
              <w:rPr>
                <w:rFonts w:ascii="Times New Roman" w:eastAsia="Times New Roman" w:hAnsi="Times New Roman" w:cstheme="minorHAnsi"/>
                <w:b/>
                <w:bCs/>
                <w:sz w:val="16"/>
                <w:szCs w:val="16"/>
                <w:lang w:val="en-US" w:eastAsia="en-CA"/>
              </w:rPr>
              <w:t>Licence</w:t>
            </w:r>
            <w:proofErr w:type="spellEnd"/>
            <w:r w:rsidRPr="00170424">
              <w:rPr>
                <w:rFonts w:ascii="Times New Roman" w:eastAsia="Times New Roman" w:hAnsi="Times New Roman" w:cstheme="minorHAnsi"/>
                <w:b/>
                <w:bCs/>
                <w:sz w:val="16"/>
                <w:szCs w:val="16"/>
                <w:lang w:val="en-US" w:eastAsia="en-CA"/>
              </w:rPr>
              <w:br/>
              <w:t>Number</w:t>
            </w:r>
          </w:p>
        </w:tc>
        <w:tc>
          <w:tcPr>
            <w:tcW w:w="765" w:type="dxa"/>
            <w:shd w:val="clear" w:color="auto" w:fill="auto"/>
            <w:hideMark/>
          </w:tcPr>
          <w:p w14:paraId="5853A341"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License Status</w:t>
            </w:r>
          </w:p>
        </w:tc>
        <w:tc>
          <w:tcPr>
            <w:tcW w:w="824" w:type="dxa"/>
            <w:shd w:val="clear" w:color="auto" w:fill="auto"/>
            <w:hideMark/>
          </w:tcPr>
          <w:p w14:paraId="1BAACB28"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No. of Claims</w:t>
            </w:r>
          </w:p>
        </w:tc>
        <w:tc>
          <w:tcPr>
            <w:tcW w:w="851" w:type="dxa"/>
            <w:shd w:val="clear" w:color="auto" w:fill="auto"/>
            <w:hideMark/>
          </w:tcPr>
          <w:p w14:paraId="02408F82"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No. of</w:t>
            </w:r>
            <w:r w:rsidRPr="00170424">
              <w:rPr>
                <w:rFonts w:ascii="Times New Roman" w:eastAsia="Times New Roman" w:hAnsi="Times New Roman" w:cstheme="minorHAnsi"/>
                <w:b/>
                <w:bCs/>
                <w:sz w:val="16"/>
                <w:szCs w:val="16"/>
                <w:lang w:val="en-US" w:eastAsia="en-CA"/>
              </w:rPr>
              <w:br/>
              <w:t>Hectares</w:t>
            </w:r>
          </w:p>
        </w:tc>
        <w:tc>
          <w:tcPr>
            <w:tcW w:w="1134" w:type="dxa"/>
            <w:shd w:val="clear" w:color="auto" w:fill="auto"/>
            <w:hideMark/>
          </w:tcPr>
          <w:p w14:paraId="01CE16C4"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Application</w:t>
            </w:r>
            <w:r w:rsidRPr="00170424">
              <w:rPr>
                <w:rFonts w:ascii="Times New Roman" w:eastAsia="Times New Roman" w:hAnsi="Times New Roman" w:cstheme="minorHAnsi"/>
                <w:b/>
                <w:bCs/>
                <w:sz w:val="16"/>
                <w:szCs w:val="16"/>
                <w:lang w:val="en-US" w:eastAsia="en-CA"/>
              </w:rPr>
              <w:br/>
              <w:t>Date</w:t>
            </w:r>
          </w:p>
        </w:tc>
        <w:tc>
          <w:tcPr>
            <w:tcW w:w="850" w:type="dxa"/>
            <w:shd w:val="clear" w:color="auto" w:fill="auto"/>
            <w:hideMark/>
          </w:tcPr>
          <w:p w14:paraId="5A4C1AF2"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Issuance</w:t>
            </w:r>
            <w:r w:rsidRPr="00170424">
              <w:rPr>
                <w:rFonts w:ascii="Times New Roman" w:eastAsia="Times New Roman" w:hAnsi="Times New Roman" w:cstheme="minorHAnsi"/>
                <w:b/>
                <w:bCs/>
                <w:sz w:val="16"/>
                <w:szCs w:val="16"/>
                <w:lang w:val="en-US" w:eastAsia="en-CA"/>
              </w:rPr>
              <w:br/>
              <w:t>Date</w:t>
            </w:r>
          </w:p>
        </w:tc>
        <w:tc>
          <w:tcPr>
            <w:tcW w:w="838" w:type="dxa"/>
            <w:shd w:val="clear" w:color="auto" w:fill="auto"/>
            <w:hideMark/>
          </w:tcPr>
          <w:p w14:paraId="34B29A2A"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Renewal</w:t>
            </w:r>
            <w:r w:rsidRPr="00170424">
              <w:rPr>
                <w:rFonts w:ascii="Times New Roman" w:eastAsia="Times New Roman" w:hAnsi="Times New Roman" w:cstheme="minorHAnsi"/>
                <w:b/>
                <w:bCs/>
                <w:sz w:val="16"/>
                <w:szCs w:val="16"/>
                <w:lang w:val="en-US" w:eastAsia="en-CA"/>
              </w:rPr>
              <w:br/>
              <w:t>Date</w:t>
            </w:r>
          </w:p>
        </w:tc>
        <w:tc>
          <w:tcPr>
            <w:tcW w:w="721" w:type="dxa"/>
            <w:shd w:val="clear" w:color="auto" w:fill="auto"/>
            <w:hideMark/>
          </w:tcPr>
          <w:p w14:paraId="42D110CE"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Tenure</w:t>
            </w:r>
            <w:r w:rsidRPr="00170424">
              <w:rPr>
                <w:rFonts w:ascii="Times New Roman" w:eastAsia="Times New Roman" w:hAnsi="Times New Roman" w:cstheme="minorHAnsi"/>
                <w:b/>
                <w:bCs/>
                <w:sz w:val="16"/>
                <w:szCs w:val="16"/>
                <w:lang w:val="en-US" w:eastAsia="en-CA"/>
              </w:rPr>
              <w:br/>
              <w:t>Year</w:t>
            </w:r>
          </w:p>
        </w:tc>
        <w:tc>
          <w:tcPr>
            <w:tcW w:w="981" w:type="dxa"/>
            <w:shd w:val="clear" w:color="auto" w:fill="auto"/>
            <w:hideMark/>
          </w:tcPr>
          <w:p w14:paraId="697E769D"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Work Due</w:t>
            </w:r>
            <w:r w:rsidRPr="00170424">
              <w:rPr>
                <w:rFonts w:ascii="Times New Roman" w:eastAsia="Times New Roman" w:hAnsi="Times New Roman" w:cstheme="minorHAnsi"/>
                <w:b/>
                <w:bCs/>
                <w:sz w:val="16"/>
                <w:szCs w:val="16"/>
                <w:lang w:val="en-US" w:eastAsia="en-CA"/>
              </w:rPr>
              <w:br/>
              <w:t>Date</w:t>
            </w:r>
          </w:p>
        </w:tc>
        <w:tc>
          <w:tcPr>
            <w:tcW w:w="862" w:type="dxa"/>
            <w:shd w:val="clear" w:color="auto" w:fill="auto"/>
            <w:hideMark/>
          </w:tcPr>
          <w:p w14:paraId="339965B0"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Work</w:t>
            </w:r>
            <w:r w:rsidRPr="00170424">
              <w:rPr>
                <w:rFonts w:ascii="Times New Roman" w:eastAsia="Times New Roman" w:hAnsi="Times New Roman" w:cstheme="minorHAnsi"/>
                <w:b/>
                <w:bCs/>
                <w:sz w:val="16"/>
                <w:szCs w:val="16"/>
                <w:lang w:val="en-US" w:eastAsia="en-CA"/>
              </w:rPr>
              <w:br/>
              <w:t>Required</w:t>
            </w:r>
          </w:p>
          <w:p w14:paraId="1EDEE60F"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(CDN$)</w:t>
            </w:r>
          </w:p>
        </w:tc>
        <w:tc>
          <w:tcPr>
            <w:tcW w:w="922" w:type="dxa"/>
            <w:shd w:val="clear" w:color="auto" w:fill="auto"/>
            <w:hideMark/>
          </w:tcPr>
          <w:p w14:paraId="682C8E1C"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Report</w:t>
            </w:r>
            <w:r w:rsidRPr="00170424">
              <w:rPr>
                <w:rFonts w:ascii="Times New Roman" w:eastAsia="Times New Roman" w:hAnsi="Times New Roman" w:cstheme="minorHAnsi"/>
                <w:b/>
                <w:bCs/>
                <w:sz w:val="16"/>
                <w:szCs w:val="16"/>
                <w:lang w:val="en-US" w:eastAsia="en-CA"/>
              </w:rPr>
              <w:br/>
              <w:t>Due Date</w:t>
            </w:r>
          </w:p>
        </w:tc>
        <w:tc>
          <w:tcPr>
            <w:tcW w:w="946" w:type="dxa"/>
            <w:shd w:val="clear" w:color="auto" w:fill="auto"/>
            <w:hideMark/>
          </w:tcPr>
          <w:p w14:paraId="1054BF03"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Refundable Deposits</w:t>
            </w:r>
          </w:p>
          <w:p w14:paraId="1E308CB7" w14:textId="77777777" w:rsidR="00170424" w:rsidRPr="00170424"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70424">
              <w:rPr>
                <w:rFonts w:ascii="Times New Roman" w:eastAsia="Times New Roman" w:hAnsi="Times New Roman" w:cstheme="minorHAnsi"/>
                <w:b/>
                <w:bCs/>
                <w:sz w:val="16"/>
                <w:szCs w:val="16"/>
                <w:lang w:val="en-US" w:eastAsia="en-CA"/>
              </w:rPr>
              <w:t>(CDN$)</w:t>
            </w:r>
          </w:p>
        </w:tc>
      </w:tr>
      <w:tr w:rsidR="00170424" w:rsidRPr="00153266" w14:paraId="6BF6B70C" w14:textId="77777777" w:rsidTr="00170424">
        <w:trPr>
          <w:cantSplit/>
          <w:trHeight w:val="563"/>
          <w:jc w:val="center"/>
        </w:trPr>
        <w:tc>
          <w:tcPr>
            <w:tcW w:w="816" w:type="dxa"/>
            <w:shd w:val="clear" w:color="auto" w:fill="auto"/>
            <w:noWrap/>
            <w:vAlign w:val="center"/>
            <w:hideMark/>
          </w:tcPr>
          <w:p w14:paraId="6F3CFC20"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0" w:history="1">
              <w:r w:rsidRPr="00153266">
                <w:rPr>
                  <w:rFonts w:ascii="Times New Roman" w:eastAsia="Times New Roman" w:hAnsi="Times New Roman" w:cstheme="minorHAnsi"/>
                  <w:b/>
                  <w:bCs/>
                  <w:color w:val="0563C1" w:themeColor="hyperlink"/>
                  <w:sz w:val="16"/>
                  <w:szCs w:val="16"/>
                  <w:u w:val="single"/>
                  <w:lang w:val="en-US" w:eastAsia="en-CA"/>
                </w:rPr>
                <w:t>031789M</w:t>
              </w:r>
            </w:hyperlink>
          </w:p>
        </w:tc>
        <w:tc>
          <w:tcPr>
            <w:tcW w:w="765" w:type="dxa"/>
            <w:shd w:val="clear" w:color="auto" w:fill="auto"/>
            <w:noWrap/>
            <w:vAlign w:val="center"/>
            <w:hideMark/>
          </w:tcPr>
          <w:p w14:paraId="11A15BF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76514AB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256</w:t>
            </w:r>
          </w:p>
        </w:tc>
        <w:tc>
          <w:tcPr>
            <w:tcW w:w="851" w:type="dxa"/>
            <w:shd w:val="clear" w:color="auto" w:fill="auto"/>
            <w:noWrap/>
            <w:vAlign w:val="center"/>
            <w:hideMark/>
          </w:tcPr>
          <w:p w14:paraId="27AC860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6,400</w:t>
            </w:r>
          </w:p>
        </w:tc>
        <w:tc>
          <w:tcPr>
            <w:tcW w:w="1134" w:type="dxa"/>
            <w:shd w:val="clear" w:color="auto" w:fill="auto"/>
            <w:noWrap/>
            <w:vAlign w:val="center"/>
            <w:hideMark/>
          </w:tcPr>
          <w:p w14:paraId="209FA1D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2020-Nov-27</w:t>
            </w:r>
          </w:p>
        </w:tc>
        <w:tc>
          <w:tcPr>
            <w:tcW w:w="850" w:type="dxa"/>
            <w:shd w:val="clear" w:color="auto" w:fill="auto"/>
            <w:noWrap/>
            <w:vAlign w:val="center"/>
            <w:hideMark/>
          </w:tcPr>
          <w:p w14:paraId="270FF43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2020-Dec-27</w:t>
            </w:r>
          </w:p>
        </w:tc>
        <w:tc>
          <w:tcPr>
            <w:tcW w:w="838" w:type="dxa"/>
            <w:shd w:val="clear" w:color="auto" w:fill="auto"/>
            <w:noWrap/>
            <w:vAlign w:val="center"/>
            <w:hideMark/>
          </w:tcPr>
          <w:p w14:paraId="2A18D6A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2025-Dec-27</w:t>
            </w:r>
          </w:p>
        </w:tc>
        <w:tc>
          <w:tcPr>
            <w:tcW w:w="721" w:type="dxa"/>
            <w:shd w:val="clear" w:color="auto" w:fill="auto"/>
            <w:noWrap/>
            <w:vAlign w:val="center"/>
            <w:hideMark/>
          </w:tcPr>
          <w:p w14:paraId="15EF4AA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1810239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2021-Dec-27</w:t>
            </w:r>
          </w:p>
        </w:tc>
        <w:tc>
          <w:tcPr>
            <w:tcW w:w="862" w:type="dxa"/>
            <w:shd w:val="clear" w:color="auto" w:fill="auto"/>
            <w:noWrap/>
            <w:vAlign w:val="center"/>
            <w:hideMark/>
          </w:tcPr>
          <w:p w14:paraId="3E331F4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51,200</w:t>
            </w:r>
          </w:p>
        </w:tc>
        <w:tc>
          <w:tcPr>
            <w:tcW w:w="922" w:type="dxa"/>
            <w:shd w:val="clear" w:color="auto" w:fill="auto"/>
            <w:noWrap/>
            <w:vAlign w:val="center"/>
            <w:hideMark/>
          </w:tcPr>
          <w:p w14:paraId="4A44513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2022-Feb-25</w:t>
            </w:r>
          </w:p>
        </w:tc>
        <w:tc>
          <w:tcPr>
            <w:tcW w:w="946" w:type="dxa"/>
            <w:shd w:val="clear" w:color="auto" w:fill="auto"/>
            <w:noWrap/>
            <w:vAlign w:val="center"/>
            <w:hideMark/>
          </w:tcPr>
          <w:p w14:paraId="39ED9EE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12,800</w:t>
            </w:r>
          </w:p>
        </w:tc>
      </w:tr>
      <w:tr w:rsidR="00170424" w:rsidRPr="00153266" w14:paraId="01060C01" w14:textId="77777777" w:rsidTr="00170424">
        <w:trPr>
          <w:trHeight w:val="563"/>
          <w:jc w:val="center"/>
        </w:trPr>
        <w:tc>
          <w:tcPr>
            <w:tcW w:w="816" w:type="dxa"/>
            <w:shd w:val="clear" w:color="auto" w:fill="auto"/>
            <w:noWrap/>
            <w:vAlign w:val="center"/>
            <w:hideMark/>
          </w:tcPr>
          <w:p w14:paraId="72D9361A"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1" w:history="1">
              <w:r w:rsidRPr="00153266">
                <w:rPr>
                  <w:rFonts w:ascii="Times New Roman" w:eastAsia="Times New Roman" w:hAnsi="Times New Roman" w:cstheme="minorHAnsi"/>
                  <w:b/>
                  <w:bCs/>
                  <w:color w:val="0563C1" w:themeColor="hyperlink"/>
                  <w:sz w:val="16"/>
                  <w:szCs w:val="16"/>
                  <w:u w:val="single"/>
                  <w:lang w:val="en-US" w:eastAsia="en-CA"/>
                </w:rPr>
                <w:t>031790M</w:t>
              </w:r>
            </w:hyperlink>
          </w:p>
        </w:tc>
        <w:tc>
          <w:tcPr>
            <w:tcW w:w="765" w:type="dxa"/>
            <w:shd w:val="clear" w:color="auto" w:fill="auto"/>
            <w:noWrap/>
            <w:vAlign w:val="center"/>
            <w:hideMark/>
          </w:tcPr>
          <w:p w14:paraId="11FD6F4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42A26C3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229</w:t>
            </w:r>
          </w:p>
        </w:tc>
        <w:tc>
          <w:tcPr>
            <w:tcW w:w="851" w:type="dxa"/>
            <w:shd w:val="clear" w:color="auto" w:fill="auto"/>
            <w:noWrap/>
            <w:vAlign w:val="center"/>
            <w:hideMark/>
          </w:tcPr>
          <w:p w14:paraId="6C1ED5D1"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5,725</w:t>
            </w:r>
          </w:p>
        </w:tc>
        <w:tc>
          <w:tcPr>
            <w:tcW w:w="1134" w:type="dxa"/>
            <w:shd w:val="clear" w:color="auto" w:fill="auto"/>
            <w:noWrap/>
            <w:vAlign w:val="center"/>
            <w:hideMark/>
          </w:tcPr>
          <w:p w14:paraId="75FDB09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2020-Nov-27</w:t>
            </w:r>
          </w:p>
        </w:tc>
        <w:tc>
          <w:tcPr>
            <w:tcW w:w="850" w:type="dxa"/>
            <w:shd w:val="clear" w:color="auto" w:fill="auto"/>
            <w:noWrap/>
            <w:vAlign w:val="center"/>
            <w:hideMark/>
          </w:tcPr>
          <w:p w14:paraId="206C0F2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2020-Dec-27</w:t>
            </w:r>
          </w:p>
        </w:tc>
        <w:tc>
          <w:tcPr>
            <w:tcW w:w="838" w:type="dxa"/>
            <w:shd w:val="clear" w:color="auto" w:fill="auto"/>
            <w:noWrap/>
            <w:vAlign w:val="center"/>
            <w:hideMark/>
          </w:tcPr>
          <w:p w14:paraId="6C8D5E7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2025-Dec-27</w:t>
            </w:r>
          </w:p>
        </w:tc>
        <w:tc>
          <w:tcPr>
            <w:tcW w:w="721" w:type="dxa"/>
            <w:shd w:val="clear" w:color="auto" w:fill="auto"/>
            <w:noWrap/>
            <w:vAlign w:val="center"/>
            <w:hideMark/>
          </w:tcPr>
          <w:p w14:paraId="066D261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245BF330"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2021-Dec-27</w:t>
            </w:r>
          </w:p>
        </w:tc>
        <w:tc>
          <w:tcPr>
            <w:tcW w:w="862" w:type="dxa"/>
            <w:shd w:val="clear" w:color="auto" w:fill="auto"/>
            <w:noWrap/>
            <w:vAlign w:val="center"/>
            <w:hideMark/>
          </w:tcPr>
          <w:p w14:paraId="768D4B4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45,800</w:t>
            </w:r>
          </w:p>
        </w:tc>
        <w:tc>
          <w:tcPr>
            <w:tcW w:w="922" w:type="dxa"/>
            <w:shd w:val="clear" w:color="auto" w:fill="auto"/>
            <w:noWrap/>
            <w:vAlign w:val="center"/>
            <w:hideMark/>
          </w:tcPr>
          <w:p w14:paraId="258EEB7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2022-Feb-25</w:t>
            </w:r>
          </w:p>
        </w:tc>
        <w:tc>
          <w:tcPr>
            <w:tcW w:w="946" w:type="dxa"/>
            <w:shd w:val="clear" w:color="auto" w:fill="auto"/>
            <w:noWrap/>
            <w:vAlign w:val="center"/>
            <w:hideMark/>
          </w:tcPr>
          <w:p w14:paraId="76ED19D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11,450</w:t>
            </w:r>
          </w:p>
        </w:tc>
      </w:tr>
      <w:tr w:rsidR="00170424" w:rsidRPr="00153266" w14:paraId="3AE6259C" w14:textId="77777777" w:rsidTr="00170424">
        <w:trPr>
          <w:trHeight w:val="563"/>
          <w:jc w:val="center"/>
        </w:trPr>
        <w:tc>
          <w:tcPr>
            <w:tcW w:w="816" w:type="dxa"/>
            <w:shd w:val="clear" w:color="auto" w:fill="auto"/>
            <w:noWrap/>
            <w:vAlign w:val="center"/>
            <w:hideMark/>
          </w:tcPr>
          <w:p w14:paraId="6007383C"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2" w:history="1">
              <w:r w:rsidRPr="00153266">
                <w:rPr>
                  <w:rFonts w:ascii="Times New Roman" w:eastAsia="Times New Roman" w:hAnsi="Times New Roman" w:cstheme="minorHAnsi"/>
                  <w:b/>
                  <w:bCs/>
                  <w:color w:val="0563C1" w:themeColor="hyperlink"/>
                  <w:sz w:val="16"/>
                  <w:szCs w:val="16"/>
                  <w:u w:val="single"/>
                  <w:lang w:val="en-US" w:eastAsia="en-CA"/>
                </w:rPr>
                <w:t>031791M</w:t>
              </w:r>
            </w:hyperlink>
          </w:p>
        </w:tc>
        <w:tc>
          <w:tcPr>
            <w:tcW w:w="765" w:type="dxa"/>
            <w:shd w:val="clear" w:color="auto" w:fill="auto"/>
            <w:noWrap/>
            <w:vAlign w:val="center"/>
            <w:hideMark/>
          </w:tcPr>
          <w:p w14:paraId="100546A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3573D5A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4</w:t>
            </w:r>
          </w:p>
        </w:tc>
        <w:tc>
          <w:tcPr>
            <w:tcW w:w="851" w:type="dxa"/>
            <w:shd w:val="clear" w:color="auto" w:fill="auto"/>
            <w:noWrap/>
            <w:vAlign w:val="center"/>
            <w:hideMark/>
          </w:tcPr>
          <w:p w14:paraId="37D81380"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100</w:t>
            </w:r>
          </w:p>
        </w:tc>
        <w:tc>
          <w:tcPr>
            <w:tcW w:w="1134" w:type="dxa"/>
            <w:shd w:val="clear" w:color="auto" w:fill="auto"/>
            <w:noWrap/>
            <w:vAlign w:val="center"/>
            <w:hideMark/>
          </w:tcPr>
          <w:p w14:paraId="7770F94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2020-Nov-27</w:t>
            </w:r>
          </w:p>
        </w:tc>
        <w:tc>
          <w:tcPr>
            <w:tcW w:w="850" w:type="dxa"/>
            <w:shd w:val="clear" w:color="auto" w:fill="auto"/>
            <w:noWrap/>
            <w:vAlign w:val="center"/>
            <w:hideMark/>
          </w:tcPr>
          <w:p w14:paraId="4418FD1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2020-Dec-27</w:t>
            </w:r>
          </w:p>
        </w:tc>
        <w:tc>
          <w:tcPr>
            <w:tcW w:w="838" w:type="dxa"/>
            <w:shd w:val="clear" w:color="auto" w:fill="auto"/>
            <w:noWrap/>
            <w:vAlign w:val="center"/>
            <w:hideMark/>
          </w:tcPr>
          <w:p w14:paraId="0DB1B6B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2025-Dec-27</w:t>
            </w:r>
          </w:p>
        </w:tc>
        <w:tc>
          <w:tcPr>
            <w:tcW w:w="721" w:type="dxa"/>
            <w:shd w:val="clear" w:color="auto" w:fill="auto"/>
            <w:noWrap/>
            <w:vAlign w:val="center"/>
            <w:hideMark/>
          </w:tcPr>
          <w:p w14:paraId="75BB6B2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320A03B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2021-Dec-27</w:t>
            </w:r>
          </w:p>
        </w:tc>
        <w:tc>
          <w:tcPr>
            <w:tcW w:w="862" w:type="dxa"/>
            <w:shd w:val="clear" w:color="auto" w:fill="auto"/>
            <w:noWrap/>
            <w:vAlign w:val="center"/>
            <w:hideMark/>
          </w:tcPr>
          <w:p w14:paraId="453C7F6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800</w:t>
            </w:r>
          </w:p>
        </w:tc>
        <w:tc>
          <w:tcPr>
            <w:tcW w:w="922" w:type="dxa"/>
            <w:shd w:val="clear" w:color="auto" w:fill="auto"/>
            <w:noWrap/>
            <w:vAlign w:val="center"/>
            <w:hideMark/>
          </w:tcPr>
          <w:p w14:paraId="3CEFA38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2022-Feb-25</w:t>
            </w:r>
          </w:p>
        </w:tc>
        <w:tc>
          <w:tcPr>
            <w:tcW w:w="946" w:type="dxa"/>
            <w:shd w:val="clear" w:color="auto" w:fill="auto"/>
            <w:noWrap/>
            <w:vAlign w:val="center"/>
            <w:hideMark/>
          </w:tcPr>
          <w:p w14:paraId="50612C1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200</w:t>
            </w:r>
          </w:p>
        </w:tc>
      </w:tr>
      <w:tr w:rsidR="00170424" w:rsidRPr="00153266" w14:paraId="08B899F4" w14:textId="77777777" w:rsidTr="00170424">
        <w:trPr>
          <w:trHeight w:val="563"/>
          <w:jc w:val="center"/>
        </w:trPr>
        <w:tc>
          <w:tcPr>
            <w:tcW w:w="816" w:type="dxa"/>
            <w:shd w:val="clear" w:color="auto" w:fill="auto"/>
            <w:noWrap/>
            <w:vAlign w:val="center"/>
            <w:hideMark/>
          </w:tcPr>
          <w:p w14:paraId="2A3D99AE"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3" w:history="1">
              <w:r w:rsidRPr="00153266">
                <w:rPr>
                  <w:rFonts w:ascii="Times New Roman" w:eastAsia="Times New Roman" w:hAnsi="Times New Roman" w:cstheme="minorHAnsi"/>
                  <w:b/>
                  <w:bCs/>
                  <w:color w:val="0563C1" w:themeColor="hyperlink"/>
                  <w:sz w:val="16"/>
                  <w:szCs w:val="16"/>
                  <w:u w:val="single"/>
                  <w:lang w:val="en-US" w:eastAsia="en-CA"/>
                </w:rPr>
                <w:t>031792M</w:t>
              </w:r>
            </w:hyperlink>
          </w:p>
        </w:tc>
        <w:tc>
          <w:tcPr>
            <w:tcW w:w="765" w:type="dxa"/>
            <w:shd w:val="clear" w:color="auto" w:fill="auto"/>
            <w:noWrap/>
            <w:vAlign w:val="center"/>
            <w:hideMark/>
          </w:tcPr>
          <w:p w14:paraId="183D710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08267BC1"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12</w:t>
            </w:r>
          </w:p>
        </w:tc>
        <w:tc>
          <w:tcPr>
            <w:tcW w:w="851" w:type="dxa"/>
            <w:shd w:val="clear" w:color="auto" w:fill="auto"/>
            <w:noWrap/>
            <w:vAlign w:val="center"/>
            <w:hideMark/>
          </w:tcPr>
          <w:p w14:paraId="47665CE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300</w:t>
            </w:r>
          </w:p>
        </w:tc>
        <w:tc>
          <w:tcPr>
            <w:tcW w:w="1134" w:type="dxa"/>
            <w:shd w:val="clear" w:color="auto" w:fill="auto"/>
            <w:noWrap/>
            <w:vAlign w:val="center"/>
            <w:hideMark/>
          </w:tcPr>
          <w:p w14:paraId="3D06CFD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2020-Nov-27</w:t>
            </w:r>
          </w:p>
        </w:tc>
        <w:tc>
          <w:tcPr>
            <w:tcW w:w="850" w:type="dxa"/>
            <w:shd w:val="clear" w:color="auto" w:fill="auto"/>
            <w:noWrap/>
            <w:vAlign w:val="center"/>
            <w:hideMark/>
          </w:tcPr>
          <w:p w14:paraId="495FBD8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2020-Dec-27</w:t>
            </w:r>
          </w:p>
        </w:tc>
        <w:tc>
          <w:tcPr>
            <w:tcW w:w="838" w:type="dxa"/>
            <w:shd w:val="clear" w:color="auto" w:fill="auto"/>
            <w:noWrap/>
            <w:vAlign w:val="center"/>
            <w:hideMark/>
          </w:tcPr>
          <w:p w14:paraId="78F7934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2025-Dec-27</w:t>
            </w:r>
          </w:p>
        </w:tc>
        <w:tc>
          <w:tcPr>
            <w:tcW w:w="721" w:type="dxa"/>
            <w:shd w:val="clear" w:color="auto" w:fill="auto"/>
            <w:noWrap/>
            <w:vAlign w:val="center"/>
            <w:hideMark/>
          </w:tcPr>
          <w:p w14:paraId="4CD9E87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5EB7861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2021-Dec-27</w:t>
            </w:r>
          </w:p>
        </w:tc>
        <w:tc>
          <w:tcPr>
            <w:tcW w:w="862" w:type="dxa"/>
            <w:shd w:val="clear" w:color="auto" w:fill="auto"/>
            <w:noWrap/>
            <w:vAlign w:val="center"/>
            <w:hideMark/>
          </w:tcPr>
          <w:p w14:paraId="419F823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2,400</w:t>
            </w:r>
          </w:p>
        </w:tc>
        <w:tc>
          <w:tcPr>
            <w:tcW w:w="922" w:type="dxa"/>
            <w:shd w:val="clear" w:color="auto" w:fill="auto"/>
            <w:noWrap/>
            <w:vAlign w:val="center"/>
            <w:hideMark/>
          </w:tcPr>
          <w:p w14:paraId="1F5410E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2022-Feb-25</w:t>
            </w:r>
          </w:p>
        </w:tc>
        <w:tc>
          <w:tcPr>
            <w:tcW w:w="946" w:type="dxa"/>
            <w:shd w:val="clear" w:color="auto" w:fill="auto"/>
            <w:noWrap/>
            <w:vAlign w:val="center"/>
            <w:hideMark/>
          </w:tcPr>
          <w:p w14:paraId="7718AD2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600</w:t>
            </w:r>
          </w:p>
        </w:tc>
      </w:tr>
      <w:tr w:rsidR="00170424" w:rsidRPr="00153266" w14:paraId="67C3D0D9" w14:textId="77777777" w:rsidTr="00170424">
        <w:trPr>
          <w:trHeight w:val="563"/>
          <w:jc w:val="center"/>
        </w:trPr>
        <w:tc>
          <w:tcPr>
            <w:tcW w:w="816" w:type="dxa"/>
            <w:shd w:val="clear" w:color="auto" w:fill="auto"/>
            <w:noWrap/>
            <w:vAlign w:val="center"/>
            <w:hideMark/>
          </w:tcPr>
          <w:p w14:paraId="2CF6C9D5"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4" w:history="1">
              <w:r w:rsidRPr="00153266">
                <w:rPr>
                  <w:rFonts w:ascii="Times New Roman" w:eastAsia="Times New Roman" w:hAnsi="Times New Roman" w:cstheme="minorHAnsi"/>
                  <w:b/>
                  <w:bCs/>
                  <w:color w:val="0563C1" w:themeColor="hyperlink"/>
                  <w:sz w:val="16"/>
                  <w:szCs w:val="16"/>
                  <w:u w:val="single"/>
                  <w:lang w:val="en-US" w:eastAsia="en-CA"/>
                </w:rPr>
                <w:t>031793M</w:t>
              </w:r>
            </w:hyperlink>
          </w:p>
        </w:tc>
        <w:tc>
          <w:tcPr>
            <w:tcW w:w="765" w:type="dxa"/>
            <w:shd w:val="clear" w:color="auto" w:fill="auto"/>
            <w:noWrap/>
            <w:vAlign w:val="center"/>
            <w:hideMark/>
          </w:tcPr>
          <w:p w14:paraId="12A9BFF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1535C9B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16</w:t>
            </w:r>
          </w:p>
        </w:tc>
        <w:tc>
          <w:tcPr>
            <w:tcW w:w="851" w:type="dxa"/>
            <w:shd w:val="clear" w:color="auto" w:fill="auto"/>
            <w:noWrap/>
            <w:vAlign w:val="center"/>
            <w:hideMark/>
          </w:tcPr>
          <w:p w14:paraId="4B88FFD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400</w:t>
            </w:r>
          </w:p>
        </w:tc>
        <w:tc>
          <w:tcPr>
            <w:tcW w:w="1134" w:type="dxa"/>
            <w:shd w:val="clear" w:color="auto" w:fill="auto"/>
            <w:noWrap/>
            <w:vAlign w:val="center"/>
            <w:hideMark/>
          </w:tcPr>
          <w:p w14:paraId="61CB02E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2020-Nov-27</w:t>
            </w:r>
          </w:p>
        </w:tc>
        <w:tc>
          <w:tcPr>
            <w:tcW w:w="850" w:type="dxa"/>
            <w:shd w:val="clear" w:color="auto" w:fill="auto"/>
            <w:noWrap/>
            <w:vAlign w:val="center"/>
            <w:hideMark/>
          </w:tcPr>
          <w:p w14:paraId="443BACD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2020-Dec-27</w:t>
            </w:r>
          </w:p>
        </w:tc>
        <w:tc>
          <w:tcPr>
            <w:tcW w:w="838" w:type="dxa"/>
            <w:shd w:val="clear" w:color="auto" w:fill="auto"/>
            <w:noWrap/>
            <w:vAlign w:val="center"/>
            <w:hideMark/>
          </w:tcPr>
          <w:p w14:paraId="40637CA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2025-Dec-27</w:t>
            </w:r>
          </w:p>
        </w:tc>
        <w:tc>
          <w:tcPr>
            <w:tcW w:w="721" w:type="dxa"/>
            <w:shd w:val="clear" w:color="auto" w:fill="auto"/>
            <w:noWrap/>
            <w:vAlign w:val="center"/>
            <w:hideMark/>
          </w:tcPr>
          <w:p w14:paraId="43B2728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2FE1818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2021-Dec-27</w:t>
            </w:r>
          </w:p>
        </w:tc>
        <w:tc>
          <w:tcPr>
            <w:tcW w:w="862" w:type="dxa"/>
            <w:shd w:val="clear" w:color="auto" w:fill="auto"/>
            <w:noWrap/>
            <w:vAlign w:val="center"/>
            <w:hideMark/>
          </w:tcPr>
          <w:p w14:paraId="7933375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3,200</w:t>
            </w:r>
          </w:p>
        </w:tc>
        <w:tc>
          <w:tcPr>
            <w:tcW w:w="922" w:type="dxa"/>
            <w:shd w:val="clear" w:color="auto" w:fill="auto"/>
            <w:noWrap/>
            <w:vAlign w:val="center"/>
            <w:hideMark/>
          </w:tcPr>
          <w:p w14:paraId="3CDEE4E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2022-Feb-25</w:t>
            </w:r>
          </w:p>
        </w:tc>
        <w:tc>
          <w:tcPr>
            <w:tcW w:w="946" w:type="dxa"/>
            <w:shd w:val="clear" w:color="auto" w:fill="auto"/>
            <w:noWrap/>
            <w:vAlign w:val="center"/>
            <w:hideMark/>
          </w:tcPr>
          <w:p w14:paraId="4DFFC20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800</w:t>
            </w:r>
          </w:p>
        </w:tc>
      </w:tr>
      <w:tr w:rsidR="00170424" w:rsidRPr="00153266" w14:paraId="16941760" w14:textId="77777777" w:rsidTr="00170424">
        <w:trPr>
          <w:trHeight w:val="563"/>
          <w:jc w:val="center"/>
        </w:trPr>
        <w:tc>
          <w:tcPr>
            <w:tcW w:w="816" w:type="dxa"/>
            <w:shd w:val="clear" w:color="auto" w:fill="auto"/>
            <w:noWrap/>
            <w:vAlign w:val="center"/>
            <w:hideMark/>
          </w:tcPr>
          <w:p w14:paraId="5E2FFF27"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5" w:history="1">
              <w:r w:rsidRPr="00153266">
                <w:rPr>
                  <w:rFonts w:ascii="Times New Roman" w:eastAsia="Times New Roman" w:hAnsi="Times New Roman" w:cstheme="minorHAnsi"/>
                  <w:b/>
                  <w:bCs/>
                  <w:color w:val="0563C1" w:themeColor="hyperlink"/>
                  <w:sz w:val="16"/>
                  <w:szCs w:val="16"/>
                  <w:u w:val="single"/>
                  <w:lang w:val="en-US" w:eastAsia="en-CA"/>
                </w:rPr>
                <w:t>032466M</w:t>
              </w:r>
            </w:hyperlink>
          </w:p>
        </w:tc>
        <w:tc>
          <w:tcPr>
            <w:tcW w:w="765" w:type="dxa"/>
            <w:shd w:val="clear" w:color="auto" w:fill="auto"/>
            <w:noWrap/>
            <w:vAlign w:val="center"/>
            <w:hideMark/>
          </w:tcPr>
          <w:p w14:paraId="725C71B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Issued</w:t>
            </w:r>
          </w:p>
        </w:tc>
        <w:tc>
          <w:tcPr>
            <w:tcW w:w="824" w:type="dxa"/>
            <w:shd w:val="clear" w:color="auto" w:fill="auto"/>
            <w:noWrap/>
            <w:vAlign w:val="center"/>
            <w:hideMark/>
          </w:tcPr>
          <w:p w14:paraId="5F82EDD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69</w:t>
            </w:r>
          </w:p>
        </w:tc>
        <w:tc>
          <w:tcPr>
            <w:tcW w:w="851" w:type="dxa"/>
            <w:shd w:val="clear" w:color="auto" w:fill="auto"/>
            <w:noWrap/>
            <w:vAlign w:val="center"/>
            <w:hideMark/>
          </w:tcPr>
          <w:p w14:paraId="3CEC31A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1,725</w:t>
            </w:r>
          </w:p>
        </w:tc>
        <w:tc>
          <w:tcPr>
            <w:tcW w:w="1134" w:type="dxa"/>
            <w:shd w:val="clear" w:color="auto" w:fill="auto"/>
            <w:noWrap/>
            <w:vAlign w:val="center"/>
            <w:hideMark/>
          </w:tcPr>
          <w:p w14:paraId="4C39522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2021-Apr-21</w:t>
            </w:r>
          </w:p>
        </w:tc>
        <w:tc>
          <w:tcPr>
            <w:tcW w:w="850" w:type="dxa"/>
            <w:shd w:val="clear" w:color="auto" w:fill="auto"/>
            <w:noWrap/>
            <w:vAlign w:val="center"/>
            <w:hideMark/>
          </w:tcPr>
          <w:p w14:paraId="4E12238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2021-May-21</w:t>
            </w:r>
          </w:p>
        </w:tc>
        <w:tc>
          <w:tcPr>
            <w:tcW w:w="838" w:type="dxa"/>
            <w:shd w:val="clear" w:color="auto" w:fill="auto"/>
            <w:noWrap/>
            <w:vAlign w:val="center"/>
            <w:hideMark/>
          </w:tcPr>
          <w:p w14:paraId="28EA893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2026-May-21</w:t>
            </w:r>
          </w:p>
        </w:tc>
        <w:tc>
          <w:tcPr>
            <w:tcW w:w="721" w:type="dxa"/>
            <w:shd w:val="clear" w:color="auto" w:fill="auto"/>
            <w:noWrap/>
            <w:vAlign w:val="center"/>
            <w:hideMark/>
          </w:tcPr>
          <w:p w14:paraId="489F47F7"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2198BD07"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2022-May-21</w:t>
            </w:r>
          </w:p>
        </w:tc>
        <w:tc>
          <w:tcPr>
            <w:tcW w:w="862" w:type="dxa"/>
            <w:shd w:val="clear" w:color="auto" w:fill="auto"/>
            <w:noWrap/>
            <w:vAlign w:val="center"/>
            <w:hideMark/>
          </w:tcPr>
          <w:p w14:paraId="7B987767"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13,800</w:t>
            </w:r>
          </w:p>
        </w:tc>
        <w:tc>
          <w:tcPr>
            <w:tcW w:w="922" w:type="dxa"/>
            <w:shd w:val="clear" w:color="auto" w:fill="auto"/>
            <w:noWrap/>
            <w:vAlign w:val="center"/>
            <w:hideMark/>
          </w:tcPr>
          <w:p w14:paraId="23299DA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2022-Jul-21</w:t>
            </w:r>
          </w:p>
        </w:tc>
        <w:tc>
          <w:tcPr>
            <w:tcW w:w="946" w:type="dxa"/>
            <w:shd w:val="clear" w:color="auto" w:fill="auto"/>
            <w:noWrap/>
            <w:vAlign w:val="center"/>
            <w:hideMark/>
          </w:tcPr>
          <w:p w14:paraId="0E921DF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3,450</w:t>
            </w:r>
          </w:p>
        </w:tc>
      </w:tr>
      <w:tr w:rsidR="00170424" w:rsidRPr="00153266" w14:paraId="33D9CE6A" w14:textId="77777777" w:rsidTr="00170424">
        <w:trPr>
          <w:trHeight w:val="563"/>
          <w:jc w:val="center"/>
        </w:trPr>
        <w:tc>
          <w:tcPr>
            <w:tcW w:w="816" w:type="dxa"/>
            <w:shd w:val="clear" w:color="auto" w:fill="auto"/>
            <w:noWrap/>
            <w:vAlign w:val="center"/>
            <w:hideMark/>
          </w:tcPr>
          <w:p w14:paraId="4A516968"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6" w:history="1">
              <w:r w:rsidRPr="00153266">
                <w:rPr>
                  <w:rFonts w:ascii="Times New Roman" w:eastAsia="Times New Roman" w:hAnsi="Times New Roman" w:cstheme="minorHAnsi"/>
                  <w:b/>
                  <w:bCs/>
                  <w:color w:val="0563C1" w:themeColor="hyperlink"/>
                  <w:sz w:val="16"/>
                  <w:szCs w:val="16"/>
                  <w:u w:val="single"/>
                  <w:lang w:val="en-US" w:eastAsia="en-CA"/>
                </w:rPr>
                <w:t>032467M</w:t>
              </w:r>
            </w:hyperlink>
          </w:p>
        </w:tc>
        <w:tc>
          <w:tcPr>
            <w:tcW w:w="765" w:type="dxa"/>
            <w:shd w:val="clear" w:color="auto" w:fill="auto"/>
            <w:noWrap/>
            <w:vAlign w:val="center"/>
            <w:hideMark/>
          </w:tcPr>
          <w:p w14:paraId="3045A91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 xml:space="preserve">Issued </w:t>
            </w:r>
          </w:p>
        </w:tc>
        <w:tc>
          <w:tcPr>
            <w:tcW w:w="824" w:type="dxa"/>
            <w:shd w:val="clear" w:color="auto" w:fill="auto"/>
            <w:noWrap/>
            <w:vAlign w:val="center"/>
            <w:hideMark/>
          </w:tcPr>
          <w:p w14:paraId="7B742620"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161</w:t>
            </w:r>
          </w:p>
        </w:tc>
        <w:tc>
          <w:tcPr>
            <w:tcW w:w="851" w:type="dxa"/>
            <w:shd w:val="clear" w:color="auto" w:fill="auto"/>
            <w:noWrap/>
            <w:vAlign w:val="center"/>
            <w:hideMark/>
          </w:tcPr>
          <w:p w14:paraId="31E78CD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4,025</w:t>
            </w:r>
          </w:p>
        </w:tc>
        <w:tc>
          <w:tcPr>
            <w:tcW w:w="1134" w:type="dxa"/>
            <w:shd w:val="clear" w:color="auto" w:fill="auto"/>
            <w:noWrap/>
            <w:vAlign w:val="center"/>
            <w:hideMark/>
          </w:tcPr>
          <w:p w14:paraId="1B13E237"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2021-Apr-21</w:t>
            </w:r>
          </w:p>
        </w:tc>
        <w:tc>
          <w:tcPr>
            <w:tcW w:w="850" w:type="dxa"/>
            <w:shd w:val="clear" w:color="auto" w:fill="auto"/>
            <w:noWrap/>
            <w:vAlign w:val="center"/>
            <w:hideMark/>
          </w:tcPr>
          <w:p w14:paraId="64DA08F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2021-May-21</w:t>
            </w:r>
          </w:p>
        </w:tc>
        <w:tc>
          <w:tcPr>
            <w:tcW w:w="838" w:type="dxa"/>
            <w:shd w:val="clear" w:color="auto" w:fill="auto"/>
            <w:noWrap/>
            <w:vAlign w:val="center"/>
            <w:hideMark/>
          </w:tcPr>
          <w:p w14:paraId="1B977D7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2026-May-21</w:t>
            </w:r>
          </w:p>
        </w:tc>
        <w:tc>
          <w:tcPr>
            <w:tcW w:w="721" w:type="dxa"/>
            <w:shd w:val="clear" w:color="auto" w:fill="auto"/>
            <w:noWrap/>
            <w:vAlign w:val="center"/>
            <w:hideMark/>
          </w:tcPr>
          <w:p w14:paraId="1DB4465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27FB863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2022-May-21</w:t>
            </w:r>
          </w:p>
        </w:tc>
        <w:tc>
          <w:tcPr>
            <w:tcW w:w="862" w:type="dxa"/>
            <w:shd w:val="clear" w:color="auto" w:fill="auto"/>
            <w:noWrap/>
            <w:vAlign w:val="center"/>
            <w:hideMark/>
          </w:tcPr>
          <w:p w14:paraId="7757F90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32,200</w:t>
            </w:r>
          </w:p>
        </w:tc>
        <w:tc>
          <w:tcPr>
            <w:tcW w:w="922" w:type="dxa"/>
            <w:shd w:val="clear" w:color="auto" w:fill="auto"/>
            <w:noWrap/>
            <w:vAlign w:val="center"/>
            <w:hideMark/>
          </w:tcPr>
          <w:p w14:paraId="04F9DC6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2022-Jul-21</w:t>
            </w:r>
          </w:p>
        </w:tc>
        <w:tc>
          <w:tcPr>
            <w:tcW w:w="946" w:type="dxa"/>
            <w:shd w:val="clear" w:color="auto" w:fill="auto"/>
            <w:noWrap/>
            <w:vAlign w:val="center"/>
            <w:hideMark/>
          </w:tcPr>
          <w:p w14:paraId="008971A7"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8,050</w:t>
            </w:r>
          </w:p>
        </w:tc>
      </w:tr>
      <w:tr w:rsidR="00170424" w:rsidRPr="00153266" w14:paraId="60BAB367" w14:textId="77777777" w:rsidTr="00170424">
        <w:trPr>
          <w:trHeight w:val="563"/>
          <w:jc w:val="center"/>
        </w:trPr>
        <w:tc>
          <w:tcPr>
            <w:tcW w:w="816" w:type="dxa"/>
            <w:shd w:val="clear" w:color="auto" w:fill="auto"/>
            <w:noWrap/>
            <w:vAlign w:val="center"/>
            <w:hideMark/>
          </w:tcPr>
          <w:p w14:paraId="45D07B92"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7" w:history="1">
              <w:r w:rsidRPr="00153266">
                <w:rPr>
                  <w:rFonts w:ascii="Times New Roman" w:eastAsia="Times New Roman" w:hAnsi="Times New Roman" w:cstheme="minorHAnsi"/>
                  <w:b/>
                  <w:bCs/>
                  <w:color w:val="0563C1" w:themeColor="hyperlink"/>
                  <w:sz w:val="16"/>
                  <w:szCs w:val="16"/>
                  <w:u w:val="single"/>
                  <w:lang w:val="en-US" w:eastAsia="en-CA"/>
                </w:rPr>
                <w:t>032468M</w:t>
              </w:r>
            </w:hyperlink>
          </w:p>
        </w:tc>
        <w:tc>
          <w:tcPr>
            <w:tcW w:w="765" w:type="dxa"/>
            <w:shd w:val="clear" w:color="auto" w:fill="auto"/>
            <w:noWrap/>
            <w:vAlign w:val="center"/>
            <w:hideMark/>
          </w:tcPr>
          <w:p w14:paraId="6A2164D1"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 xml:space="preserve">Issued </w:t>
            </w:r>
          </w:p>
        </w:tc>
        <w:tc>
          <w:tcPr>
            <w:tcW w:w="824" w:type="dxa"/>
            <w:shd w:val="clear" w:color="auto" w:fill="auto"/>
            <w:noWrap/>
            <w:vAlign w:val="center"/>
            <w:hideMark/>
          </w:tcPr>
          <w:p w14:paraId="1E25A71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151</w:t>
            </w:r>
          </w:p>
        </w:tc>
        <w:tc>
          <w:tcPr>
            <w:tcW w:w="851" w:type="dxa"/>
            <w:shd w:val="clear" w:color="auto" w:fill="auto"/>
            <w:noWrap/>
            <w:vAlign w:val="center"/>
            <w:hideMark/>
          </w:tcPr>
          <w:p w14:paraId="25886FFB"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3,775</w:t>
            </w:r>
          </w:p>
        </w:tc>
        <w:tc>
          <w:tcPr>
            <w:tcW w:w="1134" w:type="dxa"/>
            <w:shd w:val="clear" w:color="auto" w:fill="auto"/>
            <w:noWrap/>
            <w:vAlign w:val="center"/>
            <w:hideMark/>
          </w:tcPr>
          <w:p w14:paraId="7E3CBA5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2021-Apr-21</w:t>
            </w:r>
          </w:p>
        </w:tc>
        <w:tc>
          <w:tcPr>
            <w:tcW w:w="850" w:type="dxa"/>
            <w:shd w:val="clear" w:color="auto" w:fill="auto"/>
            <w:noWrap/>
            <w:vAlign w:val="center"/>
            <w:hideMark/>
          </w:tcPr>
          <w:p w14:paraId="7AC654E1"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2021-May-21</w:t>
            </w:r>
          </w:p>
        </w:tc>
        <w:tc>
          <w:tcPr>
            <w:tcW w:w="838" w:type="dxa"/>
            <w:shd w:val="clear" w:color="auto" w:fill="auto"/>
            <w:noWrap/>
            <w:vAlign w:val="center"/>
            <w:hideMark/>
          </w:tcPr>
          <w:p w14:paraId="25B3268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2026-May-21</w:t>
            </w:r>
          </w:p>
        </w:tc>
        <w:tc>
          <w:tcPr>
            <w:tcW w:w="721" w:type="dxa"/>
            <w:shd w:val="clear" w:color="auto" w:fill="auto"/>
            <w:noWrap/>
            <w:vAlign w:val="center"/>
            <w:hideMark/>
          </w:tcPr>
          <w:p w14:paraId="64D9434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7DF71D3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2022-May-21</w:t>
            </w:r>
          </w:p>
        </w:tc>
        <w:tc>
          <w:tcPr>
            <w:tcW w:w="862" w:type="dxa"/>
            <w:shd w:val="clear" w:color="auto" w:fill="auto"/>
            <w:noWrap/>
            <w:vAlign w:val="center"/>
            <w:hideMark/>
          </w:tcPr>
          <w:p w14:paraId="0C297F3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30,200</w:t>
            </w:r>
          </w:p>
        </w:tc>
        <w:tc>
          <w:tcPr>
            <w:tcW w:w="922" w:type="dxa"/>
            <w:shd w:val="clear" w:color="auto" w:fill="auto"/>
            <w:noWrap/>
            <w:vAlign w:val="center"/>
            <w:hideMark/>
          </w:tcPr>
          <w:p w14:paraId="2F01EA3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2022-Jul-21</w:t>
            </w:r>
          </w:p>
        </w:tc>
        <w:tc>
          <w:tcPr>
            <w:tcW w:w="946" w:type="dxa"/>
            <w:shd w:val="clear" w:color="auto" w:fill="auto"/>
            <w:noWrap/>
            <w:vAlign w:val="center"/>
            <w:hideMark/>
          </w:tcPr>
          <w:p w14:paraId="7782671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7,550</w:t>
            </w:r>
          </w:p>
        </w:tc>
      </w:tr>
      <w:tr w:rsidR="00170424" w:rsidRPr="00153266" w14:paraId="30206031" w14:textId="77777777" w:rsidTr="00170424">
        <w:trPr>
          <w:trHeight w:val="563"/>
          <w:jc w:val="center"/>
        </w:trPr>
        <w:tc>
          <w:tcPr>
            <w:tcW w:w="816" w:type="dxa"/>
            <w:shd w:val="clear" w:color="auto" w:fill="auto"/>
            <w:noWrap/>
            <w:vAlign w:val="center"/>
            <w:hideMark/>
          </w:tcPr>
          <w:p w14:paraId="75815799"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8" w:history="1">
              <w:r w:rsidRPr="00153266">
                <w:rPr>
                  <w:rFonts w:ascii="Times New Roman" w:eastAsia="Times New Roman" w:hAnsi="Times New Roman" w:cstheme="minorHAnsi"/>
                  <w:b/>
                  <w:bCs/>
                  <w:color w:val="0563C1" w:themeColor="hyperlink"/>
                  <w:sz w:val="16"/>
                  <w:szCs w:val="16"/>
                  <w:u w:val="single"/>
                  <w:lang w:val="en-US" w:eastAsia="en-CA"/>
                </w:rPr>
                <w:t>032469M</w:t>
              </w:r>
            </w:hyperlink>
          </w:p>
        </w:tc>
        <w:tc>
          <w:tcPr>
            <w:tcW w:w="765" w:type="dxa"/>
            <w:shd w:val="clear" w:color="auto" w:fill="auto"/>
            <w:noWrap/>
            <w:vAlign w:val="center"/>
            <w:hideMark/>
          </w:tcPr>
          <w:p w14:paraId="7E0A78F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 xml:space="preserve">Issued </w:t>
            </w:r>
          </w:p>
        </w:tc>
        <w:tc>
          <w:tcPr>
            <w:tcW w:w="824" w:type="dxa"/>
            <w:shd w:val="clear" w:color="auto" w:fill="auto"/>
            <w:noWrap/>
            <w:vAlign w:val="center"/>
            <w:hideMark/>
          </w:tcPr>
          <w:p w14:paraId="72CFD3F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150</w:t>
            </w:r>
          </w:p>
        </w:tc>
        <w:tc>
          <w:tcPr>
            <w:tcW w:w="851" w:type="dxa"/>
            <w:shd w:val="clear" w:color="auto" w:fill="auto"/>
            <w:noWrap/>
            <w:vAlign w:val="center"/>
            <w:hideMark/>
          </w:tcPr>
          <w:p w14:paraId="2A0410D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3,750</w:t>
            </w:r>
          </w:p>
        </w:tc>
        <w:tc>
          <w:tcPr>
            <w:tcW w:w="1134" w:type="dxa"/>
            <w:shd w:val="clear" w:color="auto" w:fill="auto"/>
            <w:noWrap/>
            <w:vAlign w:val="center"/>
            <w:hideMark/>
          </w:tcPr>
          <w:p w14:paraId="7906B4AF"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2021-Apr-21</w:t>
            </w:r>
          </w:p>
        </w:tc>
        <w:tc>
          <w:tcPr>
            <w:tcW w:w="850" w:type="dxa"/>
            <w:shd w:val="clear" w:color="auto" w:fill="auto"/>
            <w:noWrap/>
            <w:vAlign w:val="center"/>
            <w:hideMark/>
          </w:tcPr>
          <w:p w14:paraId="114EA0B4"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2021-May-21</w:t>
            </w:r>
          </w:p>
        </w:tc>
        <w:tc>
          <w:tcPr>
            <w:tcW w:w="838" w:type="dxa"/>
            <w:shd w:val="clear" w:color="auto" w:fill="auto"/>
            <w:noWrap/>
            <w:vAlign w:val="center"/>
            <w:hideMark/>
          </w:tcPr>
          <w:p w14:paraId="1077C81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2026-May-21</w:t>
            </w:r>
          </w:p>
        </w:tc>
        <w:tc>
          <w:tcPr>
            <w:tcW w:w="721" w:type="dxa"/>
            <w:shd w:val="clear" w:color="auto" w:fill="auto"/>
            <w:noWrap/>
            <w:vAlign w:val="center"/>
            <w:hideMark/>
          </w:tcPr>
          <w:p w14:paraId="5E433A9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542BD42D"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2022-May-21</w:t>
            </w:r>
          </w:p>
        </w:tc>
        <w:tc>
          <w:tcPr>
            <w:tcW w:w="862" w:type="dxa"/>
            <w:shd w:val="clear" w:color="auto" w:fill="auto"/>
            <w:noWrap/>
            <w:vAlign w:val="center"/>
            <w:hideMark/>
          </w:tcPr>
          <w:p w14:paraId="30779EF6"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30,000</w:t>
            </w:r>
          </w:p>
        </w:tc>
        <w:tc>
          <w:tcPr>
            <w:tcW w:w="922" w:type="dxa"/>
            <w:shd w:val="clear" w:color="auto" w:fill="auto"/>
            <w:noWrap/>
            <w:vAlign w:val="center"/>
            <w:hideMark/>
          </w:tcPr>
          <w:p w14:paraId="781A0A5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2022-Jul-21</w:t>
            </w:r>
          </w:p>
        </w:tc>
        <w:tc>
          <w:tcPr>
            <w:tcW w:w="946" w:type="dxa"/>
            <w:shd w:val="clear" w:color="auto" w:fill="auto"/>
            <w:noWrap/>
            <w:vAlign w:val="center"/>
            <w:hideMark/>
          </w:tcPr>
          <w:p w14:paraId="1A0AEC85"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7,500</w:t>
            </w:r>
          </w:p>
        </w:tc>
      </w:tr>
      <w:tr w:rsidR="00170424" w:rsidRPr="00153266" w14:paraId="59E09AF8" w14:textId="77777777" w:rsidTr="00170424">
        <w:trPr>
          <w:trHeight w:val="563"/>
          <w:jc w:val="center"/>
        </w:trPr>
        <w:tc>
          <w:tcPr>
            <w:tcW w:w="816" w:type="dxa"/>
            <w:shd w:val="clear" w:color="auto" w:fill="auto"/>
            <w:noWrap/>
            <w:vAlign w:val="center"/>
            <w:hideMark/>
          </w:tcPr>
          <w:p w14:paraId="65170247"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hyperlink r:id="rId59" w:history="1">
              <w:r w:rsidRPr="00153266">
                <w:rPr>
                  <w:rFonts w:ascii="Times New Roman" w:eastAsia="Times New Roman" w:hAnsi="Times New Roman" w:cstheme="minorHAnsi"/>
                  <w:b/>
                  <w:bCs/>
                  <w:color w:val="0563C1" w:themeColor="hyperlink"/>
                  <w:sz w:val="16"/>
                  <w:szCs w:val="16"/>
                  <w:u w:val="single"/>
                  <w:lang w:val="en-US" w:eastAsia="en-CA"/>
                </w:rPr>
                <w:t>032470M</w:t>
              </w:r>
            </w:hyperlink>
          </w:p>
        </w:tc>
        <w:tc>
          <w:tcPr>
            <w:tcW w:w="765" w:type="dxa"/>
            <w:shd w:val="clear" w:color="auto" w:fill="auto"/>
            <w:noWrap/>
            <w:vAlign w:val="center"/>
            <w:hideMark/>
          </w:tcPr>
          <w:p w14:paraId="3EBF4CC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 xml:space="preserve">Issued </w:t>
            </w:r>
          </w:p>
        </w:tc>
        <w:tc>
          <w:tcPr>
            <w:tcW w:w="824" w:type="dxa"/>
            <w:shd w:val="clear" w:color="auto" w:fill="auto"/>
            <w:noWrap/>
            <w:vAlign w:val="center"/>
            <w:hideMark/>
          </w:tcPr>
          <w:p w14:paraId="4BF0AF0E"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141</w:t>
            </w:r>
          </w:p>
        </w:tc>
        <w:tc>
          <w:tcPr>
            <w:tcW w:w="851" w:type="dxa"/>
            <w:shd w:val="clear" w:color="auto" w:fill="auto"/>
            <w:noWrap/>
            <w:vAlign w:val="center"/>
            <w:hideMark/>
          </w:tcPr>
          <w:p w14:paraId="6B787A3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3,525</w:t>
            </w:r>
          </w:p>
        </w:tc>
        <w:tc>
          <w:tcPr>
            <w:tcW w:w="1134" w:type="dxa"/>
            <w:shd w:val="clear" w:color="auto" w:fill="auto"/>
            <w:noWrap/>
            <w:vAlign w:val="center"/>
            <w:hideMark/>
          </w:tcPr>
          <w:p w14:paraId="07F63AF3"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2021-Apr-21</w:t>
            </w:r>
          </w:p>
        </w:tc>
        <w:tc>
          <w:tcPr>
            <w:tcW w:w="850" w:type="dxa"/>
            <w:shd w:val="clear" w:color="auto" w:fill="auto"/>
            <w:noWrap/>
            <w:vAlign w:val="center"/>
            <w:hideMark/>
          </w:tcPr>
          <w:p w14:paraId="0C40262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2021-May-21</w:t>
            </w:r>
          </w:p>
        </w:tc>
        <w:tc>
          <w:tcPr>
            <w:tcW w:w="838" w:type="dxa"/>
            <w:shd w:val="clear" w:color="auto" w:fill="auto"/>
            <w:noWrap/>
            <w:vAlign w:val="center"/>
            <w:hideMark/>
          </w:tcPr>
          <w:p w14:paraId="1404E15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2026-May-21</w:t>
            </w:r>
          </w:p>
        </w:tc>
        <w:tc>
          <w:tcPr>
            <w:tcW w:w="721" w:type="dxa"/>
            <w:shd w:val="clear" w:color="auto" w:fill="auto"/>
            <w:noWrap/>
            <w:vAlign w:val="center"/>
            <w:hideMark/>
          </w:tcPr>
          <w:p w14:paraId="1A459668"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1</w:t>
            </w:r>
          </w:p>
        </w:tc>
        <w:tc>
          <w:tcPr>
            <w:tcW w:w="981" w:type="dxa"/>
            <w:shd w:val="clear" w:color="auto" w:fill="auto"/>
            <w:noWrap/>
            <w:vAlign w:val="center"/>
            <w:hideMark/>
          </w:tcPr>
          <w:p w14:paraId="7AA7D86A"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2022-May-21</w:t>
            </w:r>
          </w:p>
        </w:tc>
        <w:tc>
          <w:tcPr>
            <w:tcW w:w="862" w:type="dxa"/>
            <w:shd w:val="clear" w:color="auto" w:fill="auto"/>
            <w:noWrap/>
            <w:vAlign w:val="center"/>
            <w:hideMark/>
          </w:tcPr>
          <w:p w14:paraId="14264309"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28,200</w:t>
            </w:r>
          </w:p>
        </w:tc>
        <w:tc>
          <w:tcPr>
            <w:tcW w:w="922" w:type="dxa"/>
            <w:shd w:val="clear" w:color="auto" w:fill="auto"/>
            <w:noWrap/>
            <w:vAlign w:val="center"/>
            <w:hideMark/>
          </w:tcPr>
          <w:p w14:paraId="1AE672BC"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2022-Jul-21</w:t>
            </w:r>
          </w:p>
        </w:tc>
        <w:tc>
          <w:tcPr>
            <w:tcW w:w="946" w:type="dxa"/>
            <w:shd w:val="clear" w:color="auto" w:fill="auto"/>
            <w:noWrap/>
            <w:vAlign w:val="center"/>
            <w:hideMark/>
          </w:tcPr>
          <w:p w14:paraId="15CC4E32" w14:textId="77777777" w:rsidR="00170424" w:rsidRPr="00153266" w:rsidRDefault="00170424" w:rsidP="00170424">
            <w:pPr>
              <w:widowControl/>
              <w:autoSpaceDE/>
              <w:autoSpaceDN/>
              <w:adjustRightInd/>
              <w:jc w:val="both"/>
              <w:rPr>
                <w:rFonts w:ascii="Times New Roman" w:eastAsia="Times New Roman" w:hAnsi="Times New Roman" w:cstheme="minorHAnsi"/>
                <w:sz w:val="16"/>
                <w:szCs w:val="16"/>
                <w:lang w:val="en-US" w:eastAsia="en-CA"/>
              </w:rPr>
            </w:pPr>
            <w:r w:rsidRPr="00153266">
              <w:rPr>
                <w:rFonts w:ascii="Times New Roman" w:eastAsia="Times New Roman" w:hAnsi="Times New Roman" w:cstheme="minorHAnsi"/>
                <w:sz w:val="16"/>
                <w:szCs w:val="16"/>
                <w:lang w:val="en-US" w:eastAsia="en-CA"/>
              </w:rPr>
              <w:t>7,050</w:t>
            </w:r>
          </w:p>
        </w:tc>
      </w:tr>
      <w:tr w:rsidR="00170424" w:rsidRPr="00153266" w14:paraId="0048E29B" w14:textId="77777777" w:rsidTr="00170424">
        <w:trPr>
          <w:trHeight w:val="563"/>
          <w:jc w:val="center"/>
        </w:trPr>
        <w:tc>
          <w:tcPr>
            <w:tcW w:w="816" w:type="dxa"/>
            <w:shd w:val="clear" w:color="auto" w:fill="auto"/>
            <w:noWrap/>
            <w:vAlign w:val="center"/>
          </w:tcPr>
          <w:p w14:paraId="18A60EE3"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53266">
              <w:rPr>
                <w:rFonts w:ascii="Times New Roman" w:eastAsia="Times New Roman" w:hAnsi="Times New Roman" w:cstheme="minorHAnsi"/>
                <w:b/>
                <w:bCs/>
                <w:sz w:val="16"/>
                <w:szCs w:val="16"/>
                <w:lang w:val="en-US" w:eastAsia="en-CA"/>
              </w:rPr>
              <w:t>TOTALS</w:t>
            </w:r>
          </w:p>
        </w:tc>
        <w:tc>
          <w:tcPr>
            <w:tcW w:w="765" w:type="dxa"/>
            <w:shd w:val="clear" w:color="auto" w:fill="E7E6E6" w:themeFill="background2"/>
            <w:noWrap/>
            <w:vAlign w:val="center"/>
          </w:tcPr>
          <w:p w14:paraId="3595D86E"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824" w:type="dxa"/>
            <w:shd w:val="clear" w:color="auto" w:fill="auto"/>
            <w:noWrap/>
            <w:vAlign w:val="center"/>
          </w:tcPr>
          <w:p w14:paraId="509CD61E"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53266">
              <w:rPr>
                <w:rFonts w:ascii="Times New Roman" w:eastAsia="Times New Roman" w:hAnsi="Times New Roman" w:cstheme="minorHAnsi"/>
                <w:b/>
                <w:bCs/>
                <w:sz w:val="16"/>
                <w:szCs w:val="16"/>
                <w:lang w:val="en-US" w:eastAsia="en-CA"/>
              </w:rPr>
              <w:t>1,189</w:t>
            </w:r>
          </w:p>
        </w:tc>
        <w:tc>
          <w:tcPr>
            <w:tcW w:w="851" w:type="dxa"/>
            <w:shd w:val="clear" w:color="auto" w:fill="auto"/>
            <w:noWrap/>
            <w:vAlign w:val="center"/>
          </w:tcPr>
          <w:p w14:paraId="2BCF14CA"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53266">
              <w:rPr>
                <w:rFonts w:ascii="Times New Roman" w:eastAsia="Times New Roman" w:hAnsi="Times New Roman" w:cstheme="minorHAnsi"/>
                <w:b/>
                <w:bCs/>
                <w:sz w:val="16"/>
                <w:szCs w:val="16"/>
                <w:lang w:val="en-US" w:eastAsia="en-CA"/>
              </w:rPr>
              <w:t>29,725</w:t>
            </w:r>
          </w:p>
        </w:tc>
        <w:tc>
          <w:tcPr>
            <w:tcW w:w="1134" w:type="dxa"/>
            <w:shd w:val="clear" w:color="auto" w:fill="E7E6E6" w:themeFill="background2"/>
            <w:noWrap/>
            <w:vAlign w:val="center"/>
          </w:tcPr>
          <w:p w14:paraId="425D65B2"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850" w:type="dxa"/>
            <w:shd w:val="clear" w:color="auto" w:fill="E7E6E6" w:themeFill="background2"/>
            <w:noWrap/>
            <w:vAlign w:val="center"/>
          </w:tcPr>
          <w:p w14:paraId="14132F1D"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838" w:type="dxa"/>
            <w:shd w:val="clear" w:color="auto" w:fill="E7E6E6" w:themeFill="background2"/>
            <w:noWrap/>
            <w:vAlign w:val="center"/>
          </w:tcPr>
          <w:p w14:paraId="3F033005"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721" w:type="dxa"/>
            <w:shd w:val="clear" w:color="auto" w:fill="E7E6E6" w:themeFill="background2"/>
            <w:noWrap/>
            <w:vAlign w:val="center"/>
          </w:tcPr>
          <w:p w14:paraId="78560A67"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981" w:type="dxa"/>
            <w:shd w:val="clear" w:color="auto" w:fill="E7E6E6" w:themeFill="background2"/>
            <w:noWrap/>
            <w:vAlign w:val="center"/>
          </w:tcPr>
          <w:p w14:paraId="17DA026A"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862" w:type="dxa"/>
            <w:shd w:val="clear" w:color="auto" w:fill="auto"/>
            <w:noWrap/>
            <w:vAlign w:val="center"/>
          </w:tcPr>
          <w:p w14:paraId="219B4CB0"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53266">
              <w:rPr>
                <w:rFonts w:ascii="Times New Roman" w:eastAsia="Times New Roman" w:hAnsi="Times New Roman" w:cstheme="minorHAnsi"/>
                <w:b/>
                <w:bCs/>
                <w:sz w:val="16"/>
                <w:szCs w:val="16"/>
                <w:lang w:val="en-US" w:eastAsia="en-CA"/>
              </w:rPr>
              <w:t>237,800</w:t>
            </w:r>
          </w:p>
        </w:tc>
        <w:tc>
          <w:tcPr>
            <w:tcW w:w="922" w:type="dxa"/>
            <w:shd w:val="clear" w:color="auto" w:fill="E7E6E6" w:themeFill="background2"/>
            <w:noWrap/>
            <w:vAlign w:val="center"/>
          </w:tcPr>
          <w:p w14:paraId="5DD9CDE8"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p>
        </w:tc>
        <w:tc>
          <w:tcPr>
            <w:tcW w:w="946" w:type="dxa"/>
            <w:shd w:val="clear" w:color="auto" w:fill="auto"/>
            <w:noWrap/>
            <w:vAlign w:val="center"/>
          </w:tcPr>
          <w:p w14:paraId="07BD328C" w14:textId="77777777" w:rsidR="00170424" w:rsidRPr="00153266" w:rsidRDefault="00170424" w:rsidP="00170424">
            <w:pPr>
              <w:widowControl/>
              <w:autoSpaceDE/>
              <w:autoSpaceDN/>
              <w:adjustRightInd/>
              <w:jc w:val="both"/>
              <w:rPr>
                <w:rFonts w:ascii="Times New Roman" w:eastAsia="Times New Roman" w:hAnsi="Times New Roman" w:cstheme="minorHAnsi"/>
                <w:b/>
                <w:bCs/>
                <w:sz w:val="16"/>
                <w:szCs w:val="16"/>
                <w:lang w:val="en-US" w:eastAsia="en-CA"/>
              </w:rPr>
            </w:pPr>
            <w:r w:rsidRPr="00153266">
              <w:rPr>
                <w:rFonts w:ascii="Times New Roman" w:eastAsia="Times New Roman" w:hAnsi="Times New Roman" w:cstheme="minorHAnsi"/>
                <w:b/>
                <w:bCs/>
                <w:sz w:val="16"/>
                <w:szCs w:val="16"/>
                <w:lang w:val="en-US" w:eastAsia="en-CA"/>
              </w:rPr>
              <w:t>59,450</w:t>
            </w:r>
          </w:p>
        </w:tc>
      </w:tr>
    </w:tbl>
    <w:p w14:paraId="21862FB2" w14:textId="33E07324" w:rsidR="00170424" w:rsidRDefault="00170424"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0BCA582D" w14:textId="77777777" w:rsidR="00153266" w:rsidRPr="00153266" w:rsidRDefault="00153266"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21ABD305" w14:textId="77777777" w:rsidR="00153266" w:rsidRPr="00153266" w:rsidRDefault="00153266" w:rsidP="00153266">
      <w:pPr>
        <w:widowControl/>
        <w:autoSpaceDE/>
        <w:autoSpaceDN/>
        <w:adjustRightInd/>
        <w:ind w:left="144" w:right="1164"/>
        <w:jc w:val="both"/>
        <w:rPr>
          <w:rFonts w:ascii="Calibri" w:eastAsia="Times New Roman" w:hAnsi="Calibri" w:cs="Times New Roman"/>
          <w:iCs/>
          <w:sz w:val="24"/>
          <w:szCs w:val="24"/>
          <w:lang w:val="en-US" w:eastAsia="en-US"/>
        </w:rPr>
      </w:pPr>
    </w:p>
    <w:p w14:paraId="57CB1C3D" w14:textId="77777777" w:rsidR="00153266" w:rsidRPr="00153266" w:rsidRDefault="00153266" w:rsidP="00153266">
      <w:pPr>
        <w:widowControl/>
        <w:autoSpaceDE/>
        <w:autoSpaceDN/>
        <w:adjustRightInd/>
        <w:ind w:left="144" w:right="1164"/>
        <w:jc w:val="both"/>
        <w:rPr>
          <w:rFonts w:asciiTheme="minorHAnsi" w:eastAsia="Times New Roman" w:hAnsiTheme="minorHAnsi" w:cstheme="minorHAnsi"/>
          <w:color w:val="1D2228"/>
          <w:sz w:val="24"/>
          <w:szCs w:val="20"/>
          <w:lang w:val="en-US" w:eastAsia="en-US"/>
        </w:rPr>
      </w:pPr>
    </w:p>
    <w:p w14:paraId="26073D8F" w14:textId="77777777" w:rsidR="00153266" w:rsidRPr="00153266" w:rsidRDefault="00153266" w:rsidP="00153266">
      <w:pPr>
        <w:widowControl/>
        <w:autoSpaceDE/>
        <w:autoSpaceDN/>
        <w:adjustRightInd/>
        <w:ind w:left="144" w:right="1164"/>
        <w:jc w:val="both"/>
        <w:rPr>
          <w:rFonts w:asciiTheme="minorHAnsi" w:eastAsia="Times New Roman" w:hAnsiTheme="minorHAnsi" w:cstheme="minorHAnsi"/>
          <w:caps/>
          <w:sz w:val="24"/>
          <w:szCs w:val="24"/>
          <w:lang w:val="en-US" w:eastAsia="en-US"/>
        </w:rPr>
      </w:pPr>
      <w:r w:rsidRPr="00153266">
        <w:rPr>
          <w:rFonts w:asciiTheme="minorHAnsi" w:eastAsia="Times New Roman" w:hAnsiTheme="minorHAnsi" w:cstheme="minorHAnsi"/>
          <w:color w:val="1D2228"/>
          <w:sz w:val="24"/>
          <w:szCs w:val="20"/>
          <w:lang w:val="en-US" w:eastAsia="en-US"/>
        </w:rPr>
        <w:t xml:space="preserve">3.4 </w:t>
      </w:r>
      <w:r w:rsidRPr="00153266">
        <w:rPr>
          <w:rFonts w:asciiTheme="minorHAnsi" w:eastAsia="Times New Roman" w:hAnsiTheme="minorHAnsi" w:cstheme="minorHAnsi"/>
          <w:caps/>
          <w:sz w:val="24"/>
          <w:szCs w:val="24"/>
          <w:lang w:val="en-US" w:eastAsia="en-US"/>
        </w:rPr>
        <w:t>OVERVIEW OF THE GOVERNMENT OF NEWFOUNDLAND AND LABRADOR’S MINERAL LANDS TENURE SYSTEM</w:t>
      </w:r>
    </w:p>
    <w:p w14:paraId="7ED151E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3F407C56"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iCs/>
          <w:sz w:val="24"/>
          <w:szCs w:val="20"/>
          <w:lang w:eastAsia="en-US"/>
        </w:rPr>
      </w:pPr>
      <w:r w:rsidRPr="00153266">
        <w:rPr>
          <w:rFonts w:asciiTheme="minorHAnsi" w:eastAsia="Times New Roman" w:hAnsiTheme="minorHAnsi" w:cstheme="minorHAnsi"/>
          <w:sz w:val="24"/>
          <w:szCs w:val="20"/>
          <w:lang w:eastAsia="en-US"/>
        </w:rPr>
        <w:t>Mineral exploration titles in Newfoundland and Labrador are defined and managed under the terms and conditions of the Mineral Act (RSNL1990), and associated M</w:t>
      </w:r>
      <w:r w:rsidRPr="00153266">
        <w:rPr>
          <w:rFonts w:asciiTheme="minorHAnsi" w:eastAsia="Times New Roman" w:hAnsiTheme="minorHAnsi" w:cstheme="minorHAnsi"/>
          <w:iCs/>
          <w:sz w:val="24"/>
          <w:szCs w:val="20"/>
          <w:lang w:eastAsia="en-US"/>
        </w:rPr>
        <w:t>ineral Regulations as amended to date. The description of the system presented below is summarized from information made available by the Geological Survey of Newfoundland and Labrador (DIET), particularly the Staking and Exploration Guidebook.</w:t>
      </w:r>
    </w:p>
    <w:p w14:paraId="27EED2AC"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iCs/>
          <w:sz w:val="24"/>
          <w:szCs w:val="20"/>
          <w:lang w:eastAsia="en-US"/>
        </w:rPr>
      </w:pPr>
      <w:r w:rsidRPr="00153266">
        <w:rPr>
          <w:rFonts w:asciiTheme="minorHAnsi" w:eastAsia="Times New Roman" w:hAnsiTheme="minorHAnsi" w:cstheme="minorHAnsi"/>
          <w:sz w:val="24"/>
          <w:szCs w:val="20"/>
          <w:lang w:eastAsia="en-US"/>
        </w:rPr>
        <w:t>The basic unit of map staking in Newfoundland and Labrador is the claim, which is a 25 ha</w:t>
      </w:r>
      <w:r w:rsidRPr="00153266">
        <w:rPr>
          <w:rFonts w:asciiTheme="minorHAnsi" w:eastAsia="Times New Roman" w:hAnsiTheme="minorHAnsi" w:cstheme="minorHAnsi"/>
          <w:sz w:val="24"/>
          <w:szCs w:val="20"/>
          <w:vertAlign w:val="superscript"/>
          <w:lang w:eastAsia="en-US"/>
        </w:rPr>
        <w:t>2</w:t>
      </w:r>
      <w:r w:rsidRPr="00153266">
        <w:rPr>
          <w:rFonts w:asciiTheme="minorHAnsi" w:eastAsia="Times New Roman" w:hAnsiTheme="minorHAnsi" w:cstheme="minorHAnsi"/>
          <w:sz w:val="24"/>
          <w:szCs w:val="20"/>
          <w:lang w:eastAsia="en-US"/>
        </w:rPr>
        <w:t xml:space="preserve"> (500 m x 500 m), being one quarter of a UTM grid square (1 km x 1 km) and bounded on one corner by such a UTM grid square. The UTM grid square referred to is the one thousand metre grid used on the 1:50,000 National Topographic Map Series (NAD 27). An application for a map staked licence is made on-line through the Mineral Rights Administration System (MIRIAD). A licence can contain a maximum of 256 claims, all of which must be coterminous (“coterminous” is defined as having at least one side in common). There are no restrictions on the shape of mineral licences. Licences extended past year twenty have a maximum size of 100 claims.  A mineral licence may be converted to a mining lease at any time if the owner deems there to be sufficient mineral resources to warrant conversion and further work.  </w:t>
      </w:r>
    </w:p>
    <w:p w14:paraId="1014EBC0" w14:textId="77777777" w:rsidR="00153266" w:rsidRPr="00153266" w:rsidRDefault="00153266" w:rsidP="00153266">
      <w:pPr>
        <w:widowControl/>
        <w:autoSpaceDE/>
        <w:autoSpaceDN/>
        <w:adjustRightInd/>
        <w:spacing w:after="240"/>
        <w:ind w:right="1164"/>
        <w:jc w:val="both"/>
        <w:rPr>
          <w:rFonts w:asciiTheme="minorHAnsi" w:eastAsia="Times New Roman" w:hAnsiTheme="minorHAnsi" w:cstheme="minorHAnsi"/>
          <w:sz w:val="24"/>
          <w:szCs w:val="20"/>
          <w:lang w:eastAsia="en-US"/>
        </w:rPr>
      </w:pPr>
      <w:r w:rsidRPr="00153266">
        <w:rPr>
          <w:rFonts w:asciiTheme="minorHAnsi" w:eastAsia="Times New Roman" w:hAnsiTheme="minorHAnsi" w:cstheme="minorHAnsi"/>
          <w:sz w:val="24"/>
          <w:szCs w:val="20"/>
          <w:lang w:eastAsia="en-US"/>
        </w:rPr>
        <w:lastRenderedPageBreak/>
        <w:t>Each claim staked in a licence requires payment of a CDN $65 fee. This total includes a non-fundable CDN $15 recording fee and a CDN $50 security deposit that will be refunded upon submission and acceptance of a report covering first year work requirements for the licence (so-called “assessment report”). If a map staked licence has been partially surrendered in the first year and the assessment work required has not been completed, a portion of the deposit in</w:t>
      </w:r>
      <w:r w:rsidRPr="00153266">
        <w:rPr>
          <w:rFonts w:asciiTheme="minorHAnsi" w:eastAsia="Times New Roman" w:hAnsiTheme="minorHAnsi" w:cstheme="minorHAnsi"/>
          <w:i/>
          <w:sz w:val="24"/>
          <w:szCs w:val="24"/>
          <w:lang w:eastAsia="en-US"/>
        </w:rPr>
        <w:t xml:space="preserve"> </w:t>
      </w:r>
      <w:r w:rsidRPr="00153266">
        <w:rPr>
          <w:rFonts w:asciiTheme="minorHAnsi" w:eastAsia="Times New Roman" w:hAnsiTheme="minorHAnsi" w:cstheme="minorHAnsi"/>
          <w:sz w:val="24"/>
          <w:szCs w:val="20"/>
          <w:lang w:eastAsia="en-US"/>
        </w:rPr>
        <w:t xml:space="preserve">proportion to the partial surrender is forfeited. Also, if a map staked licence is cancelled or surrendered in the first year, the security deposit is forfeited. </w:t>
      </w:r>
    </w:p>
    <w:p w14:paraId="0DA4E15F"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CA" w:eastAsia="en-US"/>
        </w:rPr>
      </w:pPr>
      <w:r w:rsidRPr="00153266">
        <w:rPr>
          <w:rFonts w:ascii="Calibri" w:eastAsia="Times New Roman" w:hAnsi="Calibri" w:cs="Times New Roman"/>
          <w:sz w:val="24"/>
          <w:szCs w:val="20"/>
          <w:lang w:val="en-CA" w:eastAsia="en-US"/>
        </w:rPr>
        <w:t>The Mineral Act and Regulations in Newfoundland and Labrador state that there is a 30-day wait period for a staking application to be reviewed before a mineral license is issued.  After the license is issued ("Issuance Date"), the license holder has 365 days until the anniversary date during which time they must complete the required first year work.  Sixty days after the work due date, a report documenting the work performed and a statement of expenditures must be submitted to the Mineral Lands Division.</w:t>
      </w:r>
    </w:p>
    <w:p w14:paraId="0966AAF8" w14:textId="77777777" w:rsidR="00153266" w:rsidRPr="00153266" w:rsidRDefault="00153266" w:rsidP="00153266">
      <w:pPr>
        <w:widowControl/>
        <w:autoSpaceDE/>
        <w:autoSpaceDN/>
        <w:adjustRightInd/>
        <w:ind w:right="1164"/>
        <w:jc w:val="both"/>
        <w:rPr>
          <w:rFonts w:ascii="Calibri" w:eastAsia="Times New Roman" w:hAnsi="Calibri" w:cs="Times New Roman"/>
          <w:sz w:val="24"/>
          <w:szCs w:val="20"/>
          <w:lang w:val="en-CA" w:eastAsia="en-US"/>
        </w:rPr>
      </w:pPr>
    </w:p>
    <w:p w14:paraId="42B99B13" w14:textId="77777777" w:rsidR="00153266" w:rsidRPr="00153266" w:rsidRDefault="00153266" w:rsidP="00153266">
      <w:pPr>
        <w:widowControl/>
        <w:autoSpaceDE/>
        <w:autoSpaceDN/>
        <w:adjustRightInd/>
        <w:ind w:right="1164"/>
        <w:jc w:val="both"/>
        <w:rPr>
          <w:rFonts w:ascii="Calibri" w:eastAsia="Times New Roman" w:hAnsi="Calibri" w:cs="Times New Roman"/>
          <w:color w:val="FF0000"/>
          <w:sz w:val="24"/>
          <w:szCs w:val="20"/>
          <w:lang w:val="en-CA" w:eastAsia="fr-CA"/>
        </w:rPr>
      </w:pPr>
      <w:bookmarkStart w:id="33" w:name="_Hlk70857343"/>
      <w:r w:rsidRPr="00153266">
        <w:rPr>
          <w:rFonts w:ascii="Calibri" w:eastAsia="Times New Roman" w:hAnsi="Calibri" w:cs="Times New Roman"/>
          <w:sz w:val="24"/>
          <w:szCs w:val="20"/>
          <w:lang w:val="en-CA" w:eastAsia="fr-CA"/>
        </w:rPr>
        <w:t xml:space="preserve">A mineral exploration licence is issued for terms of five years </w:t>
      </w:r>
      <w:r w:rsidRPr="00153266">
        <w:rPr>
          <w:rFonts w:ascii="Calibri" w:eastAsia="Times New Roman" w:hAnsi="Calibri" w:cs="Times New Roman"/>
          <w:sz w:val="24"/>
          <w:szCs w:val="20"/>
          <w:lang w:val="en-US" w:eastAsia="en-US"/>
        </w:rPr>
        <w:t>(which is renewable for three additional five-year terms and 10 additional one-year terms)</w:t>
      </w:r>
      <w:r w:rsidRPr="00153266">
        <w:rPr>
          <w:rFonts w:ascii="Calibri" w:eastAsia="Times New Roman" w:hAnsi="Calibri" w:cs="Times New Roman"/>
          <w:sz w:val="24"/>
          <w:szCs w:val="20"/>
          <w:lang w:val="en-CA" w:eastAsia="fr-CA"/>
        </w:rPr>
        <w:t xml:space="preserve"> and can be held for a maximum of thirty years provided that:</w:t>
      </w:r>
    </w:p>
    <w:p w14:paraId="657EFD78" w14:textId="77777777" w:rsidR="00153266" w:rsidRPr="00153266" w:rsidRDefault="00153266" w:rsidP="00512495">
      <w:pPr>
        <w:widowControl/>
        <w:numPr>
          <w:ilvl w:val="0"/>
          <w:numId w:val="35"/>
        </w:numPr>
        <w:autoSpaceDE/>
        <w:autoSpaceDN/>
        <w:adjustRightInd/>
        <w:ind w:left="851" w:right="1164" w:hanging="28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the minimum annual assessment work is </w:t>
      </w:r>
      <w:proofErr w:type="gramStart"/>
      <w:r w:rsidRPr="00153266">
        <w:rPr>
          <w:rFonts w:ascii="Calibri" w:eastAsia="Times New Roman" w:hAnsi="Calibri" w:cs="Times New Roman"/>
          <w:sz w:val="24"/>
          <w:szCs w:val="20"/>
          <w:lang w:val="en-CA" w:eastAsia="fr-CA"/>
        </w:rPr>
        <w:t>completed;</w:t>
      </w:r>
      <w:proofErr w:type="gramEnd"/>
    </w:p>
    <w:p w14:paraId="53CECF11" w14:textId="77777777" w:rsidR="00153266" w:rsidRPr="00153266" w:rsidRDefault="00153266" w:rsidP="00512495">
      <w:pPr>
        <w:widowControl/>
        <w:numPr>
          <w:ilvl w:val="0"/>
          <w:numId w:val="35"/>
        </w:numPr>
        <w:autoSpaceDE/>
        <w:autoSpaceDN/>
        <w:adjustRightInd/>
        <w:ind w:left="851" w:right="1164" w:hanging="283"/>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the annual work is reported; and  </w:t>
      </w:r>
    </w:p>
    <w:p w14:paraId="3FEA9D49" w14:textId="77777777" w:rsidR="00153266" w:rsidRPr="00153266" w:rsidRDefault="00153266" w:rsidP="00512495">
      <w:pPr>
        <w:widowControl/>
        <w:numPr>
          <w:ilvl w:val="0"/>
          <w:numId w:val="35"/>
        </w:numPr>
        <w:autoSpaceDE/>
        <w:autoSpaceDN/>
        <w:adjustRightInd/>
        <w:ind w:left="851" w:right="1164" w:hanging="283"/>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the mineral exploration licence is renewed every five years.</w:t>
      </w:r>
    </w:p>
    <w:p w14:paraId="26A0D8C1"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
    <w:p w14:paraId="03A838C9"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The minimum annual assessment work required to be completed on each claim held in a licence are:</w:t>
      </w:r>
    </w:p>
    <w:p w14:paraId="6797343C"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CDN$200 / claim in the first </w:t>
      </w:r>
      <w:proofErr w:type="gramStart"/>
      <w:r w:rsidRPr="00153266">
        <w:rPr>
          <w:rFonts w:ascii="Calibri" w:eastAsia="Times New Roman" w:hAnsi="Calibri" w:cs="Times New Roman"/>
          <w:sz w:val="24"/>
          <w:szCs w:val="20"/>
          <w:lang w:val="en-CA" w:eastAsia="fr-CA"/>
        </w:rPr>
        <w:t>year;</w:t>
      </w:r>
      <w:proofErr w:type="gramEnd"/>
    </w:p>
    <w:p w14:paraId="2EBBCAFF"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CDN$250 / claim in the second </w:t>
      </w:r>
      <w:proofErr w:type="gramStart"/>
      <w:r w:rsidRPr="00153266">
        <w:rPr>
          <w:rFonts w:ascii="Calibri" w:eastAsia="Times New Roman" w:hAnsi="Calibri" w:cs="Times New Roman"/>
          <w:sz w:val="24"/>
          <w:szCs w:val="20"/>
          <w:lang w:val="en-CA" w:eastAsia="fr-CA"/>
        </w:rPr>
        <w:t>year;</w:t>
      </w:r>
      <w:proofErr w:type="gramEnd"/>
    </w:p>
    <w:p w14:paraId="7567735F"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CDN$300 / claim in the third </w:t>
      </w:r>
      <w:proofErr w:type="gramStart"/>
      <w:r w:rsidRPr="00153266">
        <w:rPr>
          <w:rFonts w:ascii="Calibri" w:eastAsia="Times New Roman" w:hAnsi="Calibri" w:cs="Times New Roman"/>
          <w:sz w:val="24"/>
          <w:szCs w:val="20"/>
          <w:lang w:val="en-CA" w:eastAsia="fr-CA"/>
        </w:rPr>
        <w:t>year;</w:t>
      </w:r>
      <w:proofErr w:type="gramEnd"/>
    </w:p>
    <w:p w14:paraId="1CC20271"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CDN$350 / claim in the fourth </w:t>
      </w:r>
      <w:proofErr w:type="gramStart"/>
      <w:r w:rsidRPr="00153266">
        <w:rPr>
          <w:rFonts w:ascii="Calibri" w:eastAsia="Times New Roman" w:hAnsi="Calibri" w:cs="Times New Roman"/>
          <w:sz w:val="24"/>
          <w:szCs w:val="20"/>
          <w:lang w:val="en-CA" w:eastAsia="fr-CA"/>
        </w:rPr>
        <w:t>year;</w:t>
      </w:r>
      <w:proofErr w:type="gramEnd"/>
    </w:p>
    <w:p w14:paraId="59E47780"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CDN$400 / claim in the fifth </w:t>
      </w:r>
      <w:proofErr w:type="gramStart"/>
      <w:r w:rsidRPr="00153266">
        <w:rPr>
          <w:rFonts w:ascii="Calibri" w:eastAsia="Times New Roman" w:hAnsi="Calibri" w:cs="Times New Roman"/>
          <w:sz w:val="24"/>
          <w:szCs w:val="20"/>
          <w:lang w:val="en-CA" w:eastAsia="fr-CA"/>
        </w:rPr>
        <w:t>year;</w:t>
      </w:r>
      <w:proofErr w:type="gramEnd"/>
    </w:p>
    <w:p w14:paraId="2CC94A29"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CDN$600 / claim / year for years six to ten, </w:t>
      </w:r>
      <w:proofErr w:type="gramStart"/>
      <w:r w:rsidRPr="00153266">
        <w:rPr>
          <w:rFonts w:ascii="Calibri" w:eastAsia="Times New Roman" w:hAnsi="Calibri" w:cs="Times New Roman"/>
          <w:sz w:val="24"/>
          <w:szCs w:val="20"/>
          <w:lang w:val="en-CA" w:eastAsia="fr-CA"/>
        </w:rPr>
        <w:t>inclusive;</w:t>
      </w:r>
      <w:proofErr w:type="gramEnd"/>
    </w:p>
    <w:p w14:paraId="412EC682"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CDN$900 / claim / year for years eleven to fifteen, </w:t>
      </w:r>
      <w:proofErr w:type="gramStart"/>
      <w:r w:rsidRPr="00153266">
        <w:rPr>
          <w:rFonts w:ascii="Calibri" w:eastAsia="Times New Roman" w:hAnsi="Calibri" w:cs="Times New Roman"/>
          <w:sz w:val="24"/>
          <w:szCs w:val="20"/>
          <w:lang w:val="en-CA" w:eastAsia="fr-CA"/>
        </w:rPr>
        <w:t>inclusive;</w:t>
      </w:r>
      <w:proofErr w:type="gramEnd"/>
    </w:p>
    <w:p w14:paraId="3A824B3C"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CDN$1,200 / claim / year for years sixteen to twenty, </w:t>
      </w:r>
      <w:proofErr w:type="gramStart"/>
      <w:r w:rsidRPr="00153266">
        <w:rPr>
          <w:rFonts w:ascii="Calibri" w:eastAsia="Times New Roman" w:hAnsi="Calibri" w:cs="Times New Roman"/>
          <w:sz w:val="24"/>
          <w:szCs w:val="20"/>
          <w:lang w:val="en-CA" w:eastAsia="fr-CA"/>
        </w:rPr>
        <w:t>inclusive;</w:t>
      </w:r>
      <w:proofErr w:type="gramEnd"/>
    </w:p>
    <w:p w14:paraId="338D06C1"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en-CA"/>
        </w:rPr>
      </w:pPr>
      <w:r w:rsidRPr="00153266">
        <w:rPr>
          <w:rFonts w:ascii="Calibri" w:eastAsia="Times New Roman" w:hAnsi="Calibri" w:cs="Times New Roman"/>
          <w:sz w:val="24"/>
          <w:szCs w:val="20"/>
          <w:lang w:val="en-CA" w:eastAsia="fr-CA"/>
        </w:rPr>
        <w:t>CDN</w:t>
      </w:r>
      <w:r w:rsidRPr="00153266">
        <w:rPr>
          <w:rFonts w:ascii="Calibri" w:eastAsia="Times New Roman" w:hAnsi="Calibri" w:cs="Times New Roman"/>
          <w:sz w:val="24"/>
          <w:szCs w:val="20"/>
          <w:lang w:val="en-CA" w:eastAsia="en-CA"/>
        </w:rPr>
        <w:t xml:space="preserve"> $2,000 / claim/ year for years </w:t>
      </w:r>
      <w:proofErr w:type="gramStart"/>
      <w:r w:rsidRPr="00153266">
        <w:rPr>
          <w:rFonts w:ascii="Calibri" w:eastAsia="Times New Roman" w:hAnsi="Calibri" w:cs="Times New Roman"/>
          <w:sz w:val="24"/>
          <w:szCs w:val="20"/>
          <w:lang w:val="en-CA" w:eastAsia="en-CA"/>
        </w:rPr>
        <w:t>twenty one</w:t>
      </w:r>
      <w:proofErr w:type="gramEnd"/>
      <w:r w:rsidRPr="00153266">
        <w:rPr>
          <w:rFonts w:ascii="Calibri" w:eastAsia="Times New Roman" w:hAnsi="Calibri" w:cs="Times New Roman"/>
          <w:sz w:val="24"/>
          <w:szCs w:val="20"/>
          <w:lang w:val="en-CA" w:eastAsia="en-CA"/>
        </w:rPr>
        <w:t xml:space="preserve"> to twenty five, inclusive; and</w:t>
      </w:r>
    </w:p>
    <w:p w14:paraId="4448D84E" w14:textId="77777777" w:rsidR="00153266" w:rsidRPr="00153266" w:rsidRDefault="00153266" w:rsidP="00512495">
      <w:pPr>
        <w:widowControl/>
        <w:numPr>
          <w:ilvl w:val="0"/>
          <w:numId w:val="36"/>
        </w:numPr>
        <w:autoSpaceDE/>
        <w:autoSpaceDN/>
        <w:adjustRightInd/>
        <w:ind w:right="1164"/>
        <w:jc w:val="both"/>
        <w:rPr>
          <w:rFonts w:ascii="Calibri" w:eastAsia="Times New Roman" w:hAnsi="Calibri" w:cs="Times New Roman"/>
          <w:sz w:val="24"/>
          <w:szCs w:val="20"/>
          <w:lang w:val="en-CA" w:eastAsia="en-CA"/>
        </w:rPr>
      </w:pPr>
      <w:r w:rsidRPr="00153266">
        <w:rPr>
          <w:rFonts w:ascii="Calibri" w:eastAsia="Times New Roman" w:hAnsi="Calibri" w:cs="Times New Roman"/>
          <w:sz w:val="24"/>
          <w:szCs w:val="20"/>
          <w:lang w:val="en-CA" w:eastAsia="fr-CA"/>
        </w:rPr>
        <w:t>CDN</w:t>
      </w:r>
      <w:r w:rsidRPr="00153266">
        <w:rPr>
          <w:rFonts w:ascii="Calibri" w:eastAsia="Times New Roman" w:hAnsi="Calibri" w:cs="Times New Roman"/>
          <w:sz w:val="24"/>
          <w:szCs w:val="20"/>
          <w:lang w:val="en-CA" w:eastAsia="en-CA"/>
        </w:rPr>
        <w:t xml:space="preserve"> $2,500 / claim/ year for years </w:t>
      </w:r>
      <w:proofErr w:type="gramStart"/>
      <w:r w:rsidRPr="00153266">
        <w:rPr>
          <w:rFonts w:ascii="Calibri" w:eastAsia="Times New Roman" w:hAnsi="Calibri" w:cs="Times New Roman"/>
          <w:sz w:val="24"/>
          <w:szCs w:val="20"/>
          <w:lang w:val="en-CA" w:eastAsia="en-CA"/>
        </w:rPr>
        <w:t>twenty six</w:t>
      </w:r>
      <w:proofErr w:type="gramEnd"/>
      <w:r w:rsidRPr="00153266">
        <w:rPr>
          <w:rFonts w:ascii="Calibri" w:eastAsia="Times New Roman" w:hAnsi="Calibri" w:cs="Times New Roman"/>
          <w:sz w:val="24"/>
          <w:szCs w:val="20"/>
          <w:lang w:val="en-CA" w:eastAsia="en-CA"/>
        </w:rPr>
        <w:t xml:space="preserve"> to thirty inclusive.</w:t>
      </w:r>
    </w:p>
    <w:bookmarkEnd w:id="33"/>
    <w:p w14:paraId="399EF909"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
    <w:p w14:paraId="22C499CD"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The minimum annual assessment work must be completed on or before the anniversary date. The assessment report must then be submitted within 60 days after the anniversary date. </w:t>
      </w:r>
    </w:p>
    <w:p w14:paraId="6B4D048B"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
    <w:p w14:paraId="04B435BF"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Excess work performed in a given year can be carried forward for up to 10 years, meaning should no other work be performed on the license, and adequate excess expenditures exist, the annual assessment work requirement will be allocated from the excess until such time the excess runs out, or the ten-year time period is reached, whatever comes first.  Although no work may have been done by the license holder in the subsequent year or years, provided excess assessment expenditures exist sufficient to cover the requirement, there is no requirement to do work annually.</w:t>
      </w:r>
    </w:p>
    <w:p w14:paraId="107E8D92"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
    <w:p w14:paraId="6209E1D2"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Should a license holder find themselves deficient in the required expenditures for a license, the license holder can post a security for the amount of the deficiency, but this still requires that the deficient work be completed in the next year in addition to the minimum assessment work required during that subsequent year.  This is referred to as a Condition 2 ("CON2") extension </w:t>
      </w:r>
      <w:r w:rsidRPr="00153266">
        <w:rPr>
          <w:rFonts w:ascii="Calibri" w:eastAsia="Times New Roman" w:hAnsi="Calibri" w:cs="Times New Roman"/>
          <w:sz w:val="24"/>
          <w:szCs w:val="20"/>
          <w:lang w:val="en-CA" w:eastAsia="fr-CA"/>
        </w:rPr>
        <w:lastRenderedPageBreak/>
        <w:t>and the security is refundable upon acceptance of report documenting that the required expenditures were incurred.</w:t>
      </w:r>
    </w:p>
    <w:p w14:paraId="30290F94"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
    <w:p w14:paraId="324775E3"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CA" w:eastAsia="fr-CA"/>
        </w:rPr>
      </w:pPr>
      <w:proofErr w:type="gramStart"/>
      <w:r w:rsidRPr="00153266">
        <w:rPr>
          <w:rFonts w:ascii="Calibri" w:eastAsia="Times New Roman" w:hAnsi="Calibri" w:cs="Times New Roman"/>
          <w:sz w:val="24"/>
          <w:szCs w:val="20"/>
          <w:lang w:val="en-CA" w:eastAsia="fr-CA"/>
        </w:rPr>
        <w:t>In order for</w:t>
      </w:r>
      <w:proofErr w:type="gramEnd"/>
      <w:r w:rsidRPr="00153266">
        <w:rPr>
          <w:rFonts w:ascii="Calibri" w:eastAsia="Times New Roman" w:hAnsi="Calibri" w:cs="Times New Roman"/>
          <w:sz w:val="24"/>
          <w:szCs w:val="20"/>
          <w:lang w:val="en-CA" w:eastAsia="fr-CA"/>
        </w:rPr>
        <w:t xml:space="preserve"> a license to remain in good standing with the Government of Newfoundland and Labrador, the license has to be renewed every fifth year on the anniversary date.  The renewal fees escalate for Term 1, Term 2 and Term 3 and are listed as follows:</w:t>
      </w:r>
    </w:p>
    <w:p w14:paraId="7A824620" w14:textId="77777777" w:rsidR="00153266" w:rsidRPr="00153266" w:rsidRDefault="00153266" w:rsidP="00512495">
      <w:pPr>
        <w:widowControl/>
        <w:numPr>
          <w:ilvl w:val="0"/>
          <w:numId w:val="37"/>
        </w:numPr>
        <w:autoSpaceDE/>
        <w:autoSpaceDN/>
        <w:adjustRightInd/>
        <w:ind w:right="1164"/>
        <w:jc w:val="both"/>
        <w:rPr>
          <w:rFonts w:ascii="Calibri" w:eastAsia="Times New Roman" w:hAnsi="Calibri" w:cs="Times New Roman"/>
          <w:sz w:val="24"/>
          <w:szCs w:val="20"/>
          <w:lang w:val="en-CA" w:eastAsia="fr-CA"/>
        </w:rPr>
      </w:pPr>
      <w:r w:rsidRPr="00153266">
        <w:rPr>
          <w:rFonts w:ascii="Calibri" w:eastAsia="Times New Roman" w:hAnsi="Calibri" w:cs="Times New Roman"/>
          <w:sz w:val="24"/>
          <w:szCs w:val="20"/>
          <w:lang w:val="en-CA" w:eastAsia="fr-CA"/>
        </w:rPr>
        <w:t xml:space="preserve">Term 1 Renewal (year 5 of license) is CDN$25 / </w:t>
      </w:r>
      <w:proofErr w:type="gramStart"/>
      <w:r w:rsidRPr="00153266">
        <w:rPr>
          <w:rFonts w:ascii="Calibri" w:eastAsia="Times New Roman" w:hAnsi="Calibri" w:cs="Times New Roman"/>
          <w:sz w:val="24"/>
          <w:szCs w:val="20"/>
          <w:lang w:val="en-CA" w:eastAsia="fr-CA"/>
        </w:rPr>
        <w:t>claim;</w:t>
      </w:r>
      <w:proofErr w:type="gramEnd"/>
    </w:p>
    <w:p w14:paraId="72C93075" w14:textId="77777777" w:rsidR="00153266" w:rsidRPr="00153266" w:rsidRDefault="00153266" w:rsidP="00512495">
      <w:pPr>
        <w:widowControl/>
        <w:numPr>
          <w:ilvl w:val="0"/>
          <w:numId w:val="37"/>
        </w:numPr>
        <w:autoSpaceDE/>
        <w:autoSpaceDN/>
        <w:adjustRightInd/>
        <w:ind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Term 2 Renewal (year 10 of license) is CDN$50 / claim; and </w:t>
      </w:r>
    </w:p>
    <w:p w14:paraId="2B54FC01" w14:textId="77777777" w:rsidR="00153266" w:rsidRPr="00153266" w:rsidRDefault="00153266" w:rsidP="00512495">
      <w:pPr>
        <w:widowControl/>
        <w:numPr>
          <w:ilvl w:val="0"/>
          <w:numId w:val="37"/>
        </w:numPr>
        <w:autoSpaceDE/>
        <w:autoSpaceDN/>
        <w:adjustRightInd/>
        <w:ind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Term 3 Renewal (year 15 of license) is CDN$100 / claim.</w:t>
      </w:r>
    </w:p>
    <w:p w14:paraId="765483CF"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2351870D"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Starting in year 20, any excess expenditures from previous work are deleted and annual work is required as per the assessment work listing given above.  Excess expenditures for work incurred in year 20 and beyond can only be carried for 5 years.  In addition, there is an annual renewal fee of CDN$200 / claim.</w:t>
      </w:r>
    </w:p>
    <w:p w14:paraId="09B6B21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40DB41A6" w14:textId="77777777" w:rsidR="00153266" w:rsidRPr="00153266" w:rsidRDefault="00153266" w:rsidP="00153266">
      <w:pPr>
        <w:widowControl/>
        <w:autoSpaceDE/>
        <w:autoSpaceDN/>
        <w:adjustRightInd/>
        <w:ind w:left="1440" w:right="1164"/>
        <w:contextualSpacing/>
        <w:jc w:val="both"/>
        <w:rPr>
          <w:rFonts w:asciiTheme="minorHAnsi" w:eastAsiaTheme="minorHAnsi" w:hAnsiTheme="minorHAnsi" w:cstheme="minorHAnsi"/>
          <w:caps/>
          <w:sz w:val="24"/>
          <w:szCs w:val="24"/>
          <w:lang w:val="en-US" w:eastAsia="en-US"/>
        </w:rPr>
      </w:pPr>
    </w:p>
    <w:p w14:paraId="36724B9B" w14:textId="77777777" w:rsidR="00153266" w:rsidRPr="00153266" w:rsidRDefault="00153266" w:rsidP="00153266">
      <w:pPr>
        <w:widowControl/>
        <w:autoSpaceDE/>
        <w:autoSpaceDN/>
        <w:adjustRightInd/>
        <w:ind w:left="720"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3.5Permitting, environmental, community considerations, AND POSSIBLE RISK FACTORS</w:t>
      </w:r>
    </w:p>
    <w:p w14:paraId="59CB4C07"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In Newfoundland and Labrador, a company holding mineral lands and wishing to complete exploration work on those mineral lands must be registered with the Government of Newfoundland and Labrador’s Registry of Companies and maintain their registration while actively exploring and/or holding mineral titles.</w:t>
      </w:r>
    </w:p>
    <w:p w14:paraId="673096C3" w14:textId="77777777" w:rsidR="00153266" w:rsidRPr="00153266" w:rsidRDefault="00153266" w:rsidP="00153266">
      <w:pPr>
        <w:widowControl/>
        <w:autoSpaceDE/>
        <w:autoSpaceDN/>
        <w:adjustRightInd/>
        <w:ind w:left="720" w:right="1164"/>
        <w:jc w:val="both"/>
        <w:rPr>
          <w:rFonts w:ascii="Calibri" w:eastAsia="Times New Roman" w:hAnsi="Calibri" w:cs="Times New Roman"/>
          <w:sz w:val="24"/>
          <w:szCs w:val="20"/>
          <w:lang w:val="en-US" w:eastAsia="en-US"/>
        </w:rPr>
      </w:pPr>
    </w:p>
    <w:p w14:paraId="4E149819"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All proposed exploration work must be approved by the Department of Industry, Energy and Technology through a Mineral Exploration Approval Application that documents the proposed work.  All work must meet with current environmental best practices and if so merited, could require a further level of permitting issued by the Department of Environment that could range from an environmental registration up to environmental assessment.</w:t>
      </w:r>
    </w:p>
    <w:p w14:paraId="071BC815"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4FD78EAB"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All Mineral Exploration Approval Applications received will be referred to various government departments, as well as certain stakeholders in the area (e.g., Environment and Wildlife, Forestry, Fisheries, Protected Lands Committees, Municipal Government, Indigenous groups, etc.).  The referral process and the agencies to be included in the referral process hinges on the location of the proposed work and scope of the work proposed.</w:t>
      </w:r>
    </w:p>
    <w:p w14:paraId="1B890313" w14:textId="77777777" w:rsidR="00153266" w:rsidRPr="00153266" w:rsidRDefault="00153266" w:rsidP="00153266">
      <w:pPr>
        <w:widowControl/>
        <w:autoSpaceDE/>
        <w:autoSpaceDN/>
        <w:adjustRightInd/>
        <w:ind w:left="144" w:right="1164"/>
        <w:jc w:val="both"/>
        <w:rPr>
          <w:rFonts w:ascii="Calibri" w:eastAsia="Times New Roman" w:hAnsi="Calibri" w:cs="Times New Roman"/>
          <w:b/>
          <w:bCs/>
          <w:color w:val="FF0000"/>
          <w:sz w:val="24"/>
          <w:szCs w:val="20"/>
          <w:lang w:val="en-US" w:eastAsia="en-US"/>
        </w:rPr>
      </w:pPr>
    </w:p>
    <w:p w14:paraId="7247B848"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The Property falls in an area that the Labrador Innu (a regional indigenous group with traditional ties to area) have asserted their traditional rights. The Labrador Innu are currently negotiating a Land Claims agreement with the Provincial and Federal governments. As part of the exploration permitting process any mineral exploration approval application submitted to the Provincial Government for work on the Property will be sent to the Labrador Innu and any other stake-holder groups who might have an interest in the area. </w:t>
      </w:r>
    </w:p>
    <w:p w14:paraId="44758DD4"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6CCED89A"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The author recommends early dialogue with the Innu and any other stakeholders as well as best attempts at utilizing local service providers and </w:t>
      </w:r>
      <w:proofErr w:type="spellStart"/>
      <w:r w:rsidRPr="00153266">
        <w:rPr>
          <w:rFonts w:ascii="Calibri" w:eastAsia="Times New Roman" w:hAnsi="Calibri" w:cs="Times New Roman"/>
          <w:sz w:val="24"/>
          <w:szCs w:val="20"/>
          <w:lang w:val="en-US" w:eastAsia="en-US"/>
        </w:rPr>
        <w:t>labour</w:t>
      </w:r>
      <w:proofErr w:type="spellEnd"/>
      <w:r w:rsidRPr="00153266">
        <w:rPr>
          <w:rFonts w:ascii="Calibri" w:eastAsia="Times New Roman" w:hAnsi="Calibri" w:cs="Times New Roman"/>
          <w:sz w:val="24"/>
          <w:szCs w:val="20"/>
          <w:lang w:val="en-US" w:eastAsia="en-US"/>
        </w:rPr>
        <w:t xml:space="preserve"> to assist in the execution of the proposed work program. </w:t>
      </w:r>
    </w:p>
    <w:p w14:paraId="56587CF0"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1BBDD9BB"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The author can only foresee two potential risks to exploration and potential mining of the Property; these being 1) Indigenous land rights and potential inclusion of the Property with a land claim agreement between the Innu Nation and Governments of Canada and </w:t>
      </w:r>
      <w:r w:rsidRPr="00153266">
        <w:rPr>
          <w:rFonts w:ascii="Calibri" w:eastAsia="Times New Roman" w:hAnsi="Calibri" w:cs="Times New Roman"/>
          <w:sz w:val="24"/>
          <w:szCs w:val="20"/>
          <w:lang w:val="en-US" w:eastAsia="en-US"/>
        </w:rPr>
        <w:lastRenderedPageBreak/>
        <w:t>Newfoundland and Labrador and 2) climate change/environmental factors. These risks have not occurred in the past and are solely potential ricks.</w:t>
      </w:r>
    </w:p>
    <w:p w14:paraId="5D56ACE7"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61340F2E"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There has never been a Treaty agreement signed between the Innu Nation and the Crown with respect to areas of central Labrador, including the Project area, claimed by the Innu Nation to be their traditional territory. The Innu Nation has been in negotiations for a land claims agreement with the federal (and indirectly provincial) government since 1978 and these negotiations are ongoing. No final designation of the Innu land claims area has been promulgated. The Innu Nation has not explicitly expressed opposition to mineral exploration and mining and in fact signed an Impact Benefits Agreement with INCO and the governments of Canada and Newfoundland and Labrador which lead to the establishment of the </w:t>
      </w:r>
      <w:proofErr w:type="spellStart"/>
      <w:r w:rsidRPr="00153266">
        <w:rPr>
          <w:rFonts w:ascii="Calibri" w:eastAsia="Times New Roman" w:hAnsi="Calibri" w:cs="Times New Roman"/>
          <w:sz w:val="24"/>
          <w:szCs w:val="20"/>
          <w:lang w:val="en-US" w:eastAsia="en-US"/>
        </w:rPr>
        <w:t>Voisey’s</w:t>
      </w:r>
      <w:proofErr w:type="spellEnd"/>
      <w:r w:rsidRPr="00153266">
        <w:rPr>
          <w:rFonts w:ascii="Calibri" w:eastAsia="Times New Roman" w:hAnsi="Calibri" w:cs="Times New Roman"/>
          <w:sz w:val="24"/>
          <w:szCs w:val="20"/>
          <w:lang w:val="en-US" w:eastAsia="en-US"/>
        </w:rPr>
        <w:t xml:space="preserve"> Bay Mine in northern Labrador. Many Innu people are actively employed at that mine.</w:t>
      </w:r>
    </w:p>
    <w:p w14:paraId="25373BD1"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52FE8E2D"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Climate change could conceivably affect exploration and mining operations in central Labrador. This past Winter has been the warmest on record in Labrador with the amount of sea-ice at record levels. Thus, there has been much concern in Labrador communities about the increasing warming effects of climate change. These concerns are mainly related to the decreasing sea-ice and winter snow covers and their effects on transportation and hunting. Conversely for mineral exploration and mining, these warming conditions might improve working conditions by decreasing the severity of winter weather. Warming, however, could adversely affect mineral exploration by limiting the ability to conduct winter drilling through ice-covered bodies of water. </w:t>
      </w:r>
    </w:p>
    <w:p w14:paraId="0AA1389B"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66054722"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7386BF5C"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13682EBA"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76A82B4E" w14:textId="77777777" w:rsidR="00153266" w:rsidRPr="00153266" w:rsidRDefault="00153266" w:rsidP="00170424">
      <w:pPr>
        <w:widowControl/>
        <w:autoSpaceDE/>
        <w:autoSpaceDN/>
        <w:adjustRightInd/>
        <w:ind w:right="1164"/>
        <w:jc w:val="both"/>
        <w:rPr>
          <w:rFonts w:ascii="Calibri" w:eastAsia="Times New Roman" w:hAnsi="Calibri" w:cs="Times New Roman"/>
          <w:sz w:val="24"/>
          <w:szCs w:val="20"/>
          <w:lang w:val="en-US" w:eastAsia="en-US"/>
        </w:rPr>
      </w:pPr>
    </w:p>
    <w:p w14:paraId="2C924A4B"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0338FBF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4.0 HISTORY</w:t>
      </w:r>
    </w:p>
    <w:p w14:paraId="3C25CDC0"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115314F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4.1 GOVERNMENT SURVEYS AND ACADEMIC RESEARCH</w:t>
      </w:r>
    </w:p>
    <w:p w14:paraId="3B5947B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highlight w:val="yellow"/>
          <w:lang w:val="en-US" w:eastAsia="en-US"/>
        </w:rPr>
      </w:pPr>
    </w:p>
    <w:p w14:paraId="6B21F3F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first published work describing copper occurrences in the Property area was by Evans (1952). Brummer and Mann (1961) published a map of the Seal Lake Group and subdivided the group into six formations, viz.: 1) the Bessie Lake Formation clastic sedimentary rocks and basalts; 2) the </w:t>
      </w:r>
      <w:proofErr w:type="spellStart"/>
      <w:r w:rsidRPr="00153266">
        <w:rPr>
          <w:rFonts w:asciiTheme="minorHAnsi" w:eastAsiaTheme="minorHAnsi" w:hAnsiTheme="minorHAnsi" w:cstheme="minorHAnsi"/>
          <w:sz w:val="24"/>
          <w:szCs w:val="24"/>
          <w:lang w:val="en-US" w:eastAsia="en-US"/>
        </w:rPr>
        <w:t>Wuchusk</w:t>
      </w:r>
      <w:proofErr w:type="spellEnd"/>
      <w:r w:rsidRPr="00153266">
        <w:rPr>
          <w:rFonts w:asciiTheme="minorHAnsi" w:eastAsiaTheme="minorHAnsi" w:hAnsiTheme="minorHAnsi" w:cstheme="minorHAnsi"/>
          <w:sz w:val="24"/>
          <w:szCs w:val="24"/>
          <w:lang w:val="en-US" w:eastAsia="en-US"/>
        </w:rPr>
        <w:t xml:space="preserve"> Lake Formation shale, chert, lime­stone and gabbro sills; 3) the Whisky (</w:t>
      </w:r>
      <w:r w:rsidRPr="00153266">
        <w:rPr>
          <w:rFonts w:asciiTheme="minorHAnsi" w:eastAsiaTheme="minorHAnsi" w:hAnsiTheme="minorHAnsi" w:cstheme="minorHAnsi"/>
          <w:i/>
          <w:iCs/>
          <w:sz w:val="24"/>
          <w:szCs w:val="24"/>
          <w:lang w:val="en-US" w:eastAsia="en-US"/>
        </w:rPr>
        <w:t>aka</w:t>
      </w:r>
      <w:r w:rsidRPr="00153266">
        <w:rPr>
          <w:rFonts w:asciiTheme="minorHAnsi" w:eastAsiaTheme="minorHAnsi" w:hAnsiTheme="minorHAnsi" w:cstheme="minorHAnsi"/>
          <w:sz w:val="24"/>
          <w:szCs w:val="24"/>
          <w:lang w:val="en-US" w:eastAsia="en-US"/>
        </w:rPr>
        <w:t xml:space="preserve"> Whiskey) Lake Formation red and grey slate, and phyllite; 4) the Salmon Lake Formation shale, basalt, and diabase sills; 5) the Adeline Island Formation clastic sedimentary rocks and chert; and 6) the Upper Red Quartzite Formation. They described the Seal Lake Group as occupying a broad syncline. These authors also documented many of the copper showings in the area. </w:t>
      </w:r>
    </w:p>
    <w:p w14:paraId="1099A14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0CBEF9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Geological Survey of Canada produced 1:250 000-scale geological maps of portions of the project area including Roscoe and Emslie (1973) and </w:t>
      </w:r>
      <w:proofErr w:type="spellStart"/>
      <w:r w:rsidRPr="00153266">
        <w:rPr>
          <w:rFonts w:asciiTheme="minorHAnsi" w:eastAsiaTheme="minorHAnsi" w:hAnsiTheme="minorHAnsi" w:cstheme="minorHAnsi"/>
          <w:sz w:val="24"/>
          <w:szCs w:val="24"/>
          <w:lang w:val="en-US" w:eastAsia="en-US"/>
        </w:rPr>
        <w:t>Fahrig</w:t>
      </w:r>
      <w:proofErr w:type="spellEnd"/>
      <w:r w:rsidRPr="00153266">
        <w:rPr>
          <w:rFonts w:asciiTheme="minorHAnsi" w:eastAsiaTheme="minorHAnsi" w:hAnsiTheme="minorHAnsi" w:cstheme="minorHAnsi"/>
          <w:sz w:val="24"/>
          <w:szCs w:val="24"/>
          <w:lang w:val="en-US" w:eastAsia="en-US"/>
        </w:rPr>
        <w:t xml:space="preserve"> (1959).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xml:space="preserve"> (1968; 1981) mapped a cross- section through the Seal Lake Group and defined the geochemical nature of basalts and sills in the group. </w:t>
      </w:r>
    </w:p>
    <w:p w14:paraId="5AB3377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862BDE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Gandhi and Brown (1975) described five showings in detail, viz.: the Ellis, Brian, Duck Lake South, Duck Lake </w:t>
      </w:r>
      <w:proofErr w:type="gramStart"/>
      <w:r w:rsidRPr="00153266">
        <w:rPr>
          <w:rFonts w:asciiTheme="minorHAnsi" w:eastAsiaTheme="minorHAnsi" w:hAnsiTheme="minorHAnsi" w:cstheme="minorHAnsi"/>
          <w:sz w:val="24"/>
          <w:szCs w:val="24"/>
          <w:lang w:val="en-US" w:eastAsia="en-US"/>
        </w:rPr>
        <w:t>North</w:t>
      </w:r>
      <w:proofErr w:type="gramEnd"/>
      <w:r w:rsidRPr="00153266">
        <w:rPr>
          <w:rFonts w:asciiTheme="minorHAnsi" w:eastAsiaTheme="minorHAnsi" w:hAnsiTheme="minorHAnsi" w:cstheme="minorHAnsi"/>
          <w:sz w:val="24"/>
          <w:szCs w:val="24"/>
          <w:lang w:val="en-US" w:eastAsia="en-US"/>
        </w:rPr>
        <w:t xml:space="preserve"> and Brandy Lake prospects. These were the main BRINEX exploration targets. According to Gandhi and Brown, </w:t>
      </w:r>
      <w:proofErr w:type="gramStart"/>
      <w:r w:rsidRPr="00153266">
        <w:rPr>
          <w:rFonts w:asciiTheme="minorHAnsi" w:eastAsiaTheme="minorHAnsi" w:hAnsiTheme="minorHAnsi" w:cstheme="minorHAnsi"/>
          <w:sz w:val="24"/>
          <w:szCs w:val="24"/>
          <w:lang w:val="en-US" w:eastAsia="en-US"/>
        </w:rPr>
        <w:t>all of</w:t>
      </w:r>
      <w:proofErr w:type="gramEnd"/>
      <w:r w:rsidRPr="00153266">
        <w:rPr>
          <w:rFonts w:asciiTheme="minorHAnsi" w:eastAsiaTheme="minorHAnsi" w:hAnsiTheme="minorHAnsi" w:cstheme="minorHAnsi"/>
          <w:sz w:val="24"/>
          <w:szCs w:val="24"/>
          <w:lang w:val="en-US" w:eastAsia="en-US"/>
        </w:rPr>
        <w:t xml:space="preserve"> these showings are hosted by Adeline Island Formation </w:t>
      </w:r>
      <w:r w:rsidRPr="00153266">
        <w:rPr>
          <w:rFonts w:asciiTheme="minorHAnsi" w:eastAsiaTheme="minorHAnsi" w:hAnsiTheme="minorHAnsi" w:cstheme="minorHAnsi"/>
          <w:sz w:val="24"/>
          <w:szCs w:val="24"/>
          <w:lang w:val="en-US" w:eastAsia="en-US"/>
        </w:rPr>
        <w:lastRenderedPageBreak/>
        <w:t>shale and quartzite. They modelled this formation as an analogue to the Nonesuch Shale and associated mineralization at White Pine, Michigan.</w:t>
      </w:r>
    </w:p>
    <w:p w14:paraId="6F1BDDD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B1A97A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Wilton (1989a) mapped many copper occurrences in the area and provided a metallogenic model. Wilton (1989b) provided detailed geochemical data mainly of sills within the Seal Lake Group. </w:t>
      </w:r>
    </w:p>
    <w:p w14:paraId="66381EE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2068A3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definitive government mapping of the Seal Lake group in the area of the project was reported in a number of reports from 2009-2013 by Tim van Nostrand; including, van Nostrand (2009), van Nostrand and Lowe (2010), van Nostrand and MacFarland (2011), and van Nostrand and Corcoran (2013).</w:t>
      </w:r>
    </w:p>
    <w:p w14:paraId="1FF04076" w14:textId="77777777" w:rsidR="00153266" w:rsidRPr="00153266" w:rsidRDefault="00153266" w:rsidP="00153266">
      <w:pPr>
        <w:widowControl/>
        <w:autoSpaceDE/>
        <w:autoSpaceDN/>
        <w:adjustRightInd/>
        <w:ind w:left="1440" w:right="1164"/>
        <w:contextualSpacing/>
        <w:jc w:val="both"/>
        <w:rPr>
          <w:rFonts w:asciiTheme="minorHAnsi" w:eastAsiaTheme="minorHAnsi" w:hAnsiTheme="minorHAnsi" w:cstheme="minorHAnsi"/>
          <w:caps/>
          <w:sz w:val="24"/>
          <w:szCs w:val="24"/>
          <w:lang w:val="en-US" w:eastAsia="en-US"/>
        </w:rPr>
      </w:pPr>
    </w:p>
    <w:p w14:paraId="5EE5AD5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r w:rsidRPr="00153266">
        <w:rPr>
          <w:rFonts w:asciiTheme="minorHAnsi" w:eastAsiaTheme="minorHAnsi" w:hAnsiTheme="minorHAnsi" w:cstheme="minorHAnsi"/>
          <w:caps/>
          <w:sz w:val="24"/>
          <w:szCs w:val="24"/>
          <w:lang w:val="en-US" w:eastAsia="en-US"/>
        </w:rPr>
        <w:t>4.2 INDUSTRY SURVEYS</w:t>
      </w:r>
    </w:p>
    <w:p w14:paraId="2C3868A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0B12C9E6"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roofErr w:type="spellStart"/>
      <w:r w:rsidRPr="00153266">
        <w:rPr>
          <w:rFonts w:ascii="Calibri" w:eastAsia="Times New Roman" w:hAnsi="Calibri" w:cs="Times New Roman"/>
          <w:sz w:val="24"/>
          <w:szCs w:val="20"/>
          <w:lang w:val="en-US" w:eastAsia="en-US"/>
        </w:rPr>
        <w:t>Norancon</w:t>
      </w:r>
      <w:proofErr w:type="spellEnd"/>
      <w:r w:rsidRPr="00153266">
        <w:rPr>
          <w:rFonts w:ascii="Calibri" w:eastAsia="Times New Roman" w:hAnsi="Calibri" w:cs="Times New Roman"/>
          <w:sz w:val="24"/>
          <w:szCs w:val="20"/>
          <w:lang w:val="en-US" w:eastAsia="en-US"/>
        </w:rPr>
        <w:t xml:space="preserve"> Exploration Ltd. discovered a native copper showing near Adeline Lake in 1946 (Evans, 1950). In 1950, a Frobisher Ltd. prospecting party discovered further copper occurrences in the region and conducted more detailed evaluation of the region in 1951 (Evans, 1951). During this work they discovered the Seal Lake and Eastern showings and thirteen other occurrences. They also produced the first regional geological map of the Seal Lake Group. Based on this success,</w:t>
      </w:r>
      <w:r w:rsidRPr="00153266">
        <w:rPr>
          <w:rFonts w:ascii="Calibri" w:eastAsia="Times New Roman" w:hAnsi="Calibri" w:cs="Times New Roman"/>
          <w:color w:val="FF0000"/>
          <w:sz w:val="24"/>
          <w:szCs w:val="20"/>
          <w:lang w:val="en-US" w:eastAsia="en-US"/>
        </w:rPr>
        <w:t xml:space="preserve"> </w:t>
      </w:r>
      <w:r w:rsidRPr="00153266">
        <w:rPr>
          <w:rFonts w:ascii="Calibri" w:eastAsia="Times New Roman" w:hAnsi="Calibri" w:cs="Times New Roman"/>
          <w:sz w:val="24"/>
          <w:szCs w:val="20"/>
          <w:lang w:val="en-US" w:eastAsia="en-US"/>
        </w:rPr>
        <w:t>Frobisher explored a 9,400 km</w:t>
      </w:r>
      <w:r w:rsidRPr="00153266">
        <w:rPr>
          <w:rFonts w:ascii="Calibri" w:eastAsia="Times New Roman" w:hAnsi="Calibri" w:cs="Times New Roman"/>
          <w:sz w:val="24"/>
          <w:szCs w:val="20"/>
          <w:vertAlign w:val="superscript"/>
          <w:lang w:val="en-US" w:eastAsia="en-US"/>
        </w:rPr>
        <w:t>2</w:t>
      </w:r>
      <w:r w:rsidRPr="00153266">
        <w:rPr>
          <w:rFonts w:ascii="Calibri" w:eastAsia="Times New Roman" w:hAnsi="Calibri" w:cs="Times New Roman"/>
          <w:sz w:val="24"/>
          <w:szCs w:val="20"/>
          <w:lang w:val="en-US" w:eastAsia="en-US"/>
        </w:rPr>
        <w:t xml:space="preserve"> concession area covering most of the Adeline Copper Project from 1952 -1955 (Robinson, 1953; 1954; 1956). During this work they discovered the Salmon Lake, Adeline Island, South Adeline Mountain, Ellis, and Whisky Lake showings. Minor drilling was also completed on some of the showings.</w:t>
      </w:r>
    </w:p>
    <w:p w14:paraId="6AD83520"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037AEBCA" w14:textId="77777777" w:rsidR="00153266" w:rsidRPr="00153266" w:rsidRDefault="00153266" w:rsidP="00153266">
      <w:pPr>
        <w:widowControl/>
        <w:autoSpaceDE/>
        <w:autoSpaceDN/>
        <w:adjustRightInd/>
        <w:ind w:left="144" w:right="1164"/>
        <w:jc w:val="both"/>
        <w:rPr>
          <w:rFonts w:ascii="Calibri" w:eastAsia="Times New Roman" w:hAnsi="Calibri" w:cs="Times New Roman"/>
          <w:b/>
          <w:color w:val="FF0000"/>
          <w:sz w:val="24"/>
          <w:szCs w:val="20"/>
          <w:lang w:val="en-US" w:eastAsia="en-US"/>
        </w:rPr>
      </w:pPr>
      <w:r w:rsidRPr="00153266">
        <w:rPr>
          <w:rFonts w:ascii="Calibri" w:eastAsia="Times New Roman" w:hAnsi="Calibri" w:cs="Times New Roman"/>
          <w:sz w:val="24"/>
          <w:szCs w:val="20"/>
          <w:lang w:val="en-US" w:eastAsia="en-US"/>
        </w:rPr>
        <w:t xml:space="preserve">In 1956, </w:t>
      </w:r>
      <w:proofErr w:type="spellStart"/>
      <w:r w:rsidRPr="00153266">
        <w:rPr>
          <w:rFonts w:ascii="Calibri" w:eastAsia="Times New Roman" w:hAnsi="Calibri" w:cs="Times New Roman"/>
          <w:sz w:val="24"/>
          <w:szCs w:val="20"/>
          <w:lang w:val="en-US" w:eastAsia="en-US"/>
        </w:rPr>
        <w:t>Kennco</w:t>
      </w:r>
      <w:proofErr w:type="spellEnd"/>
      <w:r w:rsidRPr="00153266">
        <w:rPr>
          <w:rFonts w:ascii="Calibri" w:eastAsia="Times New Roman" w:hAnsi="Calibri" w:cs="Times New Roman"/>
          <w:sz w:val="24"/>
          <w:szCs w:val="20"/>
          <w:lang w:val="en-US" w:eastAsia="en-US"/>
        </w:rPr>
        <w:t xml:space="preserve"> Exploration (Canada) Ltd. conducted the most extensive evaluation of the copper occurrences to date that included diamond drilling and mapping (Brummer, 1957). The company also conducted pioneering geochemical surveys (Brummer, 1960). </w:t>
      </w:r>
      <w:proofErr w:type="spellStart"/>
      <w:r w:rsidRPr="00153266">
        <w:rPr>
          <w:rFonts w:ascii="Calibri" w:eastAsia="Times New Roman" w:hAnsi="Calibri" w:cs="Times New Roman"/>
          <w:sz w:val="24"/>
          <w:szCs w:val="20"/>
          <w:lang w:val="en-US" w:eastAsia="en-US"/>
        </w:rPr>
        <w:t>Kennco</w:t>
      </w:r>
      <w:proofErr w:type="spellEnd"/>
      <w:r w:rsidRPr="00153266">
        <w:rPr>
          <w:rFonts w:ascii="Calibri" w:eastAsia="Times New Roman" w:hAnsi="Calibri" w:cs="Times New Roman"/>
          <w:sz w:val="24"/>
          <w:szCs w:val="20"/>
          <w:lang w:val="en-US" w:eastAsia="en-US"/>
        </w:rPr>
        <w:t xml:space="preserve"> subsequently dropped their concession rights. </w:t>
      </w:r>
    </w:p>
    <w:p w14:paraId="1DB44BDF" w14:textId="77777777" w:rsidR="00153266" w:rsidRPr="00153266" w:rsidRDefault="00153266" w:rsidP="00153266">
      <w:pPr>
        <w:widowControl/>
        <w:autoSpaceDE/>
        <w:autoSpaceDN/>
        <w:adjustRightInd/>
        <w:ind w:left="144" w:right="1164"/>
        <w:jc w:val="both"/>
        <w:rPr>
          <w:rFonts w:ascii="Calibri" w:eastAsia="Times New Roman" w:hAnsi="Calibri" w:cs="Times New Roman"/>
          <w:color w:val="FF0000"/>
          <w:sz w:val="24"/>
          <w:szCs w:val="20"/>
          <w:lang w:val="en-US" w:eastAsia="en-US"/>
        </w:rPr>
      </w:pPr>
    </w:p>
    <w:p w14:paraId="28CF794A"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From</w:t>
      </w:r>
      <w:r w:rsidRPr="00153266">
        <w:rPr>
          <w:rFonts w:ascii="Calibri" w:eastAsia="Times New Roman" w:hAnsi="Calibri" w:cs="Times New Roman"/>
          <w:color w:val="FF0000"/>
          <w:sz w:val="24"/>
          <w:szCs w:val="20"/>
          <w:lang w:val="en-US" w:eastAsia="en-US"/>
        </w:rPr>
        <w:t xml:space="preserve"> </w:t>
      </w:r>
      <w:r w:rsidRPr="00153266">
        <w:rPr>
          <w:rFonts w:ascii="Calibri" w:eastAsia="Times New Roman" w:hAnsi="Calibri" w:cs="Times New Roman"/>
          <w:sz w:val="24"/>
          <w:szCs w:val="20"/>
          <w:lang w:val="en-US" w:eastAsia="en-US"/>
        </w:rPr>
        <w:t>1968 to 1972, British Newfoundland Exploration Ltd. (“BRINEX”) conducted detailed mapping, soil geochemistry, and various geophysical surveys (IP) over a large portion of the Adeline Island Formation (Gandhi, 1970; 1972a; 1972b; and Gandhi and Murthy, 1972). BRINEX completed one phase of diamond drilling which targeted soil geochemical and chargeability anomalies but had disappointing results.</w:t>
      </w:r>
    </w:p>
    <w:p w14:paraId="3A6CC61A"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79F8B274"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Noranda Exploration Company Ltd. (‘Noranda”) conducted geological, geochemical (biogeochemical and lake sediments), and ground geophysical surveys over some of the more significant copper occurrences (Graves, 1992; Huard and </w:t>
      </w:r>
      <w:proofErr w:type="spellStart"/>
      <w:r w:rsidRPr="00153266">
        <w:rPr>
          <w:rFonts w:ascii="Calibri" w:eastAsia="Times New Roman" w:hAnsi="Calibri" w:cs="Times New Roman"/>
          <w:sz w:val="24"/>
          <w:szCs w:val="20"/>
          <w:lang w:val="en-US" w:eastAsia="en-US"/>
        </w:rPr>
        <w:t>Ascough</w:t>
      </w:r>
      <w:proofErr w:type="spellEnd"/>
      <w:r w:rsidRPr="00153266">
        <w:rPr>
          <w:rFonts w:ascii="Calibri" w:eastAsia="Times New Roman" w:hAnsi="Calibri" w:cs="Times New Roman"/>
          <w:sz w:val="24"/>
          <w:szCs w:val="20"/>
          <w:lang w:val="en-US" w:eastAsia="en-US"/>
        </w:rPr>
        <w:t xml:space="preserve">, 1992). Detailed prospecting over soil geochemical anomalies was conducted as follow-up (Huard and </w:t>
      </w:r>
      <w:proofErr w:type="spellStart"/>
      <w:r w:rsidRPr="00153266">
        <w:rPr>
          <w:rFonts w:ascii="Calibri" w:eastAsia="Times New Roman" w:hAnsi="Calibri" w:cs="Times New Roman"/>
          <w:sz w:val="24"/>
          <w:szCs w:val="20"/>
          <w:lang w:val="en-US" w:eastAsia="en-US"/>
        </w:rPr>
        <w:t>Ascough</w:t>
      </w:r>
      <w:proofErr w:type="spellEnd"/>
      <w:r w:rsidRPr="00153266">
        <w:rPr>
          <w:rFonts w:ascii="Calibri" w:eastAsia="Times New Roman" w:hAnsi="Calibri" w:cs="Times New Roman"/>
          <w:sz w:val="24"/>
          <w:szCs w:val="20"/>
          <w:lang w:val="en-US" w:eastAsia="en-US"/>
        </w:rPr>
        <w:t xml:space="preserve">, 1992). An airborne </w:t>
      </w:r>
      <w:proofErr w:type="spellStart"/>
      <w:r w:rsidRPr="00153266">
        <w:rPr>
          <w:rFonts w:ascii="Calibri" w:eastAsia="Times New Roman" w:hAnsi="Calibri" w:cs="Times New Roman"/>
          <w:sz w:val="24"/>
          <w:szCs w:val="20"/>
          <w:lang w:val="en-US" w:eastAsia="en-US"/>
        </w:rPr>
        <w:t>Dighem</w:t>
      </w:r>
      <w:r w:rsidRPr="00153266">
        <w:rPr>
          <w:rFonts w:ascii="Calibri" w:eastAsia="Times New Roman" w:hAnsi="Calibri" w:cs="Times New Roman"/>
          <w:sz w:val="24"/>
          <w:szCs w:val="20"/>
          <w:vertAlign w:val="superscript"/>
          <w:lang w:val="en-US" w:eastAsia="en-US"/>
        </w:rPr>
        <w:t>V</w:t>
      </w:r>
      <w:proofErr w:type="spellEnd"/>
      <w:r w:rsidRPr="00153266">
        <w:rPr>
          <w:rFonts w:ascii="Calibri" w:eastAsia="Times New Roman" w:hAnsi="Calibri" w:cs="Times New Roman"/>
          <w:sz w:val="24"/>
          <w:szCs w:val="20"/>
          <w:lang w:val="en-US" w:eastAsia="en-US"/>
        </w:rPr>
        <w:t xml:space="preserve">, EM and magnetometer survey </w:t>
      </w:r>
      <w:proofErr w:type="gramStart"/>
      <w:r w:rsidRPr="00153266">
        <w:rPr>
          <w:rFonts w:ascii="Calibri" w:eastAsia="Times New Roman" w:hAnsi="Calibri" w:cs="Times New Roman"/>
          <w:sz w:val="24"/>
          <w:szCs w:val="20"/>
          <w:lang w:val="en-US" w:eastAsia="en-US"/>
        </w:rPr>
        <w:t>was</w:t>
      </w:r>
      <w:proofErr w:type="gramEnd"/>
      <w:r w:rsidRPr="00153266">
        <w:rPr>
          <w:rFonts w:ascii="Calibri" w:eastAsia="Times New Roman" w:hAnsi="Calibri" w:cs="Times New Roman"/>
          <w:sz w:val="24"/>
          <w:szCs w:val="20"/>
          <w:lang w:val="en-US" w:eastAsia="en-US"/>
        </w:rPr>
        <w:t xml:space="preserve"> also conducted (McConnell, 1993). </w:t>
      </w:r>
    </w:p>
    <w:p w14:paraId="54E2F244"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21750AB9"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In 2005, Silver Spruce Resources Inc. (‘Silver Spruce”) staked a considerable portion of the project area and conducted reconnaissance examination of some copper occurrences, but switched exploration interest to uranium (</w:t>
      </w:r>
      <w:proofErr w:type="spellStart"/>
      <w:r w:rsidRPr="00153266">
        <w:rPr>
          <w:rFonts w:ascii="Calibri" w:eastAsia="Times New Roman" w:hAnsi="Calibri" w:cs="Times New Roman"/>
          <w:sz w:val="24"/>
          <w:szCs w:val="20"/>
          <w:lang w:val="en-US" w:eastAsia="en-US"/>
        </w:rPr>
        <w:t>Dimmell</w:t>
      </w:r>
      <w:proofErr w:type="spellEnd"/>
      <w:r w:rsidRPr="00153266">
        <w:rPr>
          <w:rFonts w:ascii="Calibri" w:eastAsia="Times New Roman" w:hAnsi="Calibri" w:cs="Times New Roman"/>
          <w:sz w:val="24"/>
          <w:szCs w:val="20"/>
          <w:lang w:val="en-US" w:eastAsia="en-US"/>
        </w:rPr>
        <w:t>, 2007). Subsequently, Silver Spruce contracted Fugro Airborne Surveys in 2006 to provide a helicopter-borne radiometric and magnetic survey over the region.</w:t>
      </w:r>
    </w:p>
    <w:p w14:paraId="222923E4"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1F529CA6"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Playfair Mining Ltd. (“Playfair") staked 673 claims covering 16,825 hectares of the Property area in 2011, based on a report by Christopher (2011). During 2012, Playfair digitally compiled data from previous exploration programs, commissioned a satellite image study of the region and </w:t>
      </w:r>
      <w:r w:rsidRPr="00153266">
        <w:rPr>
          <w:rFonts w:ascii="Calibri" w:eastAsia="Times New Roman" w:hAnsi="Calibri" w:cs="Times New Roman"/>
          <w:sz w:val="24"/>
          <w:szCs w:val="20"/>
          <w:lang w:val="en-US" w:eastAsia="en-US"/>
        </w:rPr>
        <w:lastRenderedPageBreak/>
        <w:t xml:space="preserve">drilled </w:t>
      </w:r>
      <w:bookmarkStart w:id="34" w:name="_Hlk70858221"/>
      <w:r w:rsidRPr="00153266">
        <w:rPr>
          <w:rFonts w:ascii="Calibri" w:eastAsia="Times New Roman" w:hAnsi="Calibri" w:cs="Times New Roman"/>
          <w:sz w:val="24"/>
          <w:szCs w:val="20"/>
          <w:lang w:val="en-US" w:eastAsia="en-US"/>
        </w:rPr>
        <w:t xml:space="preserve">24 drill holes with a cumulative depth of 4354.7 </w:t>
      </w:r>
      <w:bookmarkEnd w:id="34"/>
      <w:r w:rsidRPr="00153266">
        <w:rPr>
          <w:rFonts w:ascii="Calibri" w:eastAsia="Times New Roman" w:hAnsi="Calibri" w:cs="Times New Roman"/>
          <w:sz w:val="24"/>
          <w:szCs w:val="20"/>
          <w:lang w:val="en-US" w:eastAsia="en-US"/>
        </w:rPr>
        <w:t xml:space="preserve">m along strike extensions of the Adeline Island Formation through the Seal Lake Group (Moore, 2012). </w:t>
      </w:r>
    </w:p>
    <w:p w14:paraId="3F505656"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37101B2A" w14:textId="372271A0"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r w:rsidRPr="00153266">
        <w:rPr>
          <w:rFonts w:ascii="Calibri" w:eastAsia="Times New Roman" w:hAnsi="Calibri" w:cs="Times New Roman"/>
          <w:sz w:val="24"/>
          <w:szCs w:val="20"/>
          <w:lang w:val="en-US" w:eastAsia="en-US"/>
        </w:rPr>
        <w:t xml:space="preserve">The most recent work on the Property was conducted in 2015 by Altius (Seymour et al., 2016) on their land package of 1021 claims comprising 25,525 hectares. The Altius work program included a technical compilation, prospecting, rock and soil sampling, field documentation of historical mineral occurrences, a review of historical geophysical surveys, and the re-examination and sampling of drill core from previous exploration programs. </w:t>
      </w:r>
    </w:p>
    <w:p w14:paraId="7FEED9DE" w14:textId="77777777" w:rsidR="00153266" w:rsidRPr="00153266" w:rsidRDefault="00153266" w:rsidP="00153266">
      <w:pPr>
        <w:widowControl/>
        <w:autoSpaceDE/>
        <w:autoSpaceDN/>
        <w:adjustRightInd/>
        <w:ind w:left="144" w:right="1164"/>
        <w:jc w:val="both"/>
        <w:rPr>
          <w:rFonts w:ascii="Calibri" w:eastAsia="Times New Roman" w:hAnsi="Calibri" w:cs="Times New Roman"/>
          <w:sz w:val="24"/>
          <w:szCs w:val="20"/>
          <w:lang w:val="en-US" w:eastAsia="en-US"/>
        </w:rPr>
      </w:pPr>
    </w:p>
    <w:p w14:paraId="0929220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caps/>
          <w:sz w:val="24"/>
          <w:szCs w:val="24"/>
          <w:lang w:val="en-US" w:eastAsia="en-US"/>
        </w:rPr>
      </w:pPr>
    </w:p>
    <w:p w14:paraId="0A0AE3C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5.0 GEOLOGICAL SETTING AND MINERALIZATION</w:t>
      </w:r>
    </w:p>
    <w:p w14:paraId="5ED0E11E"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0E5932F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5.1 REGIONAL GEOLOGY</w:t>
      </w:r>
    </w:p>
    <w:p w14:paraId="0F04D2E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lang w:val="en-US" w:eastAsia="en-US"/>
        </w:rPr>
        <w:t xml:space="preserve">Most of Labrador constitutes the northeastern edge of the Precambrian Canadian Shield and consists predominantly of intrusive and high-grade metamorphic rocks </w:t>
      </w:r>
      <w:r w:rsidRPr="00153266">
        <w:rPr>
          <w:rFonts w:asciiTheme="minorHAnsi" w:eastAsiaTheme="minorHAnsi" w:hAnsiTheme="minorHAnsi" w:cstheme="minorHAnsi"/>
          <w:sz w:val="24"/>
          <w:szCs w:val="24"/>
          <w:lang w:val="en-US" w:eastAsia="en-US"/>
        </w:rPr>
        <w:t>which record the geological evolution of the region from about 3.85 Ga to 0.6 Ga (Wardle and Wilton, 1995)</w:t>
      </w:r>
      <w:r w:rsidRPr="00153266">
        <w:rPr>
          <w:rFonts w:asciiTheme="minorHAnsi" w:eastAsiaTheme="minorHAnsi" w:hAnsiTheme="minorHAnsi" w:cstheme="minorHAnsi"/>
          <w:sz w:val="24"/>
          <w:lang w:val="en-US" w:eastAsia="en-US"/>
        </w:rPr>
        <w:t>.  The region contains five main components (Figures 3a and 3b); 1) the Archean Nain Province to the northeast, 2) the Archean Superior Province to the west, 3) the ca. 2.1-2.8 Ga Churchill Province,</w:t>
      </w:r>
      <w:r w:rsidRPr="00153266" w:rsidDel="00C205BE">
        <w:rPr>
          <w:rFonts w:asciiTheme="minorHAnsi" w:eastAsiaTheme="minorHAnsi" w:hAnsiTheme="minorHAnsi" w:cstheme="minorHAnsi"/>
          <w:sz w:val="24"/>
          <w:lang w:val="en-US" w:eastAsia="en-US"/>
        </w:rPr>
        <w:t xml:space="preserve"> </w:t>
      </w:r>
      <w:r w:rsidRPr="00153266">
        <w:rPr>
          <w:rFonts w:asciiTheme="minorHAnsi" w:eastAsiaTheme="minorHAnsi" w:hAnsiTheme="minorHAnsi" w:cstheme="minorHAnsi"/>
          <w:sz w:val="24"/>
          <w:lang w:val="en-US" w:eastAsia="en-US"/>
        </w:rPr>
        <w:t xml:space="preserve">sandwiched between the Nain and Superior province in north-central to central Labrador, 4) the </w:t>
      </w:r>
      <w:proofErr w:type="spellStart"/>
      <w:r w:rsidRPr="00153266">
        <w:rPr>
          <w:rFonts w:asciiTheme="minorHAnsi" w:eastAsiaTheme="minorHAnsi" w:hAnsiTheme="minorHAnsi" w:cstheme="minorHAnsi"/>
          <w:sz w:val="24"/>
          <w:lang w:val="en-US" w:eastAsia="en-US"/>
        </w:rPr>
        <w:t>Makkovik</w:t>
      </w:r>
      <w:proofErr w:type="spellEnd"/>
      <w:r w:rsidRPr="00153266">
        <w:rPr>
          <w:rFonts w:asciiTheme="minorHAnsi" w:eastAsiaTheme="minorHAnsi" w:hAnsiTheme="minorHAnsi" w:cstheme="minorHAnsi"/>
          <w:sz w:val="24"/>
          <w:lang w:val="en-US" w:eastAsia="en-US"/>
        </w:rPr>
        <w:t xml:space="preserve"> Province (ca. 2.0-1.8 Ga) along the southern margin of the Nain Province, and 5) the Grenville Province (ca. 1.7-1.0 Ga) all along the southern margin of Labrador (</w:t>
      </w:r>
      <w:r w:rsidRPr="00153266">
        <w:rPr>
          <w:rFonts w:asciiTheme="minorHAnsi" w:eastAsiaTheme="minorHAnsi" w:hAnsiTheme="minorHAnsi" w:cstheme="minorHAnsi"/>
          <w:sz w:val="24"/>
          <w:szCs w:val="24"/>
          <w:lang w:val="en-US" w:eastAsia="en-US"/>
        </w:rPr>
        <w:t>Wardle and Wilton, 1995</w:t>
      </w:r>
      <w:r w:rsidRPr="00153266">
        <w:rPr>
          <w:rFonts w:asciiTheme="minorHAnsi" w:eastAsiaTheme="minorHAnsi" w:hAnsiTheme="minorHAnsi" w:cstheme="minorHAnsi"/>
          <w:sz w:val="24"/>
          <w:lang w:val="en-US" w:eastAsia="en-US"/>
        </w:rPr>
        <w:t>).</w:t>
      </w:r>
    </w:p>
    <w:p w14:paraId="471B78A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3EF7F6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Rocks of the Grenville Province are separated from the other structural provinces by the Grenville Front, an east-west-trending </w:t>
      </w:r>
      <w:proofErr w:type="spellStart"/>
      <w:r w:rsidRPr="00153266">
        <w:rPr>
          <w:rFonts w:asciiTheme="minorHAnsi" w:eastAsiaTheme="minorHAnsi" w:hAnsiTheme="minorHAnsi" w:cstheme="minorHAnsi"/>
          <w:sz w:val="24"/>
          <w:szCs w:val="24"/>
          <w:lang w:val="en-US" w:eastAsia="en-US"/>
        </w:rPr>
        <w:t>allocthonous</w:t>
      </w:r>
      <w:proofErr w:type="spellEnd"/>
      <w:r w:rsidRPr="00153266">
        <w:rPr>
          <w:rFonts w:asciiTheme="minorHAnsi" w:eastAsiaTheme="minorHAnsi" w:hAnsiTheme="minorHAnsi" w:cstheme="minorHAnsi"/>
          <w:sz w:val="24"/>
          <w:szCs w:val="24"/>
          <w:lang w:val="en-US" w:eastAsia="en-US"/>
        </w:rPr>
        <w:t xml:space="preserve"> zone that truncated and tectonically reworked rocks located in the pre-</w:t>
      </w:r>
      <w:proofErr w:type="spellStart"/>
      <w:r w:rsidRPr="00153266">
        <w:rPr>
          <w:rFonts w:asciiTheme="minorHAnsi" w:eastAsiaTheme="minorHAnsi" w:hAnsiTheme="minorHAnsi" w:cstheme="minorHAnsi"/>
          <w:sz w:val="24"/>
          <w:szCs w:val="24"/>
          <w:lang w:val="en-US" w:eastAsia="en-US"/>
        </w:rPr>
        <w:t>Grenvillian</w:t>
      </w:r>
      <w:proofErr w:type="spellEnd"/>
      <w:r w:rsidRPr="00153266">
        <w:rPr>
          <w:rFonts w:asciiTheme="minorHAnsi" w:eastAsiaTheme="minorHAnsi" w:hAnsiTheme="minorHAnsi" w:cstheme="minorHAnsi"/>
          <w:sz w:val="24"/>
          <w:szCs w:val="24"/>
          <w:lang w:val="en-US" w:eastAsia="en-US"/>
        </w:rPr>
        <w:t xml:space="preserve"> Provinces during the Grenville Orogeny between 1.3 Ga and 1.0 Ga. The Grenville Front has strong regional magnetic and gravity geophysical expressions and marks the break between typically higher-grade metamorphism on the Grenville Province side of the Front.</w:t>
      </w:r>
    </w:p>
    <w:p w14:paraId="15F632E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10BCE7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lang w:val="en-US" w:eastAsia="en-US"/>
        </w:rPr>
        <w:t>The Seal Lake Group represents a Mesoproterozoic supracrustal successor sequence that formed on the southern edges of the Nain-</w:t>
      </w:r>
      <w:proofErr w:type="spellStart"/>
      <w:r w:rsidRPr="00153266">
        <w:rPr>
          <w:rFonts w:asciiTheme="minorHAnsi" w:eastAsiaTheme="minorHAnsi" w:hAnsiTheme="minorHAnsi" w:cstheme="minorHAnsi"/>
          <w:sz w:val="24"/>
          <w:lang w:val="en-US" w:eastAsia="en-US"/>
        </w:rPr>
        <w:t>Makkovik</w:t>
      </w:r>
      <w:proofErr w:type="spellEnd"/>
      <w:r w:rsidRPr="00153266">
        <w:rPr>
          <w:rFonts w:asciiTheme="minorHAnsi" w:eastAsiaTheme="minorHAnsi" w:hAnsiTheme="minorHAnsi" w:cstheme="minorHAnsi"/>
          <w:sz w:val="24"/>
          <w:lang w:val="en-US" w:eastAsia="en-US"/>
        </w:rPr>
        <w:t xml:space="preserve"> craton. Rocks within the Seal Lake </w:t>
      </w:r>
      <w:bookmarkStart w:id="35" w:name="_Hlk70858547"/>
      <w:r w:rsidRPr="00153266">
        <w:rPr>
          <w:rFonts w:asciiTheme="minorHAnsi" w:eastAsiaTheme="minorHAnsi" w:hAnsiTheme="minorHAnsi" w:cstheme="minorHAnsi"/>
          <w:sz w:val="24"/>
          <w:lang w:val="en-US" w:eastAsia="en-US"/>
        </w:rPr>
        <w:t xml:space="preserve">Group </w:t>
      </w:r>
      <w:r w:rsidRPr="00153266">
        <w:rPr>
          <w:rFonts w:asciiTheme="minorHAnsi" w:eastAsiaTheme="minorHAnsi" w:hAnsiTheme="minorHAnsi" w:cstheme="minorHAnsi"/>
          <w:sz w:val="24"/>
          <w:szCs w:val="24"/>
          <w:lang w:val="en-US" w:eastAsia="en-US"/>
        </w:rPr>
        <w:t xml:space="preserve">constitute shallow-marine to </w:t>
      </w:r>
      <w:proofErr w:type="gramStart"/>
      <w:r w:rsidRPr="00153266">
        <w:rPr>
          <w:rFonts w:asciiTheme="minorHAnsi" w:eastAsiaTheme="minorHAnsi" w:hAnsiTheme="minorHAnsi" w:cstheme="minorHAnsi"/>
          <w:sz w:val="24"/>
          <w:szCs w:val="24"/>
          <w:lang w:val="en-US" w:eastAsia="en-US"/>
        </w:rPr>
        <w:t>continentally-derived</w:t>
      </w:r>
      <w:proofErr w:type="gramEnd"/>
      <w:r w:rsidRPr="00153266">
        <w:rPr>
          <w:rFonts w:asciiTheme="minorHAnsi" w:eastAsiaTheme="minorHAnsi" w:hAnsiTheme="minorHAnsi" w:cstheme="minorHAnsi"/>
          <w:sz w:val="24"/>
          <w:szCs w:val="24"/>
          <w:lang w:val="en-US" w:eastAsia="en-US"/>
        </w:rPr>
        <w:t xml:space="preserve"> sedimentary units and flood basalts along with voluminous diabase sills, which </w:t>
      </w:r>
      <w:r w:rsidRPr="00153266">
        <w:rPr>
          <w:rFonts w:asciiTheme="minorHAnsi" w:eastAsiaTheme="minorHAnsi" w:hAnsiTheme="minorHAnsi" w:cstheme="minorHAnsi"/>
          <w:sz w:val="24"/>
          <w:lang w:val="en-US" w:eastAsia="en-US"/>
        </w:rPr>
        <w:t xml:space="preserve">were subsequently deformed during the ca. 1000-Ma Grenville Orogeny. </w:t>
      </w:r>
      <w:bookmarkEnd w:id="35"/>
      <w:r w:rsidRPr="00153266">
        <w:rPr>
          <w:rFonts w:asciiTheme="minorHAnsi" w:eastAsiaTheme="minorHAnsi" w:hAnsiTheme="minorHAnsi" w:cstheme="minorHAnsi"/>
          <w:sz w:val="24"/>
          <w:lang w:val="en-US" w:eastAsia="en-US"/>
        </w:rPr>
        <w:t xml:space="preserve">The age of the Seal Lake Group has been constrained by zircon and baddeleyite age dates from sills at between 1224-1250 Ma (Romer et al., </w:t>
      </w:r>
      <w:r w:rsidRPr="00153266">
        <w:rPr>
          <w:rFonts w:asciiTheme="minorHAnsi" w:eastAsiaTheme="minorHAnsi" w:hAnsiTheme="minorHAnsi" w:cstheme="minorHAnsi"/>
          <w:sz w:val="24"/>
          <w:szCs w:val="24"/>
          <w:lang w:val="en-US" w:eastAsia="en-US"/>
        </w:rPr>
        <w:t xml:space="preserve">1995). </w:t>
      </w:r>
      <w:proofErr w:type="spellStart"/>
      <w:r w:rsidRPr="00153266">
        <w:rPr>
          <w:rFonts w:asciiTheme="minorHAnsi" w:eastAsia="Calibri" w:hAnsiTheme="minorHAnsi" w:cstheme="minorHAnsi"/>
          <w:sz w:val="24"/>
          <w:szCs w:val="24"/>
          <w:lang w:val="en-US" w:eastAsia="es-MX"/>
        </w:rPr>
        <w:t>Perrelló</w:t>
      </w:r>
      <w:proofErr w:type="spellEnd"/>
      <w:r w:rsidRPr="00153266">
        <w:rPr>
          <w:rFonts w:asciiTheme="minorHAnsi" w:eastAsia="Calibri" w:hAnsiTheme="minorHAnsi" w:cstheme="minorHAnsi"/>
          <w:sz w:val="24"/>
          <w:szCs w:val="24"/>
          <w:lang w:val="en-US" w:eastAsia="es-MX"/>
        </w:rPr>
        <w:t xml:space="preserve"> et al. (2017) dated molybdenite from the Seal Main Showing at </w:t>
      </w:r>
      <w:r w:rsidRPr="00153266">
        <w:rPr>
          <w:rFonts w:asciiTheme="minorHAnsi" w:eastAsiaTheme="minorHAnsi" w:hAnsiTheme="minorHAnsi" w:cstheme="minorHAnsi"/>
          <w:sz w:val="24"/>
          <w:szCs w:val="24"/>
          <w:lang w:val="en-US" w:eastAsia="en-US"/>
        </w:rPr>
        <w:t>1084</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5.1 Ma. Wilton and Selby (2017) likewise Re-</w:t>
      </w:r>
      <w:proofErr w:type="spellStart"/>
      <w:r w:rsidRPr="00153266">
        <w:rPr>
          <w:rFonts w:asciiTheme="minorHAnsi" w:eastAsiaTheme="minorHAnsi" w:hAnsiTheme="minorHAnsi" w:cstheme="minorHAnsi"/>
          <w:sz w:val="24"/>
          <w:szCs w:val="24"/>
          <w:lang w:val="en-US" w:eastAsia="en-US"/>
        </w:rPr>
        <w:t>Os</w:t>
      </w:r>
      <w:proofErr w:type="spellEnd"/>
      <w:r w:rsidRPr="00153266">
        <w:rPr>
          <w:rFonts w:asciiTheme="minorHAnsi" w:eastAsiaTheme="minorHAnsi" w:hAnsiTheme="minorHAnsi" w:cstheme="minorHAnsi"/>
          <w:sz w:val="24"/>
          <w:szCs w:val="24"/>
          <w:lang w:val="en-US" w:eastAsia="en-US"/>
        </w:rPr>
        <w:t xml:space="preserve"> dated molybdenite from the Whisky Lake Showing at 1069.6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 4.7 Ma and 1064.6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 5.1 Ma.</w:t>
      </w:r>
      <w:r w:rsidRPr="00153266">
        <w:rPr>
          <w:rFonts w:asciiTheme="minorHAnsi" w:eastAsia="Calibri" w:hAnsiTheme="minorHAnsi" w:cstheme="minorHAnsi"/>
          <w:sz w:val="24"/>
          <w:szCs w:val="24"/>
          <w:lang w:val="en-US" w:eastAsia="es-MX"/>
        </w:rPr>
        <w:t xml:space="preserve"> </w:t>
      </w:r>
    </w:p>
    <w:p w14:paraId="5CFD73F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255B8E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5.2 LOCAL GEOLOGY</w:t>
      </w:r>
    </w:p>
    <w:p w14:paraId="2DA3FD7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73EAB6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This section satisfies requirements under paragraph (</w:t>
      </w:r>
      <w:proofErr w:type="spellStart"/>
      <w:r w:rsidRPr="00153266">
        <w:rPr>
          <w:rFonts w:asciiTheme="minorHAnsi" w:eastAsiaTheme="minorHAnsi" w:hAnsiTheme="minorHAnsi" w:cstheme="minorHAnsi"/>
          <w:sz w:val="24"/>
          <w:szCs w:val="24"/>
          <w:lang w:val="en-US" w:eastAsia="en-US"/>
        </w:rPr>
        <w:t>i</w:t>
      </w:r>
      <w:proofErr w:type="spellEnd"/>
      <w:r w:rsidRPr="00153266">
        <w:rPr>
          <w:rFonts w:asciiTheme="minorHAnsi" w:eastAsiaTheme="minorHAnsi" w:hAnsiTheme="minorHAnsi" w:cstheme="minorHAnsi"/>
          <w:sz w:val="24"/>
          <w:szCs w:val="24"/>
          <w:lang w:val="en-US" w:eastAsia="en-US"/>
        </w:rPr>
        <w:t xml:space="preserve">)(2) Appendix of the European Securities and Markets Authority Mining outline for Competent Persons Reports as relates to details of the property to which the rights of exploration and extraction apply. </w:t>
      </w:r>
    </w:p>
    <w:p w14:paraId="0A414BC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60408B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author has not included more details as to the nature and extent of the rights of exploration and extraction and the permits/planning permissions as in sections 3.1 to 3.4 paragraphs (</w:t>
      </w:r>
      <w:proofErr w:type="spellStart"/>
      <w:r w:rsidRPr="00153266">
        <w:rPr>
          <w:rFonts w:asciiTheme="minorHAnsi" w:eastAsiaTheme="minorHAnsi" w:hAnsiTheme="minorHAnsi" w:cstheme="minorHAnsi"/>
          <w:sz w:val="24"/>
          <w:szCs w:val="24"/>
          <w:lang w:val="en-US" w:eastAsia="en-US"/>
        </w:rPr>
        <w:t>i</w:t>
      </w:r>
      <w:proofErr w:type="spellEnd"/>
      <w:r w:rsidRPr="00153266">
        <w:rPr>
          <w:rFonts w:asciiTheme="minorHAnsi" w:eastAsiaTheme="minorHAnsi" w:hAnsiTheme="minorHAnsi" w:cstheme="minorHAnsi"/>
          <w:sz w:val="24"/>
          <w:szCs w:val="24"/>
          <w:lang w:val="en-US" w:eastAsia="en-US"/>
        </w:rPr>
        <w:t>)1 and  (</w:t>
      </w:r>
      <w:proofErr w:type="spellStart"/>
      <w:r w:rsidRPr="00153266">
        <w:rPr>
          <w:rFonts w:asciiTheme="minorHAnsi" w:eastAsiaTheme="minorHAnsi" w:hAnsiTheme="minorHAnsi" w:cstheme="minorHAnsi"/>
          <w:sz w:val="24"/>
          <w:szCs w:val="24"/>
          <w:lang w:val="en-US" w:eastAsia="en-US"/>
        </w:rPr>
        <w:t>i</w:t>
      </w:r>
      <w:proofErr w:type="spellEnd"/>
      <w:r w:rsidRPr="00153266">
        <w:rPr>
          <w:rFonts w:asciiTheme="minorHAnsi" w:eastAsiaTheme="minorHAnsi" w:hAnsiTheme="minorHAnsi" w:cstheme="minorHAnsi"/>
          <w:sz w:val="24"/>
          <w:szCs w:val="24"/>
          <w:lang w:val="en-US" w:eastAsia="en-US"/>
        </w:rPr>
        <w:t xml:space="preserve">)(2) Appendix of the European Securities and Markets Authority Mining outline for Competent Persons Reports because the licenses in some of the areas of the Property are in an </w:t>
      </w:r>
      <w:proofErr w:type="spellStart"/>
      <w:r w:rsidRPr="00153266">
        <w:rPr>
          <w:rFonts w:asciiTheme="minorHAnsi" w:eastAsiaTheme="minorHAnsi" w:hAnsiTheme="minorHAnsi" w:cstheme="minorHAnsi"/>
          <w:sz w:val="24"/>
          <w:szCs w:val="24"/>
          <w:lang w:val="en-US" w:eastAsia="en-US"/>
        </w:rPr>
        <w:t>an</w:t>
      </w:r>
      <w:proofErr w:type="spellEnd"/>
      <w:r w:rsidRPr="00153266">
        <w:rPr>
          <w:rFonts w:asciiTheme="minorHAnsi" w:eastAsiaTheme="minorHAnsi" w:hAnsiTheme="minorHAnsi" w:cstheme="minorHAnsi"/>
          <w:sz w:val="24"/>
          <w:szCs w:val="24"/>
          <w:lang w:val="en-US" w:eastAsia="en-US"/>
        </w:rPr>
        <w:t xml:space="preserve"> early stage. </w:t>
      </w:r>
    </w:p>
    <w:p w14:paraId="63CE8FD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67142F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Property is entirely underlain by the Seal Lake Group (Robinson, 1953; Brummer and Mann, 1961;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1981) which comprises a Mesoproterozoic volcano-sedimentary sequence covering an area of approximately 10,000 km</w:t>
      </w:r>
      <w:r w:rsidRPr="00153266">
        <w:rPr>
          <w:rFonts w:asciiTheme="minorHAnsi" w:eastAsiaTheme="minorHAnsi" w:hAnsiTheme="minorHAnsi" w:cstheme="minorHAnsi"/>
          <w:sz w:val="24"/>
          <w:szCs w:val="24"/>
          <w:vertAlign w:val="superscript"/>
          <w:lang w:val="en-US" w:eastAsia="en-US"/>
        </w:rPr>
        <w:t>2</w:t>
      </w:r>
      <w:r w:rsidRPr="00153266">
        <w:rPr>
          <w:rFonts w:asciiTheme="minorHAnsi" w:eastAsiaTheme="minorHAnsi" w:hAnsiTheme="minorHAnsi" w:cstheme="minorHAnsi"/>
          <w:sz w:val="24"/>
          <w:szCs w:val="24"/>
          <w:lang w:val="en-US" w:eastAsia="en-US"/>
        </w:rPr>
        <w:t xml:space="preserve"> in central Labrador (Figure 3a). The Seal Lake Group is the youngest of six Proterozoic supracrustal sequences that are collectively known as the Central Mineral Belt ("CMB") (Wilton, 1996). The Seal Lake Group lies near the junction between the Churchill, </w:t>
      </w:r>
      <w:proofErr w:type="gramStart"/>
      <w:r w:rsidRPr="00153266">
        <w:rPr>
          <w:rFonts w:asciiTheme="minorHAnsi" w:eastAsiaTheme="minorHAnsi" w:hAnsiTheme="minorHAnsi" w:cstheme="minorHAnsi"/>
          <w:sz w:val="24"/>
          <w:szCs w:val="24"/>
          <w:lang w:val="en-US" w:eastAsia="en-US"/>
        </w:rPr>
        <w:t>Nain</w:t>
      </w:r>
      <w:proofErr w:type="gramEnd"/>
      <w:r w:rsidRPr="00153266">
        <w:rPr>
          <w:rFonts w:asciiTheme="minorHAnsi" w:eastAsiaTheme="minorHAnsi" w:hAnsiTheme="minorHAnsi" w:cstheme="minorHAnsi"/>
          <w:sz w:val="24"/>
          <w:szCs w:val="24"/>
          <w:lang w:val="en-US" w:eastAsia="en-US"/>
        </w:rPr>
        <w:t xml:space="preserve"> and Grenville geological provinces. The Seal Lake Group unconformably overlies several older terranes, complexes, </w:t>
      </w:r>
      <w:proofErr w:type="gramStart"/>
      <w:r w:rsidRPr="00153266">
        <w:rPr>
          <w:rFonts w:asciiTheme="minorHAnsi" w:eastAsiaTheme="minorHAnsi" w:hAnsiTheme="minorHAnsi" w:cstheme="minorHAnsi"/>
          <w:sz w:val="24"/>
          <w:szCs w:val="24"/>
          <w:lang w:val="en-US" w:eastAsia="en-US"/>
        </w:rPr>
        <w:t>suites</w:t>
      </w:r>
      <w:proofErr w:type="gramEnd"/>
      <w:r w:rsidRPr="00153266">
        <w:rPr>
          <w:rFonts w:asciiTheme="minorHAnsi" w:eastAsiaTheme="minorHAnsi" w:hAnsiTheme="minorHAnsi" w:cstheme="minorHAnsi"/>
          <w:sz w:val="24"/>
          <w:szCs w:val="24"/>
          <w:lang w:val="en-US" w:eastAsia="en-US"/>
        </w:rPr>
        <w:t xml:space="preserve"> and undifferentiated basement rocks ranging from the Archean to the Mesoproterozoic (Wardle et al., 1997). </w:t>
      </w:r>
    </w:p>
    <w:p w14:paraId="42239E8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B84965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Seal Lake Group has been subdivided into six formations (Evans, 1952; Brummer and Mann, 1961) as listed on Table 4. The formations, from youngest to oldest, are the: 1) Upper Red Quartzite Formation, 2) Adeline Island Formation, 3) Salmon Lake Formation, 4) Whisky Lake </w:t>
      </w:r>
    </w:p>
    <w:p w14:paraId="5888CC3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imes New Roman" w:eastAsiaTheme="minorHAnsi" w:hAnsi="Times New Roman" w:cstheme="minorBidi"/>
          <w:noProof/>
          <w:lang w:val="en-US" w:eastAsia="en-US"/>
        </w:rPr>
        <w:lastRenderedPageBreak/>
        <w:drawing>
          <wp:inline distT="0" distB="0" distL="0" distR="0" wp14:anchorId="34219FD3" wp14:editId="08FD27F0">
            <wp:extent cx="5745998" cy="7432964"/>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4768" cy="7444309"/>
                    </a:xfrm>
                    <a:prstGeom prst="rect">
                      <a:avLst/>
                    </a:prstGeom>
                    <a:noFill/>
                    <a:ln>
                      <a:noFill/>
                    </a:ln>
                  </pic:spPr>
                </pic:pic>
              </a:graphicData>
            </a:graphic>
          </wp:inline>
        </w:drawing>
      </w:r>
    </w:p>
    <w:p w14:paraId="130F4BC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3a</w:t>
      </w:r>
      <w:r w:rsidRPr="00153266">
        <w:rPr>
          <w:rFonts w:asciiTheme="minorHAnsi" w:eastAsiaTheme="minorHAnsi" w:hAnsiTheme="minorHAnsi" w:cstheme="minorHAnsi"/>
          <w:sz w:val="24"/>
          <w:szCs w:val="24"/>
          <w:lang w:val="en-US" w:eastAsia="en-US"/>
        </w:rPr>
        <w:t xml:space="preserve">: Geological map of Labrador (after Wardle et al. 1997) and location of Adeline Copper Project. </w:t>
      </w:r>
    </w:p>
    <w:p w14:paraId="4CDBA79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1B8A3C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sidDel="007D1B67">
        <w:rPr>
          <w:rFonts w:asciiTheme="minorHAnsi" w:eastAsiaTheme="minorHAnsi" w:hAnsiTheme="minorHAnsi" w:cstheme="minorHAnsi"/>
          <w:sz w:val="24"/>
          <w:szCs w:val="24"/>
          <w:lang w:val="en-US" w:eastAsia="en-US"/>
        </w:rPr>
        <w:lastRenderedPageBreak/>
        <w:t xml:space="preserve"> </w:t>
      </w:r>
      <w:r w:rsidRPr="00153266">
        <w:rPr>
          <w:rFonts w:ascii="Times New Roman" w:eastAsiaTheme="minorHAnsi" w:hAnsi="Times New Roman" w:cstheme="minorBidi"/>
          <w:noProof/>
          <w:lang w:val="en-US" w:eastAsia="en-US"/>
        </w:rPr>
        <w:drawing>
          <wp:inline distT="0" distB="0" distL="0" distR="0" wp14:anchorId="72F1E432" wp14:editId="44CC5357">
            <wp:extent cx="4694099" cy="6336030"/>
            <wp:effectExtent l="19050" t="19050" r="1143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03438" cy="6348636"/>
                    </a:xfrm>
                    <a:prstGeom prst="rect">
                      <a:avLst/>
                    </a:prstGeom>
                    <a:noFill/>
                    <a:ln w="19050">
                      <a:solidFill>
                        <a:sysClr val="windowText" lastClr="000000"/>
                      </a:solidFill>
                    </a:ln>
                  </pic:spPr>
                </pic:pic>
              </a:graphicData>
            </a:graphic>
          </wp:inline>
        </w:drawing>
      </w:r>
    </w:p>
    <w:p w14:paraId="436F8F9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3b</w:t>
      </w:r>
      <w:r w:rsidRPr="00153266">
        <w:rPr>
          <w:rFonts w:asciiTheme="minorHAnsi" w:eastAsiaTheme="minorHAnsi" w:hAnsiTheme="minorHAnsi" w:cstheme="minorHAnsi"/>
          <w:sz w:val="24"/>
          <w:szCs w:val="24"/>
          <w:lang w:val="en-US" w:eastAsia="en-US"/>
        </w:rPr>
        <w:t>. Legend for the Geological Map of Labrador (after Wardle et al. 1997).</w:t>
      </w:r>
    </w:p>
    <w:p w14:paraId="29E4513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70CC87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Formation, 5) </w:t>
      </w:r>
      <w:proofErr w:type="spellStart"/>
      <w:r w:rsidRPr="00153266">
        <w:rPr>
          <w:rFonts w:asciiTheme="minorHAnsi" w:eastAsiaTheme="minorHAnsi" w:hAnsiTheme="minorHAnsi" w:cstheme="minorHAnsi"/>
          <w:sz w:val="24"/>
          <w:szCs w:val="24"/>
          <w:lang w:val="en-US" w:eastAsia="en-US"/>
        </w:rPr>
        <w:t>Wuschusk</w:t>
      </w:r>
      <w:proofErr w:type="spellEnd"/>
      <w:r w:rsidRPr="00153266">
        <w:rPr>
          <w:rFonts w:asciiTheme="minorHAnsi" w:eastAsiaTheme="minorHAnsi" w:hAnsiTheme="minorHAnsi" w:cstheme="minorHAnsi"/>
          <w:sz w:val="24"/>
          <w:szCs w:val="24"/>
          <w:lang w:val="en-US" w:eastAsia="en-US"/>
        </w:rPr>
        <w:t xml:space="preserve"> Lake Formation and 5) Bessie Lake - </w:t>
      </w:r>
      <w:proofErr w:type="spellStart"/>
      <w:r w:rsidRPr="00153266">
        <w:rPr>
          <w:rFonts w:asciiTheme="minorHAnsi" w:eastAsiaTheme="minorHAnsi" w:hAnsiTheme="minorHAnsi" w:cstheme="minorHAnsi"/>
          <w:sz w:val="24"/>
          <w:szCs w:val="24"/>
          <w:lang w:val="en-US" w:eastAsia="en-US"/>
        </w:rPr>
        <w:t>Majoqua</w:t>
      </w:r>
      <w:proofErr w:type="spellEnd"/>
      <w:r w:rsidRPr="00153266">
        <w:rPr>
          <w:rFonts w:asciiTheme="minorHAnsi" w:eastAsiaTheme="minorHAnsi" w:hAnsiTheme="minorHAnsi" w:cstheme="minorHAnsi"/>
          <w:sz w:val="24"/>
          <w:szCs w:val="24"/>
          <w:lang w:val="en-US" w:eastAsia="en-US"/>
        </w:rPr>
        <w:t xml:space="preserve"> Lake Formation.  The </w:t>
      </w:r>
      <w:proofErr w:type="spellStart"/>
      <w:r w:rsidRPr="00153266">
        <w:rPr>
          <w:rFonts w:asciiTheme="minorHAnsi" w:eastAsiaTheme="minorHAnsi" w:hAnsiTheme="minorHAnsi" w:cstheme="minorHAnsi"/>
          <w:sz w:val="24"/>
          <w:szCs w:val="24"/>
          <w:lang w:val="en-US" w:eastAsia="en-US"/>
        </w:rPr>
        <w:t>Majoqua</w:t>
      </w:r>
      <w:proofErr w:type="spellEnd"/>
      <w:r w:rsidRPr="00153266">
        <w:rPr>
          <w:rFonts w:asciiTheme="minorHAnsi" w:eastAsiaTheme="minorHAnsi" w:hAnsiTheme="minorHAnsi" w:cstheme="minorHAnsi"/>
          <w:sz w:val="24"/>
          <w:szCs w:val="24"/>
          <w:lang w:val="en-US" w:eastAsia="en-US"/>
        </w:rPr>
        <w:t xml:space="preserve"> Lake Formation and the Bessie Lake Formation are considered stratigraphic equivalents. However, the </w:t>
      </w:r>
      <w:proofErr w:type="spellStart"/>
      <w:r w:rsidRPr="00153266">
        <w:rPr>
          <w:rFonts w:asciiTheme="minorHAnsi" w:eastAsiaTheme="minorHAnsi" w:hAnsiTheme="minorHAnsi" w:cstheme="minorHAnsi"/>
          <w:sz w:val="24"/>
          <w:szCs w:val="24"/>
          <w:lang w:val="en-US" w:eastAsia="en-US"/>
        </w:rPr>
        <w:t>Majoqua</w:t>
      </w:r>
      <w:proofErr w:type="spellEnd"/>
      <w:r w:rsidRPr="00153266">
        <w:rPr>
          <w:rFonts w:asciiTheme="minorHAnsi" w:eastAsiaTheme="minorHAnsi" w:hAnsiTheme="minorHAnsi" w:cstheme="minorHAnsi"/>
          <w:sz w:val="24"/>
          <w:szCs w:val="24"/>
          <w:lang w:val="en-US" w:eastAsia="en-US"/>
        </w:rPr>
        <w:t xml:space="preserve"> Lake Formation, exposed along the northern limb of the regional syncline, is weakly deformed whereas the southern, basal Bessie Lake Formation is strongly deformed (Brummer and Mann, 1961).</w:t>
      </w:r>
    </w:p>
    <w:p w14:paraId="0073E92F" w14:textId="1117E72E"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D0C819D" w14:textId="43D53CD3"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68B4DDB" w14:textId="0936B749"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3220E24" w14:textId="1C852B69"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BDF14B1" w14:textId="782990F4"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DAAEBDB" w14:textId="51271D47"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49B1C36" w14:textId="2D962147"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3877C94" w14:textId="77777777" w:rsidR="00013417" w:rsidRPr="00153266"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9C5630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b/>
          <w:bCs/>
          <w:sz w:val="24"/>
          <w:szCs w:val="24"/>
          <w:lang w:val="en-US" w:eastAsia="en-US"/>
        </w:rPr>
      </w:pPr>
    </w:p>
    <w:p w14:paraId="2474CAC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lastRenderedPageBreak/>
        <w:t>Table 4</w:t>
      </w:r>
      <w:r w:rsidRPr="00153266">
        <w:rPr>
          <w:rFonts w:asciiTheme="minorHAnsi" w:eastAsiaTheme="minorHAnsi" w:hAnsiTheme="minorHAnsi" w:cstheme="minorHAnsi"/>
          <w:sz w:val="24"/>
          <w:szCs w:val="24"/>
          <w:lang w:val="en-US" w:eastAsia="en-US"/>
        </w:rPr>
        <w:t xml:space="preserve">. Formations of the Seal Lake Group (from Seymour et al., 2016) </w:t>
      </w:r>
    </w:p>
    <w:p w14:paraId="2F94F5F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22"/>
        <w:gridCol w:w="2729"/>
        <w:gridCol w:w="2405"/>
        <w:gridCol w:w="2592"/>
      </w:tblGrid>
      <w:tr w:rsidR="00153266" w:rsidRPr="00153266" w14:paraId="6F941A9E" w14:textId="77777777" w:rsidTr="00153266">
        <w:trPr>
          <w:trHeight w:val="720"/>
          <w:jc w:val="center"/>
        </w:trPr>
        <w:tc>
          <w:tcPr>
            <w:tcW w:w="2422" w:type="dxa"/>
            <w:tcBorders>
              <w:top w:val="single" w:sz="12" w:space="0" w:color="auto"/>
              <w:bottom w:val="single" w:sz="12" w:space="0" w:color="auto"/>
            </w:tcBorders>
          </w:tcPr>
          <w:p w14:paraId="00ACAFE5"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 xml:space="preserve">Formation </w:t>
            </w:r>
          </w:p>
        </w:tc>
        <w:tc>
          <w:tcPr>
            <w:tcW w:w="2729" w:type="dxa"/>
            <w:tcBorders>
              <w:top w:val="single" w:sz="12" w:space="0" w:color="auto"/>
              <w:bottom w:val="single" w:sz="12" w:space="0" w:color="auto"/>
            </w:tcBorders>
          </w:tcPr>
          <w:p w14:paraId="7BE48947"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Description</w:t>
            </w:r>
          </w:p>
        </w:tc>
        <w:tc>
          <w:tcPr>
            <w:tcW w:w="2292" w:type="dxa"/>
            <w:tcBorders>
              <w:top w:val="single" w:sz="12" w:space="0" w:color="auto"/>
              <w:bottom w:val="single" w:sz="12" w:space="0" w:color="auto"/>
            </w:tcBorders>
          </w:tcPr>
          <w:p w14:paraId="097365A1"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Main Mineral Occurrences</w:t>
            </w:r>
          </w:p>
          <w:p w14:paraId="2B0E81AB"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(see Figure 4 for locations)</w:t>
            </w:r>
          </w:p>
        </w:tc>
        <w:tc>
          <w:tcPr>
            <w:tcW w:w="2434" w:type="dxa"/>
            <w:tcBorders>
              <w:top w:val="single" w:sz="12" w:space="0" w:color="auto"/>
              <w:bottom w:val="single" w:sz="12" w:space="0" w:color="auto"/>
            </w:tcBorders>
          </w:tcPr>
          <w:p w14:paraId="66914F17"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Mineralization</w:t>
            </w:r>
          </w:p>
        </w:tc>
      </w:tr>
      <w:tr w:rsidR="00153266" w:rsidRPr="00153266" w14:paraId="00F7960E" w14:textId="77777777" w:rsidTr="00153266">
        <w:trPr>
          <w:trHeight w:val="2857"/>
          <w:jc w:val="center"/>
        </w:trPr>
        <w:tc>
          <w:tcPr>
            <w:tcW w:w="2422" w:type="dxa"/>
            <w:tcBorders>
              <w:top w:val="single" w:sz="12" w:space="0" w:color="auto"/>
            </w:tcBorders>
          </w:tcPr>
          <w:p w14:paraId="1FCE0381"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Upper Red Quartzite</w:t>
            </w:r>
          </w:p>
        </w:tc>
        <w:tc>
          <w:tcPr>
            <w:tcW w:w="2729" w:type="dxa"/>
            <w:tcBorders>
              <w:top w:val="single" w:sz="12" w:space="0" w:color="auto"/>
            </w:tcBorders>
          </w:tcPr>
          <w:p w14:paraId="3D69391D"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Red-, to pink-weathering, fine- to medium grained, bedded to massive quartzite and minor feldspathic quartzite.  Subordinate maroon slate horizons are present. </w:t>
            </w:r>
          </w:p>
        </w:tc>
        <w:tc>
          <w:tcPr>
            <w:tcW w:w="2292" w:type="dxa"/>
            <w:tcBorders>
              <w:top w:val="single" w:sz="12" w:space="0" w:color="auto"/>
            </w:tcBorders>
          </w:tcPr>
          <w:p w14:paraId="08C0F1CB"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No known copper occurrences</w:t>
            </w:r>
          </w:p>
        </w:tc>
        <w:tc>
          <w:tcPr>
            <w:tcW w:w="2434" w:type="dxa"/>
            <w:tcBorders>
              <w:top w:val="single" w:sz="12" w:space="0" w:color="auto"/>
            </w:tcBorders>
          </w:tcPr>
          <w:p w14:paraId="6D08AD91"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N/A</w:t>
            </w:r>
          </w:p>
        </w:tc>
      </w:tr>
      <w:tr w:rsidR="00153266" w:rsidRPr="00153266" w14:paraId="63A0E542" w14:textId="77777777" w:rsidTr="00153266">
        <w:trPr>
          <w:trHeight w:val="3333"/>
          <w:jc w:val="center"/>
        </w:trPr>
        <w:tc>
          <w:tcPr>
            <w:tcW w:w="2422" w:type="dxa"/>
          </w:tcPr>
          <w:p w14:paraId="35444CA9"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Adeline Island Formation (</w:t>
            </w:r>
            <w:proofErr w:type="spellStart"/>
            <w:r w:rsidRPr="00153266">
              <w:rPr>
                <w:rFonts w:ascii="Calibri" w:eastAsia="Times New Roman" w:hAnsi="Calibri" w:cs="Calibri"/>
                <w:b/>
                <w:sz w:val="20"/>
                <w:szCs w:val="20"/>
                <w:lang w:val="en-US" w:eastAsia="en-US"/>
              </w:rPr>
              <w:t>AdI</w:t>
            </w:r>
            <w:proofErr w:type="spellEnd"/>
            <w:r w:rsidRPr="00153266">
              <w:rPr>
                <w:rFonts w:ascii="Calibri" w:eastAsia="Times New Roman" w:hAnsi="Calibri" w:cs="Calibri"/>
                <w:b/>
                <w:sz w:val="20"/>
                <w:szCs w:val="20"/>
                <w:lang w:val="en-US" w:eastAsia="en-US"/>
              </w:rPr>
              <w:t xml:space="preserve"> Fm) </w:t>
            </w:r>
          </w:p>
          <w:p w14:paraId="183DC45E"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p>
          <w:p w14:paraId="14A30861" w14:textId="77777777" w:rsidR="00153266" w:rsidRPr="00153266" w:rsidRDefault="00153266" w:rsidP="00153266">
            <w:pPr>
              <w:widowControl/>
              <w:autoSpaceDE/>
              <w:autoSpaceDN/>
              <w:adjustRightInd/>
              <w:ind w:right="1164"/>
              <w:jc w:val="both"/>
              <w:rPr>
                <w:rFonts w:ascii="Calibri" w:eastAsia="Times New Roman" w:hAnsi="Calibri" w:cs="Calibri"/>
                <w:b/>
                <w:i/>
                <w:color w:val="FF0000"/>
                <w:sz w:val="20"/>
                <w:szCs w:val="20"/>
                <w:lang w:val="en-US" w:eastAsia="en-US"/>
              </w:rPr>
            </w:pPr>
          </w:p>
        </w:tc>
        <w:tc>
          <w:tcPr>
            <w:tcW w:w="2729" w:type="dxa"/>
          </w:tcPr>
          <w:p w14:paraId="4D85323D"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Interbedded slate, phyllite and quartzite having subordinate calcareous rocks, basalt flows and thin gabbro sills.</w:t>
            </w:r>
          </w:p>
        </w:tc>
        <w:tc>
          <w:tcPr>
            <w:tcW w:w="2292" w:type="dxa"/>
          </w:tcPr>
          <w:p w14:paraId="09E52AD0"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Adeline Island </w:t>
            </w:r>
          </w:p>
          <w:p w14:paraId="37A824D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Adeline Island West</w:t>
            </w:r>
          </w:p>
          <w:p w14:paraId="489AE7B5"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Adeline River</w:t>
            </w:r>
          </w:p>
          <w:p w14:paraId="79B7F825"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Adeline Lake North Shore </w:t>
            </w:r>
          </w:p>
          <w:p w14:paraId="21B7AB24"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Ellis</w:t>
            </w:r>
          </w:p>
          <w:p w14:paraId="1E2D35C2"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Duck Lake East</w:t>
            </w:r>
          </w:p>
          <w:p w14:paraId="4774175D"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Brian Prospect</w:t>
            </w:r>
          </w:p>
          <w:p w14:paraId="4BB113FD"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Brandy Lake</w:t>
            </w:r>
          </w:p>
        </w:tc>
        <w:tc>
          <w:tcPr>
            <w:tcW w:w="2434" w:type="dxa"/>
          </w:tcPr>
          <w:p w14:paraId="6358BC81"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Chalcocite</w:t>
            </w:r>
          </w:p>
          <w:p w14:paraId="5E449AC5"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Bornite</w:t>
            </w:r>
          </w:p>
          <w:p w14:paraId="08F265B7"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Chalcopyrite</w:t>
            </w:r>
          </w:p>
          <w:p w14:paraId="5634D168"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Pyrite</w:t>
            </w:r>
          </w:p>
          <w:p w14:paraId="435257E6"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Molybdenite</w:t>
            </w:r>
          </w:p>
          <w:p w14:paraId="4902F995"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Sphalerite?</w:t>
            </w:r>
          </w:p>
          <w:p w14:paraId="122D999B"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p w14:paraId="7A6A85EE"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r>
      <w:tr w:rsidR="00153266" w:rsidRPr="00153266" w14:paraId="782A34F5" w14:textId="77777777" w:rsidTr="00153266">
        <w:trPr>
          <w:trHeight w:val="4761"/>
          <w:jc w:val="center"/>
        </w:trPr>
        <w:tc>
          <w:tcPr>
            <w:tcW w:w="2422" w:type="dxa"/>
          </w:tcPr>
          <w:p w14:paraId="2E880119"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Salmon Lake Formation</w:t>
            </w:r>
          </w:p>
          <w:p w14:paraId="329EFA0B"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(SL Fm)</w:t>
            </w:r>
          </w:p>
        </w:tc>
        <w:tc>
          <w:tcPr>
            <w:tcW w:w="2729" w:type="dxa"/>
          </w:tcPr>
          <w:p w14:paraId="17EB494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Weakly to strongly deformed and altered basalt flows and maroon-weathering slate. Subordinate quartzite, siltstone, sandstone, </w:t>
            </w:r>
            <w:proofErr w:type="gramStart"/>
            <w:r w:rsidRPr="00153266">
              <w:rPr>
                <w:rFonts w:ascii="Calibri" w:eastAsia="Times New Roman" w:hAnsi="Calibri" w:cs="Calibri"/>
                <w:sz w:val="20"/>
                <w:szCs w:val="20"/>
                <w:lang w:val="en-US" w:eastAsia="en-US"/>
              </w:rPr>
              <w:t>shale</w:t>
            </w:r>
            <w:proofErr w:type="gramEnd"/>
            <w:r w:rsidRPr="00153266">
              <w:rPr>
                <w:rFonts w:ascii="Calibri" w:eastAsia="Times New Roman" w:hAnsi="Calibri" w:cs="Calibri"/>
                <w:sz w:val="20"/>
                <w:szCs w:val="20"/>
                <w:lang w:val="en-US" w:eastAsia="en-US"/>
              </w:rPr>
              <w:t xml:space="preserve"> and calcareous rocks are also present. Gabbro is a relatively minor rock type consisting of tabular shaped sills ranging from 5 to 75 m thick, and small, irregular-shaped intrusions.</w:t>
            </w:r>
          </w:p>
        </w:tc>
        <w:tc>
          <w:tcPr>
            <w:tcW w:w="2292" w:type="dxa"/>
          </w:tcPr>
          <w:p w14:paraId="38679F28"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Ellis 75</w:t>
            </w:r>
          </w:p>
          <w:p w14:paraId="7A51A45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Seal Lake Main</w:t>
            </w:r>
          </w:p>
          <w:p w14:paraId="291B4DAB"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East Seal Lake</w:t>
            </w:r>
          </w:p>
          <w:p w14:paraId="177F507F"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Salmon Lake Main</w:t>
            </w:r>
          </w:p>
          <w:p w14:paraId="0A3FD488"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Seal Lake #1</w:t>
            </w:r>
          </w:p>
          <w:p w14:paraId="4DC92851"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Whiskey Lake</w:t>
            </w:r>
          </w:p>
          <w:p w14:paraId="391C8D22"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Adeline Lake North Shore </w:t>
            </w:r>
          </w:p>
        </w:tc>
        <w:tc>
          <w:tcPr>
            <w:tcW w:w="2434" w:type="dxa"/>
          </w:tcPr>
          <w:p w14:paraId="175F25C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Native Copper</w:t>
            </w:r>
          </w:p>
          <w:p w14:paraId="3839D1C9"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Chalcocite</w:t>
            </w:r>
          </w:p>
          <w:p w14:paraId="1D31DB39"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Bornite</w:t>
            </w:r>
          </w:p>
          <w:p w14:paraId="1CB3CCF6"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Chalcopyrite</w:t>
            </w:r>
          </w:p>
          <w:p w14:paraId="38CAB623"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Pyrite</w:t>
            </w:r>
          </w:p>
          <w:p w14:paraId="53BA1C1A"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Molybdenite</w:t>
            </w:r>
          </w:p>
          <w:p w14:paraId="25D504E9"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r>
      <w:tr w:rsidR="00153266" w:rsidRPr="00153266" w14:paraId="4C17BC56" w14:textId="77777777" w:rsidTr="00153266">
        <w:trPr>
          <w:trHeight w:val="1892"/>
          <w:jc w:val="center"/>
        </w:trPr>
        <w:tc>
          <w:tcPr>
            <w:tcW w:w="2422" w:type="dxa"/>
          </w:tcPr>
          <w:p w14:paraId="063EA4CD"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lastRenderedPageBreak/>
              <w:t>Whiskey Lake Formation</w:t>
            </w:r>
          </w:p>
        </w:tc>
        <w:tc>
          <w:tcPr>
            <w:tcW w:w="2729" w:type="dxa"/>
          </w:tcPr>
          <w:p w14:paraId="2C450173"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Interlaminated to thinly interbedded slate, siltstone, </w:t>
            </w:r>
            <w:proofErr w:type="gramStart"/>
            <w:r w:rsidRPr="00153266">
              <w:rPr>
                <w:rFonts w:ascii="Calibri" w:eastAsia="Times New Roman" w:hAnsi="Calibri" w:cs="Calibri"/>
                <w:sz w:val="20"/>
                <w:szCs w:val="20"/>
                <w:lang w:val="en-US" w:eastAsia="en-US"/>
              </w:rPr>
              <w:t>sandstone</w:t>
            </w:r>
            <w:proofErr w:type="gramEnd"/>
            <w:r w:rsidRPr="00153266">
              <w:rPr>
                <w:rFonts w:ascii="Calibri" w:eastAsia="Times New Roman" w:hAnsi="Calibri" w:cs="Calibri"/>
                <w:sz w:val="20"/>
                <w:szCs w:val="20"/>
                <w:lang w:val="en-US" w:eastAsia="en-US"/>
              </w:rPr>
              <w:t xml:space="preserve"> and quartzite that rarely exceeds cm-scale bedding thicknesses</w:t>
            </w:r>
          </w:p>
        </w:tc>
        <w:tc>
          <w:tcPr>
            <w:tcW w:w="2292" w:type="dxa"/>
          </w:tcPr>
          <w:p w14:paraId="6E555C5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c>
          <w:tcPr>
            <w:tcW w:w="2434" w:type="dxa"/>
          </w:tcPr>
          <w:p w14:paraId="5BC52F7B"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Native Copper</w:t>
            </w:r>
          </w:p>
          <w:p w14:paraId="36BB577A"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Chalcopyrite</w:t>
            </w:r>
          </w:p>
        </w:tc>
      </w:tr>
      <w:tr w:rsidR="00153266" w:rsidRPr="00153266" w14:paraId="5715EA9D" w14:textId="77777777" w:rsidTr="00153266">
        <w:trPr>
          <w:trHeight w:val="2857"/>
          <w:jc w:val="center"/>
        </w:trPr>
        <w:tc>
          <w:tcPr>
            <w:tcW w:w="2422" w:type="dxa"/>
            <w:tcBorders>
              <w:bottom w:val="single" w:sz="4" w:space="0" w:color="auto"/>
            </w:tcBorders>
          </w:tcPr>
          <w:p w14:paraId="45A100FD"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proofErr w:type="spellStart"/>
            <w:r w:rsidRPr="00153266">
              <w:rPr>
                <w:rFonts w:ascii="Calibri" w:eastAsia="Times New Roman" w:hAnsi="Calibri" w:cs="Calibri"/>
                <w:b/>
                <w:sz w:val="20"/>
                <w:szCs w:val="20"/>
                <w:lang w:val="en-US" w:eastAsia="en-US"/>
              </w:rPr>
              <w:t>Wuschusk</w:t>
            </w:r>
            <w:proofErr w:type="spellEnd"/>
            <w:r w:rsidRPr="00153266">
              <w:rPr>
                <w:rFonts w:ascii="Calibri" w:eastAsia="Times New Roman" w:hAnsi="Calibri" w:cs="Calibri"/>
                <w:b/>
                <w:sz w:val="20"/>
                <w:szCs w:val="20"/>
                <w:lang w:val="en-US" w:eastAsia="en-US"/>
              </w:rPr>
              <w:t xml:space="preserve"> Lake Formation</w:t>
            </w:r>
          </w:p>
        </w:tc>
        <w:tc>
          <w:tcPr>
            <w:tcW w:w="2729" w:type="dxa"/>
            <w:tcBorders>
              <w:bottom w:val="single" w:sz="4" w:space="0" w:color="auto"/>
            </w:tcBorders>
          </w:tcPr>
          <w:p w14:paraId="4CAFCA44"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Ophitic-textured gabbro and leucogabbro sills, quartzite, feldspathic quartzite, siltstone and minor shale, </w:t>
            </w:r>
            <w:proofErr w:type="gramStart"/>
            <w:r w:rsidRPr="00153266">
              <w:rPr>
                <w:rFonts w:ascii="Calibri" w:eastAsia="Times New Roman" w:hAnsi="Calibri" w:cs="Calibri"/>
                <w:sz w:val="20"/>
                <w:szCs w:val="20"/>
                <w:lang w:val="en-US" w:eastAsia="en-US"/>
              </w:rPr>
              <w:t>slate</w:t>
            </w:r>
            <w:proofErr w:type="gramEnd"/>
            <w:r w:rsidRPr="00153266">
              <w:rPr>
                <w:rFonts w:ascii="Calibri" w:eastAsia="Times New Roman" w:hAnsi="Calibri" w:cs="Calibri"/>
                <w:sz w:val="20"/>
                <w:szCs w:val="20"/>
                <w:lang w:val="en-US" w:eastAsia="en-US"/>
              </w:rPr>
              <w:t xml:space="preserve"> and subordinate calcareous layers and volcaniclastic rocks.</w:t>
            </w:r>
          </w:p>
        </w:tc>
        <w:tc>
          <w:tcPr>
            <w:tcW w:w="2292" w:type="dxa"/>
            <w:tcBorders>
              <w:bottom w:val="single" w:sz="4" w:space="0" w:color="auto"/>
            </w:tcBorders>
          </w:tcPr>
          <w:p w14:paraId="0EEF832C"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South Adeline Mountain</w:t>
            </w:r>
          </w:p>
        </w:tc>
        <w:tc>
          <w:tcPr>
            <w:tcW w:w="2434" w:type="dxa"/>
            <w:tcBorders>
              <w:bottom w:val="single" w:sz="4" w:space="0" w:color="auto"/>
            </w:tcBorders>
          </w:tcPr>
          <w:p w14:paraId="1587FB1D"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Chalcocite</w:t>
            </w:r>
          </w:p>
          <w:p w14:paraId="1CB94FFE"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Bornite</w:t>
            </w:r>
          </w:p>
          <w:p w14:paraId="0C3E8F8E"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r>
      <w:tr w:rsidR="00153266" w:rsidRPr="00153266" w14:paraId="62437E02" w14:textId="77777777" w:rsidTr="00153266">
        <w:trPr>
          <w:trHeight w:val="3333"/>
          <w:jc w:val="center"/>
        </w:trPr>
        <w:tc>
          <w:tcPr>
            <w:tcW w:w="2422" w:type="dxa"/>
            <w:tcBorders>
              <w:bottom w:val="single" w:sz="12" w:space="0" w:color="auto"/>
            </w:tcBorders>
          </w:tcPr>
          <w:p w14:paraId="7ED6736E" w14:textId="77777777" w:rsidR="00153266" w:rsidRPr="00153266" w:rsidRDefault="00153266" w:rsidP="00153266">
            <w:pPr>
              <w:widowControl/>
              <w:autoSpaceDE/>
              <w:autoSpaceDN/>
              <w:adjustRightInd/>
              <w:ind w:right="1164"/>
              <w:jc w:val="both"/>
              <w:rPr>
                <w:rFonts w:ascii="Calibri" w:eastAsia="Times New Roman" w:hAnsi="Calibri" w:cs="Calibri"/>
                <w:b/>
                <w:sz w:val="20"/>
                <w:szCs w:val="20"/>
                <w:lang w:val="en-US" w:eastAsia="en-US"/>
              </w:rPr>
            </w:pPr>
            <w:r w:rsidRPr="00153266">
              <w:rPr>
                <w:rFonts w:ascii="Calibri" w:eastAsia="Times New Roman" w:hAnsi="Calibri" w:cs="Calibri"/>
                <w:b/>
                <w:sz w:val="20"/>
                <w:szCs w:val="20"/>
                <w:lang w:val="en-US" w:eastAsia="en-US"/>
              </w:rPr>
              <w:t xml:space="preserve">Bessie Lake – </w:t>
            </w:r>
            <w:proofErr w:type="spellStart"/>
            <w:r w:rsidRPr="00153266">
              <w:rPr>
                <w:rFonts w:ascii="Calibri" w:eastAsia="Times New Roman" w:hAnsi="Calibri" w:cs="Calibri"/>
                <w:b/>
                <w:sz w:val="20"/>
                <w:szCs w:val="20"/>
                <w:lang w:val="en-US" w:eastAsia="en-US"/>
              </w:rPr>
              <w:t>Majoqua</w:t>
            </w:r>
            <w:proofErr w:type="spellEnd"/>
            <w:r w:rsidRPr="00153266">
              <w:rPr>
                <w:rFonts w:ascii="Calibri" w:eastAsia="Times New Roman" w:hAnsi="Calibri" w:cs="Calibri"/>
                <w:b/>
                <w:sz w:val="20"/>
                <w:szCs w:val="20"/>
                <w:lang w:val="en-US" w:eastAsia="en-US"/>
              </w:rPr>
              <w:t xml:space="preserve"> Lake Formation</w:t>
            </w:r>
          </w:p>
        </w:tc>
        <w:tc>
          <w:tcPr>
            <w:tcW w:w="2729" w:type="dxa"/>
            <w:tcBorders>
              <w:bottom w:val="single" w:sz="12" w:space="0" w:color="auto"/>
            </w:tcBorders>
          </w:tcPr>
          <w:p w14:paraId="04174078"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r w:rsidRPr="00153266">
              <w:rPr>
                <w:rFonts w:ascii="Calibri" w:eastAsia="Times New Roman" w:hAnsi="Calibri" w:cs="Calibri"/>
                <w:sz w:val="20"/>
                <w:szCs w:val="20"/>
                <w:lang w:val="en-US" w:eastAsia="en-US"/>
              </w:rPr>
              <w:t xml:space="preserve">Extensive basalt flows and subordinate volcaniclastic rocks and intercalated sedimentary rocks, </w:t>
            </w:r>
            <w:proofErr w:type="gramStart"/>
            <w:r w:rsidRPr="00153266">
              <w:rPr>
                <w:rFonts w:ascii="Calibri" w:eastAsia="Times New Roman" w:hAnsi="Calibri" w:cs="Calibri"/>
                <w:sz w:val="20"/>
                <w:szCs w:val="20"/>
                <w:lang w:val="en-US" w:eastAsia="en-US"/>
              </w:rPr>
              <w:t>including:</w:t>
            </w:r>
            <w:proofErr w:type="gramEnd"/>
            <w:r w:rsidRPr="00153266">
              <w:rPr>
                <w:rFonts w:ascii="Calibri" w:eastAsia="Times New Roman" w:hAnsi="Calibri" w:cs="Calibri"/>
                <w:sz w:val="20"/>
                <w:szCs w:val="20"/>
                <w:lang w:val="en-US" w:eastAsia="en-US"/>
              </w:rPr>
              <w:t xml:space="preserve"> quartzite and feldspathic quartzite, quartz-sericite schist, conglomerate and siltstone.</w:t>
            </w:r>
          </w:p>
        </w:tc>
        <w:tc>
          <w:tcPr>
            <w:tcW w:w="2292" w:type="dxa"/>
            <w:tcBorders>
              <w:bottom w:val="single" w:sz="12" w:space="0" w:color="auto"/>
            </w:tcBorders>
          </w:tcPr>
          <w:p w14:paraId="0B10F8AA"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c>
          <w:tcPr>
            <w:tcW w:w="2434" w:type="dxa"/>
            <w:tcBorders>
              <w:bottom w:val="single" w:sz="12" w:space="0" w:color="auto"/>
            </w:tcBorders>
          </w:tcPr>
          <w:p w14:paraId="252046A9" w14:textId="77777777" w:rsidR="00153266" w:rsidRPr="00153266" w:rsidRDefault="00153266" w:rsidP="00153266">
            <w:pPr>
              <w:widowControl/>
              <w:autoSpaceDE/>
              <w:autoSpaceDN/>
              <w:adjustRightInd/>
              <w:ind w:right="1164"/>
              <w:jc w:val="both"/>
              <w:rPr>
                <w:rFonts w:ascii="Calibri" w:eastAsia="Times New Roman" w:hAnsi="Calibri" w:cs="Calibri"/>
                <w:sz w:val="20"/>
                <w:szCs w:val="20"/>
                <w:lang w:val="en-US" w:eastAsia="en-US"/>
              </w:rPr>
            </w:pPr>
          </w:p>
        </w:tc>
      </w:tr>
    </w:tbl>
    <w:p w14:paraId="524610E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503699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EF7F4B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overall thickness of the Seal Lake Group is postulated to range from 5,280 m (Knight, 1972) to 14,000 m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xml:space="preserve">, 1981). The effects of folding and thrusting render the estimation of thickness difficult. </w:t>
      </w:r>
    </w:p>
    <w:p w14:paraId="197314C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EF0CE0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Seal Lake Group forms a major east–west trending, doubly plunging synclinal structure, approximately 120 km long and 45 km wide (Figure 4). The southern limb of the fold is overturned and has been structurally buried beneath older granitoids that have been transported northward over the Seal Lake Group along </w:t>
      </w:r>
      <w:proofErr w:type="spellStart"/>
      <w:r w:rsidRPr="00153266">
        <w:rPr>
          <w:rFonts w:asciiTheme="minorHAnsi" w:eastAsiaTheme="minorHAnsi" w:hAnsiTheme="minorHAnsi" w:cstheme="minorHAnsi"/>
          <w:sz w:val="24"/>
          <w:szCs w:val="24"/>
          <w:lang w:val="en-US" w:eastAsia="en-US"/>
        </w:rPr>
        <w:t>Grenvillian</w:t>
      </w:r>
      <w:proofErr w:type="spellEnd"/>
      <w:r w:rsidRPr="00153266">
        <w:rPr>
          <w:rFonts w:asciiTheme="minorHAnsi" w:eastAsiaTheme="minorHAnsi" w:hAnsiTheme="minorHAnsi" w:cstheme="minorHAnsi"/>
          <w:sz w:val="24"/>
          <w:szCs w:val="24"/>
          <w:lang w:val="en-US" w:eastAsia="en-US"/>
        </w:rPr>
        <w:t xml:space="preserve"> thrusts (Brummer and Mann, 1961;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1981). From west to east, the trend of the synclinal axis varies from southeast through to northeast and the folds exhibit a progression from tight to open (van Nostrand, 2009). From north to south, sedimentary rocks of the group exhibit a general transition from subaerial to shallow marine and from coarser to finer grained (van Nostrand, 2009).</w:t>
      </w:r>
    </w:p>
    <w:p w14:paraId="271D34D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681FD6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Metamorphic phases, attributed to </w:t>
      </w:r>
      <w:proofErr w:type="spellStart"/>
      <w:r w:rsidRPr="00153266">
        <w:rPr>
          <w:rFonts w:asciiTheme="minorHAnsi" w:eastAsiaTheme="minorHAnsi" w:hAnsiTheme="minorHAnsi" w:cstheme="minorHAnsi"/>
          <w:sz w:val="24"/>
          <w:szCs w:val="24"/>
          <w:lang w:val="en-US" w:eastAsia="en-US"/>
        </w:rPr>
        <w:t>Grenvillian</w:t>
      </w:r>
      <w:proofErr w:type="spellEnd"/>
      <w:r w:rsidRPr="00153266">
        <w:rPr>
          <w:rFonts w:asciiTheme="minorHAnsi" w:eastAsiaTheme="minorHAnsi" w:hAnsiTheme="minorHAnsi" w:cstheme="minorHAnsi"/>
          <w:sz w:val="24"/>
          <w:szCs w:val="24"/>
          <w:lang w:val="en-US" w:eastAsia="en-US"/>
        </w:rPr>
        <w:t xml:space="preserve"> deformation, decrease gradationally from lower greenschist-facies to zeolite-facies assemblages south to north across the syncline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xml:space="preserve">, </w:t>
      </w:r>
      <w:r w:rsidRPr="00153266">
        <w:rPr>
          <w:rFonts w:asciiTheme="minorHAnsi" w:eastAsiaTheme="minorHAnsi" w:hAnsiTheme="minorHAnsi" w:cstheme="minorHAnsi"/>
          <w:sz w:val="24"/>
          <w:szCs w:val="24"/>
          <w:lang w:val="en-US" w:eastAsia="en-US"/>
        </w:rPr>
        <w:lastRenderedPageBreak/>
        <w:t>1981; van Nostrand and Corcoran, 2013). Rocks on the extreme northern limb of the regional syncline exhibit only minimal deformation and metamorphism (van Nostrand and Corcoran, 2013).</w:t>
      </w:r>
    </w:p>
    <w:p w14:paraId="63E2CFE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F4DA97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5.3 MINERALIZATION AND DEPOSIT TYPE</w:t>
      </w:r>
    </w:p>
    <w:p w14:paraId="316AA24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2DF6CA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The middle and upper units of the Seal Lake Group are hosts to more than 250 native copper and copper-</w:t>
      </w:r>
      <w:proofErr w:type="spellStart"/>
      <w:r w:rsidRPr="00153266">
        <w:rPr>
          <w:rFonts w:asciiTheme="minorHAnsi" w:eastAsiaTheme="minorHAnsi" w:hAnsiTheme="minorHAnsi" w:cstheme="minorHAnsi"/>
          <w:sz w:val="24"/>
          <w:szCs w:val="24"/>
          <w:lang w:val="en-US" w:eastAsia="en-US"/>
        </w:rPr>
        <w:t>sulphide</w:t>
      </w:r>
      <w:proofErr w:type="spellEnd"/>
      <w:r w:rsidRPr="00153266">
        <w:rPr>
          <w:rFonts w:asciiTheme="minorHAnsi" w:eastAsiaTheme="minorHAnsi" w:hAnsiTheme="minorHAnsi" w:cstheme="minorHAnsi"/>
          <w:sz w:val="24"/>
          <w:szCs w:val="24"/>
          <w:lang w:val="en-US" w:eastAsia="en-US"/>
        </w:rPr>
        <w:t xml:space="preserve"> occurrences (Brummer and Mann, 1961). Most of these are documented in the NL DIET Mineral Occurrence Data System (MODS) (Figure 4). Host rocks to the Cu occurrences include slate and phyllite of the Whisky Lake Formation; red and green slate, shale, amygdaloidal basalt and diabase of the Salmon Lake Formation; mixed slate, shale, phyllite and argillite units of the Adeline Island Formation; and coarse- to </w:t>
      </w:r>
      <w:proofErr w:type="spellStart"/>
      <w:r w:rsidRPr="00153266">
        <w:rPr>
          <w:rFonts w:asciiTheme="minorHAnsi" w:eastAsiaTheme="minorHAnsi" w:hAnsiTheme="minorHAnsi" w:cstheme="minorHAnsi"/>
          <w:sz w:val="24"/>
          <w:szCs w:val="24"/>
          <w:lang w:val="en-US" w:eastAsia="en-US"/>
        </w:rPr>
        <w:t>medium­grained</w:t>
      </w:r>
      <w:proofErr w:type="spellEnd"/>
      <w:r w:rsidRPr="00153266">
        <w:rPr>
          <w:rFonts w:asciiTheme="minorHAnsi" w:eastAsiaTheme="minorHAnsi" w:hAnsiTheme="minorHAnsi" w:cstheme="minorHAnsi"/>
          <w:sz w:val="24"/>
          <w:szCs w:val="24"/>
          <w:lang w:val="en-US" w:eastAsia="en-US"/>
        </w:rPr>
        <w:t xml:space="preserve"> diabase sills and black-grey shale of the </w:t>
      </w:r>
      <w:proofErr w:type="spellStart"/>
      <w:r w:rsidRPr="00153266">
        <w:rPr>
          <w:rFonts w:asciiTheme="minorHAnsi" w:eastAsiaTheme="minorHAnsi" w:hAnsiTheme="minorHAnsi" w:cstheme="minorHAnsi"/>
          <w:sz w:val="24"/>
          <w:szCs w:val="24"/>
          <w:lang w:val="en-US" w:eastAsia="en-US"/>
        </w:rPr>
        <w:t>Wuchusk</w:t>
      </w:r>
      <w:proofErr w:type="spellEnd"/>
      <w:r w:rsidRPr="00153266">
        <w:rPr>
          <w:rFonts w:asciiTheme="minorHAnsi" w:eastAsiaTheme="minorHAnsi" w:hAnsiTheme="minorHAnsi" w:cstheme="minorHAnsi"/>
          <w:sz w:val="24"/>
          <w:szCs w:val="24"/>
          <w:lang w:val="en-US" w:eastAsia="en-US"/>
        </w:rPr>
        <w:t xml:space="preserve"> Formation (Wilton 1996).</w:t>
      </w:r>
    </w:p>
    <w:p w14:paraId="3058491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5F8CBF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Most of these copper occurrences are hosted within local shear zones, along foliation, and/or within quartz +/- carbonate veins. The veins are generally developed between units with competency contrasts wherein dilatant zones formed during deformation, or between rocks with a contrast in oxidation state (reduced versus oxidized) (van Nostrand, 2009; Wilton 1989a).  </w:t>
      </w:r>
    </w:p>
    <w:p w14:paraId="74B505E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FAFC2C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Syngenetic pyrite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chalcopyrite) is present in diabase and black to green </w:t>
      </w:r>
      <w:proofErr w:type="spellStart"/>
      <w:r w:rsidRPr="00153266">
        <w:rPr>
          <w:rFonts w:asciiTheme="minorHAnsi" w:eastAsiaTheme="minorHAnsi" w:hAnsiTheme="minorHAnsi" w:cstheme="minorHAnsi"/>
          <w:sz w:val="24"/>
          <w:szCs w:val="24"/>
          <w:lang w:val="en-US" w:eastAsia="en-US"/>
        </w:rPr>
        <w:t>phyllitic</w:t>
      </w:r>
      <w:proofErr w:type="spellEnd"/>
      <w:r w:rsidRPr="00153266">
        <w:rPr>
          <w:rFonts w:asciiTheme="minorHAnsi" w:eastAsiaTheme="minorHAnsi" w:hAnsiTheme="minorHAnsi" w:cstheme="minorHAnsi"/>
          <w:sz w:val="24"/>
          <w:szCs w:val="24"/>
          <w:lang w:val="en-US" w:eastAsia="en-US"/>
        </w:rPr>
        <w:t xml:space="preserve"> slate units. The extensive gabbro and diabase sills contain primary ilmenite and in some cases the ilmenite content is of sufficient grade and grain size to constitute a potential titanium </w:t>
      </w:r>
      <w:proofErr w:type="spellStart"/>
      <w:r w:rsidRPr="00153266">
        <w:rPr>
          <w:rFonts w:asciiTheme="minorHAnsi" w:eastAsiaTheme="minorHAnsi" w:hAnsiTheme="minorHAnsi" w:cstheme="minorHAnsi"/>
          <w:sz w:val="24"/>
          <w:szCs w:val="24"/>
          <w:lang w:val="en-US" w:eastAsia="en-US"/>
        </w:rPr>
        <w:t>i</w:t>
      </w:r>
      <w:proofErr w:type="spellEnd"/>
      <w:r w:rsidRPr="00153266">
        <w:rPr>
          <w:rFonts w:asciiTheme="minorHAnsi" w:eastAsiaTheme="minorHAnsi" w:hAnsiTheme="minorHAnsi" w:cstheme="minorHAnsi"/>
          <w:sz w:val="24"/>
          <w:szCs w:val="24"/>
          <w:lang w:val="en-US" w:eastAsia="en-US"/>
        </w:rPr>
        <w:t xml:space="preserve"> resource (Wilton, 1996). </w:t>
      </w:r>
    </w:p>
    <w:p w14:paraId="74D0737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BEA328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Brummer and Mann (1961) suggested that copper mineralization was restricted to the upper parts of the Seal Lake Group because only the uppermost lava flows and sills contained sufficient copper to be concentrated into shears and veins during later folding. </w:t>
      </w: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xml:space="preserve"> (1981), however, reported lower copper contents within the stratigraphically higher Salmon Lake Formation compared to lower volcanic units.</w:t>
      </w:r>
    </w:p>
    <w:p w14:paraId="62A276E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DB79B5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imes New Roman" w:eastAsiaTheme="minorHAnsi" w:hAnsi="Times New Roman" w:cstheme="minorBidi"/>
          <w:noProof/>
          <w:lang w:val="en-US" w:eastAsia="en-US"/>
        </w:rPr>
        <w:lastRenderedPageBreak/>
        <w:drawing>
          <wp:inline distT="0" distB="0" distL="0" distR="0" wp14:anchorId="6DA61023" wp14:editId="16C5FF43">
            <wp:extent cx="5943600" cy="45967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96765"/>
                    </a:xfrm>
                    <a:prstGeom prst="rect">
                      <a:avLst/>
                    </a:prstGeom>
                    <a:noFill/>
                    <a:ln>
                      <a:noFill/>
                    </a:ln>
                  </pic:spPr>
                </pic:pic>
              </a:graphicData>
            </a:graphic>
          </wp:inline>
        </w:drawing>
      </w:r>
    </w:p>
    <w:p w14:paraId="57CF06E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4</w:t>
      </w:r>
      <w:r w:rsidRPr="00153266">
        <w:rPr>
          <w:rFonts w:asciiTheme="minorHAnsi" w:eastAsiaTheme="minorHAnsi" w:hAnsiTheme="minorHAnsi" w:cstheme="minorHAnsi"/>
          <w:sz w:val="24"/>
          <w:szCs w:val="24"/>
          <w:lang w:val="en-US" w:eastAsia="en-US"/>
        </w:rPr>
        <w:t>. Geology map of the Seal Lake Group (after Brummer and Mann, 1961) with locations of copper occurrences (from MODS files) and Adeline Copper Project mineral claims licenses.</w:t>
      </w:r>
    </w:p>
    <w:p w14:paraId="3C48FC3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700FFE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Gandhi and Brown (1975) suggested that there are two styles of copper mineralization in the Seal Lake Group. One in the Salmon Lake Formation (mainly native copper in red slate and volcanic rocks), and the second in the Adeline Island Formation. They suggested that the copper in the Adeline Island Formation was derived from underlying volcanic rocks and transported to pyrite-bearing shale of the formation along "red bed aquifers". The copper-bearing fluids subsequently reacted with, and replaced, the pyrite, and precipitated copper </w:t>
      </w:r>
      <w:proofErr w:type="spellStart"/>
      <w:r w:rsidRPr="00153266">
        <w:rPr>
          <w:rFonts w:asciiTheme="minorHAnsi" w:eastAsiaTheme="minorHAnsi" w:hAnsiTheme="minorHAnsi" w:cstheme="minorHAnsi"/>
          <w:sz w:val="24"/>
          <w:szCs w:val="24"/>
          <w:lang w:val="en-US" w:eastAsia="en-US"/>
        </w:rPr>
        <w:t>sulphides</w:t>
      </w:r>
      <w:proofErr w:type="spellEnd"/>
      <w:r w:rsidRPr="00153266">
        <w:rPr>
          <w:rFonts w:asciiTheme="minorHAnsi" w:eastAsiaTheme="minorHAnsi" w:hAnsiTheme="minorHAnsi" w:cstheme="minorHAnsi"/>
          <w:sz w:val="24"/>
          <w:szCs w:val="24"/>
          <w:lang w:val="en-US" w:eastAsia="en-US"/>
        </w:rPr>
        <w:t xml:space="preserve"> in the shale syn- to slightly post-diagenetically. This model stresses the singular-ore-bed comparison with the Nonesuch Shale, Michigan.</w:t>
      </w:r>
    </w:p>
    <w:p w14:paraId="5C66420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9FF926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Wilton (1989a) suggested that ore-fluid flow was related to deformation as mineralization occurs in sheared rock along rock-unit contacts. There are no significant contrasts between copper mineralization in the Salmon Lake and Adeline Island formations, excepting the presence of native copper in the Salmon Lake rocks, which is apparently dependent on the oxidation state of the host rock, and not on stratigraphic position. Both units host chalcocite, bornite and chalcopyrite in diabase and sedimentary rocks (Wilton, 1996).</w:t>
      </w:r>
    </w:p>
    <w:p w14:paraId="3C9F87E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Huard and </w:t>
      </w:r>
      <w:proofErr w:type="spellStart"/>
      <w:r w:rsidRPr="00153266">
        <w:rPr>
          <w:rFonts w:asciiTheme="minorHAnsi" w:eastAsiaTheme="minorHAnsi" w:hAnsiTheme="minorHAnsi" w:cstheme="minorHAnsi"/>
          <w:sz w:val="24"/>
          <w:szCs w:val="24"/>
          <w:lang w:val="en-US" w:eastAsia="en-US"/>
        </w:rPr>
        <w:t>Ascough</w:t>
      </w:r>
      <w:proofErr w:type="spellEnd"/>
      <w:r w:rsidRPr="00153266">
        <w:rPr>
          <w:rFonts w:asciiTheme="minorHAnsi" w:eastAsiaTheme="minorHAnsi" w:hAnsiTheme="minorHAnsi" w:cstheme="minorHAnsi"/>
          <w:sz w:val="24"/>
          <w:szCs w:val="24"/>
          <w:lang w:val="en-US" w:eastAsia="en-US"/>
        </w:rPr>
        <w:t xml:space="preserve"> (1992) pointed out, as had Wilton (1989a), that there was an absence of immature, permeable sedimentary units in the Seal Lake Basin able to release copper to mobile fluids during diagenesis. Such permeable units are an essential feature of syngenetic </w:t>
      </w:r>
      <w:bookmarkStart w:id="36" w:name="_Hlk70858855"/>
      <w:r w:rsidRPr="00153266">
        <w:rPr>
          <w:rFonts w:asciiTheme="minorHAnsi" w:eastAsiaTheme="minorHAnsi" w:hAnsiTheme="minorHAnsi" w:cstheme="minorHAnsi"/>
          <w:sz w:val="24"/>
          <w:szCs w:val="24"/>
          <w:lang w:val="en-US" w:eastAsia="en-US"/>
        </w:rPr>
        <w:t>sediment-hosted stratiform copper (SSC) deposits</w:t>
      </w:r>
      <w:bookmarkEnd w:id="36"/>
      <w:r w:rsidRPr="00153266">
        <w:rPr>
          <w:rFonts w:asciiTheme="minorHAnsi" w:eastAsiaTheme="minorHAnsi" w:hAnsiTheme="minorHAnsi" w:cstheme="minorHAnsi"/>
          <w:sz w:val="24"/>
          <w:szCs w:val="24"/>
          <w:lang w:val="en-US" w:eastAsia="en-US"/>
        </w:rPr>
        <w:t xml:space="preserve">. Based on “cursory” examination of the copper occurrences in the Property area, van Nostrand (2009) and van Nostrand and MacFarlane (2009) agreed with the supposition by Wilton (1989a) that the copper mineralization was epigenetic with respect to the host rocks. </w:t>
      </w:r>
    </w:p>
    <w:p w14:paraId="4F2D7BA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EED0A7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Calibri" w:hAnsiTheme="minorHAnsi" w:cstheme="minorHAnsi"/>
          <w:sz w:val="24"/>
          <w:szCs w:val="24"/>
          <w:lang w:val="en-US" w:eastAsia="es-MX"/>
        </w:rPr>
        <w:t xml:space="preserve">Sills in the Seal lake Group have been dated at 1224-1250 Ma (Romer et al., 1995). </w:t>
      </w:r>
      <w:proofErr w:type="spellStart"/>
      <w:r w:rsidRPr="00153266">
        <w:rPr>
          <w:rFonts w:asciiTheme="minorHAnsi" w:eastAsia="Calibri" w:hAnsiTheme="minorHAnsi" w:cstheme="minorHAnsi"/>
          <w:sz w:val="24"/>
          <w:szCs w:val="24"/>
          <w:lang w:val="en-US" w:eastAsia="es-MX"/>
        </w:rPr>
        <w:t>Grenvillian</w:t>
      </w:r>
      <w:proofErr w:type="spellEnd"/>
      <w:r w:rsidRPr="00153266">
        <w:rPr>
          <w:rFonts w:asciiTheme="minorHAnsi" w:eastAsia="Calibri" w:hAnsiTheme="minorHAnsi" w:cstheme="minorHAnsi"/>
          <w:sz w:val="24"/>
          <w:szCs w:val="24"/>
          <w:lang w:val="en-US" w:eastAsia="es-MX"/>
        </w:rPr>
        <w:t xml:space="preserve"> Re-</w:t>
      </w:r>
      <w:proofErr w:type="spellStart"/>
      <w:r w:rsidRPr="00153266">
        <w:rPr>
          <w:rFonts w:asciiTheme="minorHAnsi" w:eastAsia="Calibri" w:hAnsiTheme="minorHAnsi" w:cstheme="minorHAnsi"/>
          <w:sz w:val="24"/>
          <w:szCs w:val="24"/>
          <w:lang w:val="en-US" w:eastAsia="es-MX"/>
        </w:rPr>
        <w:t>Os</w:t>
      </w:r>
      <w:proofErr w:type="spellEnd"/>
      <w:r w:rsidRPr="00153266">
        <w:rPr>
          <w:rFonts w:asciiTheme="minorHAnsi" w:eastAsia="Calibri" w:hAnsiTheme="minorHAnsi" w:cstheme="minorHAnsi"/>
          <w:sz w:val="24"/>
          <w:szCs w:val="24"/>
          <w:lang w:val="en-US" w:eastAsia="es-MX"/>
        </w:rPr>
        <w:t xml:space="preserve"> age dates of </w:t>
      </w:r>
      <w:bookmarkStart w:id="37" w:name="_Hlk70859571"/>
      <w:r w:rsidRPr="00153266">
        <w:rPr>
          <w:rFonts w:asciiTheme="minorHAnsi" w:eastAsiaTheme="minorHAnsi" w:hAnsiTheme="minorHAnsi" w:cstheme="minorHAnsi"/>
          <w:sz w:val="24"/>
          <w:szCs w:val="24"/>
          <w:lang w:val="en-US" w:eastAsia="en-US"/>
        </w:rPr>
        <w:t>1084</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5.1 Ma,</w:t>
      </w:r>
      <w:r w:rsidRPr="00153266">
        <w:rPr>
          <w:rFonts w:asciiTheme="minorHAnsi" w:eastAsia="Calibri" w:hAnsiTheme="minorHAnsi" w:cstheme="minorHAnsi"/>
          <w:sz w:val="24"/>
          <w:szCs w:val="24"/>
          <w:lang w:val="en-US" w:eastAsia="es-MX"/>
        </w:rPr>
        <w:t xml:space="preserve"> and </w:t>
      </w:r>
      <w:r w:rsidRPr="00153266">
        <w:rPr>
          <w:rFonts w:asciiTheme="minorHAnsi" w:eastAsiaTheme="minorHAnsi" w:hAnsiTheme="minorHAnsi" w:cstheme="minorHAnsi"/>
          <w:sz w:val="24"/>
          <w:szCs w:val="24"/>
          <w:lang w:val="en-US" w:eastAsia="en-US"/>
        </w:rPr>
        <w:t xml:space="preserve">1069.6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 4.7 to 1064.6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 5.1 </w:t>
      </w:r>
      <w:bookmarkEnd w:id="37"/>
      <w:r w:rsidRPr="00153266">
        <w:rPr>
          <w:rFonts w:asciiTheme="minorHAnsi" w:eastAsiaTheme="minorHAnsi" w:hAnsiTheme="minorHAnsi" w:cstheme="minorHAnsi"/>
          <w:sz w:val="24"/>
          <w:szCs w:val="24"/>
          <w:lang w:val="en-US" w:eastAsia="en-US"/>
        </w:rPr>
        <w:t>Ma</w:t>
      </w:r>
      <w:r w:rsidRPr="00153266">
        <w:rPr>
          <w:rFonts w:asciiTheme="minorHAnsi" w:eastAsia="Calibri" w:hAnsiTheme="minorHAnsi" w:cstheme="minorHAnsi"/>
          <w:sz w:val="24"/>
          <w:szCs w:val="24"/>
          <w:lang w:val="en-US" w:eastAsia="es-MX"/>
        </w:rPr>
        <w:t xml:space="preserve"> for molybdenite from the Seal Main (</w:t>
      </w:r>
      <w:proofErr w:type="spellStart"/>
      <w:r w:rsidRPr="00153266">
        <w:rPr>
          <w:rFonts w:asciiTheme="minorHAnsi" w:eastAsia="Calibri" w:hAnsiTheme="minorHAnsi" w:cstheme="minorHAnsi"/>
          <w:sz w:val="24"/>
          <w:szCs w:val="24"/>
          <w:lang w:val="en-US" w:eastAsia="es-MX"/>
        </w:rPr>
        <w:t>Perrelló</w:t>
      </w:r>
      <w:proofErr w:type="spellEnd"/>
      <w:r w:rsidRPr="00153266">
        <w:rPr>
          <w:rFonts w:asciiTheme="minorHAnsi" w:eastAsia="Calibri" w:hAnsiTheme="minorHAnsi" w:cstheme="minorHAnsi"/>
          <w:sz w:val="24"/>
          <w:szCs w:val="24"/>
          <w:lang w:val="en-US" w:eastAsia="es-MX"/>
        </w:rPr>
        <w:t xml:space="preserve"> et al., 2017)</w:t>
      </w:r>
      <w:r w:rsidRPr="00153266">
        <w:rPr>
          <w:rFonts w:asciiTheme="minorHAnsi" w:eastAsiaTheme="minorHAnsi" w:hAnsiTheme="minorHAnsi" w:cstheme="minorHAnsi"/>
          <w:sz w:val="24"/>
          <w:szCs w:val="24"/>
          <w:lang w:val="en-US" w:eastAsia="en-US"/>
        </w:rPr>
        <w:t xml:space="preserve"> and the Whisky Lake (Wilton and Selby, 2017) showings, respectively, suggest an epigenetic origin for the copper mineralization.</w:t>
      </w:r>
    </w:p>
    <w:p w14:paraId="06B6259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 </w:t>
      </w:r>
    </w:p>
    <w:p w14:paraId="14CC962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copper mineralization in the Adeline Copper thus seems to most likely be epigenetic, likely attributed to deformation associated with the Grenville Orogeny.  The mineralization occurs in quartz-carbonate vein systems, contact zones, and zones of structural weakening associated with folding and shearing. Copper mineralization occurs in two settings (Wilton, 1996): 1) Native copper-bearing quartz-carbonate veins within red slate and/or strongly </w:t>
      </w:r>
      <w:proofErr w:type="spellStart"/>
      <w:r w:rsidRPr="00153266">
        <w:rPr>
          <w:rFonts w:asciiTheme="minorHAnsi" w:eastAsiaTheme="minorHAnsi" w:hAnsiTheme="minorHAnsi" w:cstheme="minorHAnsi"/>
          <w:sz w:val="24"/>
          <w:szCs w:val="24"/>
          <w:lang w:val="en-US" w:eastAsia="en-US"/>
        </w:rPr>
        <w:t>hematized</w:t>
      </w:r>
      <w:proofErr w:type="spellEnd"/>
      <w:r w:rsidRPr="00153266">
        <w:rPr>
          <w:rFonts w:asciiTheme="minorHAnsi" w:eastAsiaTheme="minorHAnsi" w:hAnsiTheme="minorHAnsi" w:cstheme="minorHAnsi"/>
          <w:sz w:val="24"/>
          <w:szCs w:val="24"/>
          <w:lang w:val="en-US" w:eastAsia="en-US"/>
        </w:rPr>
        <w:t xml:space="preserve"> basalt units (Salmon Lake, Whiskey Lake and </w:t>
      </w:r>
      <w:proofErr w:type="spellStart"/>
      <w:r w:rsidRPr="00153266">
        <w:rPr>
          <w:rFonts w:asciiTheme="minorHAnsi" w:eastAsiaTheme="minorHAnsi" w:hAnsiTheme="minorHAnsi" w:cstheme="minorHAnsi"/>
          <w:sz w:val="24"/>
          <w:szCs w:val="24"/>
          <w:lang w:val="en-US" w:eastAsia="en-US"/>
        </w:rPr>
        <w:t>Wuschusk</w:t>
      </w:r>
      <w:proofErr w:type="spellEnd"/>
      <w:r w:rsidRPr="00153266">
        <w:rPr>
          <w:rFonts w:asciiTheme="minorHAnsi" w:eastAsiaTheme="minorHAnsi" w:hAnsiTheme="minorHAnsi" w:cstheme="minorHAnsi"/>
          <w:sz w:val="24"/>
          <w:szCs w:val="24"/>
          <w:lang w:val="en-US" w:eastAsia="en-US"/>
        </w:rPr>
        <w:t xml:space="preserve"> Lake formations), 2) Chalcocite ± bornite ± chalcopyrite stringers and quartz-carbonate veins in diabase, basalt, or grey, green to black shales, arenite and phyllite (reduced “grey beds”).  The grey bed hosted copper mineralization constitutes our primary target.</w:t>
      </w:r>
    </w:p>
    <w:p w14:paraId="07A8310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A6DA67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That said, Gandhi and Brown (1975) noted broad-scale zonation’s in the copper mineralization throughout the project area that are typical of SSC systems (e.g., </w:t>
      </w:r>
      <w:proofErr w:type="spellStart"/>
      <w:r w:rsidRPr="00153266">
        <w:rPr>
          <w:rFonts w:asciiTheme="minorHAnsi" w:eastAsiaTheme="minorHAnsi" w:hAnsiTheme="minorHAnsi" w:cstheme="minorHAnsi"/>
          <w:sz w:val="24"/>
          <w:szCs w:val="24"/>
          <w:lang w:val="en-US" w:eastAsia="en-US"/>
        </w:rPr>
        <w:t>Hitzman</w:t>
      </w:r>
      <w:proofErr w:type="spellEnd"/>
      <w:r w:rsidRPr="00153266">
        <w:rPr>
          <w:rFonts w:asciiTheme="minorHAnsi" w:eastAsiaTheme="minorHAnsi" w:hAnsiTheme="minorHAnsi" w:cstheme="minorHAnsi"/>
          <w:sz w:val="24"/>
          <w:szCs w:val="24"/>
          <w:lang w:val="en-US" w:eastAsia="en-US"/>
        </w:rPr>
        <w:t xml:space="preserve"> et al, 2005). The documented mineral zoning at Seal Lake has chalcocite and bornite-dominated mineralization grading upwards and outwards to chalcopyrite, pyrite and locally sphalerite. This sequence is observed at scales from drill sections and outcrops to thin sections (Wilton, 2015). Regardless of contradictions with their syngenetic model, Gandhi and Brown (1975) noted that the mineral zoning, with </w:t>
      </w:r>
      <w:r w:rsidRPr="00153266">
        <w:rPr>
          <w:rFonts w:ascii="Calibri" w:eastAsia="Times New Roman" w:hAnsi="Calibri" w:cs="Times New Roman"/>
          <w:sz w:val="24"/>
          <w:szCs w:val="20"/>
          <w:lang w:val="en-US" w:eastAsia="en-US"/>
        </w:rPr>
        <w:t xml:space="preserve">copper-rich </w:t>
      </w:r>
      <w:proofErr w:type="spellStart"/>
      <w:r w:rsidRPr="00153266">
        <w:rPr>
          <w:rFonts w:ascii="Calibri" w:eastAsia="Times New Roman" w:hAnsi="Calibri" w:cs="Times New Roman"/>
          <w:sz w:val="24"/>
          <w:szCs w:val="20"/>
          <w:lang w:val="en-US" w:eastAsia="en-US"/>
        </w:rPr>
        <w:t>sulphides</w:t>
      </w:r>
      <w:proofErr w:type="spellEnd"/>
      <w:r w:rsidRPr="00153266">
        <w:rPr>
          <w:rFonts w:ascii="Calibri" w:eastAsia="Times New Roman" w:hAnsi="Calibri" w:cs="Times New Roman"/>
          <w:sz w:val="24"/>
          <w:szCs w:val="20"/>
          <w:lang w:val="en-US" w:eastAsia="en-US"/>
        </w:rPr>
        <w:t xml:space="preserve"> in lower volcanic rocks and chalcopyrite and pyrite</w:t>
      </w:r>
      <w:r w:rsidRPr="00153266">
        <w:rPr>
          <w:rFonts w:asciiTheme="minorHAnsi" w:eastAsiaTheme="minorHAnsi" w:hAnsiTheme="minorHAnsi" w:cstheme="minorHAnsi"/>
          <w:sz w:val="24"/>
          <w:szCs w:val="24"/>
          <w:lang w:val="en-US" w:eastAsia="en-US"/>
        </w:rPr>
        <w:t xml:space="preserve"> </w:t>
      </w:r>
      <w:r w:rsidRPr="00153266">
        <w:rPr>
          <w:rFonts w:ascii="Calibri" w:eastAsia="Times New Roman" w:hAnsi="Calibri" w:cs="Times New Roman"/>
          <w:sz w:val="24"/>
          <w:szCs w:val="20"/>
          <w:lang w:val="en-US" w:eastAsia="en-US"/>
        </w:rPr>
        <w:t xml:space="preserve">stratigraphically higher is typical of other SSC deposits such as White Pine, </w:t>
      </w:r>
      <w:bookmarkStart w:id="38" w:name="_Hlk70858894"/>
      <w:proofErr w:type="spellStart"/>
      <w:r w:rsidRPr="00153266">
        <w:rPr>
          <w:rFonts w:ascii="Calibri" w:eastAsia="Times New Roman" w:hAnsi="Calibri" w:cs="Times New Roman"/>
          <w:sz w:val="24"/>
          <w:szCs w:val="20"/>
          <w:lang w:val="en-US" w:eastAsia="en-US"/>
        </w:rPr>
        <w:t>Kupferschiefer</w:t>
      </w:r>
      <w:proofErr w:type="spellEnd"/>
      <w:r w:rsidRPr="00153266">
        <w:rPr>
          <w:rFonts w:ascii="Calibri" w:eastAsia="Times New Roman" w:hAnsi="Calibri" w:cs="Times New Roman"/>
          <w:sz w:val="24"/>
          <w:szCs w:val="20"/>
          <w:lang w:val="en-US" w:eastAsia="en-US"/>
        </w:rPr>
        <w:t xml:space="preserve">, and the </w:t>
      </w:r>
      <w:proofErr w:type="spellStart"/>
      <w:r w:rsidRPr="00153266">
        <w:rPr>
          <w:rFonts w:ascii="Calibri" w:eastAsia="Times New Roman" w:hAnsi="Calibri" w:cs="Times New Roman"/>
          <w:sz w:val="24"/>
          <w:szCs w:val="20"/>
          <w:lang w:val="en-US" w:eastAsia="en-US"/>
        </w:rPr>
        <w:t>Katangan</w:t>
      </w:r>
      <w:proofErr w:type="spellEnd"/>
      <w:r w:rsidRPr="00153266">
        <w:rPr>
          <w:rFonts w:ascii="Calibri" w:eastAsia="Times New Roman" w:hAnsi="Calibri" w:cs="Times New Roman"/>
          <w:sz w:val="24"/>
          <w:szCs w:val="20"/>
          <w:lang w:val="en-US" w:eastAsia="en-US"/>
        </w:rPr>
        <w:t xml:space="preserve"> Copperbelt </w:t>
      </w:r>
      <w:bookmarkEnd w:id="38"/>
      <w:r w:rsidRPr="00153266">
        <w:rPr>
          <w:rFonts w:ascii="Calibri" w:eastAsia="Times New Roman" w:hAnsi="Calibri" w:cs="Times New Roman"/>
          <w:sz w:val="24"/>
          <w:szCs w:val="20"/>
          <w:lang w:val="en-US" w:eastAsia="en-US"/>
        </w:rPr>
        <w:t xml:space="preserve">despite </w:t>
      </w:r>
      <w:r w:rsidRPr="00153266">
        <w:rPr>
          <w:rFonts w:asciiTheme="minorHAnsi" w:eastAsiaTheme="minorHAnsi" w:hAnsiTheme="minorHAnsi" w:cstheme="minorHAnsi"/>
          <w:sz w:val="24"/>
          <w:szCs w:val="24"/>
          <w:lang w:val="en-US" w:eastAsia="en-US"/>
        </w:rPr>
        <w:t>the stratigraphy being repeated and disrupted by folding and faulting.</w:t>
      </w:r>
    </w:p>
    <w:p w14:paraId="3B991E8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C34999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Wilton (1996) noted that the distribution of copper minerals throughout the Seal Lake Group is also affected by the difference in oxidation state of the various rock types (i.e., oxidized vs. reduced). In volcanic rocks and sedimentary red beds of the Salmon Lake Formation copper form is predominantly as native copper, in contrast to the copper sulfide mineralization that characterizes overlying grayish sediments of the Adeline Island Formation. The oxidation state of host rocks is also reflected in the iron-bearing phases present: iron oxides in the </w:t>
      </w:r>
      <w:proofErr w:type="spellStart"/>
      <w:r w:rsidRPr="00153266">
        <w:rPr>
          <w:rFonts w:asciiTheme="minorHAnsi" w:eastAsiaTheme="minorHAnsi" w:hAnsiTheme="minorHAnsi" w:cstheme="minorHAnsi"/>
          <w:sz w:val="24"/>
          <w:szCs w:val="24"/>
          <w:lang w:val="en-US" w:eastAsia="en-US"/>
        </w:rPr>
        <w:t>redbeds</w:t>
      </w:r>
      <w:proofErr w:type="spellEnd"/>
      <w:r w:rsidRPr="00153266">
        <w:rPr>
          <w:rFonts w:asciiTheme="minorHAnsi" w:eastAsiaTheme="minorHAnsi" w:hAnsiTheme="minorHAnsi" w:cstheme="minorHAnsi"/>
          <w:sz w:val="24"/>
          <w:szCs w:val="24"/>
          <w:lang w:val="en-US" w:eastAsia="en-US"/>
        </w:rPr>
        <w:t xml:space="preserve"> and oxidized </w:t>
      </w:r>
      <w:proofErr w:type="spellStart"/>
      <w:r w:rsidRPr="00153266">
        <w:rPr>
          <w:rFonts w:asciiTheme="minorHAnsi" w:eastAsiaTheme="minorHAnsi" w:hAnsiTheme="minorHAnsi" w:cstheme="minorHAnsi"/>
          <w:sz w:val="24"/>
          <w:szCs w:val="24"/>
          <w:lang w:val="en-US" w:eastAsia="en-US"/>
        </w:rPr>
        <w:t>volcanics</w:t>
      </w:r>
      <w:proofErr w:type="spellEnd"/>
      <w:r w:rsidRPr="00153266">
        <w:rPr>
          <w:rFonts w:asciiTheme="minorHAnsi" w:eastAsiaTheme="minorHAnsi" w:hAnsiTheme="minorHAnsi" w:cstheme="minorHAnsi"/>
          <w:sz w:val="24"/>
          <w:szCs w:val="24"/>
          <w:lang w:val="en-US" w:eastAsia="en-US"/>
        </w:rPr>
        <w:t xml:space="preserve"> versus iron </w:t>
      </w:r>
      <w:proofErr w:type="spellStart"/>
      <w:r w:rsidRPr="00153266">
        <w:rPr>
          <w:rFonts w:asciiTheme="minorHAnsi" w:eastAsiaTheme="minorHAnsi" w:hAnsiTheme="minorHAnsi" w:cstheme="minorHAnsi"/>
          <w:sz w:val="24"/>
          <w:szCs w:val="24"/>
          <w:lang w:val="en-US" w:eastAsia="en-US"/>
        </w:rPr>
        <w:t>sulphides</w:t>
      </w:r>
      <w:proofErr w:type="spellEnd"/>
      <w:r w:rsidRPr="00153266">
        <w:rPr>
          <w:rFonts w:asciiTheme="minorHAnsi" w:eastAsiaTheme="minorHAnsi" w:hAnsiTheme="minorHAnsi" w:cstheme="minorHAnsi"/>
          <w:sz w:val="24"/>
          <w:szCs w:val="24"/>
          <w:lang w:val="en-US" w:eastAsia="en-US"/>
        </w:rPr>
        <w:t xml:space="preserve"> in black and green shales (Wilton, 1996). Thus, the oxidation state of host rocks is assumed to play an important role in dictating which copper minerals precipitate.</w:t>
      </w:r>
    </w:p>
    <w:p w14:paraId="08F669A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03F7C3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5.4 MINERAL RESOURCES AND MINERAL RESERVES</w:t>
      </w:r>
    </w:p>
    <w:p w14:paraId="4E8E0AD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A42126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With respect to paragraph 1113(</w:t>
      </w:r>
      <w:proofErr w:type="spellStart"/>
      <w:r w:rsidRPr="00153266">
        <w:rPr>
          <w:rFonts w:asciiTheme="minorHAnsi" w:eastAsiaTheme="minorHAnsi" w:hAnsiTheme="minorHAnsi" w:cstheme="minorHAnsi"/>
          <w:sz w:val="24"/>
          <w:szCs w:val="24"/>
          <w:lang w:val="en-US" w:eastAsia="en-US"/>
        </w:rPr>
        <w:t>i</w:t>
      </w:r>
      <w:proofErr w:type="spellEnd"/>
      <w:r w:rsidRPr="00153266">
        <w:rPr>
          <w:rFonts w:asciiTheme="minorHAnsi" w:eastAsiaTheme="minorHAnsi" w:hAnsiTheme="minorHAnsi" w:cstheme="minorHAnsi"/>
          <w:sz w:val="24"/>
          <w:szCs w:val="24"/>
          <w:lang w:val="en-US" w:eastAsia="en-US"/>
        </w:rPr>
        <w:t>)(c) Appendix I of the European Securities and Markets Authority Mining Competent Persons Report, there are no mineral resources and reserves for the Property. This is because the Adeline Copper Project is in early stages and no mineral resource and mineral reserve estimates have been produced to date by any previous workers on the Adeline Copper Project and no historic estimates of metallic minerals are known to the author.</w:t>
      </w:r>
      <w:r w:rsidRPr="00153266">
        <w:rPr>
          <w:rFonts w:asciiTheme="minorHAnsi" w:eastAsiaTheme="minorHAnsi" w:hAnsiTheme="minorHAnsi" w:cstheme="minorHAnsi"/>
          <w:sz w:val="24"/>
          <w:szCs w:val="24"/>
          <w:lang w:val="en-US" w:eastAsia="en-US"/>
        </w:rPr>
        <w:tab/>
      </w:r>
    </w:p>
    <w:p w14:paraId="13C8B36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597B39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7D25A2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869488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22412D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CF3649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066242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6.0 EXPLORATION TARGETS</w:t>
      </w:r>
    </w:p>
    <w:p w14:paraId="6985FAAE"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53EED17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Seymour et al.’s (2016) compilation of historic work, coupled with preliminary field work and petrography, suggest that there are several specific target areas in the Adeline Cooper Project, specifically along strike of the Adeline Island Formation that have the potential to host a significant copper resources, but have not been adequately tested by previous exploration programs. Four priority targets are described below and outlined in Figure 5.  Other areas with host significant mineralization require more extensive geological, </w:t>
      </w:r>
      <w:proofErr w:type="gramStart"/>
      <w:r w:rsidRPr="00153266">
        <w:rPr>
          <w:rFonts w:asciiTheme="minorHAnsi" w:eastAsiaTheme="minorHAnsi" w:hAnsiTheme="minorHAnsi" w:cstheme="minorHAnsi"/>
          <w:sz w:val="24"/>
          <w:szCs w:val="24"/>
          <w:lang w:val="en-US" w:eastAsia="en-US"/>
        </w:rPr>
        <w:t>geophysical</w:t>
      </w:r>
      <w:proofErr w:type="gramEnd"/>
      <w:r w:rsidRPr="00153266">
        <w:rPr>
          <w:rFonts w:asciiTheme="minorHAnsi" w:eastAsiaTheme="minorHAnsi" w:hAnsiTheme="minorHAnsi" w:cstheme="minorHAnsi"/>
          <w:sz w:val="24"/>
          <w:szCs w:val="24"/>
          <w:lang w:val="en-US" w:eastAsia="en-US"/>
        </w:rPr>
        <w:t xml:space="preserve"> and geochemical ground survey work.</w:t>
      </w:r>
    </w:p>
    <w:p w14:paraId="0BE755F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4D9CF5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6.1 TARGET 1: ADELINE ISLAND EAST EXTENSION </w:t>
      </w:r>
    </w:p>
    <w:p w14:paraId="72F49BB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D079F0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This Adeline Formation target extends from the shallowly east-dipping fold nose of the overturned Seal Lake under Adeline Lake through a number of copper occurrences along a strike length of approximately 10 km to the east along the northern shoreline of Adeline Lake and ultimately for 15 km along the thrusted margin of Grenville gneiss unto the Seal Lake Group. The thrust plane seems to cut off the Adeline Formation, but the exact relationships of the thrust and location of Adeline Island Formation have yet to be resolved.  The copper occurrences in this target comprise pyrite, </w:t>
      </w:r>
      <w:proofErr w:type="gramStart"/>
      <w:r w:rsidRPr="00153266">
        <w:rPr>
          <w:rFonts w:asciiTheme="minorHAnsi" w:eastAsiaTheme="minorHAnsi" w:hAnsiTheme="minorHAnsi" w:cstheme="minorHAnsi"/>
          <w:sz w:val="24"/>
          <w:szCs w:val="24"/>
          <w:lang w:val="en-US" w:eastAsia="en-US"/>
        </w:rPr>
        <w:t>chalcopyrite</w:t>
      </w:r>
      <w:proofErr w:type="gramEnd"/>
      <w:r w:rsidRPr="00153266">
        <w:rPr>
          <w:rFonts w:asciiTheme="minorHAnsi" w:eastAsiaTheme="minorHAnsi" w:hAnsiTheme="minorHAnsi" w:cstheme="minorHAnsi"/>
          <w:sz w:val="24"/>
          <w:szCs w:val="24"/>
          <w:lang w:val="en-US" w:eastAsia="en-US"/>
        </w:rPr>
        <w:t xml:space="preserve"> and lesser chalcocite </w:t>
      </w:r>
      <w:r w:rsidRPr="00153266">
        <w:rPr>
          <w:rFonts w:asciiTheme="minorHAnsi" w:eastAsiaTheme="minorHAnsi" w:hAnsiTheme="minorHAnsi" w:cstheme="minorHAnsi"/>
          <w:sz w:val="24"/>
          <w:szCs w:val="24"/>
          <w:u w:val="single"/>
          <w:lang w:val="en-US" w:eastAsia="en-US"/>
        </w:rPr>
        <w:t>+</w:t>
      </w:r>
      <w:r w:rsidRPr="00153266">
        <w:rPr>
          <w:rFonts w:asciiTheme="minorHAnsi" w:eastAsiaTheme="minorHAnsi" w:hAnsiTheme="minorHAnsi" w:cstheme="minorHAnsi"/>
          <w:sz w:val="24"/>
          <w:szCs w:val="24"/>
          <w:lang w:val="en-US" w:eastAsia="en-US"/>
        </w:rPr>
        <w:t xml:space="preserve"> bornite located in the upper portions of the Adeline Island Formation stratigraphy. As such, these occurrences would seem to be above the main mineralized horizon and thus could represent distal mineral zonation from the main mineralized zone.  </w:t>
      </w:r>
    </w:p>
    <w:p w14:paraId="186C31F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9C4F46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Approximately 4 km east of Adeline Island on the north shore of Adeline Lake, both BRINEX and Playfair attempted to drill a BRINEX soil anomaly (up to 560 ppm copper), but neither drill program apparently fully penetrated the Adeline Formation or explained the soil anomaly.</w:t>
      </w:r>
    </w:p>
    <w:p w14:paraId="63E18F1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F3BB74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Ten km east of Adeline Island, Playfair drill hole SL-11-22 intersected ca. 140 m of near continuous grey, green and black shale with pyrite and minor chalcopyrite yielding weakly anomalous copper values averaging 108 ppm over the 146 m composited interval. This drill hole suggests that thicknesses of the Adeline Island Formation on the southern edge of the synclinorium might be quite substantial.</w:t>
      </w:r>
    </w:p>
    <w:p w14:paraId="10F4038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C3823D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presence of pyrite and chalcopyrite in outcrops and drill holes from this target area along with anomalous Zn in lake sediments along the eastern end of the target area may represent the potential outer ‘fringes’ of a copper-mineralized system. Detailed mapping and re-logging of the drill core from this area is recommended to understand the structure and define drill targets. This target area covers a strike length of 10-15 km of favorable stratigraphy that has not been thoroughly tested, there are discrepancies in mapping with respect to the extent of the Adeline Island Formation, and the relationship with thrust faulting remains unresolved. </w:t>
      </w:r>
    </w:p>
    <w:p w14:paraId="10C4BC9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684991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7F2013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A24759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6.2 TARGET 2: ADELINE TO ELLIS </w:t>
      </w:r>
    </w:p>
    <w:p w14:paraId="13C0E67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A55782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The Adeline Island Formation between the Adeline Island and Ellis occurrences, two of the most significant occurrences in the Project area, has not been thoroughly examined. This is </w:t>
      </w:r>
      <w:proofErr w:type="gramStart"/>
      <w:r w:rsidRPr="00153266">
        <w:rPr>
          <w:rFonts w:asciiTheme="minorHAnsi" w:eastAsiaTheme="minorHAnsi" w:hAnsiTheme="minorHAnsi" w:cstheme="minorHAnsi"/>
          <w:sz w:val="24"/>
          <w:szCs w:val="24"/>
          <w:lang w:val="en-US" w:eastAsia="en-US"/>
        </w:rPr>
        <w:t>in spite of</w:t>
      </w:r>
      <w:proofErr w:type="gramEnd"/>
      <w:r w:rsidRPr="00153266">
        <w:rPr>
          <w:rFonts w:asciiTheme="minorHAnsi" w:eastAsiaTheme="minorHAnsi" w:hAnsiTheme="minorHAnsi" w:cstheme="minorHAnsi"/>
          <w:sz w:val="24"/>
          <w:szCs w:val="24"/>
          <w:lang w:val="en-US" w:eastAsia="en-US"/>
        </w:rPr>
        <w:t xml:space="preserve"> fact that it occupies portions the western fold nose of the Seal Lake syncline, an ideal potential structural trap for copper deposition. BRINEX drilled five holes along the target area, but none </w:t>
      </w:r>
      <w:r w:rsidRPr="00153266">
        <w:rPr>
          <w:rFonts w:asciiTheme="minorHAnsi" w:eastAsiaTheme="minorHAnsi" w:hAnsiTheme="minorHAnsi" w:cstheme="minorHAnsi"/>
          <w:sz w:val="24"/>
          <w:szCs w:val="24"/>
          <w:lang w:val="en-US" w:eastAsia="en-US"/>
        </w:rPr>
        <w:lastRenderedPageBreak/>
        <w:t>were deep enough to intersect the middle to lower units of the Adeline Island Formation. Three holes drilled by Playfair in the target area were not deep enough to intersect the favorable middle and lower units of the Adeline Island Formation</w:t>
      </w:r>
    </w:p>
    <w:p w14:paraId="6BEF811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E37C15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imes New Roman" w:eastAsiaTheme="minorHAnsi" w:hAnsi="Times New Roman" w:cstheme="minorBidi"/>
          <w:noProof/>
          <w:lang w:val="en-US" w:eastAsia="en-US"/>
        </w:rPr>
        <w:drawing>
          <wp:inline distT="0" distB="0" distL="0" distR="0" wp14:anchorId="44DE5A39" wp14:editId="21380EFB">
            <wp:extent cx="5943600" cy="45967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596765"/>
                    </a:xfrm>
                    <a:prstGeom prst="rect">
                      <a:avLst/>
                    </a:prstGeom>
                    <a:noFill/>
                    <a:ln>
                      <a:noFill/>
                    </a:ln>
                  </pic:spPr>
                </pic:pic>
              </a:graphicData>
            </a:graphic>
          </wp:inline>
        </w:drawing>
      </w:r>
    </w:p>
    <w:p w14:paraId="347F595E" w14:textId="6CC23139"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b/>
          <w:bCs/>
          <w:sz w:val="24"/>
          <w:szCs w:val="24"/>
          <w:lang w:val="en-US" w:eastAsia="en-US"/>
        </w:rPr>
        <w:t>Figure 5</w:t>
      </w:r>
      <w:r w:rsidRPr="00153266">
        <w:rPr>
          <w:rFonts w:asciiTheme="minorHAnsi" w:eastAsiaTheme="minorHAnsi" w:hAnsiTheme="minorHAnsi" w:cstheme="minorHAnsi"/>
          <w:sz w:val="24"/>
          <w:szCs w:val="24"/>
          <w:lang w:val="en-US" w:eastAsia="en-US"/>
        </w:rPr>
        <w:t xml:space="preserve">.  Geology map of the Seal Lake Group (after Brummer and Mann, 1961) with locations of Adeline Copper Project mineral claim licenses, copper occurrences and Main Exploration Target areas. Target 1 – Adeline Island East Extension Target, Target 2 – Adeline to Ellis Target, Target 3 – Ellis Target and Target 4 – Duck lake East Target. </w:t>
      </w:r>
    </w:p>
    <w:p w14:paraId="14944B4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E0B3F5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6.3 TARGET 3: ELLIS </w:t>
      </w:r>
    </w:p>
    <w:p w14:paraId="60898D9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809173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Playfair drilling at the Ellis occurrence intersected up to 1.76% Cu and 56.2 g/t Ag over 7.9 m (SL-11-10; Moore, 2011) indicating a considerable thicknesses of significant grade mineralization within the Adeline Island Formation. This mineralized zone was successfully tested in four other holes to a vertical depth of 125 m and 100 m along strike. Attempts to step out further along strike from the main occurrence, however, were unsuccessful but drill logs indicate that they intersected either the underlying Salmon Lake Formation or upper units of the Adeline Island Formation.</w:t>
      </w:r>
      <w:r w:rsidRPr="00153266" w:rsidDel="00A174F6">
        <w:rPr>
          <w:rFonts w:asciiTheme="minorHAnsi" w:eastAsiaTheme="minorHAnsi" w:hAnsiTheme="minorHAnsi" w:cstheme="minorHAnsi"/>
          <w:sz w:val="24"/>
          <w:szCs w:val="24"/>
          <w:lang w:val="en-US" w:eastAsia="en-US"/>
        </w:rPr>
        <w:t xml:space="preserve"> </w:t>
      </w:r>
      <w:r w:rsidRPr="00153266">
        <w:rPr>
          <w:rFonts w:asciiTheme="minorHAnsi" w:eastAsiaTheme="minorHAnsi" w:hAnsiTheme="minorHAnsi" w:cstheme="minorHAnsi"/>
          <w:sz w:val="24"/>
          <w:szCs w:val="24"/>
          <w:lang w:val="en-US" w:eastAsia="en-US"/>
        </w:rPr>
        <w:t xml:space="preserve">It should be noted that the stratigraphy in area is complicated by folding and faulting.  To be fully evaluated, the target requires detailed re-logging of core and detailed geological mapping. </w:t>
      </w:r>
    </w:p>
    <w:p w14:paraId="2FCD935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C9B61E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6.4 TARGET 4: DUCK LAKE EAST </w:t>
      </w:r>
    </w:p>
    <w:p w14:paraId="7008A6B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6F0068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This target constitutes chalcocite-bearing Adeline Island Formation grey shales and quartzite beds. that appear to be structurally repeated, producing a thicker sequence of potentially </w:t>
      </w:r>
      <w:r w:rsidRPr="00153266">
        <w:rPr>
          <w:rFonts w:asciiTheme="minorHAnsi" w:eastAsiaTheme="minorHAnsi" w:hAnsiTheme="minorHAnsi" w:cstheme="minorHAnsi"/>
          <w:sz w:val="24"/>
          <w:szCs w:val="24"/>
          <w:lang w:val="en-US" w:eastAsia="en-US"/>
        </w:rPr>
        <w:lastRenderedPageBreak/>
        <w:t xml:space="preserve">mineralized shale. Despite the number of copper occurrences discovered along this stratigraphic horizon of the Adeline Island Formation, there are no detailed geological maps, diamond drilling or even soil surveys. This target horizon constitutes a ca. 12 km strike length of Adeline Island Formation with known, undrilled copper occurrences. </w:t>
      </w:r>
    </w:p>
    <w:p w14:paraId="1138543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903D1F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29BDB7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344DF0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42D4CE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8EB7A8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CC8739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7.0 DISCUSSION AND CONCLUSIONS</w:t>
      </w:r>
    </w:p>
    <w:p w14:paraId="310867DD"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2A855FA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bookmarkStart w:id="39" w:name="_Hlk70858937"/>
      <w:r w:rsidRPr="00153266">
        <w:rPr>
          <w:rFonts w:asciiTheme="minorHAnsi" w:eastAsiaTheme="minorHAnsi" w:hAnsiTheme="minorHAnsi" w:cstheme="minorHAnsi"/>
          <w:sz w:val="24"/>
          <w:szCs w:val="24"/>
          <w:lang w:val="en-US" w:eastAsia="en-US"/>
        </w:rPr>
        <w:t xml:space="preserve">The Adeline Copper Project clearly demonstrates the potential for sediment-hosted copper (SSC) mineralization as reduced grey beds of the Adeline Island Formation host significant copper concentrations.   Historic exploration campaigns at Seal Lake sought small, very </w:t>
      </w:r>
      <w:proofErr w:type="gramStart"/>
      <w:r w:rsidRPr="00153266">
        <w:rPr>
          <w:rFonts w:asciiTheme="minorHAnsi" w:eastAsiaTheme="minorHAnsi" w:hAnsiTheme="minorHAnsi" w:cstheme="minorHAnsi"/>
          <w:sz w:val="24"/>
          <w:szCs w:val="24"/>
          <w:lang w:val="en-US" w:eastAsia="en-US"/>
        </w:rPr>
        <w:t>high grade</w:t>
      </w:r>
      <w:proofErr w:type="gramEnd"/>
      <w:r w:rsidRPr="00153266">
        <w:rPr>
          <w:rFonts w:asciiTheme="minorHAnsi" w:eastAsiaTheme="minorHAnsi" w:hAnsiTheme="minorHAnsi" w:cstheme="minorHAnsi"/>
          <w:sz w:val="24"/>
          <w:szCs w:val="24"/>
          <w:lang w:val="en-US" w:eastAsia="en-US"/>
        </w:rPr>
        <w:t xml:space="preserve"> copper deposit models as shown by the programs of shallow drilling and short step outs, more recent programs lacked sustained effort or focus. </w:t>
      </w:r>
    </w:p>
    <w:bookmarkEnd w:id="39"/>
    <w:p w14:paraId="59B45A3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6F6FA0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bookmarkStart w:id="40" w:name="_Hlk70859115"/>
      <w:r w:rsidRPr="00153266">
        <w:rPr>
          <w:rFonts w:asciiTheme="minorHAnsi" w:eastAsiaTheme="minorHAnsi" w:hAnsiTheme="minorHAnsi" w:cstheme="minorHAnsi"/>
          <w:sz w:val="24"/>
          <w:szCs w:val="24"/>
          <w:lang w:val="en-US" w:eastAsia="en-US"/>
        </w:rPr>
        <w:t xml:space="preserve">For all four target areas it is recommended that a program of core re-logging, detailed geological mapping, </w:t>
      </w:r>
      <w:proofErr w:type="gramStart"/>
      <w:r w:rsidRPr="00153266">
        <w:rPr>
          <w:rFonts w:asciiTheme="minorHAnsi" w:eastAsiaTheme="minorHAnsi" w:hAnsiTheme="minorHAnsi" w:cstheme="minorHAnsi"/>
          <w:sz w:val="24"/>
          <w:szCs w:val="24"/>
          <w:lang w:val="en-US" w:eastAsia="en-US"/>
        </w:rPr>
        <w:t>prospecting</w:t>
      </w:r>
      <w:proofErr w:type="gramEnd"/>
      <w:r w:rsidRPr="00153266">
        <w:rPr>
          <w:rFonts w:asciiTheme="minorHAnsi" w:eastAsiaTheme="minorHAnsi" w:hAnsiTheme="minorHAnsi" w:cstheme="minorHAnsi"/>
          <w:sz w:val="24"/>
          <w:szCs w:val="24"/>
          <w:lang w:val="en-US" w:eastAsia="en-US"/>
        </w:rPr>
        <w:t xml:space="preserve"> and soil sampling be carried out as the first phase of a work program to identify drill targets within the target areas. </w:t>
      </w:r>
      <w:bookmarkEnd w:id="40"/>
      <w:r w:rsidRPr="00153266">
        <w:rPr>
          <w:rFonts w:asciiTheme="minorHAnsi" w:eastAsiaTheme="minorHAnsi" w:hAnsiTheme="minorHAnsi" w:cstheme="minorHAnsi"/>
          <w:sz w:val="24"/>
          <w:szCs w:val="24"/>
          <w:lang w:val="en-US" w:eastAsia="en-US"/>
        </w:rPr>
        <w:t xml:space="preserve">Much of the Adeline Island Formation underlies low valleys and/or lakes, in contrast with the steep ridges and cliff faces the more resistant Upper Red Quartzite Formation and Salmon Lake Formation basalts, that dominate the topography of the area. The recessive characteristic of the Adeline Island Formation means that the unit is typically not exposed, and thus full continuity and </w:t>
      </w:r>
      <w:proofErr w:type="spellStart"/>
      <w:r w:rsidRPr="00153266">
        <w:rPr>
          <w:rFonts w:asciiTheme="minorHAnsi" w:eastAsiaTheme="minorHAnsi" w:hAnsiTheme="minorHAnsi" w:cstheme="minorHAnsi"/>
          <w:sz w:val="24"/>
          <w:szCs w:val="24"/>
          <w:lang w:val="en-US" w:eastAsia="en-US"/>
        </w:rPr>
        <w:t>prospectivity</w:t>
      </w:r>
      <w:proofErr w:type="spellEnd"/>
      <w:r w:rsidRPr="00153266">
        <w:rPr>
          <w:rFonts w:asciiTheme="minorHAnsi" w:eastAsiaTheme="minorHAnsi" w:hAnsiTheme="minorHAnsi" w:cstheme="minorHAnsi"/>
          <w:sz w:val="24"/>
          <w:szCs w:val="24"/>
          <w:lang w:val="en-US" w:eastAsia="en-US"/>
        </w:rPr>
        <w:t xml:space="preserve"> may be under-represented on existing geological maps. Geochemical techniques such as soil and/or till sampling, in conjunction with detailed geological and structural mapping, will aid in the identification and evaluation such potentially mineralized areas. </w:t>
      </w:r>
    </w:p>
    <w:p w14:paraId="7BE2C1E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535690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D09F3C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1D8E2E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88626D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D8DCFD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46C3A7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70C81C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5DBD49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D774CC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4C9DA7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ECEF57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4AB1E08" w14:textId="70E75609" w:rsid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5DC7AB2" w14:textId="265C005E"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286D9CF" w14:textId="7A5EB4DC" w:rsidR="00013417"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E4D53E2" w14:textId="77777777" w:rsidR="00013417" w:rsidRPr="00153266" w:rsidRDefault="00013417"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3AC104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AF8E82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9F000A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230316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DE5266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AFEDDF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E9513BB" w14:textId="77777777" w:rsidR="00153266" w:rsidRPr="00153266" w:rsidRDefault="00153266" w:rsidP="00512495">
      <w:pPr>
        <w:widowControl/>
        <w:numPr>
          <w:ilvl w:val="0"/>
          <w:numId w:val="40"/>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lastRenderedPageBreak/>
        <w:t>RECOMMENDATIONS</w:t>
      </w:r>
    </w:p>
    <w:p w14:paraId="6822DB13" w14:textId="77777777" w:rsidR="00153266" w:rsidRPr="00153266" w:rsidRDefault="00153266" w:rsidP="00153266">
      <w:pPr>
        <w:widowControl/>
        <w:autoSpaceDE/>
        <w:autoSpaceDN/>
        <w:adjustRightInd/>
        <w:ind w:left="720" w:right="1164"/>
        <w:contextualSpacing/>
        <w:jc w:val="both"/>
        <w:rPr>
          <w:rFonts w:asciiTheme="minorHAnsi" w:eastAsiaTheme="minorHAnsi" w:hAnsiTheme="minorHAnsi" w:cstheme="minorHAnsi"/>
          <w:sz w:val="24"/>
          <w:szCs w:val="24"/>
          <w:lang w:val="en-US" w:eastAsia="en-US"/>
        </w:rPr>
      </w:pPr>
    </w:p>
    <w:p w14:paraId="1C3B68B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 proposed program comprising 8-10 weeks of core re-logging/sampling, boat- and helicopter -supported detailed mapping, prospecting, rock sampling and geochemical surveys (soil sampling) with a crew of 6 persons working from the community of Happy Valley Goose Bay and/or from small, temporary campsites is recommended. The primary objective of the program will be evaluating the four priority target areas to identify drill targets for future testing.</w:t>
      </w:r>
    </w:p>
    <w:p w14:paraId="2E2CA47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1AD883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94EDDB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19DE4B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15B584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8559C6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75E707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D0C6D8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b/>
        <w:t>8.1 BUDGET</w:t>
      </w:r>
    </w:p>
    <w:tbl>
      <w:tblPr>
        <w:tblW w:w="4634" w:type="dxa"/>
        <w:jc w:val="center"/>
        <w:tblLook w:val="04A0" w:firstRow="1" w:lastRow="0" w:firstColumn="1" w:lastColumn="0" w:noHBand="0" w:noVBand="1"/>
      </w:tblPr>
      <w:tblGrid>
        <w:gridCol w:w="2947"/>
        <w:gridCol w:w="2382"/>
      </w:tblGrid>
      <w:tr w:rsidR="00153266" w:rsidRPr="00153266" w14:paraId="5D465626" w14:textId="77777777" w:rsidTr="00153266">
        <w:trPr>
          <w:trHeight w:val="288"/>
          <w:jc w:val="center"/>
        </w:trPr>
        <w:tc>
          <w:tcPr>
            <w:tcW w:w="2860" w:type="dxa"/>
            <w:tcBorders>
              <w:top w:val="nil"/>
              <w:left w:val="nil"/>
              <w:bottom w:val="nil"/>
              <w:right w:val="nil"/>
            </w:tcBorders>
            <w:shd w:val="clear" w:color="auto" w:fill="auto"/>
            <w:noWrap/>
            <w:vAlign w:val="bottom"/>
            <w:hideMark/>
          </w:tcPr>
          <w:p w14:paraId="60D31821" w14:textId="77777777" w:rsidR="00153266" w:rsidRPr="00153266" w:rsidRDefault="00153266" w:rsidP="00153266">
            <w:pPr>
              <w:widowControl/>
              <w:autoSpaceDE/>
              <w:autoSpaceDN/>
              <w:adjustRightInd/>
              <w:ind w:right="1164"/>
              <w:jc w:val="both"/>
              <w:rPr>
                <w:rFonts w:eastAsia="Times New Roman"/>
                <w:b/>
                <w:bCs/>
                <w:color w:val="000000"/>
                <w:lang w:val="en-CA" w:eastAsia="en-CA"/>
              </w:rPr>
            </w:pPr>
            <w:r w:rsidRPr="00153266">
              <w:rPr>
                <w:rFonts w:eastAsia="Times New Roman"/>
                <w:b/>
                <w:bCs/>
                <w:color w:val="000000"/>
                <w:lang w:val="en-CA" w:eastAsia="en-CA"/>
              </w:rPr>
              <w:t>Budget for Phase 1</w:t>
            </w:r>
          </w:p>
        </w:tc>
        <w:tc>
          <w:tcPr>
            <w:tcW w:w="1774" w:type="dxa"/>
            <w:tcBorders>
              <w:top w:val="nil"/>
              <w:left w:val="nil"/>
              <w:bottom w:val="nil"/>
              <w:right w:val="nil"/>
            </w:tcBorders>
            <w:shd w:val="clear" w:color="auto" w:fill="auto"/>
            <w:noWrap/>
            <w:vAlign w:val="bottom"/>
            <w:hideMark/>
          </w:tcPr>
          <w:p w14:paraId="1D519177" w14:textId="77777777" w:rsidR="00153266" w:rsidRPr="00153266" w:rsidRDefault="00153266" w:rsidP="00153266">
            <w:pPr>
              <w:widowControl/>
              <w:autoSpaceDE/>
              <w:autoSpaceDN/>
              <w:adjustRightInd/>
              <w:ind w:right="1164"/>
              <w:jc w:val="both"/>
              <w:rPr>
                <w:rFonts w:eastAsia="Times New Roman"/>
                <w:b/>
                <w:bCs/>
                <w:color w:val="000000"/>
                <w:lang w:val="en-CA" w:eastAsia="en-CA"/>
              </w:rPr>
            </w:pPr>
          </w:p>
        </w:tc>
      </w:tr>
      <w:tr w:rsidR="00153266" w:rsidRPr="00153266" w14:paraId="56C45815" w14:textId="77777777" w:rsidTr="00153266">
        <w:trPr>
          <w:trHeight w:val="288"/>
          <w:jc w:val="center"/>
        </w:trPr>
        <w:tc>
          <w:tcPr>
            <w:tcW w:w="2860" w:type="dxa"/>
            <w:tcBorders>
              <w:top w:val="nil"/>
              <w:left w:val="nil"/>
              <w:bottom w:val="nil"/>
              <w:right w:val="nil"/>
            </w:tcBorders>
            <w:shd w:val="clear" w:color="000000" w:fill="D9E1F2"/>
            <w:noWrap/>
            <w:vAlign w:val="center"/>
            <w:hideMark/>
          </w:tcPr>
          <w:p w14:paraId="6E63DA6D" w14:textId="77777777" w:rsidR="00153266" w:rsidRPr="00153266" w:rsidRDefault="00153266" w:rsidP="00153266">
            <w:pPr>
              <w:widowControl/>
              <w:autoSpaceDE/>
              <w:autoSpaceDN/>
              <w:adjustRightInd/>
              <w:ind w:right="1164"/>
              <w:jc w:val="both"/>
              <w:rPr>
                <w:rFonts w:eastAsia="Times New Roman"/>
                <w:b/>
                <w:bCs/>
                <w:lang w:val="en-CA" w:eastAsia="en-CA"/>
              </w:rPr>
            </w:pPr>
            <w:r w:rsidRPr="00153266">
              <w:rPr>
                <w:rFonts w:eastAsia="Times New Roman"/>
                <w:b/>
                <w:bCs/>
                <w:lang w:val="en-CA" w:eastAsia="en-CA"/>
              </w:rPr>
              <w:t>Item</w:t>
            </w:r>
          </w:p>
        </w:tc>
        <w:tc>
          <w:tcPr>
            <w:tcW w:w="1774" w:type="dxa"/>
            <w:tcBorders>
              <w:top w:val="nil"/>
              <w:left w:val="nil"/>
              <w:bottom w:val="nil"/>
              <w:right w:val="nil"/>
            </w:tcBorders>
            <w:shd w:val="clear" w:color="000000" w:fill="D9E1F2"/>
            <w:noWrap/>
            <w:vAlign w:val="center"/>
            <w:hideMark/>
          </w:tcPr>
          <w:p w14:paraId="07BF73A6" w14:textId="77777777" w:rsidR="00153266" w:rsidRPr="00153266" w:rsidRDefault="00153266" w:rsidP="00153266">
            <w:pPr>
              <w:widowControl/>
              <w:autoSpaceDE/>
              <w:autoSpaceDN/>
              <w:adjustRightInd/>
              <w:ind w:right="1164"/>
              <w:jc w:val="both"/>
              <w:rPr>
                <w:rFonts w:eastAsia="Times New Roman"/>
                <w:b/>
                <w:bCs/>
                <w:lang w:val="en-CA" w:eastAsia="en-CA"/>
              </w:rPr>
            </w:pPr>
            <w:r w:rsidRPr="00153266">
              <w:rPr>
                <w:rFonts w:eastAsia="Times New Roman"/>
                <w:b/>
                <w:bCs/>
                <w:lang w:val="en-CA" w:eastAsia="en-CA"/>
              </w:rPr>
              <w:t xml:space="preserve"> Totals </w:t>
            </w:r>
          </w:p>
        </w:tc>
      </w:tr>
      <w:tr w:rsidR="00153266" w:rsidRPr="00153266" w14:paraId="2B0BFA35"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457400FC" w14:textId="77777777" w:rsidR="00153266" w:rsidRPr="00153266" w:rsidRDefault="00153266" w:rsidP="00153266">
            <w:pPr>
              <w:widowControl/>
              <w:autoSpaceDE/>
              <w:autoSpaceDN/>
              <w:adjustRightInd/>
              <w:ind w:right="1164"/>
              <w:jc w:val="both"/>
              <w:rPr>
                <w:rFonts w:eastAsia="Times New Roman"/>
                <w:b/>
                <w:bCs/>
                <w:lang w:val="en-CA" w:eastAsia="en-CA"/>
              </w:rPr>
            </w:pPr>
          </w:p>
        </w:tc>
        <w:tc>
          <w:tcPr>
            <w:tcW w:w="1774" w:type="dxa"/>
            <w:tcBorders>
              <w:top w:val="nil"/>
              <w:left w:val="nil"/>
              <w:bottom w:val="nil"/>
              <w:right w:val="nil"/>
            </w:tcBorders>
            <w:shd w:val="clear" w:color="auto" w:fill="auto"/>
            <w:noWrap/>
            <w:vAlign w:val="center"/>
            <w:hideMark/>
          </w:tcPr>
          <w:p w14:paraId="0E5697D8" w14:textId="77777777" w:rsidR="00153266" w:rsidRPr="00153266" w:rsidRDefault="00153266" w:rsidP="00153266">
            <w:pPr>
              <w:widowControl/>
              <w:autoSpaceDE/>
              <w:autoSpaceDN/>
              <w:adjustRightInd/>
              <w:ind w:right="1164"/>
              <w:jc w:val="both"/>
              <w:rPr>
                <w:rFonts w:ascii="Times New Roman" w:eastAsia="Times New Roman" w:hAnsi="Times New Roman" w:cs="Times New Roman"/>
                <w:sz w:val="20"/>
                <w:szCs w:val="20"/>
                <w:lang w:val="en-CA" w:eastAsia="en-CA"/>
              </w:rPr>
            </w:pPr>
          </w:p>
        </w:tc>
      </w:tr>
      <w:tr w:rsidR="00153266" w:rsidRPr="00153266" w14:paraId="69BF6037"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058A9AB3"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 xml:space="preserve">Airfares/charter </w:t>
            </w:r>
          </w:p>
        </w:tc>
        <w:tc>
          <w:tcPr>
            <w:tcW w:w="1774" w:type="dxa"/>
            <w:tcBorders>
              <w:top w:val="nil"/>
              <w:left w:val="nil"/>
              <w:bottom w:val="nil"/>
              <w:right w:val="nil"/>
            </w:tcBorders>
            <w:shd w:val="clear" w:color="000000" w:fill="FCE4D6"/>
            <w:noWrap/>
            <w:vAlign w:val="center"/>
            <w:hideMark/>
          </w:tcPr>
          <w:p w14:paraId="315D7788"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£163,000</w:t>
            </w:r>
          </w:p>
        </w:tc>
      </w:tr>
      <w:tr w:rsidR="00153266" w:rsidRPr="00153266" w14:paraId="1B94A74B"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6DDB0694"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Accommodation</w:t>
            </w:r>
          </w:p>
        </w:tc>
        <w:tc>
          <w:tcPr>
            <w:tcW w:w="1774" w:type="dxa"/>
            <w:tcBorders>
              <w:top w:val="nil"/>
              <w:left w:val="nil"/>
              <w:bottom w:val="nil"/>
              <w:right w:val="nil"/>
            </w:tcBorders>
            <w:shd w:val="clear" w:color="000000" w:fill="FCE4D6"/>
            <w:noWrap/>
            <w:vAlign w:val="center"/>
            <w:hideMark/>
          </w:tcPr>
          <w:p w14:paraId="06984B7D"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£33,000</w:t>
            </w:r>
          </w:p>
        </w:tc>
      </w:tr>
      <w:tr w:rsidR="00153266" w:rsidRPr="00153266" w14:paraId="5BCB6730"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30E2BA85"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Wages</w:t>
            </w:r>
          </w:p>
        </w:tc>
        <w:tc>
          <w:tcPr>
            <w:tcW w:w="1774" w:type="dxa"/>
            <w:tcBorders>
              <w:top w:val="nil"/>
              <w:left w:val="nil"/>
              <w:bottom w:val="nil"/>
              <w:right w:val="nil"/>
            </w:tcBorders>
            <w:shd w:val="clear" w:color="000000" w:fill="FCE4D6"/>
            <w:noWrap/>
            <w:vAlign w:val="center"/>
            <w:hideMark/>
          </w:tcPr>
          <w:p w14:paraId="051A44BB"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£26,000</w:t>
            </w:r>
          </w:p>
        </w:tc>
      </w:tr>
      <w:tr w:rsidR="00153266" w:rsidRPr="00153266" w14:paraId="166D65D3"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2542918D"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Consultants and costs</w:t>
            </w:r>
          </w:p>
        </w:tc>
        <w:tc>
          <w:tcPr>
            <w:tcW w:w="1774" w:type="dxa"/>
            <w:tcBorders>
              <w:top w:val="nil"/>
              <w:left w:val="nil"/>
              <w:bottom w:val="nil"/>
              <w:right w:val="nil"/>
            </w:tcBorders>
            <w:shd w:val="clear" w:color="000000" w:fill="FCE4D6"/>
            <w:noWrap/>
            <w:vAlign w:val="center"/>
            <w:hideMark/>
          </w:tcPr>
          <w:p w14:paraId="05D6A465"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£101,500</w:t>
            </w:r>
          </w:p>
        </w:tc>
      </w:tr>
      <w:tr w:rsidR="00153266" w:rsidRPr="00153266" w14:paraId="0768BAC2"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7DE80CCA"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Equipment</w:t>
            </w:r>
          </w:p>
        </w:tc>
        <w:tc>
          <w:tcPr>
            <w:tcW w:w="1774" w:type="dxa"/>
            <w:tcBorders>
              <w:top w:val="nil"/>
              <w:left w:val="nil"/>
              <w:bottom w:val="nil"/>
              <w:right w:val="nil"/>
            </w:tcBorders>
            <w:shd w:val="clear" w:color="000000" w:fill="FCE4D6"/>
            <w:noWrap/>
            <w:vAlign w:val="center"/>
            <w:hideMark/>
          </w:tcPr>
          <w:p w14:paraId="4A3FA9FA"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£7,000</w:t>
            </w:r>
          </w:p>
        </w:tc>
      </w:tr>
      <w:tr w:rsidR="00153266" w:rsidRPr="00153266" w14:paraId="4FB51DB0"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57D15D45"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Analytical</w:t>
            </w:r>
          </w:p>
        </w:tc>
        <w:tc>
          <w:tcPr>
            <w:tcW w:w="1774" w:type="dxa"/>
            <w:tcBorders>
              <w:top w:val="nil"/>
              <w:left w:val="nil"/>
              <w:bottom w:val="nil"/>
              <w:right w:val="nil"/>
            </w:tcBorders>
            <w:shd w:val="clear" w:color="000000" w:fill="FCE4D6"/>
            <w:noWrap/>
            <w:vAlign w:val="center"/>
            <w:hideMark/>
          </w:tcPr>
          <w:p w14:paraId="15F41422"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£24,000</w:t>
            </w:r>
          </w:p>
        </w:tc>
      </w:tr>
      <w:tr w:rsidR="00153266" w:rsidRPr="00153266" w14:paraId="36F62067" w14:textId="77777777" w:rsidTr="00153266">
        <w:trPr>
          <w:trHeight w:val="288"/>
          <w:jc w:val="center"/>
        </w:trPr>
        <w:tc>
          <w:tcPr>
            <w:tcW w:w="2860" w:type="dxa"/>
            <w:tcBorders>
              <w:top w:val="nil"/>
              <w:left w:val="nil"/>
              <w:bottom w:val="nil"/>
              <w:right w:val="nil"/>
            </w:tcBorders>
            <w:shd w:val="clear" w:color="auto" w:fill="auto"/>
            <w:noWrap/>
            <w:vAlign w:val="center"/>
            <w:hideMark/>
          </w:tcPr>
          <w:p w14:paraId="7240D1C2"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 xml:space="preserve">Contingency </w:t>
            </w:r>
          </w:p>
        </w:tc>
        <w:tc>
          <w:tcPr>
            <w:tcW w:w="1774" w:type="dxa"/>
            <w:tcBorders>
              <w:top w:val="nil"/>
              <w:left w:val="nil"/>
              <w:bottom w:val="nil"/>
              <w:right w:val="nil"/>
            </w:tcBorders>
            <w:shd w:val="clear" w:color="000000" w:fill="FCE4D6"/>
            <w:noWrap/>
            <w:vAlign w:val="center"/>
            <w:hideMark/>
          </w:tcPr>
          <w:p w14:paraId="3BBC041A"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£15,065</w:t>
            </w:r>
          </w:p>
        </w:tc>
      </w:tr>
      <w:tr w:rsidR="00153266" w:rsidRPr="00153266" w14:paraId="331950EE" w14:textId="77777777" w:rsidTr="00153266">
        <w:trPr>
          <w:trHeight w:val="288"/>
          <w:jc w:val="center"/>
        </w:trPr>
        <w:tc>
          <w:tcPr>
            <w:tcW w:w="2860" w:type="dxa"/>
            <w:tcBorders>
              <w:top w:val="nil"/>
              <w:left w:val="nil"/>
              <w:bottom w:val="nil"/>
              <w:right w:val="nil"/>
            </w:tcBorders>
            <w:shd w:val="clear" w:color="auto" w:fill="auto"/>
            <w:noWrap/>
            <w:vAlign w:val="center"/>
          </w:tcPr>
          <w:p w14:paraId="1B45E9C9"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HST 15%</w:t>
            </w:r>
          </w:p>
        </w:tc>
        <w:tc>
          <w:tcPr>
            <w:tcW w:w="1774" w:type="dxa"/>
            <w:tcBorders>
              <w:top w:val="nil"/>
              <w:left w:val="nil"/>
              <w:bottom w:val="nil"/>
              <w:right w:val="nil"/>
            </w:tcBorders>
            <w:shd w:val="clear" w:color="000000" w:fill="FCE4D6"/>
            <w:noWrap/>
            <w:vAlign w:val="center"/>
          </w:tcPr>
          <w:p w14:paraId="642679BE" w14:textId="77777777" w:rsidR="00153266" w:rsidRPr="00153266" w:rsidRDefault="00153266" w:rsidP="00153266">
            <w:pPr>
              <w:widowControl/>
              <w:autoSpaceDE/>
              <w:autoSpaceDN/>
              <w:adjustRightInd/>
              <w:ind w:right="1164"/>
              <w:jc w:val="both"/>
              <w:rPr>
                <w:rFonts w:eastAsia="Times New Roman"/>
                <w:b/>
                <w:bCs/>
                <w:sz w:val="20"/>
                <w:szCs w:val="20"/>
                <w:lang w:val="en-CA" w:eastAsia="en-CA"/>
              </w:rPr>
            </w:pPr>
            <w:r w:rsidRPr="00153266">
              <w:rPr>
                <w:rFonts w:eastAsia="Times New Roman"/>
                <w:b/>
                <w:bCs/>
                <w:sz w:val="20"/>
                <w:szCs w:val="20"/>
                <w:lang w:val="en-CA" w:eastAsia="en-CA"/>
              </w:rPr>
              <w:t>£55,435</w:t>
            </w:r>
          </w:p>
        </w:tc>
      </w:tr>
      <w:tr w:rsidR="00153266" w:rsidRPr="00153266" w14:paraId="3C09339A" w14:textId="77777777" w:rsidTr="00153266">
        <w:trPr>
          <w:trHeight w:val="324"/>
          <w:jc w:val="center"/>
        </w:trPr>
        <w:tc>
          <w:tcPr>
            <w:tcW w:w="2860" w:type="dxa"/>
            <w:tcBorders>
              <w:top w:val="nil"/>
              <w:left w:val="nil"/>
              <w:bottom w:val="nil"/>
              <w:right w:val="nil"/>
            </w:tcBorders>
            <w:shd w:val="clear" w:color="auto" w:fill="auto"/>
            <w:noWrap/>
            <w:vAlign w:val="center"/>
            <w:hideMark/>
          </w:tcPr>
          <w:p w14:paraId="6D428B4E" w14:textId="77777777" w:rsidR="00153266" w:rsidRPr="00153266" w:rsidRDefault="00153266" w:rsidP="00153266">
            <w:pPr>
              <w:widowControl/>
              <w:autoSpaceDE/>
              <w:autoSpaceDN/>
              <w:adjustRightInd/>
              <w:ind w:right="1164"/>
              <w:jc w:val="both"/>
              <w:rPr>
                <w:rFonts w:eastAsia="Times New Roman"/>
                <w:b/>
                <w:bCs/>
                <w:sz w:val="24"/>
                <w:szCs w:val="24"/>
                <w:lang w:val="en-CA" w:eastAsia="en-CA"/>
              </w:rPr>
            </w:pPr>
            <w:r w:rsidRPr="00153266">
              <w:rPr>
                <w:rFonts w:eastAsia="Times New Roman"/>
                <w:b/>
                <w:bCs/>
                <w:sz w:val="24"/>
                <w:szCs w:val="24"/>
                <w:lang w:val="en-CA" w:eastAsia="en-CA"/>
              </w:rPr>
              <w:t>TOTAL</w:t>
            </w:r>
          </w:p>
        </w:tc>
        <w:tc>
          <w:tcPr>
            <w:tcW w:w="1774" w:type="dxa"/>
            <w:tcBorders>
              <w:top w:val="single" w:sz="4" w:space="0" w:color="auto"/>
              <w:left w:val="nil"/>
              <w:bottom w:val="single" w:sz="8" w:space="0" w:color="auto"/>
              <w:right w:val="nil"/>
            </w:tcBorders>
            <w:shd w:val="clear" w:color="auto" w:fill="auto"/>
            <w:noWrap/>
            <w:vAlign w:val="center"/>
            <w:hideMark/>
          </w:tcPr>
          <w:p w14:paraId="2CE72F2A" w14:textId="77777777" w:rsidR="00153266" w:rsidRPr="00153266" w:rsidRDefault="00153266" w:rsidP="00153266">
            <w:pPr>
              <w:widowControl/>
              <w:autoSpaceDE/>
              <w:autoSpaceDN/>
              <w:adjustRightInd/>
              <w:ind w:right="1164"/>
              <w:jc w:val="both"/>
              <w:rPr>
                <w:rFonts w:eastAsia="Times New Roman"/>
                <w:b/>
                <w:bCs/>
                <w:sz w:val="24"/>
                <w:szCs w:val="24"/>
                <w:lang w:val="en-CA" w:eastAsia="en-CA"/>
              </w:rPr>
            </w:pPr>
            <w:r w:rsidRPr="00153266">
              <w:rPr>
                <w:rFonts w:eastAsia="Times New Roman"/>
                <w:b/>
                <w:bCs/>
                <w:sz w:val="24"/>
                <w:szCs w:val="24"/>
                <w:lang w:val="en-CA" w:eastAsia="en-CA"/>
              </w:rPr>
              <w:t>£425,000</w:t>
            </w:r>
          </w:p>
        </w:tc>
      </w:tr>
    </w:tbl>
    <w:p w14:paraId="480D708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6A23C1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8E70FEC" w14:textId="77777777" w:rsidR="00153266" w:rsidRPr="00153266" w:rsidRDefault="00153266" w:rsidP="00512495">
      <w:pPr>
        <w:widowControl/>
        <w:numPr>
          <w:ilvl w:val="0"/>
          <w:numId w:val="40"/>
        </w:numPr>
        <w:autoSpaceDE/>
        <w:autoSpaceDN/>
        <w:adjustRightInd/>
        <w:ind w:right="1164"/>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REFERENCES</w:t>
      </w:r>
    </w:p>
    <w:p w14:paraId="335AAFF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91D91C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W.R.A., 1969. Volcanic Studies in the Seal Lake Area, Labrador (13 K, L). Geological Survey of Canada, Paper 69-1A, pp. 142-146.</w:t>
      </w:r>
    </w:p>
    <w:p w14:paraId="3E6DC96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4D4F71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roofErr w:type="spellStart"/>
      <w:r w:rsidRPr="00153266">
        <w:rPr>
          <w:rFonts w:asciiTheme="minorHAnsi" w:eastAsiaTheme="minorHAnsi" w:hAnsiTheme="minorHAnsi" w:cstheme="minorHAnsi"/>
          <w:sz w:val="24"/>
          <w:szCs w:val="24"/>
          <w:lang w:val="en-US" w:eastAsia="en-US"/>
        </w:rPr>
        <w:t>Baragar</w:t>
      </w:r>
      <w:proofErr w:type="spellEnd"/>
      <w:r w:rsidRPr="00153266">
        <w:rPr>
          <w:rFonts w:asciiTheme="minorHAnsi" w:eastAsiaTheme="minorHAnsi" w:hAnsiTheme="minorHAnsi" w:cstheme="minorHAnsi"/>
          <w:sz w:val="24"/>
          <w:szCs w:val="24"/>
          <w:lang w:val="en-US" w:eastAsia="en-US"/>
        </w:rPr>
        <w:t>, W.R.A., 1981. Tectonic and Regional Relationships of the Seal Lake and Bruce River Magmatic Provinces. Geological Survey of Canada, Bulletin 314, 72p.</w:t>
      </w:r>
    </w:p>
    <w:p w14:paraId="4917484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D3CA45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Brummer, J.J., 1957. Report on operations including geology maps diamond drilling, geophysical, and geochemical plans in the Frobisher Seal Lake Concession, central Labrador. Newfoundland and Labrador Geological Survey, Assessment File 13K/0011, 162p.</w:t>
      </w:r>
    </w:p>
    <w:p w14:paraId="3A7A2BB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BEC2AE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Brummer, J.J., 1960. A reconnaissance geochemical survey in the Seal Lake area, Labrador. CIM Bulletin, v.63, pp. 260-267.</w:t>
      </w:r>
    </w:p>
    <w:p w14:paraId="2E37B45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A0D68C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Brummer, J.J. and Mann, E.L., 1961. Geology of the Seal Lake area, Labrador. Geol. Soc. Am. Bull., v. 72, pp. 1361-1382.</w:t>
      </w:r>
    </w:p>
    <w:p w14:paraId="5F78B27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4627C5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bookmarkStart w:id="41" w:name="_Hlk70199539"/>
      <w:r w:rsidRPr="00153266">
        <w:rPr>
          <w:rFonts w:asciiTheme="minorHAnsi" w:eastAsiaTheme="minorHAnsi" w:hAnsiTheme="minorHAnsi" w:cstheme="minorHAnsi"/>
          <w:sz w:val="24"/>
          <w:szCs w:val="24"/>
          <w:lang w:val="en-US" w:eastAsia="en-US"/>
        </w:rPr>
        <w:t>Christopher, P., 2010. Technical Report Seal Lake Project, Labrador Canada. A NI 43-101 report for Playfair Mining Corp., 42p.</w:t>
      </w:r>
    </w:p>
    <w:bookmarkEnd w:id="41"/>
    <w:p w14:paraId="4148963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8B7341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roofErr w:type="spellStart"/>
      <w:r w:rsidRPr="00153266">
        <w:rPr>
          <w:rFonts w:asciiTheme="minorHAnsi" w:eastAsiaTheme="minorHAnsi" w:hAnsiTheme="minorHAnsi" w:cstheme="minorHAnsi"/>
          <w:sz w:val="24"/>
          <w:szCs w:val="24"/>
          <w:lang w:val="en-US" w:eastAsia="en-US"/>
        </w:rPr>
        <w:t>Dimmell</w:t>
      </w:r>
      <w:proofErr w:type="spellEnd"/>
      <w:r w:rsidRPr="00153266">
        <w:rPr>
          <w:rFonts w:asciiTheme="minorHAnsi" w:eastAsiaTheme="minorHAnsi" w:hAnsiTheme="minorHAnsi" w:cstheme="minorHAnsi"/>
          <w:sz w:val="24"/>
          <w:szCs w:val="24"/>
          <w:lang w:val="en-US" w:eastAsia="en-US"/>
        </w:rPr>
        <w:t xml:space="preserve">, P.M., 2007. Report on 2006 Exploration on the Central Mineral Belt Properties-3094 claims; Seal Lake Properties–2469 claims, </w:t>
      </w:r>
      <w:proofErr w:type="spellStart"/>
      <w:r w:rsidRPr="00153266">
        <w:rPr>
          <w:rFonts w:asciiTheme="minorHAnsi" w:eastAsiaTheme="minorHAnsi" w:hAnsiTheme="minorHAnsi" w:cstheme="minorHAnsi"/>
          <w:sz w:val="24"/>
          <w:szCs w:val="24"/>
          <w:lang w:val="en-US" w:eastAsia="en-US"/>
        </w:rPr>
        <w:t>Snegamook</w:t>
      </w:r>
      <w:proofErr w:type="spellEnd"/>
      <w:r w:rsidRPr="00153266">
        <w:rPr>
          <w:rFonts w:asciiTheme="minorHAnsi" w:eastAsiaTheme="minorHAnsi" w:hAnsiTheme="minorHAnsi" w:cstheme="minorHAnsi"/>
          <w:sz w:val="24"/>
          <w:szCs w:val="24"/>
          <w:lang w:val="en-US" w:eastAsia="en-US"/>
        </w:rPr>
        <w:t xml:space="preserve"> Rroperties-86 claims of Silver Spruce Resources Inc., Central Labrador (NTS 13J, K, L). Newfoundland and Labrador Geological Survey, Assessment File LAB/1431, 187p.</w:t>
      </w:r>
    </w:p>
    <w:p w14:paraId="4757139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297D75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Evans, E.L., 1950. Exploration in the Seal Lake area, Labrador, Frobisher Limited. Newfoundland and Labrador Geological Survey, Assessment File 13K/0001, 30p.</w:t>
      </w:r>
    </w:p>
    <w:p w14:paraId="462CB04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B7413F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Evans, E.L., 1951. Copper deposits in the Seal Bay area, Labrador, Frobisher Limited. Newfoundland and Labrador Geological Survey, Assessment File 13K/0003, 23p.</w:t>
      </w:r>
    </w:p>
    <w:p w14:paraId="6F2F126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BE2805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Evans, E.L., 1952. Native copper discoveries in the Seal Lake area, Labrador. Geological Association of Canada, Proceedings, v. 5, pp.111-116.</w:t>
      </w:r>
    </w:p>
    <w:p w14:paraId="3B6271F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ABB851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roofErr w:type="spellStart"/>
      <w:r w:rsidRPr="00153266">
        <w:rPr>
          <w:rFonts w:asciiTheme="minorHAnsi" w:eastAsiaTheme="minorHAnsi" w:hAnsiTheme="minorHAnsi" w:cstheme="minorHAnsi"/>
          <w:sz w:val="24"/>
          <w:szCs w:val="24"/>
          <w:lang w:val="en-US" w:eastAsia="en-US"/>
        </w:rPr>
        <w:t>Fahrig</w:t>
      </w:r>
      <w:proofErr w:type="spellEnd"/>
      <w:r w:rsidRPr="00153266">
        <w:rPr>
          <w:rFonts w:asciiTheme="minorHAnsi" w:eastAsiaTheme="minorHAnsi" w:hAnsiTheme="minorHAnsi" w:cstheme="minorHAnsi"/>
          <w:sz w:val="24"/>
          <w:szCs w:val="24"/>
          <w:lang w:val="en-US" w:eastAsia="en-US"/>
        </w:rPr>
        <w:t xml:space="preserve">, W.F., 1959. </w:t>
      </w:r>
      <w:proofErr w:type="spellStart"/>
      <w:r w:rsidRPr="00153266">
        <w:rPr>
          <w:rFonts w:asciiTheme="minorHAnsi" w:eastAsiaTheme="minorHAnsi" w:hAnsiTheme="minorHAnsi" w:cstheme="minorHAnsi"/>
          <w:sz w:val="24"/>
          <w:szCs w:val="24"/>
          <w:lang w:val="en-US" w:eastAsia="en-US"/>
        </w:rPr>
        <w:t>Snegamook</w:t>
      </w:r>
      <w:proofErr w:type="spellEnd"/>
      <w:r w:rsidRPr="00153266">
        <w:rPr>
          <w:rFonts w:asciiTheme="minorHAnsi" w:eastAsiaTheme="minorHAnsi" w:hAnsiTheme="minorHAnsi" w:cstheme="minorHAnsi"/>
          <w:sz w:val="24"/>
          <w:szCs w:val="24"/>
          <w:lang w:val="en-US" w:eastAsia="en-US"/>
        </w:rPr>
        <w:t xml:space="preserve"> Lake, coast of Labrador, Newfoundland. Geological Survey of Canada, Map 1079A.</w:t>
      </w:r>
      <w:r w:rsidRPr="00153266">
        <w:rPr>
          <w:rFonts w:asciiTheme="minorHAnsi" w:eastAsiaTheme="minorHAnsi" w:hAnsiTheme="minorHAnsi" w:cstheme="minorHAnsi"/>
          <w:sz w:val="24"/>
          <w:szCs w:val="24"/>
          <w:lang w:val="en-US" w:eastAsia="en-US"/>
        </w:rPr>
        <w:tab/>
      </w:r>
    </w:p>
    <w:p w14:paraId="16ECEA0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9DB6E0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Gandhi, S.S., 1970. Report on Seal Lake copper area, Labrador. British Newfoundland Exploration Limited. Newfoundland and Labrador Geological Survey, Assessment File LAB/0364, 25p. </w:t>
      </w:r>
    </w:p>
    <w:p w14:paraId="1219E28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61548C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Gandhi, S.S., 1972a. Geology of the Adeline Island Formation in the central part of the Seal Lake synclinorium, Labrador. British Newfoundland Exploration Limited. Newfoundland and Labrador Geological Survey, Assessment File 13K/05/0095, 20p.</w:t>
      </w:r>
    </w:p>
    <w:p w14:paraId="79953F3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Gandhi, S.S., 1972b. Summary report on exploration during 1972 in the Seal Lake joint venture area, Labrador. British Newfoundland Exploration Limited. Newfoundland and Labrador Geological Survey, Assessment File 13K/05/0099, 19p.</w:t>
      </w:r>
    </w:p>
    <w:p w14:paraId="6DA84EF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b/>
      </w:r>
    </w:p>
    <w:p w14:paraId="6CEB50E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Gandhi, </w:t>
      </w:r>
      <w:proofErr w:type="gramStart"/>
      <w:r w:rsidRPr="00153266">
        <w:rPr>
          <w:rFonts w:asciiTheme="minorHAnsi" w:eastAsiaTheme="minorHAnsi" w:hAnsiTheme="minorHAnsi" w:cstheme="minorHAnsi"/>
          <w:sz w:val="24"/>
          <w:szCs w:val="24"/>
          <w:lang w:val="en-US" w:eastAsia="en-US"/>
        </w:rPr>
        <w:t>S.S.</w:t>
      </w:r>
      <w:proofErr w:type="gramEnd"/>
      <w:r w:rsidRPr="00153266">
        <w:rPr>
          <w:rFonts w:asciiTheme="minorHAnsi" w:eastAsiaTheme="minorHAnsi" w:hAnsiTheme="minorHAnsi" w:cstheme="minorHAnsi"/>
          <w:sz w:val="24"/>
          <w:szCs w:val="24"/>
          <w:lang w:val="en-US" w:eastAsia="en-US"/>
        </w:rPr>
        <w:t xml:space="preserve"> and Murthy, T.N.N., 1972. Geological report on the Adeline Island Formation in the eastern part of the Seal Lake Basin, Labrador part 1-geology and copper occurrence, part 2-structural features. British Newfoundland Exploration Limited. Newfoundland and Labrador Geological Survey, Assessment File 13K/0104, 34p.</w:t>
      </w:r>
    </w:p>
    <w:p w14:paraId="1A8B4D5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D21D41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Gandhi, S.S. and Brown, C., 1975. </w:t>
      </w:r>
      <w:proofErr w:type="spellStart"/>
      <w:r w:rsidRPr="00153266">
        <w:rPr>
          <w:rFonts w:asciiTheme="minorHAnsi" w:eastAsiaTheme="minorHAnsi" w:hAnsiTheme="minorHAnsi" w:cstheme="minorHAnsi"/>
          <w:sz w:val="24"/>
          <w:szCs w:val="24"/>
          <w:lang w:val="en-US" w:eastAsia="en-US"/>
        </w:rPr>
        <w:t>Cupiferous</w:t>
      </w:r>
      <w:proofErr w:type="spellEnd"/>
      <w:r w:rsidRPr="00153266">
        <w:rPr>
          <w:rFonts w:asciiTheme="minorHAnsi" w:eastAsiaTheme="minorHAnsi" w:hAnsiTheme="minorHAnsi" w:cstheme="minorHAnsi"/>
          <w:sz w:val="24"/>
          <w:szCs w:val="24"/>
          <w:lang w:val="en-US" w:eastAsia="en-US"/>
        </w:rPr>
        <w:t xml:space="preserve"> shales of the Adeline Island Formation, Seal Lake Group, Labrador. Economic Geology, v. 70, pp. 145-163.</w:t>
      </w:r>
    </w:p>
    <w:p w14:paraId="45D29B5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B9E7E4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Graves, G., 1992. First year assessment report on prospecting and geological mapping at Seal Lake, </w:t>
      </w:r>
      <w:proofErr w:type="spellStart"/>
      <w:r w:rsidRPr="00153266">
        <w:rPr>
          <w:rFonts w:asciiTheme="minorHAnsi" w:eastAsiaTheme="minorHAnsi" w:hAnsiTheme="minorHAnsi" w:cstheme="minorHAnsi"/>
          <w:sz w:val="24"/>
          <w:szCs w:val="24"/>
          <w:lang w:val="en-US" w:eastAsia="en-US"/>
        </w:rPr>
        <w:t>Licence</w:t>
      </w:r>
      <w:proofErr w:type="spellEnd"/>
      <w:r w:rsidRPr="00153266">
        <w:rPr>
          <w:rFonts w:asciiTheme="minorHAnsi" w:eastAsiaTheme="minorHAnsi" w:hAnsiTheme="minorHAnsi" w:cstheme="minorHAnsi"/>
          <w:sz w:val="24"/>
          <w:szCs w:val="24"/>
          <w:lang w:val="en-US" w:eastAsia="en-US"/>
        </w:rPr>
        <w:t xml:space="preserve"> 400m, 404m and 408m NTS 13K/5. Noranda Exploration Company Limited. Newfoundland and Labrador Geological Survey, Assessment File LAB/0966, 101p.</w:t>
      </w:r>
    </w:p>
    <w:p w14:paraId="4A5F0E3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BB0EBB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roofErr w:type="spellStart"/>
      <w:r w:rsidRPr="00153266">
        <w:rPr>
          <w:rFonts w:asciiTheme="minorHAnsi" w:eastAsiaTheme="minorHAnsi" w:hAnsiTheme="minorHAnsi" w:cstheme="minorHAnsi"/>
          <w:color w:val="3A3A3A"/>
          <w:sz w:val="24"/>
          <w:szCs w:val="24"/>
          <w:shd w:val="clear" w:color="auto" w:fill="F9F9F9"/>
          <w:lang w:val="en-US" w:eastAsia="en-US"/>
        </w:rPr>
        <w:t>Hitzman</w:t>
      </w:r>
      <w:proofErr w:type="spellEnd"/>
      <w:r w:rsidRPr="00153266">
        <w:rPr>
          <w:rFonts w:asciiTheme="minorHAnsi" w:eastAsiaTheme="minorHAnsi" w:hAnsiTheme="minorHAnsi" w:cstheme="minorHAnsi"/>
          <w:color w:val="3A3A3A"/>
          <w:sz w:val="24"/>
          <w:szCs w:val="24"/>
          <w:shd w:val="clear" w:color="auto" w:fill="F9F9F9"/>
          <w:lang w:val="en-US" w:eastAsia="en-US"/>
        </w:rPr>
        <w:t>, M., Kirkham, R., Broughton, D., Thorson, J., and </w:t>
      </w:r>
      <w:proofErr w:type="spellStart"/>
      <w:r w:rsidRPr="00153266">
        <w:rPr>
          <w:rFonts w:asciiTheme="minorHAnsi" w:eastAsiaTheme="minorHAnsi" w:hAnsiTheme="minorHAnsi" w:cstheme="minorHAnsi"/>
          <w:color w:val="3A3A3A"/>
          <w:sz w:val="24"/>
          <w:szCs w:val="24"/>
          <w:shd w:val="clear" w:color="auto" w:fill="F9F9F9"/>
          <w:lang w:val="en-US" w:eastAsia="en-US"/>
        </w:rPr>
        <w:t>Selley</w:t>
      </w:r>
      <w:proofErr w:type="spellEnd"/>
      <w:r w:rsidRPr="00153266">
        <w:rPr>
          <w:rFonts w:asciiTheme="minorHAnsi" w:eastAsiaTheme="minorHAnsi" w:hAnsiTheme="minorHAnsi" w:cstheme="minorHAnsi"/>
          <w:color w:val="3A3A3A"/>
          <w:sz w:val="24"/>
          <w:szCs w:val="24"/>
          <w:shd w:val="clear" w:color="auto" w:fill="F9F9F9"/>
          <w:lang w:val="en-US" w:eastAsia="en-US"/>
        </w:rPr>
        <w:t>, D., 2005. The Sediment-Hosted Stratiform Copper Ore System. Economic Geology, 100</w:t>
      </w:r>
      <w:r w:rsidRPr="00153266">
        <w:rPr>
          <w:rFonts w:asciiTheme="minorHAnsi" w:eastAsiaTheme="minorHAnsi" w:hAnsiTheme="minorHAnsi" w:cstheme="minorHAnsi"/>
          <w:color w:val="3A3A3A"/>
          <w:sz w:val="24"/>
          <w:szCs w:val="24"/>
          <w:shd w:val="clear" w:color="auto" w:fill="F9F9F9"/>
          <w:vertAlign w:val="superscript"/>
          <w:lang w:val="en-US" w:eastAsia="en-US"/>
        </w:rPr>
        <w:t>th</w:t>
      </w:r>
      <w:r w:rsidRPr="00153266">
        <w:rPr>
          <w:rFonts w:asciiTheme="minorHAnsi" w:eastAsiaTheme="minorHAnsi" w:hAnsiTheme="minorHAnsi" w:cstheme="minorHAnsi"/>
          <w:color w:val="3A3A3A"/>
          <w:sz w:val="24"/>
          <w:szCs w:val="24"/>
          <w:shd w:val="clear" w:color="auto" w:fill="F9F9F9"/>
          <w:lang w:val="en-US" w:eastAsia="en-US"/>
        </w:rPr>
        <w:t xml:space="preserve"> Anniversary Volume, pp. 609-642.</w:t>
      </w:r>
    </w:p>
    <w:p w14:paraId="0D50550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DDABD3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Huard, A. and </w:t>
      </w:r>
      <w:proofErr w:type="spellStart"/>
      <w:r w:rsidRPr="00153266">
        <w:rPr>
          <w:rFonts w:asciiTheme="minorHAnsi" w:eastAsiaTheme="minorHAnsi" w:hAnsiTheme="minorHAnsi" w:cstheme="minorHAnsi"/>
          <w:sz w:val="24"/>
          <w:szCs w:val="24"/>
          <w:lang w:val="en-US" w:eastAsia="en-US"/>
        </w:rPr>
        <w:t>Ascough</w:t>
      </w:r>
      <w:proofErr w:type="spellEnd"/>
      <w:r w:rsidRPr="00153266">
        <w:rPr>
          <w:rFonts w:asciiTheme="minorHAnsi" w:eastAsiaTheme="minorHAnsi" w:hAnsiTheme="minorHAnsi" w:cstheme="minorHAnsi"/>
          <w:sz w:val="24"/>
          <w:szCs w:val="24"/>
          <w:lang w:val="en-US" w:eastAsia="en-US"/>
        </w:rPr>
        <w:t xml:space="preserve">, G., 1992. First year assessment report (supplementary) Geology, Geochemistry and Geophysics conducted from March to </w:t>
      </w:r>
      <w:proofErr w:type="gramStart"/>
      <w:r w:rsidRPr="00153266">
        <w:rPr>
          <w:rFonts w:asciiTheme="minorHAnsi" w:eastAsiaTheme="minorHAnsi" w:hAnsiTheme="minorHAnsi" w:cstheme="minorHAnsi"/>
          <w:sz w:val="24"/>
          <w:szCs w:val="24"/>
          <w:lang w:val="en-US" w:eastAsia="en-US"/>
        </w:rPr>
        <w:t>October,</w:t>
      </w:r>
      <w:proofErr w:type="gramEnd"/>
      <w:r w:rsidRPr="00153266">
        <w:rPr>
          <w:rFonts w:asciiTheme="minorHAnsi" w:eastAsiaTheme="minorHAnsi" w:hAnsiTheme="minorHAnsi" w:cstheme="minorHAnsi"/>
          <w:sz w:val="24"/>
          <w:szCs w:val="24"/>
          <w:lang w:val="en-US" w:eastAsia="en-US"/>
        </w:rPr>
        <w:t xml:space="preserve"> 1992, on </w:t>
      </w:r>
      <w:proofErr w:type="spellStart"/>
      <w:r w:rsidRPr="00153266">
        <w:rPr>
          <w:rFonts w:asciiTheme="minorHAnsi" w:eastAsiaTheme="minorHAnsi" w:hAnsiTheme="minorHAnsi" w:cstheme="minorHAnsi"/>
          <w:sz w:val="24"/>
          <w:szCs w:val="24"/>
          <w:lang w:val="en-US" w:eastAsia="en-US"/>
        </w:rPr>
        <w:t>Licences</w:t>
      </w:r>
      <w:proofErr w:type="spellEnd"/>
      <w:r w:rsidRPr="00153266">
        <w:rPr>
          <w:rFonts w:asciiTheme="minorHAnsi" w:eastAsiaTheme="minorHAnsi" w:hAnsiTheme="minorHAnsi" w:cstheme="minorHAnsi"/>
          <w:sz w:val="24"/>
          <w:szCs w:val="24"/>
          <w:lang w:val="en-US" w:eastAsia="en-US"/>
        </w:rPr>
        <w:t xml:space="preserve"> 400m, 404m, 406m, 408m and 445m, Seal Lake Property, NTS 13K/5 &amp; 13L/8. Noranda Exploration Company Limited. Newfoundland and Labrador Geological Survey, Assessment File LAB/0967, 233p.</w:t>
      </w:r>
    </w:p>
    <w:p w14:paraId="2B98DDD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28431B1"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eastAsia="en-US"/>
        </w:rPr>
      </w:pPr>
      <w:proofErr w:type="spellStart"/>
      <w:r w:rsidRPr="00153266">
        <w:rPr>
          <w:rFonts w:asciiTheme="minorHAnsi" w:eastAsiaTheme="minorHAnsi" w:hAnsiTheme="minorHAnsi" w:cstheme="minorHAnsi"/>
          <w:sz w:val="24"/>
          <w:szCs w:val="24"/>
          <w:lang w:eastAsia="en-US"/>
        </w:rPr>
        <w:lastRenderedPageBreak/>
        <w:t>Ivany</w:t>
      </w:r>
      <w:proofErr w:type="spellEnd"/>
      <w:r w:rsidRPr="00153266">
        <w:rPr>
          <w:rFonts w:asciiTheme="minorHAnsi" w:eastAsiaTheme="minorHAnsi" w:hAnsiTheme="minorHAnsi" w:cstheme="minorHAnsi"/>
          <w:sz w:val="24"/>
          <w:szCs w:val="24"/>
          <w:lang w:eastAsia="en-US"/>
        </w:rPr>
        <w:t>, P.A., and Wilton, D.H.C., 1989.  Geochemistry and mineralization of the Adeline Island Prospect, Seal Lake, Labrador.  Atlantic Geology, v. 25, p. 213.</w:t>
      </w:r>
    </w:p>
    <w:p w14:paraId="447314F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DF7198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Knight, I., 1972. The geology of the Arkose Lake area, north of Seal Lake, Labrador, Canada. MSc, Memorial University of Newfoundland, St John's, Newfoundland, 232p.</w:t>
      </w:r>
    </w:p>
    <w:p w14:paraId="5B9AF77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3140BC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McConnell, D.L., 1993. </w:t>
      </w:r>
      <w:proofErr w:type="spellStart"/>
      <w:r w:rsidRPr="00153266">
        <w:rPr>
          <w:rFonts w:asciiTheme="minorHAnsi" w:eastAsiaTheme="minorHAnsi" w:hAnsiTheme="minorHAnsi" w:cstheme="minorHAnsi"/>
          <w:sz w:val="24"/>
          <w:szCs w:val="24"/>
          <w:lang w:val="en-US" w:eastAsia="en-US"/>
        </w:rPr>
        <w:t>Dighem</w:t>
      </w:r>
      <w:r w:rsidRPr="00153266">
        <w:rPr>
          <w:rFonts w:asciiTheme="minorHAnsi" w:eastAsiaTheme="minorHAnsi" w:hAnsiTheme="minorHAnsi" w:cstheme="minorHAnsi"/>
          <w:sz w:val="24"/>
          <w:szCs w:val="24"/>
          <w:vertAlign w:val="superscript"/>
          <w:lang w:val="en-US" w:eastAsia="en-US"/>
        </w:rPr>
        <w:t>V</w:t>
      </w:r>
      <w:proofErr w:type="spellEnd"/>
      <w:r w:rsidRPr="00153266">
        <w:rPr>
          <w:rFonts w:asciiTheme="minorHAnsi" w:eastAsiaTheme="minorHAnsi" w:hAnsiTheme="minorHAnsi" w:cstheme="minorHAnsi"/>
          <w:sz w:val="24"/>
          <w:szCs w:val="24"/>
          <w:lang w:val="en-US" w:eastAsia="en-US"/>
        </w:rPr>
        <w:t xml:space="preserve"> Survey for Noranda Exploration Company Limited, Labrador, NTS 13L/1, 5, 8, 12, 13K/4, 5, 9, 10. Noranda Exploration Company Limited. Newfoundland and Labrador Geological Survey, Assessment File 13K/0196, 164p.</w:t>
      </w:r>
    </w:p>
    <w:p w14:paraId="1315E8E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A94C48D"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Moore, M., 2011. 2011 Exploration Summary Report, Seal Lake Project Labrador, Canada -</w:t>
      </w:r>
    </w:p>
    <w:p w14:paraId="48453ED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Work Completed on Mineral Licenses: 017252M,017253M,017279M,017341M Playfair Mining Limited. Newfoundland and Labrador Geological Survey, Assessment File LAB/1649, 230p.</w:t>
      </w:r>
    </w:p>
    <w:p w14:paraId="2389CF3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8DE975D" w14:textId="77777777" w:rsidR="00153266" w:rsidRPr="00153266" w:rsidRDefault="00153266" w:rsidP="00153266">
      <w:pPr>
        <w:widowControl/>
        <w:ind w:left="-680" w:right="1164" w:firstLine="680"/>
        <w:jc w:val="both"/>
        <w:rPr>
          <w:rFonts w:asciiTheme="minorHAnsi" w:eastAsia="Times New Roman" w:hAnsiTheme="minorHAnsi" w:cstheme="minorHAnsi"/>
          <w:sz w:val="24"/>
          <w:szCs w:val="24"/>
          <w:lang w:val="en-US" w:eastAsia="en-US"/>
        </w:rPr>
      </w:pPr>
      <w:proofErr w:type="spellStart"/>
      <w:r w:rsidRPr="00153266">
        <w:rPr>
          <w:rFonts w:asciiTheme="minorHAnsi" w:eastAsia="Times New Roman" w:hAnsiTheme="minorHAnsi" w:cstheme="minorHAnsi"/>
          <w:sz w:val="24"/>
          <w:szCs w:val="24"/>
          <w:lang w:val="en-US" w:eastAsia="en-US"/>
        </w:rPr>
        <w:t>Perelló</w:t>
      </w:r>
      <w:proofErr w:type="spellEnd"/>
      <w:r w:rsidRPr="00153266">
        <w:rPr>
          <w:rFonts w:asciiTheme="minorHAnsi" w:eastAsia="Times New Roman" w:hAnsiTheme="minorHAnsi" w:cstheme="minorHAnsi"/>
          <w:sz w:val="24"/>
          <w:szCs w:val="24"/>
          <w:lang w:val="en-US" w:eastAsia="en-US"/>
        </w:rPr>
        <w:t xml:space="preserve">, J., Cornejo, P, Wilton, D.H.C., Creaser, R.A., Winter, L. and Smith, R., 2017. </w:t>
      </w:r>
      <w:proofErr w:type="spellStart"/>
      <w:r w:rsidRPr="00153266">
        <w:rPr>
          <w:rFonts w:asciiTheme="minorHAnsi" w:eastAsia="Times New Roman" w:hAnsiTheme="minorHAnsi" w:cstheme="minorHAnsi"/>
          <w:sz w:val="24"/>
          <w:szCs w:val="24"/>
          <w:lang w:val="en-US" w:eastAsia="en-US"/>
        </w:rPr>
        <w:t>Grenvillian</w:t>
      </w:r>
      <w:proofErr w:type="spellEnd"/>
      <w:r w:rsidRPr="00153266">
        <w:rPr>
          <w:rFonts w:asciiTheme="minorHAnsi" w:eastAsia="Times New Roman" w:hAnsiTheme="minorHAnsi" w:cstheme="minorHAnsi"/>
          <w:sz w:val="24"/>
          <w:szCs w:val="24"/>
          <w:lang w:val="en-US" w:eastAsia="en-US"/>
        </w:rPr>
        <w:t xml:space="preserve"> </w:t>
      </w:r>
    </w:p>
    <w:p w14:paraId="0E61C1B3" w14:textId="77777777" w:rsidR="00153266" w:rsidRPr="00153266" w:rsidRDefault="00153266" w:rsidP="00153266">
      <w:pPr>
        <w:widowControl/>
        <w:ind w:left="-680" w:right="1164" w:firstLine="680"/>
        <w:jc w:val="both"/>
        <w:rPr>
          <w:rFonts w:asciiTheme="minorHAnsi" w:eastAsia="Times New Roman" w:hAnsiTheme="minorHAnsi" w:cstheme="minorHAnsi"/>
          <w:sz w:val="24"/>
          <w:szCs w:val="24"/>
          <w:lang w:val="en-US" w:eastAsia="en-US"/>
        </w:rPr>
      </w:pPr>
      <w:r w:rsidRPr="00153266">
        <w:rPr>
          <w:rFonts w:asciiTheme="minorHAnsi" w:eastAsia="Times New Roman" w:hAnsiTheme="minorHAnsi" w:cstheme="minorHAnsi"/>
          <w:sz w:val="24"/>
          <w:szCs w:val="24"/>
          <w:lang w:val="en-US" w:eastAsia="en-US"/>
        </w:rPr>
        <w:t xml:space="preserve">age for the sediment-hosted Cu-Ag mineralization at Seal Lake, Labrador, Canada. Extended </w:t>
      </w:r>
    </w:p>
    <w:p w14:paraId="5750ADB1" w14:textId="77777777" w:rsidR="00153266" w:rsidRPr="00153266" w:rsidRDefault="00153266" w:rsidP="00153266">
      <w:pPr>
        <w:widowControl/>
        <w:ind w:left="-680" w:right="1164" w:firstLine="680"/>
        <w:jc w:val="both"/>
        <w:rPr>
          <w:rFonts w:asciiTheme="minorHAnsi" w:eastAsia="Times New Roman" w:hAnsiTheme="minorHAnsi" w:cstheme="minorHAnsi"/>
          <w:sz w:val="24"/>
          <w:szCs w:val="24"/>
          <w:lang w:val="en-US" w:eastAsia="en-US"/>
        </w:rPr>
      </w:pPr>
      <w:r w:rsidRPr="00153266">
        <w:rPr>
          <w:rFonts w:asciiTheme="minorHAnsi" w:eastAsia="Times New Roman" w:hAnsiTheme="minorHAnsi" w:cstheme="minorHAnsi"/>
          <w:sz w:val="24"/>
          <w:szCs w:val="24"/>
          <w:lang w:val="en-US" w:eastAsia="en-US"/>
        </w:rPr>
        <w:t xml:space="preserve">Abstract SGA, SGA Québec 2017 v.3, pp. 1035-1039. </w:t>
      </w:r>
    </w:p>
    <w:p w14:paraId="4D244BF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04826B4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Robinson, W.G., 1953. Exploration during 1952 in the Seal Lake Concession, Labrador, Frobisher Limited. Newfoundland and Labrador Geological Survey, Assessment File 13K/0005, 29p.</w:t>
      </w:r>
    </w:p>
    <w:p w14:paraId="1A5AD0B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29051C3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Robinson, W.G., 1954. Exploration report for 1954 in the Seal Lake area, Labrador. Newfoundland and Labrador Geological Survey, Assessment File 13K/0008, 21p.</w:t>
      </w:r>
    </w:p>
    <w:p w14:paraId="44179AB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896E4D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Robinson, W.G., 1956. Exploration during 1955 on the block D concession, Labrador. Frobisher Limited. Newfoundland and Labrador Geological Survey, Assessment File 13K/0009, 12p.</w:t>
      </w:r>
    </w:p>
    <w:p w14:paraId="2FD6438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9E9850F"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Romer, R.L., </w:t>
      </w:r>
      <w:proofErr w:type="spellStart"/>
      <w:r w:rsidRPr="00153266">
        <w:rPr>
          <w:rFonts w:asciiTheme="minorHAnsi" w:eastAsiaTheme="minorHAnsi" w:hAnsiTheme="minorHAnsi" w:cstheme="minorHAnsi"/>
          <w:sz w:val="24"/>
          <w:szCs w:val="24"/>
          <w:lang w:val="en-US" w:eastAsia="en-US"/>
        </w:rPr>
        <w:t>Scharer</w:t>
      </w:r>
      <w:proofErr w:type="spellEnd"/>
      <w:r w:rsidRPr="00153266">
        <w:rPr>
          <w:rFonts w:asciiTheme="minorHAnsi" w:eastAsiaTheme="minorHAnsi" w:hAnsiTheme="minorHAnsi" w:cstheme="minorHAnsi"/>
          <w:sz w:val="24"/>
          <w:szCs w:val="24"/>
          <w:lang w:val="en-US" w:eastAsia="en-US"/>
        </w:rPr>
        <w:t xml:space="preserve">, U., Wardle, </w:t>
      </w:r>
      <w:proofErr w:type="gramStart"/>
      <w:r w:rsidRPr="00153266">
        <w:rPr>
          <w:rFonts w:asciiTheme="minorHAnsi" w:eastAsiaTheme="minorHAnsi" w:hAnsiTheme="minorHAnsi" w:cstheme="minorHAnsi"/>
          <w:sz w:val="24"/>
          <w:szCs w:val="24"/>
          <w:lang w:val="en-US" w:eastAsia="en-US"/>
        </w:rPr>
        <w:t>R.J.</w:t>
      </w:r>
      <w:proofErr w:type="gramEnd"/>
      <w:r w:rsidRPr="00153266">
        <w:rPr>
          <w:rFonts w:asciiTheme="minorHAnsi" w:eastAsiaTheme="minorHAnsi" w:hAnsiTheme="minorHAnsi" w:cstheme="minorHAnsi"/>
          <w:sz w:val="24"/>
          <w:szCs w:val="24"/>
          <w:lang w:val="en-US" w:eastAsia="en-US"/>
        </w:rPr>
        <w:t xml:space="preserve"> and Wilton, D.H.C. 1995. U-Pb age of the Seal Lake Group, Labrador. relationship to Mesoproterozoic extension-related magmatism of Laurasia. Canadian Journal of Earth Sciences, v. 32, pp.1401-1410.</w:t>
      </w:r>
    </w:p>
    <w:p w14:paraId="1EA2635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6C91695"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Roscoe, S.M. and Emslie, R.F., 1973. </w:t>
      </w:r>
      <w:proofErr w:type="spellStart"/>
      <w:r w:rsidRPr="00153266">
        <w:rPr>
          <w:rFonts w:asciiTheme="minorHAnsi" w:eastAsiaTheme="minorHAnsi" w:hAnsiTheme="minorHAnsi" w:cstheme="minorHAnsi"/>
          <w:sz w:val="24"/>
          <w:szCs w:val="24"/>
          <w:lang w:val="en-US" w:eastAsia="en-US"/>
        </w:rPr>
        <w:t>Kasheshibaw</w:t>
      </w:r>
      <w:proofErr w:type="spellEnd"/>
      <w:r w:rsidRPr="00153266">
        <w:rPr>
          <w:rFonts w:asciiTheme="minorHAnsi" w:eastAsiaTheme="minorHAnsi" w:hAnsiTheme="minorHAnsi" w:cstheme="minorHAnsi"/>
          <w:sz w:val="24"/>
          <w:szCs w:val="24"/>
          <w:lang w:val="en-US" w:eastAsia="en-US"/>
        </w:rPr>
        <w:t xml:space="preserve"> Lake (East Half), Newfoundland –Quebec. Geological Survey of Canada, Map 1342A, 1:250 000 scale.</w:t>
      </w:r>
    </w:p>
    <w:p w14:paraId="7B742B24"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2A7FC3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Seymour, C., Morgan, J., Winter, L., Smith, R., Lachance, N., and Wilton, D., 2016. First year assessment report on compilation, prospecting, petrography, geochemical </w:t>
      </w:r>
      <w:proofErr w:type="gramStart"/>
      <w:r w:rsidRPr="00153266">
        <w:rPr>
          <w:rFonts w:asciiTheme="minorHAnsi" w:eastAsiaTheme="minorHAnsi" w:hAnsiTheme="minorHAnsi" w:cstheme="minorHAnsi"/>
          <w:sz w:val="24"/>
          <w:szCs w:val="24"/>
          <w:lang w:val="en-US" w:eastAsia="en-US"/>
        </w:rPr>
        <w:t>exploration</w:t>
      </w:r>
      <w:proofErr w:type="gramEnd"/>
      <w:r w:rsidRPr="00153266">
        <w:rPr>
          <w:rFonts w:asciiTheme="minorHAnsi" w:eastAsiaTheme="minorHAnsi" w:hAnsiTheme="minorHAnsi" w:cstheme="minorHAnsi"/>
          <w:sz w:val="24"/>
          <w:szCs w:val="24"/>
          <w:lang w:val="en-US" w:eastAsia="en-US"/>
        </w:rPr>
        <w:t xml:space="preserve"> and re-logging of diamond drill core for licenses 23331M-23337M on claims in the Seal Lake area, central Labrador.  Newfoundland and Labrador Geological Survey, Assessment File LAB/1754, 226p.</w:t>
      </w:r>
    </w:p>
    <w:p w14:paraId="71829DD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AEF451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van Nostrand, T.S., 2009. Geology of the Seal Lake Group, central Labrador (parts of NTS map areas 13K/5 and 6). In Current research, Compiled and Edited by C. P. G. Pereira and D. G. Walsh, Government of Newfoundland and Labrador, Department of Natural Resources, Mines Branch, Report 9-1, p.249-270.</w:t>
      </w:r>
    </w:p>
    <w:p w14:paraId="083A2527"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39AFF99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van Nostrand, T.S. and Lowe, D., 2010. Geology of the Seal Lake area, central Labrador (parts of NTS map areas 13K/3, 4, 5 and 6). In Current research, Compiled and Edited by C. P. G. Pereira and D. G. Walsh, Government of Newfoundland and Labrador, Department of Natural Resources, Mines Branch, Report 10-1, p.351-371.</w:t>
      </w:r>
    </w:p>
    <w:p w14:paraId="2F063CEB"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D5BC5E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lastRenderedPageBreak/>
        <w:t>van Nostrand, T. and MacFarlane A., 2011. Geology of the west-central Seal Lake Group, central Labrador (including parts of NTS map areas 13K/4, 5 and 12, and 13L/1, 8 and 9). In Current research, Compiled and Edited by C. P. G. Pereira and D. G. Walsh, Government of Newfoundland and Labrador, Department of Natural Resources, Mines Branch, Report 11-1, p.313-335.</w:t>
      </w:r>
    </w:p>
    <w:p w14:paraId="64C43A8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705764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van Nostrand, T. and Corcoran, C., 2013: Geology of the western Mesoproterozoic Seal Lake Group, central Labrador (including all of NTS map areas 13L/2 and 7 and parts of 13L/1, 3, 6, 8, 9, 10, 11, 14, 15 and 16 and 13E/14 and 15). In Current research, Compiled and Edited by C. P. G. Pereira and D. G. Walsh, Government of Newfoundland and Labrador, Department of Natural Resources, Geological Survey, Report 13-1, p.301-326.</w:t>
      </w:r>
    </w:p>
    <w:p w14:paraId="07974E9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52AEFE06"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Wardle, R.J., Gower, C.F., Ryan, B., Nunn, G.A.G., James, D.T. and Kerr, A., 1997. Geological map of Labrador. Government of Newfoundland and Labrador, Department of Mines and Energy, Open File LAB/1265, Map 97-007.</w:t>
      </w:r>
    </w:p>
    <w:p w14:paraId="1E542019"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C60127C"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Wardle, </w:t>
      </w:r>
      <w:proofErr w:type="gramStart"/>
      <w:r w:rsidRPr="00153266">
        <w:rPr>
          <w:rFonts w:asciiTheme="minorHAnsi" w:eastAsiaTheme="minorHAnsi" w:hAnsiTheme="minorHAnsi" w:cstheme="minorHAnsi"/>
          <w:sz w:val="24"/>
          <w:szCs w:val="24"/>
          <w:lang w:val="en-US" w:eastAsia="en-US"/>
        </w:rPr>
        <w:t>R.J.</w:t>
      </w:r>
      <w:proofErr w:type="gramEnd"/>
      <w:r w:rsidRPr="00153266">
        <w:rPr>
          <w:rFonts w:asciiTheme="minorHAnsi" w:eastAsiaTheme="minorHAnsi" w:hAnsiTheme="minorHAnsi" w:cstheme="minorHAnsi"/>
          <w:sz w:val="24"/>
          <w:szCs w:val="24"/>
          <w:lang w:val="en-US" w:eastAsia="en-US"/>
        </w:rPr>
        <w:t xml:space="preserve"> and Wilton, D.H.C. 1995. A field workshop on the geology and mineral deposits of Labrador. Newfoundland and Labrador Geological Survey, Memorial University of Newfoundland Report, 241p., </w:t>
      </w:r>
      <w:proofErr w:type="spellStart"/>
      <w:r w:rsidRPr="00153266">
        <w:rPr>
          <w:rFonts w:asciiTheme="minorHAnsi" w:eastAsiaTheme="minorHAnsi" w:hAnsiTheme="minorHAnsi" w:cstheme="minorHAnsi"/>
          <w:sz w:val="24"/>
          <w:szCs w:val="24"/>
          <w:lang w:val="en-US" w:eastAsia="en-US"/>
        </w:rPr>
        <w:t>Geofile</w:t>
      </w:r>
      <w:proofErr w:type="spellEnd"/>
      <w:r w:rsidRPr="00153266">
        <w:rPr>
          <w:rFonts w:asciiTheme="minorHAnsi" w:eastAsiaTheme="minorHAnsi" w:hAnsiTheme="minorHAnsi" w:cstheme="minorHAnsi"/>
          <w:sz w:val="24"/>
          <w:szCs w:val="24"/>
          <w:lang w:val="en-US" w:eastAsia="en-US"/>
        </w:rPr>
        <w:t xml:space="preserve"> LAB/1131.</w:t>
      </w:r>
    </w:p>
    <w:p w14:paraId="2CB1E9C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40614843"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Wilton, D.H.C., 1989a. Studies in the Seal Lake Group, Central Labrador, Part I. </w:t>
      </w:r>
      <w:r w:rsidRPr="00153266">
        <w:rPr>
          <w:rFonts w:asciiTheme="minorHAnsi" w:eastAsiaTheme="minorHAnsi" w:hAnsiTheme="minorHAnsi" w:cstheme="minorHAnsi"/>
          <w:sz w:val="24"/>
          <w:szCs w:val="24"/>
          <w:lang w:val="en-US" w:eastAsia="en-US"/>
        </w:rPr>
        <w:tab/>
        <w:t>Description of Copper Occurrences. Current Research (1989) Newfoundland Department of Mines, Geological Survey of Newfoundland, Report 89-1, pp. 23-33.</w:t>
      </w:r>
    </w:p>
    <w:p w14:paraId="6F1E003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6CFA2713" w14:textId="77777777" w:rsidR="00153266" w:rsidRPr="00153266" w:rsidRDefault="00153266" w:rsidP="00153266">
      <w:pPr>
        <w:widowControl/>
        <w:autoSpaceDE/>
        <w:autoSpaceDN/>
        <w:adjustRightInd/>
        <w:ind w:right="1164" w:hanging="720"/>
        <w:jc w:val="both"/>
        <w:rPr>
          <w:rFonts w:asciiTheme="minorHAnsi" w:eastAsiaTheme="minorHAnsi" w:hAnsiTheme="minorHAnsi" w:cstheme="minorHAnsi"/>
          <w:sz w:val="24"/>
          <w:szCs w:val="24"/>
          <w:lang w:eastAsia="en-US"/>
        </w:rPr>
      </w:pPr>
      <w:r w:rsidRPr="00153266">
        <w:rPr>
          <w:rFonts w:ascii="Times New Roman" w:eastAsiaTheme="minorHAnsi" w:hAnsi="Times New Roman" w:cstheme="minorBidi"/>
          <w:sz w:val="24"/>
          <w:szCs w:val="24"/>
          <w:lang w:eastAsia="en-US"/>
        </w:rPr>
        <w:t xml:space="preserve">            </w:t>
      </w:r>
      <w:r w:rsidRPr="00153266">
        <w:rPr>
          <w:rFonts w:asciiTheme="minorHAnsi" w:eastAsiaTheme="minorHAnsi" w:hAnsiTheme="minorHAnsi" w:cstheme="minorHAnsi"/>
          <w:sz w:val="24"/>
          <w:szCs w:val="24"/>
          <w:lang w:eastAsia="en-US"/>
        </w:rPr>
        <w:t>Wilton, D.H.C., 1989b.  Studies in the Seal Lake Group, central Labrador, part II. Geochemistry of diabase sills.  In Current Research, Nfld. Dept. of Mines, Rept. 89-1, pp. 35-46.</w:t>
      </w:r>
    </w:p>
    <w:p w14:paraId="53B9E4A2"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1D8507E0"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Wilton, D.H.C., 1996. Metallogeny of the Central Mineral Belt and adjacent Archean basement, Labrador. Government of Newfoundland and Labrador, Department of Mines and Energy, Geological Survey, Mineral Resources Report 8, 198p.</w:t>
      </w:r>
    </w:p>
    <w:p w14:paraId="138BDADE"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7583CDA" w14:textId="77777777" w:rsidR="00153266" w:rsidRPr="00153266" w:rsidRDefault="00153266" w:rsidP="00153266">
      <w:pPr>
        <w:widowControl/>
        <w:autoSpaceDE/>
        <w:autoSpaceDN/>
        <w:adjustRightInd/>
        <w:ind w:left="-624" w:right="1164" w:firstLine="624"/>
        <w:jc w:val="both"/>
        <w:rPr>
          <w:rFonts w:asciiTheme="minorHAnsi" w:eastAsiaTheme="minorHAnsi" w:hAnsiTheme="minorHAnsi" w:cstheme="minorHAnsi"/>
          <w:bCs/>
          <w:iCs/>
          <w:sz w:val="24"/>
          <w:szCs w:val="24"/>
          <w:lang w:val="en-US" w:eastAsia="en-US"/>
        </w:rPr>
      </w:pPr>
      <w:r w:rsidRPr="00153266">
        <w:rPr>
          <w:rFonts w:asciiTheme="minorHAnsi" w:eastAsiaTheme="minorHAnsi" w:hAnsiTheme="minorHAnsi" w:cstheme="minorHAnsi"/>
          <w:bCs/>
          <w:iCs/>
          <w:sz w:val="24"/>
          <w:szCs w:val="24"/>
          <w:lang w:val="en-US" w:eastAsia="en-US"/>
        </w:rPr>
        <w:t xml:space="preserve">Wilton, D.H.C., 2015. Report of the petrographic examination of seven polished thin </w:t>
      </w:r>
    </w:p>
    <w:p w14:paraId="0F237EF8"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bCs/>
          <w:iCs/>
          <w:sz w:val="24"/>
          <w:szCs w:val="24"/>
          <w:lang w:val="en-US" w:eastAsia="en-US"/>
        </w:rPr>
      </w:pPr>
      <w:r w:rsidRPr="00153266">
        <w:rPr>
          <w:rFonts w:asciiTheme="minorHAnsi" w:eastAsiaTheme="minorHAnsi" w:hAnsiTheme="minorHAnsi" w:cstheme="minorHAnsi"/>
          <w:bCs/>
          <w:iCs/>
          <w:sz w:val="24"/>
          <w:szCs w:val="24"/>
          <w:lang w:val="en-US" w:eastAsia="en-US"/>
        </w:rPr>
        <w:t xml:space="preserve">sections from the Seal Lake region, Labrador. </w:t>
      </w:r>
      <w:r w:rsidRPr="00153266">
        <w:rPr>
          <w:rFonts w:asciiTheme="minorHAnsi" w:eastAsiaTheme="minorHAnsi" w:hAnsiTheme="minorHAnsi" w:cstheme="minorHAnsi"/>
          <w:sz w:val="24"/>
          <w:szCs w:val="24"/>
          <w:lang w:val="en-US" w:eastAsia="en-US"/>
        </w:rPr>
        <w:t>Unpublished report for Altius Resources Inc., 20p.</w:t>
      </w:r>
    </w:p>
    <w:p w14:paraId="5FCAA8AA" w14:textId="77777777" w:rsidR="00153266" w:rsidRPr="00153266" w:rsidRDefault="00153266" w:rsidP="00153266">
      <w:pPr>
        <w:widowControl/>
        <w:autoSpaceDE/>
        <w:autoSpaceDN/>
        <w:adjustRightInd/>
        <w:ind w:right="1164"/>
        <w:jc w:val="both"/>
        <w:rPr>
          <w:rFonts w:asciiTheme="minorHAnsi" w:eastAsiaTheme="minorHAnsi" w:hAnsiTheme="minorHAnsi" w:cstheme="minorHAnsi"/>
          <w:sz w:val="24"/>
          <w:szCs w:val="24"/>
          <w:lang w:val="en-US" w:eastAsia="en-US"/>
        </w:rPr>
      </w:pPr>
    </w:p>
    <w:p w14:paraId="7CB560EA" w14:textId="77777777" w:rsidR="00153266" w:rsidRPr="00153266" w:rsidRDefault="00153266" w:rsidP="00153266">
      <w:pPr>
        <w:widowControl/>
        <w:ind w:right="1164"/>
        <w:jc w:val="both"/>
        <w:rPr>
          <w:rFonts w:asciiTheme="minorHAnsi" w:eastAsia="Times New Roman" w:hAnsiTheme="minorHAnsi" w:cstheme="minorHAnsi"/>
          <w:sz w:val="24"/>
          <w:szCs w:val="24"/>
          <w:lang w:val="en-US" w:eastAsia="en-US"/>
        </w:rPr>
      </w:pPr>
      <w:r w:rsidRPr="00153266">
        <w:rPr>
          <w:rFonts w:asciiTheme="minorHAnsi" w:eastAsia="Times New Roman" w:hAnsiTheme="minorHAnsi" w:cstheme="minorHAnsi"/>
          <w:sz w:val="24"/>
          <w:szCs w:val="24"/>
          <w:lang w:val="en-US" w:eastAsia="en-US"/>
        </w:rPr>
        <w:t>Wilton, D.H.C., and Selby, D., 2017. The beginning and end of metallogeny in the Labrador Central Mineral Belt; 1868 to 1064 Ma Re-</w:t>
      </w:r>
      <w:proofErr w:type="spellStart"/>
      <w:r w:rsidRPr="00153266">
        <w:rPr>
          <w:rFonts w:asciiTheme="minorHAnsi" w:eastAsia="Times New Roman" w:hAnsiTheme="minorHAnsi" w:cstheme="minorHAnsi"/>
          <w:sz w:val="24"/>
          <w:szCs w:val="24"/>
          <w:lang w:val="en-US" w:eastAsia="en-US"/>
        </w:rPr>
        <w:t>Os</w:t>
      </w:r>
      <w:proofErr w:type="spellEnd"/>
      <w:r w:rsidRPr="00153266">
        <w:rPr>
          <w:rFonts w:asciiTheme="minorHAnsi" w:eastAsia="Times New Roman" w:hAnsiTheme="minorHAnsi" w:cstheme="minorHAnsi"/>
          <w:sz w:val="24"/>
          <w:szCs w:val="24"/>
          <w:lang w:val="en-US" w:eastAsia="en-US"/>
        </w:rPr>
        <w:t xml:space="preserve"> molybdenite dates bracket the widespread polymetallic mineralization. Kingston 2017 GAC/MAC program with abstracts. </w:t>
      </w:r>
    </w:p>
    <w:p w14:paraId="5553E512" w14:textId="77777777" w:rsidR="00153266" w:rsidRPr="00153266" w:rsidRDefault="00153266" w:rsidP="00153266">
      <w:pPr>
        <w:widowControl/>
        <w:ind w:left="-1020" w:right="1164" w:firstLine="1020"/>
        <w:jc w:val="both"/>
        <w:rPr>
          <w:rFonts w:ascii="Courier 10cpi" w:eastAsia="Times New Roman" w:hAnsi="Courier 10cpi" w:cs="Times New Roman"/>
          <w:sz w:val="24"/>
          <w:szCs w:val="24"/>
          <w:lang w:val="en-US" w:eastAsia="en-US"/>
        </w:rPr>
      </w:pPr>
      <w:r w:rsidRPr="00153266">
        <w:rPr>
          <w:rFonts w:asciiTheme="minorHAnsi" w:eastAsia="Times New Roman" w:hAnsiTheme="minorHAnsi" w:cstheme="minorHAnsi"/>
          <w:sz w:val="24"/>
          <w:szCs w:val="24"/>
          <w:lang w:val="en-US" w:eastAsia="en-US"/>
        </w:rPr>
        <w:t>v.40 p.421.</w:t>
      </w:r>
    </w:p>
    <w:p w14:paraId="0E87CB51"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0A8FABDC"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44C0CAB3"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332CFC36"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5FD46C85"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3542067"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7D6BF372"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31674923"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26D8CC5"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1FBE3F3B"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08C6FDB"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06AC11F5"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12399EFA"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47948E6C"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204C99CC" w14:textId="77777777" w:rsidR="00153266" w:rsidRPr="00153266" w:rsidRDefault="00153266" w:rsidP="000C0B2C">
      <w:pPr>
        <w:widowControl/>
        <w:autoSpaceDE/>
        <w:autoSpaceDN/>
        <w:adjustRightInd/>
        <w:ind w:right="739"/>
        <w:contextualSpacing/>
        <w:jc w:val="center"/>
        <w:rPr>
          <w:rFonts w:asciiTheme="minorHAnsi" w:eastAsiaTheme="minorHAnsi" w:hAnsiTheme="minorHAnsi" w:cstheme="minorHAnsi"/>
          <w:b/>
          <w:bCs/>
          <w:sz w:val="24"/>
          <w:szCs w:val="24"/>
          <w:lang w:val="en-US" w:eastAsia="en-US"/>
        </w:rPr>
      </w:pPr>
      <w:r w:rsidRPr="00153266">
        <w:rPr>
          <w:rFonts w:asciiTheme="minorHAnsi" w:eastAsiaTheme="minorHAnsi" w:hAnsiTheme="minorHAnsi" w:cstheme="minorHAnsi"/>
          <w:b/>
          <w:bCs/>
          <w:sz w:val="24"/>
          <w:szCs w:val="24"/>
          <w:lang w:val="en-US" w:eastAsia="en-US"/>
        </w:rPr>
        <w:t>CERTIFICATE AND CONSENT OF THE INDEPENDENT QUALIFIED PERSON</w:t>
      </w:r>
    </w:p>
    <w:p w14:paraId="35B4E095" w14:textId="77777777" w:rsidR="00153266" w:rsidRPr="00153266" w:rsidRDefault="00153266" w:rsidP="00153266">
      <w:pPr>
        <w:widowControl/>
        <w:ind w:right="739"/>
        <w:jc w:val="both"/>
        <w:rPr>
          <w:rFonts w:asciiTheme="minorHAnsi" w:eastAsiaTheme="minorHAnsi" w:hAnsiTheme="minorHAnsi"/>
          <w:b/>
          <w:bCs/>
          <w:sz w:val="28"/>
          <w:szCs w:val="28"/>
          <w:lang w:val="en-US" w:eastAsia="en-US"/>
        </w:rPr>
      </w:pPr>
      <w:r w:rsidRPr="00153266">
        <w:rPr>
          <w:rFonts w:asciiTheme="minorHAnsi" w:eastAsiaTheme="minorHAnsi" w:hAnsiTheme="minorHAnsi"/>
          <w:b/>
          <w:bCs/>
          <w:sz w:val="28"/>
          <w:szCs w:val="28"/>
          <w:lang w:val="en-US" w:eastAsia="en-US"/>
        </w:rPr>
        <w:t xml:space="preserve">Dr. Derek H. C. Wilton, </w:t>
      </w:r>
      <w:proofErr w:type="spellStart"/>
      <w:r w:rsidRPr="00153266">
        <w:rPr>
          <w:rFonts w:asciiTheme="minorHAnsi" w:eastAsiaTheme="minorHAnsi" w:hAnsiTheme="minorHAnsi"/>
          <w:b/>
          <w:bCs/>
          <w:sz w:val="28"/>
          <w:szCs w:val="28"/>
          <w:lang w:val="en-US" w:eastAsia="en-US"/>
        </w:rPr>
        <w:t>PGeo</w:t>
      </w:r>
      <w:proofErr w:type="spellEnd"/>
      <w:r w:rsidRPr="00153266">
        <w:rPr>
          <w:rFonts w:asciiTheme="minorHAnsi" w:eastAsiaTheme="minorHAnsi" w:hAnsiTheme="minorHAnsi"/>
          <w:b/>
          <w:bCs/>
          <w:sz w:val="28"/>
          <w:szCs w:val="28"/>
          <w:lang w:val="en-US" w:eastAsia="en-US"/>
        </w:rPr>
        <w:t>., FGC</w:t>
      </w:r>
    </w:p>
    <w:p w14:paraId="771873D1" w14:textId="77777777" w:rsidR="00153266" w:rsidRPr="00153266" w:rsidRDefault="00153266" w:rsidP="00153266">
      <w:pPr>
        <w:widowControl/>
        <w:ind w:right="739"/>
        <w:jc w:val="both"/>
        <w:rPr>
          <w:rFonts w:eastAsiaTheme="minorHAnsi"/>
          <w:b/>
          <w:bCs/>
          <w:lang w:val="en-US" w:eastAsia="en-US"/>
        </w:rPr>
      </w:pPr>
      <w:r w:rsidRPr="00153266">
        <w:rPr>
          <w:rFonts w:asciiTheme="minorHAnsi" w:eastAsiaTheme="minorHAnsi" w:hAnsiTheme="minorHAnsi"/>
          <w:b/>
          <w:bCs/>
          <w:sz w:val="28"/>
          <w:szCs w:val="28"/>
          <w:lang w:val="en-US" w:eastAsia="en-US"/>
        </w:rPr>
        <w:t xml:space="preserve">Terra Rosetta Inc. </w:t>
      </w:r>
    </w:p>
    <w:p w14:paraId="002001E8" w14:textId="77777777" w:rsidR="00153266" w:rsidRPr="00153266" w:rsidRDefault="00153266" w:rsidP="00153266">
      <w:pPr>
        <w:widowControl/>
        <w:ind w:right="739"/>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7 Yellowknife St.</w:t>
      </w:r>
    </w:p>
    <w:p w14:paraId="66F5C0D3" w14:textId="77777777" w:rsidR="00153266" w:rsidRPr="00153266" w:rsidRDefault="00153266" w:rsidP="00153266">
      <w:pPr>
        <w:widowControl/>
        <w:ind w:right="739"/>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St. John’s NL</w:t>
      </w:r>
    </w:p>
    <w:p w14:paraId="7CF34A8C" w14:textId="77777777" w:rsidR="00153266" w:rsidRPr="00153266" w:rsidRDefault="00153266" w:rsidP="00153266">
      <w:pPr>
        <w:widowControl/>
        <w:ind w:right="739"/>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A1A 2Z7</w:t>
      </w:r>
    </w:p>
    <w:p w14:paraId="1C7FDAAB" w14:textId="77777777" w:rsidR="00153266" w:rsidRPr="00153266" w:rsidRDefault="00153266" w:rsidP="00153266">
      <w:pPr>
        <w:widowControl/>
        <w:ind w:right="739"/>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Tel: 709-730-6624</w:t>
      </w:r>
    </w:p>
    <w:p w14:paraId="6FF484B2" w14:textId="77777777" w:rsidR="00153266" w:rsidRPr="00153266" w:rsidRDefault="00153266" w:rsidP="00153266">
      <w:pPr>
        <w:widowControl/>
        <w:autoSpaceDE/>
        <w:autoSpaceDN/>
        <w:adjustRightInd/>
        <w:ind w:right="739"/>
        <w:jc w:val="both"/>
        <w:rPr>
          <w:rFonts w:asciiTheme="minorHAnsi" w:eastAsiaTheme="minorHAnsi" w:hAnsiTheme="minorHAnsi" w:cstheme="minorHAnsi"/>
          <w:sz w:val="24"/>
          <w:szCs w:val="24"/>
          <w:lang w:val="en-US" w:eastAsia="en-US"/>
        </w:rPr>
      </w:pPr>
    </w:p>
    <w:p w14:paraId="129391CF" w14:textId="77777777" w:rsidR="00153266" w:rsidRPr="00153266" w:rsidRDefault="00153266" w:rsidP="00153266">
      <w:pPr>
        <w:widowControl/>
        <w:autoSpaceDE/>
        <w:autoSpaceDN/>
        <w:adjustRightInd/>
        <w:ind w:right="739"/>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I, Derek Harold Clement Wilton, do hereby certify the following: </w:t>
      </w:r>
    </w:p>
    <w:p w14:paraId="424D7077" w14:textId="77777777" w:rsidR="00153266" w:rsidRPr="00153266" w:rsidRDefault="00153266" w:rsidP="00512495">
      <w:pPr>
        <w:widowControl/>
        <w:numPr>
          <w:ilvl w:val="0"/>
          <w:numId w:val="39"/>
        </w:numPr>
        <w:autoSpaceDE/>
        <w:autoSpaceDN/>
        <w:adjustRightInd/>
        <w:ind w:left="714" w:right="739" w:hanging="357"/>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am currently a part-time Faculty Researcher at the College of the North Atlantic, St. John’s NL, and am a recently retired (Dec. 31, 2019) Professor – Department of Earth Sciences, Memorial University of Newfoundland (MUN), St. John’s, NL, A1B 3X5 where I had been employed as a fulltime employee since September 1983.</w:t>
      </w:r>
    </w:p>
    <w:p w14:paraId="2FE05CE6" w14:textId="77777777" w:rsidR="00153266" w:rsidRP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also operate under the business name of Terra Rosetta Inc., a geological consulting business (active since November 2007) independent of both Chesterfield Resources PLC and Altius Minerals Corp.</w:t>
      </w:r>
    </w:p>
    <w:p w14:paraId="4D58AAF6" w14:textId="77777777" w:rsidR="00153266" w:rsidRPr="00153266" w:rsidRDefault="00153266" w:rsidP="00512495">
      <w:pPr>
        <w:widowControl/>
        <w:numPr>
          <w:ilvl w:val="0"/>
          <w:numId w:val="39"/>
        </w:numPr>
        <w:autoSpaceDE/>
        <w:autoSpaceDN/>
        <w:adjustRightInd/>
        <w:ind w:left="714" w:right="739" w:hanging="357"/>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graduated with the degree of BSc. (Geology) from Memorial University of Newfoundland in 1976, MSc. (Geological Sciences) from the University of British Columbia in 1978, and a PhD. from Memorial University of Newfoundland in 1984 and have worked continuously in the industry since that time.</w:t>
      </w:r>
    </w:p>
    <w:p w14:paraId="5DA37D2D" w14:textId="77777777" w:rsidR="00153266" w:rsidRP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am duly registered with, and a member in good standing of, the Professional Engineers and Geoscientists of Newfoundland and Labrador (PEG-NL Reg. No. 02840).</w:t>
      </w:r>
    </w:p>
    <w:p w14:paraId="64061112" w14:textId="77777777" w:rsidR="00153266" w:rsidRP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I am a Fellow Geosciences Canada, Fellow Geological Association of Canada, and Fellow Royal Canadian Geographical Society. </w:t>
      </w:r>
    </w:p>
    <w:p w14:paraId="57C9C4B1" w14:textId="40C3378D" w:rsidR="00153266" w:rsidRP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I have worked as a geologist for a total of 45 years since my BSc. graduation. My relevant experience for the purpose of the Technical Report is that I have conducted geological research in Newfoundland and Labrador since 1976. I have completed extensive work on Labrador geology and mineral deposits, particularly the copper occurrences in the Seal Lake Group. I have undertaken collaborative work with government geologists and consulting work on mineral deposits throughout Newfoundland and Labrador. </w:t>
      </w:r>
    </w:p>
    <w:p w14:paraId="728B9C61" w14:textId="77777777" w:rsidR="00153266" w:rsidRP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I visited the exact site of the mineral occurrences in the report in 1987 and periodically since up to ca. 2010. </w:t>
      </w:r>
    </w:p>
    <w:p w14:paraId="70FB2C85" w14:textId="77777777" w:rsidR="00153266" w:rsidRPr="00153266" w:rsidRDefault="00153266" w:rsidP="00512495">
      <w:pPr>
        <w:widowControl/>
        <w:numPr>
          <w:ilvl w:val="0"/>
          <w:numId w:val="38"/>
        </w:numPr>
        <w:autoSpaceDE/>
        <w:autoSpaceDN/>
        <w:adjustRightInd/>
        <w:ind w:left="714" w:right="739" w:hanging="357"/>
        <w:jc w:val="both"/>
        <w:rPr>
          <w:rFonts w:asciiTheme="minorHAnsi" w:eastAsia="Times New Roman" w:hAnsiTheme="minorHAnsi" w:cstheme="minorHAnsi"/>
          <w:sz w:val="24"/>
          <w:szCs w:val="24"/>
          <w:lang w:val="en-CA" w:eastAsia="en-US"/>
        </w:rPr>
      </w:pPr>
      <w:r w:rsidRPr="00153266">
        <w:rPr>
          <w:rFonts w:asciiTheme="minorHAnsi" w:eastAsia="Times New Roman" w:hAnsiTheme="minorHAnsi" w:cstheme="minorHAnsi"/>
          <w:sz w:val="24"/>
          <w:szCs w:val="24"/>
          <w:lang w:val="en-US" w:eastAsia="en-US"/>
        </w:rPr>
        <w:t>I certify, that by reason of my education, affiliation with professional associations, and past relevant work experience I fulfill the requirements to be a “competent person” for the purposes of this report.</w:t>
      </w:r>
    </w:p>
    <w:p w14:paraId="6EE7F11C" w14:textId="77777777" w:rsidR="00153266" w:rsidRPr="00153266" w:rsidRDefault="00153266" w:rsidP="00512495">
      <w:pPr>
        <w:widowControl/>
        <w:numPr>
          <w:ilvl w:val="0"/>
          <w:numId w:val="38"/>
        </w:numPr>
        <w:autoSpaceDE/>
        <w:autoSpaceDN/>
        <w:adjustRightInd/>
        <w:ind w:left="714" w:right="739" w:hanging="357"/>
        <w:jc w:val="both"/>
        <w:rPr>
          <w:rFonts w:asciiTheme="minorHAnsi" w:eastAsia="Times New Roman" w:hAnsiTheme="minorHAnsi" w:cstheme="minorHAnsi"/>
          <w:sz w:val="24"/>
          <w:szCs w:val="24"/>
          <w:lang w:val="en-CA" w:eastAsia="en-US"/>
        </w:rPr>
      </w:pPr>
      <w:r w:rsidRPr="00153266">
        <w:rPr>
          <w:rFonts w:asciiTheme="minorHAnsi" w:eastAsia="Times New Roman" w:hAnsiTheme="minorHAnsi" w:cstheme="minorHAnsi"/>
          <w:sz w:val="24"/>
          <w:szCs w:val="24"/>
          <w:lang w:val="en-CA" w:eastAsia="en-US"/>
        </w:rPr>
        <w:t>I am responsible for the preparation of all sections of this technical document titled “C</w:t>
      </w:r>
      <w:r w:rsidRPr="00153266">
        <w:rPr>
          <w:rFonts w:asciiTheme="minorHAnsi" w:eastAsia="Times New Roman" w:hAnsiTheme="minorHAnsi" w:cstheme="minorHAnsi"/>
          <w:bCs/>
          <w:sz w:val="24"/>
          <w:szCs w:val="24"/>
          <w:lang w:val="en-CA" w:eastAsia="en-US"/>
        </w:rPr>
        <w:t>ompetent Person’s Report - Adeline Copper Project, Newfoundland and Labrador, Canada</w:t>
      </w:r>
    </w:p>
    <w:p w14:paraId="5319B6AF" w14:textId="77777777" w:rsidR="00153266" w:rsidRPr="00153266" w:rsidRDefault="00153266" w:rsidP="00153266">
      <w:pPr>
        <w:widowControl/>
        <w:autoSpaceDE/>
        <w:autoSpaceDN/>
        <w:adjustRightInd/>
        <w:ind w:right="739" w:firstLine="714"/>
        <w:jc w:val="both"/>
        <w:rPr>
          <w:rFonts w:asciiTheme="minorHAnsi" w:eastAsiaTheme="minorHAnsi" w:hAnsiTheme="minorHAnsi" w:cstheme="minorHAnsi"/>
          <w:bCs/>
          <w:sz w:val="24"/>
          <w:szCs w:val="24"/>
          <w:lang w:val="en-US" w:eastAsia="en-US"/>
        </w:rPr>
      </w:pPr>
      <w:r w:rsidRPr="00153266">
        <w:rPr>
          <w:rFonts w:asciiTheme="minorHAnsi" w:eastAsiaTheme="minorHAnsi" w:hAnsiTheme="minorHAnsi" w:cstheme="minorHAnsi"/>
          <w:bCs/>
          <w:sz w:val="24"/>
          <w:szCs w:val="24"/>
          <w:lang w:val="en-US" w:eastAsia="en-US"/>
        </w:rPr>
        <w:t xml:space="preserve">NTS 13K/05 and 13L/08” </w:t>
      </w:r>
      <w:r w:rsidRPr="00153266">
        <w:rPr>
          <w:rFonts w:asciiTheme="minorHAnsi" w:eastAsiaTheme="minorHAnsi" w:hAnsiTheme="minorHAnsi" w:cstheme="minorHAnsi"/>
          <w:sz w:val="24"/>
          <w:szCs w:val="24"/>
          <w:lang w:val="en-US" w:eastAsia="en-US"/>
        </w:rPr>
        <w:t xml:space="preserve">(the "report"), with an effective date of July 02, 2021. </w:t>
      </w:r>
    </w:p>
    <w:p w14:paraId="1C8226A0" w14:textId="77777777" w:rsidR="00153266" w:rsidRPr="00153266" w:rsidRDefault="00153266" w:rsidP="00512495">
      <w:pPr>
        <w:widowControl/>
        <w:numPr>
          <w:ilvl w:val="0"/>
          <w:numId w:val="38"/>
        </w:numPr>
        <w:autoSpaceDE/>
        <w:autoSpaceDN/>
        <w:adjustRightInd/>
        <w:ind w:left="714" w:right="739" w:hanging="357"/>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As of </w:t>
      </w:r>
      <w:proofErr w:type="gramStart"/>
      <w:r w:rsidRPr="00153266">
        <w:rPr>
          <w:rFonts w:asciiTheme="minorHAnsi" w:eastAsiaTheme="minorHAnsi" w:hAnsiTheme="minorHAnsi" w:cstheme="minorHAnsi"/>
          <w:sz w:val="24"/>
          <w:szCs w:val="24"/>
          <w:lang w:val="en-US" w:eastAsia="en-US"/>
        </w:rPr>
        <w:t>July 02, 2021</w:t>
      </w:r>
      <w:proofErr w:type="gramEnd"/>
      <w:r w:rsidRPr="00153266">
        <w:rPr>
          <w:rFonts w:asciiTheme="minorHAnsi" w:eastAsiaTheme="minorHAnsi" w:hAnsiTheme="minorHAnsi" w:cstheme="minorHAnsi"/>
          <w:sz w:val="24"/>
          <w:szCs w:val="24"/>
          <w:lang w:val="en-US" w:eastAsia="en-US"/>
        </w:rPr>
        <w:t xml:space="preserve"> and to the best of my knowledge, information and belief, the report contains all scientific and technical information that is required to be disclosed to make the technical report not misleading. </w:t>
      </w:r>
    </w:p>
    <w:p w14:paraId="481093CD" w14:textId="77777777" w:rsidR="00153266" w:rsidRPr="00153266" w:rsidRDefault="00153266" w:rsidP="00512495">
      <w:pPr>
        <w:widowControl/>
        <w:numPr>
          <w:ilvl w:val="0"/>
          <w:numId w:val="38"/>
        </w:numPr>
        <w:autoSpaceDE/>
        <w:autoSpaceDN/>
        <w:adjustRightInd/>
        <w:ind w:left="714" w:right="739" w:hanging="357"/>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am not aware of any material fact or material change with respect to the subject matter of the report that is not reflected in the report, the omission to disclose which make the report misleading.</w:t>
      </w:r>
    </w:p>
    <w:p w14:paraId="3F030AD8" w14:textId="1C36FC6F" w:rsidR="00153266" w:rsidRDefault="00153266" w:rsidP="00512495">
      <w:pPr>
        <w:widowControl/>
        <w:numPr>
          <w:ilvl w:val="0"/>
          <w:numId w:val="39"/>
        </w:numPr>
        <w:autoSpaceDE/>
        <w:autoSpaceDN/>
        <w:adjustRightInd/>
        <w:ind w:right="739"/>
        <w:contextualSpacing/>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I am independent of the issuer and I do not hold, nor expect to hold, securities of either Chesterfield Resources PLC or Altius Resources Corp.</w:t>
      </w:r>
    </w:p>
    <w:p w14:paraId="047EEA7F" w14:textId="77777777" w:rsidR="000C0B2C" w:rsidRPr="00153266" w:rsidRDefault="000C0B2C" w:rsidP="000C0B2C">
      <w:pPr>
        <w:widowControl/>
        <w:autoSpaceDE/>
        <w:autoSpaceDN/>
        <w:adjustRightInd/>
        <w:ind w:left="720" w:right="739"/>
        <w:contextualSpacing/>
        <w:jc w:val="both"/>
        <w:rPr>
          <w:rFonts w:asciiTheme="minorHAnsi" w:eastAsiaTheme="minorHAnsi" w:hAnsiTheme="minorHAnsi" w:cstheme="minorHAnsi"/>
          <w:sz w:val="24"/>
          <w:szCs w:val="24"/>
          <w:lang w:val="en-US" w:eastAsia="en-US"/>
        </w:rPr>
      </w:pPr>
    </w:p>
    <w:p w14:paraId="72C3E578"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6047271A"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lastRenderedPageBreak/>
        <w:t>Signed Sealed</w:t>
      </w:r>
    </w:p>
    <w:p w14:paraId="24B3E9B0"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 xml:space="preserve">Derek Wilton </w:t>
      </w:r>
    </w:p>
    <w:p w14:paraId="2518C53A"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r w:rsidRPr="00153266">
        <w:rPr>
          <w:rFonts w:asciiTheme="minorHAnsi" w:eastAsiaTheme="minorHAnsi" w:hAnsiTheme="minorHAnsi" w:cstheme="minorHAnsi"/>
          <w:sz w:val="24"/>
          <w:szCs w:val="24"/>
          <w:lang w:val="en-US" w:eastAsia="en-US"/>
        </w:rPr>
        <w:t>July 02, 2021</w:t>
      </w:r>
    </w:p>
    <w:p w14:paraId="42531611"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08825568" w14:textId="77777777" w:rsidR="00153266" w:rsidRPr="00153266" w:rsidRDefault="00153266" w:rsidP="00153266">
      <w:pPr>
        <w:widowControl/>
        <w:autoSpaceDE/>
        <w:autoSpaceDN/>
        <w:adjustRightInd/>
        <w:jc w:val="both"/>
        <w:rPr>
          <w:rFonts w:asciiTheme="minorHAnsi" w:eastAsiaTheme="minorHAnsi" w:hAnsiTheme="minorHAnsi" w:cstheme="minorHAnsi"/>
          <w:sz w:val="24"/>
          <w:szCs w:val="24"/>
          <w:lang w:val="en-US" w:eastAsia="en-US"/>
        </w:rPr>
      </w:pPr>
    </w:p>
    <w:p w14:paraId="594765B1" w14:textId="77777777" w:rsidR="009715D1" w:rsidRDefault="009715D1" w:rsidP="00D56AD8"/>
    <w:p w14:paraId="4BDC89FF" w14:textId="2420B4D5" w:rsidR="009715D1" w:rsidRPr="00D56AD8" w:rsidRDefault="009715D1" w:rsidP="00D56AD8"/>
    <w:sectPr w:rsidR="009715D1" w:rsidRPr="00D56AD8" w:rsidSect="00153266">
      <w:type w:val="continuous"/>
      <w:pgSz w:w="11900" w:h="16840"/>
      <w:pgMar w:top="1360" w:right="240" w:bottom="280" w:left="1140" w:header="720" w:footer="720" w:gutter="0"/>
      <w:cols w:space="720" w:equalWidth="0">
        <w:col w:w="105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6B5C8" w14:textId="77777777" w:rsidR="00170424" w:rsidRDefault="00170424">
      <w:r>
        <w:separator/>
      </w:r>
    </w:p>
  </w:endnote>
  <w:endnote w:type="continuationSeparator" w:id="0">
    <w:p w14:paraId="534727FA" w14:textId="77777777" w:rsidR="00170424" w:rsidRDefault="0017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10cpi">
    <w:altName w:val="Courier New"/>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CDAE" w14:textId="77777777" w:rsidR="00170424" w:rsidRDefault="00170424">
    <w:pPr>
      <w:pStyle w:val="BodyText"/>
      <w:kinsoku w:val="0"/>
      <w:overflowPunct w:val="0"/>
      <w:spacing w:line="14" w:lineRule="auto"/>
      <w:rPr>
        <w:rFonts w:ascii="Times New Roman" w:hAnsi="Times New Roman" w:cs="Times New Roman"/>
        <w:sz w:val="12"/>
        <w:szCs w:val="12"/>
      </w:rPr>
    </w:pPr>
    <w:r>
      <w:rPr>
        <w:noProof/>
      </w:rPr>
      <mc:AlternateContent>
        <mc:Choice Requires="wps">
          <w:drawing>
            <wp:anchor distT="0" distB="0" distL="114300" distR="114300" simplePos="0" relativeHeight="251658240" behindDoc="1" locked="0" layoutInCell="0" allowOverlap="1" wp14:anchorId="38DD154A" wp14:editId="7889FCC9">
              <wp:simplePos x="0" y="0"/>
              <wp:positionH relativeFrom="page">
                <wp:posOffset>3689985</wp:posOffset>
              </wp:positionH>
              <wp:positionV relativeFrom="page">
                <wp:posOffset>10280015</wp:posOffset>
              </wp:positionV>
              <wp:extent cx="17145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77E2" w14:textId="77777777" w:rsidR="00170424" w:rsidRDefault="00170424">
                          <w:pPr>
                            <w:pStyle w:val="BodyText"/>
                            <w:kinsoku w:val="0"/>
                            <w:overflowPunct w:val="0"/>
                            <w:spacing w:before="15"/>
                            <w:ind w:left="52"/>
                            <w:rPr>
                              <w:color w:val="231F20"/>
                              <w:sz w:val="16"/>
                              <w:szCs w:val="16"/>
                            </w:rPr>
                          </w:pPr>
                          <w:r>
                            <w:rPr>
                              <w:color w:val="231F20"/>
                              <w:sz w:val="16"/>
                              <w:szCs w:val="16"/>
                            </w:rPr>
                            <w:fldChar w:fldCharType="begin"/>
                          </w:r>
                          <w:r>
                            <w:rPr>
                              <w:color w:val="231F20"/>
                              <w:sz w:val="16"/>
                              <w:szCs w:val="16"/>
                            </w:rPr>
                            <w:instrText xml:space="preserve"> PAGE </w:instrText>
                          </w:r>
                          <w:r>
                            <w:rPr>
                              <w:color w:val="231F20"/>
                              <w:sz w:val="16"/>
                              <w:szCs w:val="16"/>
                            </w:rPr>
                            <w:fldChar w:fldCharType="separate"/>
                          </w:r>
                          <w:r>
                            <w:rPr>
                              <w:noProof/>
                              <w:color w:val="231F20"/>
                              <w:sz w:val="16"/>
                              <w:szCs w:val="16"/>
                            </w:rPr>
                            <w:t>2</w:t>
                          </w:r>
                          <w:r>
                            <w:rPr>
                              <w:color w:val="231F2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D154A" id="_x0000_t202" coordsize="21600,21600" o:spt="202" path="m,l,21600r21600,l21600,xe">
              <v:stroke joinstyle="miter"/>
              <v:path gradientshapeok="t" o:connecttype="rect"/>
            </v:shapetype>
            <v:shape id="Text Box 1" o:spid="_x0000_s1029" type="#_x0000_t202" style="position:absolute;margin-left:290.55pt;margin-top:809.45pt;width:13.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" o:allowincell="f" filled="f" stroked="f">
              <v:textbox inset="0,0,0,0">
                <w:txbxContent>
                  <w:p w14:paraId="2E9B77E2" w14:textId="77777777" w:rsidR="00170424" w:rsidRDefault="00170424">
                    <w:pPr>
                      <w:pStyle w:val="BodyText"/>
                      <w:kinsoku w:val="0"/>
                      <w:overflowPunct w:val="0"/>
                      <w:spacing w:before="15"/>
                      <w:ind w:left="52"/>
                      <w:rPr>
                        <w:color w:val="231F20"/>
                        <w:sz w:val="16"/>
                        <w:szCs w:val="16"/>
                      </w:rPr>
                    </w:pPr>
                    <w:r>
                      <w:rPr>
                        <w:color w:val="231F20"/>
                        <w:sz w:val="16"/>
                        <w:szCs w:val="16"/>
                      </w:rPr>
                      <w:fldChar w:fldCharType="begin"/>
                    </w:r>
                    <w:r>
                      <w:rPr>
                        <w:color w:val="231F20"/>
                        <w:sz w:val="16"/>
                        <w:szCs w:val="16"/>
                      </w:rPr>
                      <w:instrText xml:space="preserve"> PAGE </w:instrText>
                    </w:r>
                    <w:r>
                      <w:rPr>
                        <w:color w:val="231F20"/>
                        <w:sz w:val="16"/>
                        <w:szCs w:val="16"/>
                      </w:rPr>
                      <w:fldChar w:fldCharType="separate"/>
                    </w:r>
                    <w:r>
                      <w:rPr>
                        <w:noProof/>
                        <w:color w:val="231F20"/>
                        <w:sz w:val="16"/>
                        <w:szCs w:val="16"/>
                      </w:rPr>
                      <w:t>2</w:t>
                    </w:r>
                    <w:r>
                      <w:rPr>
                        <w:color w:val="231F20"/>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1514E" w14:textId="77777777" w:rsidR="00170424" w:rsidRDefault="00170424">
      <w:r>
        <w:separator/>
      </w:r>
    </w:p>
  </w:footnote>
  <w:footnote w:type="continuationSeparator" w:id="0">
    <w:p w14:paraId="284BF4EC" w14:textId="77777777" w:rsidR="00170424" w:rsidRDefault="00170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2"/>
      <w:numFmt w:val="decimal"/>
      <w:lvlText w:val="%1."/>
      <w:lvlJc w:val="left"/>
      <w:pPr>
        <w:ind w:left="468" w:hanging="360"/>
      </w:pPr>
      <w:rPr>
        <w:rFonts w:ascii="Arial" w:hAnsi="Arial" w:cs="Arial"/>
        <w:b w:val="0"/>
        <w:bCs w:val="0"/>
        <w:color w:val="231F20"/>
        <w:w w:val="99"/>
        <w:sz w:val="18"/>
        <w:szCs w:val="18"/>
      </w:rPr>
    </w:lvl>
    <w:lvl w:ilvl="1">
      <w:numFmt w:val="bullet"/>
      <w:lvlText w:val="•"/>
      <w:lvlJc w:val="left"/>
      <w:pPr>
        <w:ind w:left="1175" w:hanging="360"/>
      </w:pPr>
    </w:lvl>
    <w:lvl w:ilvl="2">
      <w:numFmt w:val="bullet"/>
      <w:lvlText w:val="•"/>
      <w:lvlJc w:val="left"/>
      <w:pPr>
        <w:ind w:left="1890" w:hanging="360"/>
      </w:pPr>
    </w:lvl>
    <w:lvl w:ilvl="3">
      <w:numFmt w:val="bullet"/>
      <w:lvlText w:val="•"/>
      <w:lvlJc w:val="left"/>
      <w:pPr>
        <w:ind w:left="2605" w:hanging="360"/>
      </w:pPr>
    </w:lvl>
    <w:lvl w:ilvl="4">
      <w:numFmt w:val="bullet"/>
      <w:lvlText w:val="•"/>
      <w:lvlJc w:val="left"/>
      <w:pPr>
        <w:ind w:left="3320" w:hanging="360"/>
      </w:pPr>
    </w:lvl>
    <w:lvl w:ilvl="5">
      <w:numFmt w:val="bullet"/>
      <w:lvlText w:val="•"/>
      <w:lvlJc w:val="left"/>
      <w:pPr>
        <w:ind w:left="4035" w:hanging="360"/>
      </w:pPr>
    </w:lvl>
    <w:lvl w:ilvl="6">
      <w:numFmt w:val="bullet"/>
      <w:lvlText w:val="•"/>
      <w:lvlJc w:val="left"/>
      <w:pPr>
        <w:ind w:left="4750" w:hanging="360"/>
      </w:pPr>
    </w:lvl>
    <w:lvl w:ilvl="7">
      <w:numFmt w:val="bullet"/>
      <w:lvlText w:val="•"/>
      <w:lvlJc w:val="left"/>
      <w:pPr>
        <w:ind w:left="5465" w:hanging="360"/>
      </w:pPr>
    </w:lvl>
    <w:lvl w:ilvl="8">
      <w:numFmt w:val="bullet"/>
      <w:lvlText w:val="•"/>
      <w:lvlJc w:val="left"/>
      <w:pPr>
        <w:ind w:left="6180" w:hanging="360"/>
      </w:pPr>
    </w:lvl>
  </w:abstractNum>
  <w:abstractNum w:abstractNumId="1" w15:restartNumberingAfterBreak="0">
    <w:nsid w:val="00000403"/>
    <w:multiLevelType w:val="multilevel"/>
    <w:tmpl w:val="00000886"/>
    <w:lvl w:ilvl="0">
      <w:start w:val="1"/>
      <w:numFmt w:val="decimal"/>
      <w:lvlText w:val="%1."/>
      <w:lvlJc w:val="left"/>
      <w:pPr>
        <w:ind w:left="468" w:hanging="360"/>
      </w:pPr>
      <w:rPr>
        <w:rFonts w:ascii="Arial" w:hAnsi="Arial" w:cs="Arial"/>
        <w:b w:val="0"/>
        <w:bCs w:val="0"/>
        <w:color w:val="171718"/>
        <w:spacing w:val="-1"/>
        <w:w w:val="100"/>
        <w:sz w:val="16"/>
        <w:szCs w:val="16"/>
      </w:rPr>
    </w:lvl>
    <w:lvl w:ilvl="1">
      <w:numFmt w:val="bullet"/>
      <w:lvlText w:val="•"/>
      <w:lvlJc w:val="left"/>
      <w:pPr>
        <w:ind w:left="1174" w:hanging="360"/>
      </w:pPr>
    </w:lvl>
    <w:lvl w:ilvl="2">
      <w:numFmt w:val="bullet"/>
      <w:lvlText w:val="•"/>
      <w:lvlJc w:val="left"/>
      <w:pPr>
        <w:ind w:left="1889" w:hanging="360"/>
      </w:pPr>
    </w:lvl>
    <w:lvl w:ilvl="3">
      <w:numFmt w:val="bullet"/>
      <w:lvlText w:val="•"/>
      <w:lvlJc w:val="left"/>
      <w:pPr>
        <w:ind w:left="2604" w:hanging="360"/>
      </w:pPr>
    </w:lvl>
    <w:lvl w:ilvl="4">
      <w:numFmt w:val="bullet"/>
      <w:lvlText w:val="•"/>
      <w:lvlJc w:val="left"/>
      <w:pPr>
        <w:ind w:left="3318" w:hanging="360"/>
      </w:pPr>
    </w:lvl>
    <w:lvl w:ilvl="5">
      <w:numFmt w:val="bullet"/>
      <w:lvlText w:val="•"/>
      <w:lvlJc w:val="left"/>
      <w:pPr>
        <w:ind w:left="4033" w:hanging="360"/>
      </w:pPr>
    </w:lvl>
    <w:lvl w:ilvl="6">
      <w:numFmt w:val="bullet"/>
      <w:lvlText w:val="•"/>
      <w:lvlJc w:val="left"/>
      <w:pPr>
        <w:ind w:left="4748" w:hanging="360"/>
      </w:pPr>
    </w:lvl>
    <w:lvl w:ilvl="7">
      <w:numFmt w:val="bullet"/>
      <w:lvlText w:val="•"/>
      <w:lvlJc w:val="left"/>
      <w:pPr>
        <w:ind w:left="5462" w:hanging="360"/>
      </w:pPr>
    </w:lvl>
    <w:lvl w:ilvl="8">
      <w:numFmt w:val="bullet"/>
      <w:lvlText w:val="•"/>
      <w:lvlJc w:val="left"/>
      <w:pPr>
        <w:ind w:left="6177" w:hanging="360"/>
      </w:pPr>
    </w:lvl>
  </w:abstractNum>
  <w:abstractNum w:abstractNumId="2" w15:restartNumberingAfterBreak="0">
    <w:nsid w:val="00000404"/>
    <w:multiLevelType w:val="multilevel"/>
    <w:tmpl w:val="00000887"/>
    <w:lvl w:ilvl="0">
      <w:numFmt w:val="bullet"/>
      <w:lvlText w:val=""/>
      <w:lvlJc w:val="left"/>
      <w:pPr>
        <w:ind w:left="866" w:hanging="567"/>
      </w:pPr>
      <w:rPr>
        <w:b w:val="0"/>
        <w:bCs w:val="0"/>
        <w:w w:val="99"/>
      </w:rPr>
    </w:lvl>
    <w:lvl w:ilvl="1">
      <w:numFmt w:val="bullet"/>
      <w:lvlText w:val="•"/>
      <w:lvlJc w:val="left"/>
      <w:pPr>
        <w:ind w:left="1826" w:hanging="567"/>
      </w:pPr>
    </w:lvl>
    <w:lvl w:ilvl="2">
      <w:numFmt w:val="bullet"/>
      <w:lvlText w:val="•"/>
      <w:lvlJc w:val="left"/>
      <w:pPr>
        <w:ind w:left="2792" w:hanging="567"/>
      </w:pPr>
    </w:lvl>
    <w:lvl w:ilvl="3">
      <w:numFmt w:val="bullet"/>
      <w:lvlText w:val="•"/>
      <w:lvlJc w:val="left"/>
      <w:pPr>
        <w:ind w:left="3758" w:hanging="567"/>
      </w:pPr>
    </w:lvl>
    <w:lvl w:ilvl="4">
      <w:numFmt w:val="bullet"/>
      <w:lvlText w:val="•"/>
      <w:lvlJc w:val="left"/>
      <w:pPr>
        <w:ind w:left="4724" w:hanging="567"/>
      </w:pPr>
    </w:lvl>
    <w:lvl w:ilvl="5">
      <w:numFmt w:val="bullet"/>
      <w:lvlText w:val="•"/>
      <w:lvlJc w:val="left"/>
      <w:pPr>
        <w:ind w:left="5690" w:hanging="567"/>
      </w:pPr>
    </w:lvl>
    <w:lvl w:ilvl="6">
      <w:numFmt w:val="bullet"/>
      <w:lvlText w:val="•"/>
      <w:lvlJc w:val="left"/>
      <w:pPr>
        <w:ind w:left="6656" w:hanging="567"/>
      </w:pPr>
    </w:lvl>
    <w:lvl w:ilvl="7">
      <w:numFmt w:val="bullet"/>
      <w:lvlText w:val="•"/>
      <w:lvlJc w:val="left"/>
      <w:pPr>
        <w:ind w:left="7622" w:hanging="567"/>
      </w:pPr>
    </w:lvl>
    <w:lvl w:ilvl="8">
      <w:numFmt w:val="bullet"/>
      <w:lvlText w:val="•"/>
      <w:lvlJc w:val="left"/>
      <w:pPr>
        <w:ind w:left="8588" w:hanging="567"/>
      </w:pPr>
    </w:lvl>
  </w:abstractNum>
  <w:abstractNum w:abstractNumId="3" w15:restartNumberingAfterBreak="0">
    <w:nsid w:val="00000405"/>
    <w:multiLevelType w:val="multilevel"/>
    <w:tmpl w:val="00000888"/>
    <w:lvl w:ilvl="0">
      <w:start w:val="1"/>
      <w:numFmt w:val="decimal"/>
      <w:lvlText w:val="%1."/>
      <w:lvlJc w:val="left"/>
      <w:pPr>
        <w:ind w:left="866" w:hanging="567"/>
      </w:pPr>
      <w:rPr>
        <w:rFonts w:ascii="Arial" w:hAnsi="Arial" w:cs="Arial"/>
        <w:b w:val="0"/>
        <w:bCs w:val="0"/>
        <w:color w:val="050606"/>
        <w:w w:val="99"/>
        <w:sz w:val="18"/>
        <w:szCs w:val="18"/>
      </w:rPr>
    </w:lvl>
    <w:lvl w:ilvl="1">
      <w:start w:val="1"/>
      <w:numFmt w:val="decimal"/>
      <w:lvlText w:val="%1.%2"/>
      <w:lvlJc w:val="left"/>
      <w:pPr>
        <w:ind w:left="1432" w:hanging="567"/>
      </w:pPr>
      <w:rPr>
        <w:rFonts w:ascii="Arial" w:hAnsi="Arial" w:cs="Arial"/>
        <w:b w:val="0"/>
        <w:bCs w:val="0"/>
        <w:color w:val="050606"/>
        <w:w w:val="99"/>
        <w:sz w:val="18"/>
        <w:szCs w:val="18"/>
      </w:rPr>
    </w:lvl>
    <w:lvl w:ilvl="2">
      <w:start w:val="1"/>
      <w:numFmt w:val="decimal"/>
      <w:lvlText w:val="%1.%2.%3"/>
      <w:lvlJc w:val="left"/>
      <w:pPr>
        <w:ind w:left="2001" w:hanging="569"/>
      </w:pPr>
      <w:rPr>
        <w:rFonts w:ascii="Arial" w:hAnsi="Arial" w:cs="Arial"/>
        <w:b w:val="0"/>
        <w:bCs w:val="0"/>
        <w:color w:val="050606"/>
        <w:w w:val="99"/>
        <w:sz w:val="18"/>
        <w:szCs w:val="18"/>
      </w:rPr>
    </w:lvl>
    <w:lvl w:ilvl="3">
      <w:numFmt w:val="bullet"/>
      <w:lvlText w:val="•"/>
      <w:lvlJc w:val="left"/>
      <w:pPr>
        <w:ind w:left="3065" w:hanging="569"/>
      </w:pPr>
    </w:lvl>
    <w:lvl w:ilvl="4">
      <w:numFmt w:val="bullet"/>
      <w:lvlText w:val="•"/>
      <w:lvlJc w:val="left"/>
      <w:pPr>
        <w:ind w:left="4130" w:hanging="569"/>
      </w:pPr>
    </w:lvl>
    <w:lvl w:ilvl="5">
      <w:numFmt w:val="bullet"/>
      <w:lvlText w:val="•"/>
      <w:lvlJc w:val="left"/>
      <w:pPr>
        <w:ind w:left="5195" w:hanging="569"/>
      </w:pPr>
    </w:lvl>
    <w:lvl w:ilvl="6">
      <w:numFmt w:val="bullet"/>
      <w:lvlText w:val="•"/>
      <w:lvlJc w:val="left"/>
      <w:pPr>
        <w:ind w:left="6260" w:hanging="569"/>
      </w:pPr>
    </w:lvl>
    <w:lvl w:ilvl="7">
      <w:numFmt w:val="bullet"/>
      <w:lvlText w:val="•"/>
      <w:lvlJc w:val="left"/>
      <w:pPr>
        <w:ind w:left="7325" w:hanging="569"/>
      </w:pPr>
    </w:lvl>
    <w:lvl w:ilvl="8">
      <w:numFmt w:val="bullet"/>
      <w:lvlText w:val="•"/>
      <w:lvlJc w:val="left"/>
      <w:pPr>
        <w:ind w:left="8390" w:hanging="569"/>
      </w:pPr>
    </w:lvl>
  </w:abstractNum>
  <w:abstractNum w:abstractNumId="4" w15:restartNumberingAfterBreak="0">
    <w:nsid w:val="00000406"/>
    <w:multiLevelType w:val="multilevel"/>
    <w:tmpl w:val="00000889"/>
    <w:lvl w:ilvl="0">
      <w:start w:val="1"/>
      <w:numFmt w:val="decimal"/>
      <w:lvlText w:val="%1."/>
      <w:lvlJc w:val="left"/>
      <w:pPr>
        <w:ind w:left="659" w:hanging="360"/>
      </w:pPr>
      <w:rPr>
        <w:b/>
        <w:bCs/>
        <w:w w:val="99"/>
      </w:rPr>
    </w:lvl>
    <w:lvl w:ilvl="1">
      <w:start w:val="1"/>
      <w:numFmt w:val="decimal"/>
      <w:lvlText w:val="%1.%2"/>
      <w:lvlJc w:val="left"/>
      <w:pPr>
        <w:ind w:left="1019" w:hanging="720"/>
      </w:pPr>
      <w:rPr>
        <w:rFonts w:ascii="Arial" w:hAnsi="Arial" w:cs="Arial"/>
        <w:b/>
        <w:bCs/>
        <w:color w:val="231F20"/>
        <w:w w:val="99"/>
        <w:sz w:val="18"/>
        <w:szCs w:val="18"/>
      </w:rPr>
    </w:lvl>
    <w:lvl w:ilvl="2">
      <w:numFmt w:val="bullet"/>
      <w:lvlText w:val=""/>
      <w:lvlJc w:val="left"/>
      <w:pPr>
        <w:ind w:left="1063" w:hanging="361"/>
      </w:pPr>
      <w:rPr>
        <w:rFonts w:ascii="Symbol" w:hAnsi="Symbol" w:cs="Symbol"/>
        <w:b w:val="0"/>
        <w:bCs w:val="0"/>
        <w:color w:val="231F20"/>
        <w:w w:val="99"/>
        <w:sz w:val="18"/>
        <w:szCs w:val="18"/>
      </w:rPr>
    </w:lvl>
    <w:lvl w:ilvl="3">
      <w:numFmt w:val="bullet"/>
      <w:lvlText w:val="•"/>
      <w:lvlJc w:val="left"/>
      <w:pPr>
        <w:ind w:left="2242" w:hanging="361"/>
      </w:pPr>
    </w:lvl>
    <w:lvl w:ilvl="4">
      <w:numFmt w:val="bullet"/>
      <w:lvlText w:val="•"/>
      <w:lvlJc w:val="left"/>
      <w:pPr>
        <w:ind w:left="3425" w:hanging="361"/>
      </w:pPr>
    </w:lvl>
    <w:lvl w:ilvl="5">
      <w:numFmt w:val="bullet"/>
      <w:lvlText w:val="•"/>
      <w:lvlJc w:val="left"/>
      <w:pPr>
        <w:ind w:left="4607" w:hanging="361"/>
      </w:pPr>
    </w:lvl>
    <w:lvl w:ilvl="6">
      <w:numFmt w:val="bullet"/>
      <w:lvlText w:val="•"/>
      <w:lvlJc w:val="left"/>
      <w:pPr>
        <w:ind w:left="5790" w:hanging="361"/>
      </w:pPr>
    </w:lvl>
    <w:lvl w:ilvl="7">
      <w:numFmt w:val="bullet"/>
      <w:lvlText w:val="•"/>
      <w:lvlJc w:val="left"/>
      <w:pPr>
        <w:ind w:left="6972" w:hanging="361"/>
      </w:pPr>
    </w:lvl>
    <w:lvl w:ilvl="8">
      <w:numFmt w:val="bullet"/>
      <w:lvlText w:val="•"/>
      <w:lvlJc w:val="left"/>
      <w:pPr>
        <w:ind w:left="8155" w:hanging="361"/>
      </w:pPr>
    </w:lvl>
  </w:abstractNum>
  <w:abstractNum w:abstractNumId="5" w15:restartNumberingAfterBreak="0">
    <w:nsid w:val="00000407"/>
    <w:multiLevelType w:val="multilevel"/>
    <w:tmpl w:val="0000088A"/>
    <w:lvl w:ilvl="0">
      <w:start w:val="3"/>
      <w:numFmt w:val="decimal"/>
      <w:lvlText w:val="%1"/>
      <w:lvlJc w:val="left"/>
      <w:pPr>
        <w:ind w:left="1019" w:hanging="720"/>
      </w:pPr>
    </w:lvl>
    <w:lvl w:ilvl="1">
      <w:start w:val="8"/>
      <w:numFmt w:val="decimal"/>
      <w:lvlText w:val="%1.%2"/>
      <w:lvlJc w:val="left"/>
      <w:pPr>
        <w:ind w:left="1019" w:hanging="720"/>
      </w:pPr>
    </w:lvl>
    <w:lvl w:ilvl="2">
      <w:start w:val="1"/>
      <w:numFmt w:val="decimal"/>
      <w:lvlText w:val="%1.%2.%3"/>
      <w:lvlJc w:val="left"/>
      <w:pPr>
        <w:ind w:left="1019" w:hanging="720"/>
      </w:pPr>
      <w:rPr>
        <w:rFonts w:ascii="Arial" w:hAnsi="Arial" w:cs="Arial"/>
        <w:b/>
        <w:bCs/>
        <w:color w:val="231F20"/>
        <w:w w:val="99"/>
        <w:sz w:val="18"/>
        <w:szCs w:val="18"/>
      </w:rPr>
    </w:lvl>
    <w:lvl w:ilvl="3">
      <w:numFmt w:val="bullet"/>
      <w:lvlText w:val=""/>
      <w:lvlJc w:val="left"/>
      <w:pPr>
        <w:ind w:left="1067" w:hanging="361"/>
      </w:pPr>
      <w:rPr>
        <w:rFonts w:ascii="Symbol" w:hAnsi="Symbol" w:cs="Symbol"/>
        <w:b w:val="0"/>
        <w:bCs w:val="0"/>
        <w:color w:val="231F20"/>
        <w:w w:val="99"/>
        <w:sz w:val="18"/>
        <w:szCs w:val="18"/>
      </w:rPr>
    </w:lvl>
    <w:lvl w:ilvl="4">
      <w:numFmt w:val="bullet"/>
      <w:lvlText w:val="•"/>
      <w:lvlJc w:val="left"/>
      <w:pPr>
        <w:ind w:left="4213" w:hanging="361"/>
      </w:pPr>
    </w:lvl>
    <w:lvl w:ilvl="5">
      <w:numFmt w:val="bullet"/>
      <w:lvlText w:val="•"/>
      <w:lvlJc w:val="left"/>
      <w:pPr>
        <w:ind w:left="5264" w:hanging="361"/>
      </w:pPr>
    </w:lvl>
    <w:lvl w:ilvl="6">
      <w:numFmt w:val="bullet"/>
      <w:lvlText w:val="•"/>
      <w:lvlJc w:val="left"/>
      <w:pPr>
        <w:ind w:left="6315" w:hanging="361"/>
      </w:pPr>
    </w:lvl>
    <w:lvl w:ilvl="7">
      <w:numFmt w:val="bullet"/>
      <w:lvlText w:val="•"/>
      <w:lvlJc w:val="left"/>
      <w:pPr>
        <w:ind w:left="7366" w:hanging="361"/>
      </w:pPr>
    </w:lvl>
    <w:lvl w:ilvl="8">
      <w:numFmt w:val="bullet"/>
      <w:lvlText w:val="•"/>
      <w:lvlJc w:val="left"/>
      <w:pPr>
        <w:ind w:left="8417" w:hanging="361"/>
      </w:pPr>
    </w:lvl>
  </w:abstractNum>
  <w:abstractNum w:abstractNumId="6" w15:restartNumberingAfterBreak="0">
    <w:nsid w:val="0000040A"/>
    <w:multiLevelType w:val="multilevel"/>
    <w:tmpl w:val="0000088D"/>
    <w:lvl w:ilvl="0">
      <w:start w:val="1"/>
      <w:numFmt w:val="decimal"/>
      <w:lvlText w:val="%1."/>
      <w:lvlJc w:val="left"/>
      <w:pPr>
        <w:ind w:left="660" w:hanging="361"/>
      </w:pPr>
      <w:rPr>
        <w:b/>
        <w:bCs/>
        <w:w w:val="99"/>
      </w:rPr>
    </w:lvl>
    <w:lvl w:ilvl="1">
      <w:numFmt w:val="bullet"/>
      <w:lvlText w:val="•"/>
      <w:lvlJc w:val="left"/>
      <w:pPr>
        <w:ind w:left="1646" w:hanging="361"/>
      </w:pPr>
    </w:lvl>
    <w:lvl w:ilvl="2">
      <w:numFmt w:val="bullet"/>
      <w:lvlText w:val="•"/>
      <w:lvlJc w:val="left"/>
      <w:pPr>
        <w:ind w:left="2632" w:hanging="361"/>
      </w:pPr>
    </w:lvl>
    <w:lvl w:ilvl="3">
      <w:numFmt w:val="bullet"/>
      <w:lvlText w:val="•"/>
      <w:lvlJc w:val="left"/>
      <w:pPr>
        <w:ind w:left="3618" w:hanging="361"/>
      </w:pPr>
    </w:lvl>
    <w:lvl w:ilvl="4">
      <w:numFmt w:val="bullet"/>
      <w:lvlText w:val="•"/>
      <w:lvlJc w:val="left"/>
      <w:pPr>
        <w:ind w:left="4604" w:hanging="361"/>
      </w:pPr>
    </w:lvl>
    <w:lvl w:ilvl="5">
      <w:numFmt w:val="bullet"/>
      <w:lvlText w:val="•"/>
      <w:lvlJc w:val="left"/>
      <w:pPr>
        <w:ind w:left="5590" w:hanging="361"/>
      </w:pPr>
    </w:lvl>
    <w:lvl w:ilvl="6">
      <w:numFmt w:val="bullet"/>
      <w:lvlText w:val="•"/>
      <w:lvlJc w:val="left"/>
      <w:pPr>
        <w:ind w:left="6576" w:hanging="361"/>
      </w:pPr>
    </w:lvl>
    <w:lvl w:ilvl="7">
      <w:numFmt w:val="bullet"/>
      <w:lvlText w:val="•"/>
      <w:lvlJc w:val="left"/>
      <w:pPr>
        <w:ind w:left="7562" w:hanging="361"/>
      </w:pPr>
    </w:lvl>
    <w:lvl w:ilvl="8">
      <w:numFmt w:val="bullet"/>
      <w:lvlText w:val="•"/>
      <w:lvlJc w:val="left"/>
      <w:pPr>
        <w:ind w:left="8548" w:hanging="361"/>
      </w:pPr>
    </w:lvl>
  </w:abstractNum>
  <w:abstractNum w:abstractNumId="7" w15:restartNumberingAfterBreak="0">
    <w:nsid w:val="0000040B"/>
    <w:multiLevelType w:val="multilevel"/>
    <w:tmpl w:val="0000088E"/>
    <w:lvl w:ilvl="0">
      <w:start w:val="1"/>
      <w:numFmt w:val="decimal"/>
      <w:lvlText w:val="%1."/>
      <w:lvlJc w:val="left"/>
      <w:pPr>
        <w:ind w:left="727" w:hanging="428"/>
      </w:pPr>
      <w:rPr>
        <w:rFonts w:ascii="Arial" w:hAnsi="Arial" w:cs="Arial"/>
        <w:b/>
        <w:bCs/>
        <w:color w:val="0B0C0D"/>
        <w:w w:val="99"/>
        <w:sz w:val="18"/>
        <w:szCs w:val="18"/>
      </w:rPr>
    </w:lvl>
    <w:lvl w:ilvl="1">
      <w:start w:val="1"/>
      <w:numFmt w:val="lowerLetter"/>
      <w:lvlText w:val="(%2)"/>
      <w:lvlJc w:val="left"/>
      <w:pPr>
        <w:ind w:left="1432" w:hanging="567"/>
      </w:pPr>
      <w:rPr>
        <w:rFonts w:ascii="Arial" w:hAnsi="Arial" w:cs="Arial"/>
        <w:b w:val="0"/>
        <w:bCs w:val="0"/>
        <w:color w:val="231F20"/>
        <w:w w:val="99"/>
        <w:sz w:val="18"/>
        <w:szCs w:val="18"/>
      </w:rPr>
    </w:lvl>
    <w:lvl w:ilvl="2">
      <w:numFmt w:val="bullet"/>
      <w:lvlText w:val="•"/>
      <w:lvlJc w:val="left"/>
      <w:pPr>
        <w:ind w:left="2448" w:hanging="567"/>
      </w:pPr>
    </w:lvl>
    <w:lvl w:ilvl="3">
      <w:numFmt w:val="bullet"/>
      <w:lvlText w:val="•"/>
      <w:lvlJc w:val="left"/>
      <w:pPr>
        <w:ind w:left="3457" w:hanging="567"/>
      </w:pPr>
    </w:lvl>
    <w:lvl w:ilvl="4">
      <w:numFmt w:val="bullet"/>
      <w:lvlText w:val="•"/>
      <w:lvlJc w:val="left"/>
      <w:pPr>
        <w:ind w:left="4466" w:hanging="567"/>
      </w:pPr>
    </w:lvl>
    <w:lvl w:ilvl="5">
      <w:numFmt w:val="bullet"/>
      <w:lvlText w:val="•"/>
      <w:lvlJc w:val="left"/>
      <w:pPr>
        <w:ind w:left="5475" w:hanging="567"/>
      </w:pPr>
    </w:lvl>
    <w:lvl w:ilvl="6">
      <w:numFmt w:val="bullet"/>
      <w:lvlText w:val="•"/>
      <w:lvlJc w:val="left"/>
      <w:pPr>
        <w:ind w:left="6484" w:hanging="567"/>
      </w:pPr>
    </w:lvl>
    <w:lvl w:ilvl="7">
      <w:numFmt w:val="bullet"/>
      <w:lvlText w:val="•"/>
      <w:lvlJc w:val="left"/>
      <w:pPr>
        <w:ind w:left="7493" w:hanging="567"/>
      </w:pPr>
    </w:lvl>
    <w:lvl w:ilvl="8">
      <w:numFmt w:val="bullet"/>
      <w:lvlText w:val="•"/>
      <w:lvlJc w:val="left"/>
      <w:pPr>
        <w:ind w:left="8502" w:hanging="567"/>
      </w:pPr>
    </w:lvl>
  </w:abstractNum>
  <w:abstractNum w:abstractNumId="8" w15:restartNumberingAfterBreak="0">
    <w:nsid w:val="0000040C"/>
    <w:multiLevelType w:val="multilevel"/>
    <w:tmpl w:val="0000088F"/>
    <w:lvl w:ilvl="0">
      <w:numFmt w:val="bullet"/>
      <w:lvlText w:val=""/>
      <w:lvlJc w:val="left"/>
      <w:pPr>
        <w:ind w:left="300" w:hanging="361"/>
      </w:pPr>
      <w:rPr>
        <w:rFonts w:ascii="Symbol" w:hAnsi="Symbol" w:cs="Symbol"/>
        <w:b w:val="0"/>
        <w:bCs w:val="0"/>
        <w:color w:val="231F20"/>
        <w:w w:val="99"/>
        <w:sz w:val="18"/>
        <w:szCs w:val="18"/>
      </w:rPr>
    </w:lvl>
    <w:lvl w:ilvl="1">
      <w:numFmt w:val="bullet"/>
      <w:lvlText w:val="•"/>
      <w:lvlJc w:val="left"/>
      <w:pPr>
        <w:ind w:left="1322" w:hanging="361"/>
      </w:pPr>
    </w:lvl>
    <w:lvl w:ilvl="2">
      <w:numFmt w:val="bullet"/>
      <w:lvlText w:val="•"/>
      <w:lvlJc w:val="left"/>
      <w:pPr>
        <w:ind w:left="2344" w:hanging="361"/>
      </w:pPr>
    </w:lvl>
    <w:lvl w:ilvl="3">
      <w:numFmt w:val="bullet"/>
      <w:lvlText w:val="•"/>
      <w:lvlJc w:val="left"/>
      <w:pPr>
        <w:ind w:left="3366" w:hanging="361"/>
      </w:pPr>
    </w:lvl>
    <w:lvl w:ilvl="4">
      <w:numFmt w:val="bullet"/>
      <w:lvlText w:val="•"/>
      <w:lvlJc w:val="left"/>
      <w:pPr>
        <w:ind w:left="4388" w:hanging="361"/>
      </w:pPr>
    </w:lvl>
    <w:lvl w:ilvl="5">
      <w:numFmt w:val="bullet"/>
      <w:lvlText w:val="•"/>
      <w:lvlJc w:val="left"/>
      <w:pPr>
        <w:ind w:left="5410" w:hanging="361"/>
      </w:pPr>
    </w:lvl>
    <w:lvl w:ilvl="6">
      <w:numFmt w:val="bullet"/>
      <w:lvlText w:val="•"/>
      <w:lvlJc w:val="left"/>
      <w:pPr>
        <w:ind w:left="6432" w:hanging="361"/>
      </w:pPr>
    </w:lvl>
    <w:lvl w:ilvl="7">
      <w:numFmt w:val="bullet"/>
      <w:lvlText w:val="•"/>
      <w:lvlJc w:val="left"/>
      <w:pPr>
        <w:ind w:left="7454" w:hanging="361"/>
      </w:pPr>
    </w:lvl>
    <w:lvl w:ilvl="8">
      <w:numFmt w:val="bullet"/>
      <w:lvlText w:val="•"/>
      <w:lvlJc w:val="left"/>
      <w:pPr>
        <w:ind w:left="8476" w:hanging="361"/>
      </w:pPr>
    </w:lvl>
  </w:abstractNum>
  <w:abstractNum w:abstractNumId="9" w15:restartNumberingAfterBreak="0">
    <w:nsid w:val="0000040D"/>
    <w:multiLevelType w:val="multilevel"/>
    <w:tmpl w:val="00000890"/>
    <w:lvl w:ilvl="0">
      <w:start w:val="2"/>
      <w:numFmt w:val="upperLetter"/>
      <w:lvlText w:val="%1."/>
      <w:lvlJc w:val="left"/>
      <w:pPr>
        <w:ind w:left="629" w:hanging="221"/>
      </w:pPr>
      <w:rPr>
        <w:rFonts w:ascii="Arial" w:hAnsi="Arial" w:cs="Arial"/>
        <w:b w:val="0"/>
        <w:bCs w:val="0"/>
        <w:color w:val="231F20"/>
        <w:w w:val="99"/>
        <w:sz w:val="18"/>
        <w:szCs w:val="18"/>
      </w:rPr>
    </w:lvl>
    <w:lvl w:ilvl="1">
      <w:numFmt w:val="bullet"/>
      <w:lvlText w:val="•"/>
      <w:lvlJc w:val="left"/>
      <w:pPr>
        <w:ind w:left="1610" w:hanging="221"/>
      </w:pPr>
    </w:lvl>
    <w:lvl w:ilvl="2">
      <w:numFmt w:val="bullet"/>
      <w:lvlText w:val="•"/>
      <w:lvlJc w:val="left"/>
      <w:pPr>
        <w:ind w:left="2600" w:hanging="221"/>
      </w:pPr>
    </w:lvl>
    <w:lvl w:ilvl="3">
      <w:numFmt w:val="bullet"/>
      <w:lvlText w:val="•"/>
      <w:lvlJc w:val="left"/>
      <w:pPr>
        <w:ind w:left="3590" w:hanging="221"/>
      </w:pPr>
    </w:lvl>
    <w:lvl w:ilvl="4">
      <w:numFmt w:val="bullet"/>
      <w:lvlText w:val="•"/>
      <w:lvlJc w:val="left"/>
      <w:pPr>
        <w:ind w:left="4580" w:hanging="221"/>
      </w:pPr>
    </w:lvl>
    <w:lvl w:ilvl="5">
      <w:numFmt w:val="bullet"/>
      <w:lvlText w:val="•"/>
      <w:lvlJc w:val="left"/>
      <w:pPr>
        <w:ind w:left="5570" w:hanging="221"/>
      </w:pPr>
    </w:lvl>
    <w:lvl w:ilvl="6">
      <w:numFmt w:val="bullet"/>
      <w:lvlText w:val="•"/>
      <w:lvlJc w:val="left"/>
      <w:pPr>
        <w:ind w:left="6560" w:hanging="221"/>
      </w:pPr>
    </w:lvl>
    <w:lvl w:ilvl="7">
      <w:numFmt w:val="bullet"/>
      <w:lvlText w:val="•"/>
      <w:lvlJc w:val="left"/>
      <w:pPr>
        <w:ind w:left="7550" w:hanging="221"/>
      </w:pPr>
    </w:lvl>
    <w:lvl w:ilvl="8">
      <w:numFmt w:val="bullet"/>
      <w:lvlText w:val="•"/>
      <w:lvlJc w:val="left"/>
      <w:pPr>
        <w:ind w:left="8540" w:hanging="221"/>
      </w:pPr>
    </w:lvl>
  </w:abstractNum>
  <w:abstractNum w:abstractNumId="10" w15:restartNumberingAfterBreak="0">
    <w:nsid w:val="0000040E"/>
    <w:multiLevelType w:val="multilevel"/>
    <w:tmpl w:val="00000891"/>
    <w:lvl w:ilvl="0">
      <w:start w:val="5"/>
      <w:numFmt w:val="upperLetter"/>
      <w:lvlText w:val="%1."/>
      <w:lvlJc w:val="left"/>
      <w:pPr>
        <w:ind w:left="628" w:hanging="221"/>
      </w:pPr>
      <w:rPr>
        <w:rFonts w:ascii="Arial" w:hAnsi="Arial" w:cs="Arial"/>
        <w:b w:val="0"/>
        <w:bCs w:val="0"/>
        <w:color w:val="231F20"/>
        <w:w w:val="99"/>
        <w:sz w:val="18"/>
        <w:szCs w:val="18"/>
      </w:rPr>
    </w:lvl>
    <w:lvl w:ilvl="1">
      <w:numFmt w:val="bullet"/>
      <w:lvlText w:val="•"/>
      <w:lvlJc w:val="left"/>
      <w:pPr>
        <w:ind w:left="1610" w:hanging="221"/>
      </w:pPr>
    </w:lvl>
    <w:lvl w:ilvl="2">
      <w:numFmt w:val="bullet"/>
      <w:lvlText w:val="•"/>
      <w:lvlJc w:val="left"/>
      <w:pPr>
        <w:ind w:left="2600" w:hanging="221"/>
      </w:pPr>
    </w:lvl>
    <w:lvl w:ilvl="3">
      <w:numFmt w:val="bullet"/>
      <w:lvlText w:val="•"/>
      <w:lvlJc w:val="left"/>
      <w:pPr>
        <w:ind w:left="3590" w:hanging="221"/>
      </w:pPr>
    </w:lvl>
    <w:lvl w:ilvl="4">
      <w:numFmt w:val="bullet"/>
      <w:lvlText w:val="•"/>
      <w:lvlJc w:val="left"/>
      <w:pPr>
        <w:ind w:left="4580" w:hanging="221"/>
      </w:pPr>
    </w:lvl>
    <w:lvl w:ilvl="5">
      <w:numFmt w:val="bullet"/>
      <w:lvlText w:val="•"/>
      <w:lvlJc w:val="left"/>
      <w:pPr>
        <w:ind w:left="5570" w:hanging="221"/>
      </w:pPr>
    </w:lvl>
    <w:lvl w:ilvl="6">
      <w:numFmt w:val="bullet"/>
      <w:lvlText w:val="•"/>
      <w:lvlJc w:val="left"/>
      <w:pPr>
        <w:ind w:left="6560" w:hanging="221"/>
      </w:pPr>
    </w:lvl>
    <w:lvl w:ilvl="7">
      <w:numFmt w:val="bullet"/>
      <w:lvlText w:val="•"/>
      <w:lvlJc w:val="left"/>
      <w:pPr>
        <w:ind w:left="7550" w:hanging="221"/>
      </w:pPr>
    </w:lvl>
    <w:lvl w:ilvl="8">
      <w:numFmt w:val="bullet"/>
      <w:lvlText w:val="•"/>
      <w:lvlJc w:val="left"/>
      <w:pPr>
        <w:ind w:left="8540" w:hanging="221"/>
      </w:pPr>
    </w:lvl>
  </w:abstractNum>
  <w:abstractNum w:abstractNumId="11" w15:restartNumberingAfterBreak="0">
    <w:nsid w:val="0000040F"/>
    <w:multiLevelType w:val="multilevel"/>
    <w:tmpl w:val="00000892"/>
    <w:lvl w:ilvl="0">
      <w:start w:val="1"/>
      <w:numFmt w:val="decimal"/>
      <w:lvlText w:val="%1"/>
      <w:lvlJc w:val="left"/>
      <w:pPr>
        <w:ind w:left="840" w:hanging="720"/>
      </w:pPr>
      <w:rPr>
        <w:rFonts w:ascii="Arial" w:hAnsi="Arial" w:cs="Arial"/>
        <w:b w:val="0"/>
        <w:bCs w:val="0"/>
        <w:color w:val="231F20"/>
        <w:w w:val="99"/>
        <w:sz w:val="18"/>
        <w:szCs w:val="18"/>
      </w:rPr>
    </w:lvl>
    <w:lvl w:ilvl="1">
      <w:start w:val="1"/>
      <w:numFmt w:val="decimal"/>
      <w:lvlText w:val="%1.%2"/>
      <w:lvlJc w:val="left"/>
      <w:pPr>
        <w:ind w:left="840" w:hanging="720"/>
      </w:pPr>
      <w:rPr>
        <w:rFonts w:ascii="Arial" w:hAnsi="Arial" w:cs="Arial"/>
        <w:b w:val="0"/>
        <w:bCs w:val="0"/>
        <w:color w:val="231F20"/>
        <w:w w:val="99"/>
        <w:sz w:val="18"/>
        <w:szCs w:val="18"/>
      </w:rPr>
    </w:lvl>
    <w:lvl w:ilvl="2">
      <w:start w:val="1"/>
      <w:numFmt w:val="decimal"/>
      <w:lvlText w:val="%1.%2.%3"/>
      <w:lvlJc w:val="left"/>
      <w:pPr>
        <w:ind w:left="1821" w:hanging="982"/>
      </w:pPr>
      <w:rPr>
        <w:rFonts w:ascii="Arial" w:hAnsi="Arial" w:cs="Arial"/>
        <w:b w:val="0"/>
        <w:bCs w:val="0"/>
        <w:color w:val="231F20"/>
        <w:w w:val="99"/>
        <w:sz w:val="18"/>
        <w:szCs w:val="18"/>
      </w:rPr>
    </w:lvl>
    <w:lvl w:ilvl="3">
      <w:start w:val="1"/>
      <w:numFmt w:val="decimal"/>
      <w:lvlText w:val="%1.%2.%3.%4"/>
      <w:lvlJc w:val="left"/>
      <w:pPr>
        <w:ind w:left="2954" w:hanging="1133"/>
      </w:pPr>
      <w:rPr>
        <w:rFonts w:ascii="Arial" w:hAnsi="Arial" w:cs="Arial"/>
        <w:b w:val="0"/>
        <w:bCs w:val="0"/>
        <w:color w:val="231F20"/>
        <w:spacing w:val="-1"/>
        <w:w w:val="99"/>
        <w:sz w:val="20"/>
        <w:szCs w:val="20"/>
      </w:rPr>
    </w:lvl>
    <w:lvl w:ilvl="4">
      <w:numFmt w:val="bullet"/>
      <w:lvlText w:val="•"/>
      <w:lvlJc w:val="left"/>
      <w:pPr>
        <w:ind w:left="4850" w:hanging="1133"/>
      </w:pPr>
    </w:lvl>
    <w:lvl w:ilvl="5">
      <w:numFmt w:val="bullet"/>
      <w:lvlText w:val="•"/>
      <w:lvlJc w:val="left"/>
      <w:pPr>
        <w:ind w:left="5795" w:hanging="1133"/>
      </w:pPr>
    </w:lvl>
    <w:lvl w:ilvl="6">
      <w:numFmt w:val="bullet"/>
      <w:lvlText w:val="•"/>
      <w:lvlJc w:val="left"/>
      <w:pPr>
        <w:ind w:left="6740" w:hanging="1133"/>
      </w:pPr>
    </w:lvl>
    <w:lvl w:ilvl="7">
      <w:numFmt w:val="bullet"/>
      <w:lvlText w:val="•"/>
      <w:lvlJc w:val="left"/>
      <w:pPr>
        <w:ind w:left="7685" w:hanging="1133"/>
      </w:pPr>
    </w:lvl>
    <w:lvl w:ilvl="8">
      <w:numFmt w:val="bullet"/>
      <w:lvlText w:val="•"/>
      <w:lvlJc w:val="left"/>
      <w:pPr>
        <w:ind w:left="8630" w:hanging="1133"/>
      </w:pPr>
    </w:lvl>
  </w:abstractNum>
  <w:abstractNum w:abstractNumId="12" w15:restartNumberingAfterBreak="0">
    <w:nsid w:val="00000410"/>
    <w:multiLevelType w:val="multilevel"/>
    <w:tmpl w:val="00000893"/>
    <w:lvl w:ilvl="0">
      <w:start w:val="1"/>
      <w:numFmt w:val="lowerLetter"/>
      <w:lvlText w:val="(%1)"/>
      <w:lvlJc w:val="left"/>
      <w:pPr>
        <w:ind w:left="2169" w:hanging="360"/>
      </w:pPr>
      <w:rPr>
        <w:b w:val="0"/>
        <w:bCs w:val="0"/>
        <w:w w:val="99"/>
      </w:rPr>
    </w:lvl>
    <w:lvl w:ilvl="1">
      <w:numFmt w:val="bullet"/>
      <w:lvlText w:val="•"/>
      <w:lvlJc w:val="left"/>
      <w:pPr>
        <w:ind w:left="2996" w:hanging="360"/>
      </w:pPr>
    </w:lvl>
    <w:lvl w:ilvl="2">
      <w:numFmt w:val="bullet"/>
      <w:lvlText w:val="•"/>
      <w:lvlJc w:val="left"/>
      <w:pPr>
        <w:ind w:left="3832" w:hanging="360"/>
      </w:pPr>
    </w:lvl>
    <w:lvl w:ilvl="3">
      <w:numFmt w:val="bullet"/>
      <w:lvlText w:val="•"/>
      <w:lvlJc w:val="left"/>
      <w:pPr>
        <w:ind w:left="4668" w:hanging="360"/>
      </w:pPr>
    </w:lvl>
    <w:lvl w:ilvl="4">
      <w:numFmt w:val="bullet"/>
      <w:lvlText w:val="•"/>
      <w:lvlJc w:val="left"/>
      <w:pPr>
        <w:ind w:left="5504" w:hanging="360"/>
      </w:pPr>
    </w:lvl>
    <w:lvl w:ilvl="5">
      <w:numFmt w:val="bullet"/>
      <w:lvlText w:val="•"/>
      <w:lvlJc w:val="left"/>
      <w:pPr>
        <w:ind w:left="6340" w:hanging="360"/>
      </w:pPr>
    </w:lvl>
    <w:lvl w:ilvl="6">
      <w:numFmt w:val="bullet"/>
      <w:lvlText w:val="•"/>
      <w:lvlJc w:val="left"/>
      <w:pPr>
        <w:ind w:left="7176" w:hanging="360"/>
      </w:pPr>
    </w:lvl>
    <w:lvl w:ilvl="7">
      <w:numFmt w:val="bullet"/>
      <w:lvlText w:val="•"/>
      <w:lvlJc w:val="left"/>
      <w:pPr>
        <w:ind w:left="8012" w:hanging="360"/>
      </w:pPr>
    </w:lvl>
    <w:lvl w:ilvl="8">
      <w:numFmt w:val="bullet"/>
      <w:lvlText w:val="•"/>
      <w:lvlJc w:val="left"/>
      <w:pPr>
        <w:ind w:left="8848" w:hanging="360"/>
      </w:pPr>
    </w:lvl>
  </w:abstractNum>
  <w:abstractNum w:abstractNumId="13" w15:restartNumberingAfterBreak="0">
    <w:nsid w:val="00000411"/>
    <w:multiLevelType w:val="multilevel"/>
    <w:tmpl w:val="00000894"/>
    <w:lvl w:ilvl="0">
      <w:start w:val="1"/>
      <w:numFmt w:val="lowerLetter"/>
      <w:lvlText w:val="(%1)"/>
      <w:lvlJc w:val="left"/>
      <w:pPr>
        <w:ind w:left="2181" w:hanging="360"/>
      </w:pPr>
      <w:rPr>
        <w:rFonts w:ascii="Arial" w:hAnsi="Arial" w:cs="Arial"/>
        <w:b w:val="0"/>
        <w:bCs w:val="0"/>
        <w:color w:val="231F20"/>
        <w:w w:val="99"/>
        <w:sz w:val="18"/>
        <w:szCs w:val="18"/>
      </w:rPr>
    </w:lvl>
    <w:lvl w:ilvl="1">
      <w:numFmt w:val="bullet"/>
      <w:lvlText w:val="•"/>
      <w:lvlJc w:val="left"/>
      <w:pPr>
        <w:ind w:left="3014" w:hanging="360"/>
      </w:pPr>
    </w:lvl>
    <w:lvl w:ilvl="2">
      <w:numFmt w:val="bullet"/>
      <w:lvlText w:val="•"/>
      <w:lvlJc w:val="left"/>
      <w:pPr>
        <w:ind w:left="3848" w:hanging="360"/>
      </w:pPr>
    </w:lvl>
    <w:lvl w:ilvl="3">
      <w:numFmt w:val="bullet"/>
      <w:lvlText w:val="•"/>
      <w:lvlJc w:val="left"/>
      <w:pPr>
        <w:ind w:left="4682" w:hanging="360"/>
      </w:pPr>
    </w:lvl>
    <w:lvl w:ilvl="4">
      <w:numFmt w:val="bullet"/>
      <w:lvlText w:val="•"/>
      <w:lvlJc w:val="left"/>
      <w:pPr>
        <w:ind w:left="5516" w:hanging="360"/>
      </w:pPr>
    </w:lvl>
    <w:lvl w:ilvl="5">
      <w:numFmt w:val="bullet"/>
      <w:lvlText w:val="•"/>
      <w:lvlJc w:val="left"/>
      <w:pPr>
        <w:ind w:left="6350" w:hanging="360"/>
      </w:pPr>
    </w:lvl>
    <w:lvl w:ilvl="6">
      <w:numFmt w:val="bullet"/>
      <w:lvlText w:val="•"/>
      <w:lvlJc w:val="left"/>
      <w:pPr>
        <w:ind w:left="7184" w:hanging="360"/>
      </w:pPr>
    </w:lvl>
    <w:lvl w:ilvl="7">
      <w:numFmt w:val="bullet"/>
      <w:lvlText w:val="•"/>
      <w:lvlJc w:val="left"/>
      <w:pPr>
        <w:ind w:left="8018" w:hanging="360"/>
      </w:pPr>
    </w:lvl>
    <w:lvl w:ilvl="8">
      <w:numFmt w:val="bullet"/>
      <w:lvlText w:val="•"/>
      <w:lvlJc w:val="left"/>
      <w:pPr>
        <w:ind w:left="8852" w:hanging="360"/>
      </w:pPr>
    </w:lvl>
  </w:abstractNum>
  <w:abstractNum w:abstractNumId="14" w15:restartNumberingAfterBreak="0">
    <w:nsid w:val="00000412"/>
    <w:multiLevelType w:val="multilevel"/>
    <w:tmpl w:val="00000895"/>
    <w:lvl w:ilvl="0">
      <w:start w:val="1"/>
      <w:numFmt w:val="lowerLetter"/>
      <w:lvlText w:val="(%1)"/>
      <w:lvlJc w:val="left"/>
      <w:pPr>
        <w:ind w:left="2181" w:hanging="360"/>
      </w:pPr>
      <w:rPr>
        <w:rFonts w:ascii="Arial" w:hAnsi="Arial" w:cs="Arial"/>
        <w:b w:val="0"/>
        <w:bCs w:val="0"/>
        <w:color w:val="231F20"/>
        <w:w w:val="99"/>
        <w:sz w:val="18"/>
        <w:szCs w:val="18"/>
      </w:rPr>
    </w:lvl>
    <w:lvl w:ilvl="1">
      <w:numFmt w:val="bullet"/>
      <w:lvlText w:val="•"/>
      <w:lvlJc w:val="left"/>
      <w:pPr>
        <w:ind w:left="3014" w:hanging="360"/>
      </w:pPr>
    </w:lvl>
    <w:lvl w:ilvl="2">
      <w:numFmt w:val="bullet"/>
      <w:lvlText w:val="•"/>
      <w:lvlJc w:val="left"/>
      <w:pPr>
        <w:ind w:left="3848" w:hanging="360"/>
      </w:pPr>
    </w:lvl>
    <w:lvl w:ilvl="3">
      <w:numFmt w:val="bullet"/>
      <w:lvlText w:val="•"/>
      <w:lvlJc w:val="left"/>
      <w:pPr>
        <w:ind w:left="4682" w:hanging="360"/>
      </w:pPr>
    </w:lvl>
    <w:lvl w:ilvl="4">
      <w:numFmt w:val="bullet"/>
      <w:lvlText w:val="•"/>
      <w:lvlJc w:val="left"/>
      <w:pPr>
        <w:ind w:left="5516" w:hanging="360"/>
      </w:pPr>
    </w:lvl>
    <w:lvl w:ilvl="5">
      <w:numFmt w:val="bullet"/>
      <w:lvlText w:val="•"/>
      <w:lvlJc w:val="left"/>
      <w:pPr>
        <w:ind w:left="6350" w:hanging="360"/>
      </w:pPr>
    </w:lvl>
    <w:lvl w:ilvl="6">
      <w:numFmt w:val="bullet"/>
      <w:lvlText w:val="•"/>
      <w:lvlJc w:val="left"/>
      <w:pPr>
        <w:ind w:left="7184" w:hanging="360"/>
      </w:pPr>
    </w:lvl>
    <w:lvl w:ilvl="7">
      <w:numFmt w:val="bullet"/>
      <w:lvlText w:val="•"/>
      <w:lvlJc w:val="left"/>
      <w:pPr>
        <w:ind w:left="8018" w:hanging="360"/>
      </w:pPr>
    </w:lvl>
    <w:lvl w:ilvl="8">
      <w:numFmt w:val="bullet"/>
      <w:lvlText w:val="•"/>
      <w:lvlJc w:val="left"/>
      <w:pPr>
        <w:ind w:left="8852" w:hanging="360"/>
      </w:pPr>
    </w:lvl>
  </w:abstractNum>
  <w:abstractNum w:abstractNumId="15" w15:restartNumberingAfterBreak="0">
    <w:nsid w:val="00000413"/>
    <w:multiLevelType w:val="multilevel"/>
    <w:tmpl w:val="00000896"/>
    <w:lvl w:ilvl="0">
      <w:start w:val="1"/>
      <w:numFmt w:val="lowerLetter"/>
      <w:lvlText w:val="(%1)"/>
      <w:lvlJc w:val="left"/>
      <w:pPr>
        <w:ind w:left="2181" w:hanging="360"/>
      </w:pPr>
      <w:rPr>
        <w:rFonts w:ascii="Arial" w:hAnsi="Arial" w:cs="Arial"/>
        <w:b w:val="0"/>
        <w:bCs w:val="0"/>
        <w:color w:val="231F20"/>
        <w:w w:val="99"/>
        <w:sz w:val="18"/>
        <w:szCs w:val="18"/>
      </w:rPr>
    </w:lvl>
    <w:lvl w:ilvl="1">
      <w:numFmt w:val="bullet"/>
      <w:lvlText w:val="•"/>
      <w:lvlJc w:val="left"/>
      <w:pPr>
        <w:ind w:left="3014" w:hanging="360"/>
      </w:pPr>
    </w:lvl>
    <w:lvl w:ilvl="2">
      <w:numFmt w:val="bullet"/>
      <w:lvlText w:val="•"/>
      <w:lvlJc w:val="left"/>
      <w:pPr>
        <w:ind w:left="3848" w:hanging="360"/>
      </w:pPr>
    </w:lvl>
    <w:lvl w:ilvl="3">
      <w:numFmt w:val="bullet"/>
      <w:lvlText w:val="•"/>
      <w:lvlJc w:val="left"/>
      <w:pPr>
        <w:ind w:left="4682" w:hanging="360"/>
      </w:pPr>
    </w:lvl>
    <w:lvl w:ilvl="4">
      <w:numFmt w:val="bullet"/>
      <w:lvlText w:val="•"/>
      <w:lvlJc w:val="left"/>
      <w:pPr>
        <w:ind w:left="5516" w:hanging="360"/>
      </w:pPr>
    </w:lvl>
    <w:lvl w:ilvl="5">
      <w:numFmt w:val="bullet"/>
      <w:lvlText w:val="•"/>
      <w:lvlJc w:val="left"/>
      <w:pPr>
        <w:ind w:left="6350" w:hanging="360"/>
      </w:pPr>
    </w:lvl>
    <w:lvl w:ilvl="6">
      <w:numFmt w:val="bullet"/>
      <w:lvlText w:val="•"/>
      <w:lvlJc w:val="left"/>
      <w:pPr>
        <w:ind w:left="7184" w:hanging="360"/>
      </w:pPr>
    </w:lvl>
    <w:lvl w:ilvl="7">
      <w:numFmt w:val="bullet"/>
      <w:lvlText w:val="•"/>
      <w:lvlJc w:val="left"/>
      <w:pPr>
        <w:ind w:left="8018" w:hanging="360"/>
      </w:pPr>
    </w:lvl>
    <w:lvl w:ilvl="8">
      <w:numFmt w:val="bullet"/>
      <w:lvlText w:val="•"/>
      <w:lvlJc w:val="left"/>
      <w:pPr>
        <w:ind w:left="8852" w:hanging="360"/>
      </w:pPr>
    </w:lvl>
  </w:abstractNum>
  <w:abstractNum w:abstractNumId="16" w15:restartNumberingAfterBreak="0">
    <w:nsid w:val="00000415"/>
    <w:multiLevelType w:val="multilevel"/>
    <w:tmpl w:val="00000898"/>
    <w:lvl w:ilvl="0">
      <w:start w:val="1"/>
      <w:numFmt w:val="lowerLetter"/>
      <w:lvlText w:val="(%1)"/>
      <w:lvlJc w:val="left"/>
      <w:pPr>
        <w:ind w:left="2181" w:hanging="360"/>
      </w:pPr>
      <w:rPr>
        <w:rFonts w:ascii="Arial" w:hAnsi="Arial" w:cs="Arial"/>
        <w:b w:val="0"/>
        <w:bCs w:val="0"/>
        <w:color w:val="231F20"/>
        <w:w w:val="99"/>
        <w:sz w:val="18"/>
        <w:szCs w:val="18"/>
      </w:rPr>
    </w:lvl>
    <w:lvl w:ilvl="1">
      <w:numFmt w:val="bullet"/>
      <w:lvlText w:val="•"/>
      <w:lvlJc w:val="left"/>
      <w:pPr>
        <w:ind w:left="3014" w:hanging="360"/>
      </w:pPr>
    </w:lvl>
    <w:lvl w:ilvl="2">
      <w:numFmt w:val="bullet"/>
      <w:lvlText w:val="•"/>
      <w:lvlJc w:val="left"/>
      <w:pPr>
        <w:ind w:left="3848" w:hanging="360"/>
      </w:pPr>
    </w:lvl>
    <w:lvl w:ilvl="3">
      <w:numFmt w:val="bullet"/>
      <w:lvlText w:val="•"/>
      <w:lvlJc w:val="left"/>
      <w:pPr>
        <w:ind w:left="4682" w:hanging="360"/>
      </w:pPr>
    </w:lvl>
    <w:lvl w:ilvl="4">
      <w:numFmt w:val="bullet"/>
      <w:lvlText w:val="•"/>
      <w:lvlJc w:val="left"/>
      <w:pPr>
        <w:ind w:left="5516" w:hanging="360"/>
      </w:pPr>
    </w:lvl>
    <w:lvl w:ilvl="5">
      <w:numFmt w:val="bullet"/>
      <w:lvlText w:val="•"/>
      <w:lvlJc w:val="left"/>
      <w:pPr>
        <w:ind w:left="6350" w:hanging="360"/>
      </w:pPr>
    </w:lvl>
    <w:lvl w:ilvl="6">
      <w:numFmt w:val="bullet"/>
      <w:lvlText w:val="•"/>
      <w:lvlJc w:val="left"/>
      <w:pPr>
        <w:ind w:left="7184" w:hanging="360"/>
      </w:pPr>
    </w:lvl>
    <w:lvl w:ilvl="7">
      <w:numFmt w:val="bullet"/>
      <w:lvlText w:val="•"/>
      <w:lvlJc w:val="left"/>
      <w:pPr>
        <w:ind w:left="8018" w:hanging="360"/>
      </w:pPr>
    </w:lvl>
    <w:lvl w:ilvl="8">
      <w:numFmt w:val="bullet"/>
      <w:lvlText w:val="•"/>
      <w:lvlJc w:val="left"/>
      <w:pPr>
        <w:ind w:left="8852" w:hanging="360"/>
      </w:pPr>
    </w:lvl>
  </w:abstractNum>
  <w:abstractNum w:abstractNumId="17" w15:restartNumberingAfterBreak="0">
    <w:nsid w:val="00000418"/>
    <w:multiLevelType w:val="multilevel"/>
    <w:tmpl w:val="0000089B"/>
    <w:lvl w:ilvl="0">
      <w:numFmt w:val="bullet"/>
      <w:lvlText w:val=""/>
      <w:lvlJc w:val="left"/>
      <w:pPr>
        <w:ind w:left="468" w:hanging="361"/>
      </w:pPr>
      <w:rPr>
        <w:rFonts w:ascii="Symbol" w:hAnsi="Symbol" w:cs="Symbol"/>
        <w:b w:val="0"/>
        <w:bCs w:val="0"/>
        <w:color w:val="231F20"/>
        <w:w w:val="99"/>
        <w:sz w:val="18"/>
        <w:szCs w:val="18"/>
      </w:rPr>
    </w:lvl>
    <w:lvl w:ilvl="1">
      <w:numFmt w:val="bullet"/>
      <w:lvlText w:val="•"/>
      <w:lvlJc w:val="left"/>
      <w:pPr>
        <w:ind w:left="1102" w:hanging="361"/>
      </w:pPr>
    </w:lvl>
    <w:lvl w:ilvl="2">
      <w:numFmt w:val="bullet"/>
      <w:lvlText w:val="•"/>
      <w:lvlJc w:val="left"/>
      <w:pPr>
        <w:ind w:left="1744" w:hanging="361"/>
      </w:pPr>
    </w:lvl>
    <w:lvl w:ilvl="3">
      <w:numFmt w:val="bullet"/>
      <w:lvlText w:val="•"/>
      <w:lvlJc w:val="left"/>
      <w:pPr>
        <w:ind w:left="2387" w:hanging="361"/>
      </w:pPr>
    </w:lvl>
    <w:lvl w:ilvl="4">
      <w:numFmt w:val="bullet"/>
      <w:lvlText w:val="•"/>
      <w:lvlJc w:val="left"/>
      <w:pPr>
        <w:ind w:left="3029" w:hanging="361"/>
      </w:pPr>
    </w:lvl>
    <w:lvl w:ilvl="5">
      <w:numFmt w:val="bullet"/>
      <w:lvlText w:val="•"/>
      <w:lvlJc w:val="left"/>
      <w:pPr>
        <w:ind w:left="3672" w:hanging="361"/>
      </w:pPr>
    </w:lvl>
    <w:lvl w:ilvl="6">
      <w:numFmt w:val="bullet"/>
      <w:lvlText w:val="•"/>
      <w:lvlJc w:val="left"/>
      <w:pPr>
        <w:ind w:left="4314" w:hanging="361"/>
      </w:pPr>
    </w:lvl>
    <w:lvl w:ilvl="7">
      <w:numFmt w:val="bullet"/>
      <w:lvlText w:val="•"/>
      <w:lvlJc w:val="left"/>
      <w:pPr>
        <w:ind w:left="4956" w:hanging="361"/>
      </w:pPr>
    </w:lvl>
    <w:lvl w:ilvl="8">
      <w:numFmt w:val="bullet"/>
      <w:lvlText w:val="•"/>
      <w:lvlJc w:val="left"/>
      <w:pPr>
        <w:ind w:left="5599" w:hanging="361"/>
      </w:pPr>
    </w:lvl>
  </w:abstractNum>
  <w:abstractNum w:abstractNumId="18" w15:restartNumberingAfterBreak="0">
    <w:nsid w:val="00000419"/>
    <w:multiLevelType w:val="multilevel"/>
    <w:tmpl w:val="0000089C"/>
    <w:lvl w:ilvl="0">
      <w:numFmt w:val="bullet"/>
      <w:lvlText w:val=""/>
      <w:lvlJc w:val="left"/>
      <w:pPr>
        <w:ind w:left="468" w:hanging="361"/>
      </w:pPr>
      <w:rPr>
        <w:rFonts w:ascii="Symbol" w:hAnsi="Symbol" w:cs="Symbol"/>
        <w:b w:val="0"/>
        <w:bCs w:val="0"/>
        <w:color w:val="231F20"/>
        <w:w w:val="99"/>
        <w:sz w:val="18"/>
        <w:szCs w:val="18"/>
      </w:rPr>
    </w:lvl>
    <w:lvl w:ilvl="1">
      <w:numFmt w:val="bullet"/>
      <w:lvlText w:val="•"/>
      <w:lvlJc w:val="left"/>
      <w:pPr>
        <w:ind w:left="1102" w:hanging="361"/>
      </w:pPr>
    </w:lvl>
    <w:lvl w:ilvl="2">
      <w:numFmt w:val="bullet"/>
      <w:lvlText w:val="•"/>
      <w:lvlJc w:val="left"/>
      <w:pPr>
        <w:ind w:left="1744" w:hanging="361"/>
      </w:pPr>
    </w:lvl>
    <w:lvl w:ilvl="3">
      <w:numFmt w:val="bullet"/>
      <w:lvlText w:val="•"/>
      <w:lvlJc w:val="left"/>
      <w:pPr>
        <w:ind w:left="2387" w:hanging="361"/>
      </w:pPr>
    </w:lvl>
    <w:lvl w:ilvl="4">
      <w:numFmt w:val="bullet"/>
      <w:lvlText w:val="•"/>
      <w:lvlJc w:val="left"/>
      <w:pPr>
        <w:ind w:left="3029" w:hanging="361"/>
      </w:pPr>
    </w:lvl>
    <w:lvl w:ilvl="5">
      <w:numFmt w:val="bullet"/>
      <w:lvlText w:val="•"/>
      <w:lvlJc w:val="left"/>
      <w:pPr>
        <w:ind w:left="3672" w:hanging="361"/>
      </w:pPr>
    </w:lvl>
    <w:lvl w:ilvl="6">
      <w:numFmt w:val="bullet"/>
      <w:lvlText w:val="•"/>
      <w:lvlJc w:val="left"/>
      <w:pPr>
        <w:ind w:left="4314" w:hanging="361"/>
      </w:pPr>
    </w:lvl>
    <w:lvl w:ilvl="7">
      <w:numFmt w:val="bullet"/>
      <w:lvlText w:val="•"/>
      <w:lvlJc w:val="left"/>
      <w:pPr>
        <w:ind w:left="4956" w:hanging="361"/>
      </w:pPr>
    </w:lvl>
    <w:lvl w:ilvl="8">
      <w:numFmt w:val="bullet"/>
      <w:lvlText w:val="•"/>
      <w:lvlJc w:val="left"/>
      <w:pPr>
        <w:ind w:left="5599" w:hanging="361"/>
      </w:pPr>
    </w:lvl>
  </w:abstractNum>
  <w:abstractNum w:abstractNumId="19" w15:restartNumberingAfterBreak="0">
    <w:nsid w:val="0000041D"/>
    <w:multiLevelType w:val="multilevel"/>
    <w:tmpl w:val="000008A0"/>
    <w:lvl w:ilvl="0">
      <w:start w:val="1"/>
      <w:numFmt w:val="lowerLetter"/>
      <w:lvlText w:val="(%1)"/>
      <w:lvlJc w:val="left"/>
      <w:pPr>
        <w:ind w:left="1679" w:hanging="852"/>
      </w:pPr>
      <w:rPr>
        <w:rFonts w:ascii="Arial" w:hAnsi="Arial" w:cs="Arial"/>
        <w:b/>
        <w:bCs/>
        <w:color w:val="231F20"/>
        <w:w w:val="99"/>
        <w:sz w:val="18"/>
        <w:szCs w:val="18"/>
      </w:rPr>
    </w:lvl>
    <w:lvl w:ilvl="1">
      <w:numFmt w:val="bullet"/>
      <w:lvlText w:val="•"/>
      <w:lvlJc w:val="left"/>
      <w:pPr>
        <w:ind w:left="2564" w:hanging="852"/>
      </w:pPr>
    </w:lvl>
    <w:lvl w:ilvl="2">
      <w:numFmt w:val="bullet"/>
      <w:lvlText w:val="•"/>
      <w:lvlJc w:val="left"/>
      <w:pPr>
        <w:ind w:left="3448" w:hanging="852"/>
      </w:pPr>
    </w:lvl>
    <w:lvl w:ilvl="3">
      <w:numFmt w:val="bullet"/>
      <w:lvlText w:val="•"/>
      <w:lvlJc w:val="left"/>
      <w:pPr>
        <w:ind w:left="4332" w:hanging="852"/>
      </w:pPr>
    </w:lvl>
    <w:lvl w:ilvl="4">
      <w:numFmt w:val="bullet"/>
      <w:lvlText w:val="•"/>
      <w:lvlJc w:val="left"/>
      <w:pPr>
        <w:ind w:left="5216" w:hanging="852"/>
      </w:pPr>
    </w:lvl>
    <w:lvl w:ilvl="5">
      <w:numFmt w:val="bullet"/>
      <w:lvlText w:val="•"/>
      <w:lvlJc w:val="left"/>
      <w:pPr>
        <w:ind w:left="6100" w:hanging="852"/>
      </w:pPr>
    </w:lvl>
    <w:lvl w:ilvl="6">
      <w:numFmt w:val="bullet"/>
      <w:lvlText w:val="•"/>
      <w:lvlJc w:val="left"/>
      <w:pPr>
        <w:ind w:left="6984" w:hanging="852"/>
      </w:pPr>
    </w:lvl>
    <w:lvl w:ilvl="7">
      <w:numFmt w:val="bullet"/>
      <w:lvlText w:val="•"/>
      <w:lvlJc w:val="left"/>
      <w:pPr>
        <w:ind w:left="7868" w:hanging="852"/>
      </w:pPr>
    </w:lvl>
    <w:lvl w:ilvl="8">
      <w:numFmt w:val="bullet"/>
      <w:lvlText w:val="•"/>
      <w:lvlJc w:val="left"/>
      <w:pPr>
        <w:ind w:left="8752" w:hanging="852"/>
      </w:pPr>
    </w:lvl>
  </w:abstractNum>
  <w:abstractNum w:abstractNumId="20" w15:restartNumberingAfterBreak="0">
    <w:nsid w:val="0000041E"/>
    <w:multiLevelType w:val="multilevel"/>
    <w:tmpl w:val="000008A1"/>
    <w:lvl w:ilvl="0">
      <w:start w:val="1"/>
      <w:numFmt w:val="lowerLetter"/>
      <w:lvlText w:val="(%1)"/>
      <w:lvlJc w:val="left"/>
      <w:pPr>
        <w:ind w:left="1199" w:hanging="360"/>
      </w:pPr>
      <w:rPr>
        <w:rFonts w:ascii="Arial" w:hAnsi="Arial" w:cs="Arial"/>
        <w:b/>
        <w:bCs/>
        <w:color w:val="231F20"/>
        <w:w w:val="99"/>
        <w:sz w:val="18"/>
        <w:szCs w:val="18"/>
      </w:rPr>
    </w:lvl>
    <w:lvl w:ilvl="1">
      <w:numFmt w:val="bullet"/>
      <w:lvlText w:val="•"/>
      <w:lvlJc w:val="left"/>
      <w:pPr>
        <w:ind w:left="2132" w:hanging="360"/>
      </w:pPr>
    </w:lvl>
    <w:lvl w:ilvl="2">
      <w:numFmt w:val="bullet"/>
      <w:lvlText w:val="•"/>
      <w:lvlJc w:val="left"/>
      <w:pPr>
        <w:ind w:left="3064" w:hanging="360"/>
      </w:pPr>
    </w:lvl>
    <w:lvl w:ilvl="3">
      <w:numFmt w:val="bullet"/>
      <w:lvlText w:val="•"/>
      <w:lvlJc w:val="left"/>
      <w:pPr>
        <w:ind w:left="3996" w:hanging="360"/>
      </w:pPr>
    </w:lvl>
    <w:lvl w:ilvl="4">
      <w:numFmt w:val="bullet"/>
      <w:lvlText w:val="•"/>
      <w:lvlJc w:val="left"/>
      <w:pPr>
        <w:ind w:left="4928" w:hanging="360"/>
      </w:pPr>
    </w:lvl>
    <w:lvl w:ilvl="5">
      <w:numFmt w:val="bullet"/>
      <w:lvlText w:val="•"/>
      <w:lvlJc w:val="left"/>
      <w:pPr>
        <w:ind w:left="5860" w:hanging="360"/>
      </w:pPr>
    </w:lvl>
    <w:lvl w:ilvl="6">
      <w:numFmt w:val="bullet"/>
      <w:lvlText w:val="•"/>
      <w:lvlJc w:val="left"/>
      <w:pPr>
        <w:ind w:left="6792" w:hanging="360"/>
      </w:pPr>
    </w:lvl>
    <w:lvl w:ilvl="7">
      <w:numFmt w:val="bullet"/>
      <w:lvlText w:val="•"/>
      <w:lvlJc w:val="left"/>
      <w:pPr>
        <w:ind w:left="7724" w:hanging="360"/>
      </w:pPr>
    </w:lvl>
    <w:lvl w:ilvl="8">
      <w:numFmt w:val="bullet"/>
      <w:lvlText w:val="•"/>
      <w:lvlJc w:val="left"/>
      <w:pPr>
        <w:ind w:left="8656" w:hanging="360"/>
      </w:pPr>
    </w:lvl>
  </w:abstractNum>
  <w:abstractNum w:abstractNumId="21" w15:restartNumberingAfterBreak="0">
    <w:nsid w:val="0000041F"/>
    <w:multiLevelType w:val="multilevel"/>
    <w:tmpl w:val="000008A2"/>
    <w:lvl w:ilvl="0">
      <w:start w:val="1"/>
      <w:numFmt w:val="lowerRoman"/>
      <w:lvlText w:val="(%1)"/>
      <w:lvlJc w:val="left"/>
      <w:pPr>
        <w:ind w:left="1190" w:hanging="360"/>
      </w:pPr>
      <w:rPr>
        <w:rFonts w:ascii="Arial" w:hAnsi="Arial" w:cs="Arial"/>
        <w:b w:val="0"/>
        <w:bCs w:val="0"/>
        <w:color w:val="231F20"/>
        <w:w w:val="99"/>
        <w:sz w:val="18"/>
        <w:szCs w:val="18"/>
      </w:rPr>
    </w:lvl>
    <w:lvl w:ilvl="1">
      <w:numFmt w:val="bullet"/>
      <w:lvlText w:val="•"/>
      <w:lvlJc w:val="left"/>
      <w:pPr>
        <w:ind w:left="2132" w:hanging="360"/>
      </w:pPr>
    </w:lvl>
    <w:lvl w:ilvl="2">
      <w:numFmt w:val="bullet"/>
      <w:lvlText w:val="•"/>
      <w:lvlJc w:val="left"/>
      <w:pPr>
        <w:ind w:left="3064" w:hanging="360"/>
      </w:pPr>
    </w:lvl>
    <w:lvl w:ilvl="3">
      <w:numFmt w:val="bullet"/>
      <w:lvlText w:val="•"/>
      <w:lvlJc w:val="left"/>
      <w:pPr>
        <w:ind w:left="3996" w:hanging="360"/>
      </w:pPr>
    </w:lvl>
    <w:lvl w:ilvl="4">
      <w:numFmt w:val="bullet"/>
      <w:lvlText w:val="•"/>
      <w:lvlJc w:val="left"/>
      <w:pPr>
        <w:ind w:left="4928" w:hanging="360"/>
      </w:pPr>
    </w:lvl>
    <w:lvl w:ilvl="5">
      <w:numFmt w:val="bullet"/>
      <w:lvlText w:val="•"/>
      <w:lvlJc w:val="left"/>
      <w:pPr>
        <w:ind w:left="5860" w:hanging="360"/>
      </w:pPr>
    </w:lvl>
    <w:lvl w:ilvl="6">
      <w:numFmt w:val="bullet"/>
      <w:lvlText w:val="•"/>
      <w:lvlJc w:val="left"/>
      <w:pPr>
        <w:ind w:left="6792" w:hanging="360"/>
      </w:pPr>
    </w:lvl>
    <w:lvl w:ilvl="7">
      <w:numFmt w:val="bullet"/>
      <w:lvlText w:val="•"/>
      <w:lvlJc w:val="left"/>
      <w:pPr>
        <w:ind w:left="7724" w:hanging="360"/>
      </w:pPr>
    </w:lvl>
    <w:lvl w:ilvl="8">
      <w:numFmt w:val="bullet"/>
      <w:lvlText w:val="•"/>
      <w:lvlJc w:val="left"/>
      <w:pPr>
        <w:ind w:left="8656" w:hanging="360"/>
      </w:pPr>
    </w:lvl>
  </w:abstractNum>
  <w:abstractNum w:abstractNumId="22" w15:restartNumberingAfterBreak="0">
    <w:nsid w:val="00000420"/>
    <w:multiLevelType w:val="multilevel"/>
    <w:tmpl w:val="000008A3"/>
    <w:lvl w:ilvl="0">
      <w:start w:val="1"/>
      <w:numFmt w:val="decimal"/>
      <w:lvlText w:val="%1"/>
      <w:lvlJc w:val="left"/>
      <w:pPr>
        <w:ind w:left="827" w:hanging="708"/>
      </w:pPr>
      <w:rPr>
        <w:rFonts w:ascii="Arial" w:hAnsi="Arial" w:cs="Arial"/>
        <w:b/>
        <w:bCs/>
        <w:color w:val="231F20"/>
        <w:w w:val="99"/>
        <w:sz w:val="18"/>
        <w:szCs w:val="18"/>
      </w:rPr>
    </w:lvl>
    <w:lvl w:ilvl="1">
      <w:numFmt w:val="bullet"/>
      <w:lvlText w:val="•"/>
      <w:lvlJc w:val="left"/>
      <w:pPr>
        <w:ind w:left="1790" w:hanging="708"/>
      </w:pPr>
    </w:lvl>
    <w:lvl w:ilvl="2">
      <w:numFmt w:val="bullet"/>
      <w:lvlText w:val="•"/>
      <w:lvlJc w:val="left"/>
      <w:pPr>
        <w:ind w:left="2760" w:hanging="708"/>
      </w:pPr>
    </w:lvl>
    <w:lvl w:ilvl="3">
      <w:numFmt w:val="bullet"/>
      <w:lvlText w:val="•"/>
      <w:lvlJc w:val="left"/>
      <w:pPr>
        <w:ind w:left="3730" w:hanging="708"/>
      </w:pPr>
    </w:lvl>
    <w:lvl w:ilvl="4">
      <w:numFmt w:val="bullet"/>
      <w:lvlText w:val="•"/>
      <w:lvlJc w:val="left"/>
      <w:pPr>
        <w:ind w:left="4700" w:hanging="708"/>
      </w:pPr>
    </w:lvl>
    <w:lvl w:ilvl="5">
      <w:numFmt w:val="bullet"/>
      <w:lvlText w:val="•"/>
      <w:lvlJc w:val="left"/>
      <w:pPr>
        <w:ind w:left="5670" w:hanging="708"/>
      </w:pPr>
    </w:lvl>
    <w:lvl w:ilvl="6">
      <w:numFmt w:val="bullet"/>
      <w:lvlText w:val="•"/>
      <w:lvlJc w:val="left"/>
      <w:pPr>
        <w:ind w:left="6640" w:hanging="708"/>
      </w:pPr>
    </w:lvl>
    <w:lvl w:ilvl="7">
      <w:numFmt w:val="bullet"/>
      <w:lvlText w:val="•"/>
      <w:lvlJc w:val="left"/>
      <w:pPr>
        <w:ind w:left="7610" w:hanging="708"/>
      </w:pPr>
    </w:lvl>
    <w:lvl w:ilvl="8">
      <w:numFmt w:val="bullet"/>
      <w:lvlText w:val="•"/>
      <w:lvlJc w:val="left"/>
      <w:pPr>
        <w:ind w:left="8580" w:hanging="708"/>
      </w:pPr>
    </w:lvl>
  </w:abstractNum>
  <w:abstractNum w:abstractNumId="23" w15:restartNumberingAfterBreak="0">
    <w:nsid w:val="00000421"/>
    <w:multiLevelType w:val="multilevel"/>
    <w:tmpl w:val="000008A4"/>
    <w:lvl w:ilvl="0">
      <w:start w:val="1"/>
      <w:numFmt w:val="lowerLetter"/>
      <w:lvlText w:val="(%1)"/>
      <w:lvlJc w:val="left"/>
      <w:pPr>
        <w:ind w:left="827" w:hanging="708"/>
      </w:pPr>
      <w:rPr>
        <w:rFonts w:ascii="Arial" w:hAnsi="Arial" w:cs="Arial"/>
        <w:b w:val="0"/>
        <w:bCs w:val="0"/>
        <w:color w:val="231F20"/>
        <w:w w:val="99"/>
        <w:sz w:val="18"/>
        <w:szCs w:val="18"/>
      </w:rPr>
    </w:lvl>
    <w:lvl w:ilvl="1">
      <w:numFmt w:val="bullet"/>
      <w:lvlText w:val="•"/>
      <w:lvlJc w:val="left"/>
      <w:pPr>
        <w:ind w:left="1790" w:hanging="708"/>
      </w:pPr>
    </w:lvl>
    <w:lvl w:ilvl="2">
      <w:numFmt w:val="bullet"/>
      <w:lvlText w:val="•"/>
      <w:lvlJc w:val="left"/>
      <w:pPr>
        <w:ind w:left="2760" w:hanging="708"/>
      </w:pPr>
    </w:lvl>
    <w:lvl w:ilvl="3">
      <w:numFmt w:val="bullet"/>
      <w:lvlText w:val="•"/>
      <w:lvlJc w:val="left"/>
      <w:pPr>
        <w:ind w:left="3730" w:hanging="708"/>
      </w:pPr>
    </w:lvl>
    <w:lvl w:ilvl="4">
      <w:numFmt w:val="bullet"/>
      <w:lvlText w:val="•"/>
      <w:lvlJc w:val="left"/>
      <w:pPr>
        <w:ind w:left="4700" w:hanging="708"/>
      </w:pPr>
    </w:lvl>
    <w:lvl w:ilvl="5">
      <w:numFmt w:val="bullet"/>
      <w:lvlText w:val="•"/>
      <w:lvlJc w:val="left"/>
      <w:pPr>
        <w:ind w:left="5670" w:hanging="708"/>
      </w:pPr>
    </w:lvl>
    <w:lvl w:ilvl="6">
      <w:numFmt w:val="bullet"/>
      <w:lvlText w:val="•"/>
      <w:lvlJc w:val="left"/>
      <w:pPr>
        <w:ind w:left="6640" w:hanging="708"/>
      </w:pPr>
    </w:lvl>
    <w:lvl w:ilvl="7">
      <w:numFmt w:val="bullet"/>
      <w:lvlText w:val="•"/>
      <w:lvlJc w:val="left"/>
      <w:pPr>
        <w:ind w:left="7610" w:hanging="708"/>
      </w:pPr>
    </w:lvl>
    <w:lvl w:ilvl="8">
      <w:numFmt w:val="bullet"/>
      <w:lvlText w:val="•"/>
      <w:lvlJc w:val="left"/>
      <w:pPr>
        <w:ind w:left="8580" w:hanging="708"/>
      </w:pPr>
    </w:lvl>
  </w:abstractNum>
  <w:abstractNum w:abstractNumId="24" w15:restartNumberingAfterBreak="0">
    <w:nsid w:val="0234231F"/>
    <w:multiLevelType w:val="multilevel"/>
    <w:tmpl w:val="2160A9FE"/>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25CC39FC"/>
    <w:multiLevelType w:val="hybridMultilevel"/>
    <w:tmpl w:val="71DEC49C"/>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6" w15:restartNumberingAfterBreak="0">
    <w:nsid w:val="2B081181"/>
    <w:multiLevelType w:val="hybridMultilevel"/>
    <w:tmpl w:val="50F2E4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7" w15:restartNumberingAfterBreak="0">
    <w:nsid w:val="30C407D7"/>
    <w:multiLevelType w:val="multilevel"/>
    <w:tmpl w:val="000008A2"/>
    <w:lvl w:ilvl="0">
      <w:start w:val="1"/>
      <w:numFmt w:val="lowerRoman"/>
      <w:lvlText w:val="(%1)"/>
      <w:lvlJc w:val="left"/>
      <w:pPr>
        <w:ind w:left="1190" w:hanging="360"/>
      </w:pPr>
      <w:rPr>
        <w:rFonts w:ascii="Arial" w:hAnsi="Arial" w:cs="Arial"/>
        <w:b w:val="0"/>
        <w:bCs w:val="0"/>
        <w:color w:val="231F20"/>
        <w:w w:val="99"/>
        <w:sz w:val="18"/>
        <w:szCs w:val="18"/>
      </w:rPr>
    </w:lvl>
    <w:lvl w:ilvl="1">
      <w:numFmt w:val="bullet"/>
      <w:lvlText w:val="•"/>
      <w:lvlJc w:val="left"/>
      <w:pPr>
        <w:ind w:left="2132" w:hanging="360"/>
      </w:pPr>
    </w:lvl>
    <w:lvl w:ilvl="2">
      <w:numFmt w:val="bullet"/>
      <w:lvlText w:val="•"/>
      <w:lvlJc w:val="left"/>
      <w:pPr>
        <w:ind w:left="3064" w:hanging="360"/>
      </w:pPr>
    </w:lvl>
    <w:lvl w:ilvl="3">
      <w:numFmt w:val="bullet"/>
      <w:lvlText w:val="•"/>
      <w:lvlJc w:val="left"/>
      <w:pPr>
        <w:ind w:left="3996" w:hanging="360"/>
      </w:pPr>
    </w:lvl>
    <w:lvl w:ilvl="4">
      <w:numFmt w:val="bullet"/>
      <w:lvlText w:val="•"/>
      <w:lvlJc w:val="left"/>
      <w:pPr>
        <w:ind w:left="4928" w:hanging="360"/>
      </w:pPr>
    </w:lvl>
    <w:lvl w:ilvl="5">
      <w:numFmt w:val="bullet"/>
      <w:lvlText w:val="•"/>
      <w:lvlJc w:val="left"/>
      <w:pPr>
        <w:ind w:left="5860" w:hanging="360"/>
      </w:pPr>
    </w:lvl>
    <w:lvl w:ilvl="6">
      <w:numFmt w:val="bullet"/>
      <w:lvlText w:val="•"/>
      <w:lvlJc w:val="left"/>
      <w:pPr>
        <w:ind w:left="6792" w:hanging="360"/>
      </w:pPr>
    </w:lvl>
    <w:lvl w:ilvl="7">
      <w:numFmt w:val="bullet"/>
      <w:lvlText w:val="•"/>
      <w:lvlJc w:val="left"/>
      <w:pPr>
        <w:ind w:left="7724" w:hanging="360"/>
      </w:pPr>
    </w:lvl>
    <w:lvl w:ilvl="8">
      <w:numFmt w:val="bullet"/>
      <w:lvlText w:val="•"/>
      <w:lvlJc w:val="left"/>
      <w:pPr>
        <w:ind w:left="8656" w:hanging="360"/>
      </w:pPr>
    </w:lvl>
  </w:abstractNum>
  <w:abstractNum w:abstractNumId="28" w15:restartNumberingAfterBreak="0">
    <w:nsid w:val="3147348A"/>
    <w:multiLevelType w:val="multilevel"/>
    <w:tmpl w:val="000008A1"/>
    <w:lvl w:ilvl="0">
      <w:start w:val="1"/>
      <w:numFmt w:val="lowerLetter"/>
      <w:lvlText w:val="(%1)"/>
      <w:lvlJc w:val="left"/>
      <w:pPr>
        <w:ind w:left="1199" w:hanging="360"/>
      </w:pPr>
      <w:rPr>
        <w:rFonts w:ascii="Arial" w:hAnsi="Arial" w:cs="Arial"/>
        <w:b/>
        <w:bCs/>
        <w:color w:val="231F20"/>
        <w:w w:val="99"/>
        <w:sz w:val="18"/>
        <w:szCs w:val="18"/>
      </w:rPr>
    </w:lvl>
    <w:lvl w:ilvl="1">
      <w:numFmt w:val="bullet"/>
      <w:lvlText w:val="•"/>
      <w:lvlJc w:val="left"/>
      <w:pPr>
        <w:ind w:left="2132" w:hanging="360"/>
      </w:pPr>
    </w:lvl>
    <w:lvl w:ilvl="2">
      <w:numFmt w:val="bullet"/>
      <w:lvlText w:val="•"/>
      <w:lvlJc w:val="left"/>
      <w:pPr>
        <w:ind w:left="3064" w:hanging="360"/>
      </w:pPr>
    </w:lvl>
    <w:lvl w:ilvl="3">
      <w:numFmt w:val="bullet"/>
      <w:lvlText w:val="•"/>
      <w:lvlJc w:val="left"/>
      <w:pPr>
        <w:ind w:left="3996" w:hanging="360"/>
      </w:pPr>
    </w:lvl>
    <w:lvl w:ilvl="4">
      <w:numFmt w:val="bullet"/>
      <w:lvlText w:val="•"/>
      <w:lvlJc w:val="left"/>
      <w:pPr>
        <w:ind w:left="4928" w:hanging="360"/>
      </w:pPr>
    </w:lvl>
    <w:lvl w:ilvl="5">
      <w:numFmt w:val="bullet"/>
      <w:lvlText w:val="•"/>
      <w:lvlJc w:val="left"/>
      <w:pPr>
        <w:ind w:left="5860" w:hanging="360"/>
      </w:pPr>
    </w:lvl>
    <w:lvl w:ilvl="6">
      <w:numFmt w:val="bullet"/>
      <w:lvlText w:val="•"/>
      <w:lvlJc w:val="left"/>
      <w:pPr>
        <w:ind w:left="6792" w:hanging="360"/>
      </w:pPr>
    </w:lvl>
    <w:lvl w:ilvl="7">
      <w:numFmt w:val="bullet"/>
      <w:lvlText w:val="•"/>
      <w:lvlJc w:val="left"/>
      <w:pPr>
        <w:ind w:left="7724" w:hanging="360"/>
      </w:pPr>
    </w:lvl>
    <w:lvl w:ilvl="8">
      <w:numFmt w:val="bullet"/>
      <w:lvlText w:val="•"/>
      <w:lvlJc w:val="left"/>
      <w:pPr>
        <w:ind w:left="8656" w:hanging="360"/>
      </w:pPr>
    </w:lvl>
  </w:abstractNum>
  <w:abstractNum w:abstractNumId="29" w15:restartNumberingAfterBreak="0">
    <w:nsid w:val="31C503EE"/>
    <w:multiLevelType w:val="hybridMultilevel"/>
    <w:tmpl w:val="855475B2"/>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0" w15:restartNumberingAfterBreak="0">
    <w:nsid w:val="36121F03"/>
    <w:multiLevelType w:val="multilevel"/>
    <w:tmpl w:val="DFE29B8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3B6A028A"/>
    <w:multiLevelType w:val="hybridMultilevel"/>
    <w:tmpl w:val="CC846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BEA3A4F"/>
    <w:multiLevelType w:val="hybridMultilevel"/>
    <w:tmpl w:val="A3128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8F09E0"/>
    <w:multiLevelType w:val="multilevel"/>
    <w:tmpl w:val="2556CD1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55A8434B"/>
    <w:multiLevelType w:val="hybridMultilevel"/>
    <w:tmpl w:val="10829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516572"/>
    <w:multiLevelType w:val="hybridMultilevel"/>
    <w:tmpl w:val="44D4F9F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6" w15:restartNumberingAfterBreak="0">
    <w:nsid w:val="5FDB2D59"/>
    <w:multiLevelType w:val="hybridMultilevel"/>
    <w:tmpl w:val="AE966198"/>
    <w:lvl w:ilvl="0" w:tplc="C7C212DE">
      <w:start w:val="3"/>
      <w:numFmt w:val="bullet"/>
      <w:lvlText w:val="-"/>
      <w:lvlJc w:val="left"/>
      <w:pPr>
        <w:ind w:left="864" w:hanging="360"/>
      </w:pPr>
      <w:rPr>
        <w:rFonts w:ascii="Calibri" w:eastAsia="Times New Roman" w:hAnsi="Calibri" w:cs="Times New Roman"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37" w15:restartNumberingAfterBreak="0">
    <w:nsid w:val="611957BA"/>
    <w:multiLevelType w:val="hybridMultilevel"/>
    <w:tmpl w:val="ACF83358"/>
    <w:lvl w:ilvl="0" w:tplc="01463190">
      <w:start w:val="1"/>
      <w:numFmt w:val="lowerLetter"/>
      <w:lvlText w:val="(%1)"/>
      <w:lvlJc w:val="left"/>
      <w:pPr>
        <w:ind w:left="720" w:hanging="360"/>
      </w:pPr>
      <w:rPr>
        <w:rFonts w:ascii="Arial" w:hAnsi="Arial" w:cs="Arial"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8A03AA"/>
    <w:multiLevelType w:val="multilevel"/>
    <w:tmpl w:val="5D02B21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6B505AB"/>
    <w:multiLevelType w:val="hybridMultilevel"/>
    <w:tmpl w:val="C5DE5120"/>
    <w:lvl w:ilvl="0" w:tplc="C7C212DE">
      <w:start w:val="3"/>
      <w:numFmt w:val="bullet"/>
      <w:lvlText w:val="-"/>
      <w:lvlJc w:val="left"/>
      <w:pPr>
        <w:ind w:left="1530" w:hanging="360"/>
      </w:pPr>
      <w:rPr>
        <w:rFonts w:ascii="Calibri" w:eastAsia="Times New Roman" w:hAnsi="Calibri" w:cs="Times New Roman" w:hint="default"/>
      </w:rPr>
    </w:lvl>
    <w:lvl w:ilvl="1" w:tplc="10090003" w:tentative="1">
      <w:start w:val="1"/>
      <w:numFmt w:val="bullet"/>
      <w:lvlText w:val="o"/>
      <w:lvlJc w:val="left"/>
      <w:pPr>
        <w:ind w:left="2762" w:hanging="360"/>
      </w:pPr>
      <w:rPr>
        <w:rFonts w:ascii="Courier New" w:hAnsi="Courier New" w:cs="Courier New" w:hint="default"/>
      </w:rPr>
    </w:lvl>
    <w:lvl w:ilvl="2" w:tplc="10090005" w:tentative="1">
      <w:start w:val="1"/>
      <w:numFmt w:val="bullet"/>
      <w:lvlText w:val=""/>
      <w:lvlJc w:val="left"/>
      <w:pPr>
        <w:ind w:left="3482" w:hanging="360"/>
      </w:pPr>
      <w:rPr>
        <w:rFonts w:ascii="Wingdings" w:hAnsi="Wingdings" w:hint="default"/>
      </w:rPr>
    </w:lvl>
    <w:lvl w:ilvl="3" w:tplc="10090001" w:tentative="1">
      <w:start w:val="1"/>
      <w:numFmt w:val="bullet"/>
      <w:lvlText w:val=""/>
      <w:lvlJc w:val="left"/>
      <w:pPr>
        <w:ind w:left="4202" w:hanging="360"/>
      </w:pPr>
      <w:rPr>
        <w:rFonts w:ascii="Symbol" w:hAnsi="Symbol" w:hint="default"/>
      </w:rPr>
    </w:lvl>
    <w:lvl w:ilvl="4" w:tplc="10090003" w:tentative="1">
      <w:start w:val="1"/>
      <w:numFmt w:val="bullet"/>
      <w:lvlText w:val="o"/>
      <w:lvlJc w:val="left"/>
      <w:pPr>
        <w:ind w:left="4922" w:hanging="360"/>
      </w:pPr>
      <w:rPr>
        <w:rFonts w:ascii="Courier New" w:hAnsi="Courier New" w:cs="Courier New" w:hint="default"/>
      </w:rPr>
    </w:lvl>
    <w:lvl w:ilvl="5" w:tplc="10090005" w:tentative="1">
      <w:start w:val="1"/>
      <w:numFmt w:val="bullet"/>
      <w:lvlText w:val=""/>
      <w:lvlJc w:val="left"/>
      <w:pPr>
        <w:ind w:left="5642" w:hanging="360"/>
      </w:pPr>
      <w:rPr>
        <w:rFonts w:ascii="Wingdings" w:hAnsi="Wingdings" w:hint="default"/>
      </w:rPr>
    </w:lvl>
    <w:lvl w:ilvl="6" w:tplc="10090001" w:tentative="1">
      <w:start w:val="1"/>
      <w:numFmt w:val="bullet"/>
      <w:lvlText w:val=""/>
      <w:lvlJc w:val="left"/>
      <w:pPr>
        <w:ind w:left="6362" w:hanging="360"/>
      </w:pPr>
      <w:rPr>
        <w:rFonts w:ascii="Symbol" w:hAnsi="Symbol" w:hint="default"/>
      </w:rPr>
    </w:lvl>
    <w:lvl w:ilvl="7" w:tplc="10090003" w:tentative="1">
      <w:start w:val="1"/>
      <w:numFmt w:val="bullet"/>
      <w:lvlText w:val="o"/>
      <w:lvlJc w:val="left"/>
      <w:pPr>
        <w:ind w:left="7082" w:hanging="360"/>
      </w:pPr>
      <w:rPr>
        <w:rFonts w:ascii="Courier New" w:hAnsi="Courier New" w:cs="Courier New" w:hint="default"/>
      </w:rPr>
    </w:lvl>
    <w:lvl w:ilvl="8" w:tplc="10090005" w:tentative="1">
      <w:start w:val="1"/>
      <w:numFmt w:val="bullet"/>
      <w:lvlText w:val=""/>
      <w:lvlJc w:val="left"/>
      <w:pPr>
        <w:ind w:left="7802" w:hanging="360"/>
      </w:pPr>
      <w:rPr>
        <w:rFonts w:ascii="Wingdings" w:hAnsi="Wingdings" w:hint="default"/>
      </w:rPr>
    </w:lvl>
  </w:abstractNum>
  <w:abstractNum w:abstractNumId="40" w15:restartNumberingAfterBreak="0">
    <w:nsid w:val="695D73E9"/>
    <w:multiLevelType w:val="hybridMultilevel"/>
    <w:tmpl w:val="4BB86754"/>
    <w:lvl w:ilvl="0" w:tplc="C7C212DE">
      <w:start w:val="3"/>
      <w:numFmt w:val="bullet"/>
      <w:lvlText w:val="-"/>
      <w:lvlJc w:val="left"/>
      <w:pPr>
        <w:ind w:left="864" w:hanging="360"/>
      </w:pPr>
      <w:rPr>
        <w:rFonts w:ascii="Calibri" w:eastAsia="Times New Roman" w:hAnsi="Calibri" w:cs="Times New Roman"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41" w15:restartNumberingAfterBreak="0">
    <w:nsid w:val="71367CD6"/>
    <w:multiLevelType w:val="hybridMultilevel"/>
    <w:tmpl w:val="71C2975A"/>
    <w:lvl w:ilvl="0" w:tplc="6FC43AFE">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num w:numId="1">
    <w:abstractNumId w:val="23"/>
  </w:num>
  <w:num w:numId="2">
    <w:abstractNumId w:val="22"/>
  </w:num>
  <w:num w:numId="3">
    <w:abstractNumId w:val="21"/>
  </w:num>
  <w:num w:numId="4">
    <w:abstractNumId w:val="20"/>
  </w:num>
  <w:num w:numId="5">
    <w:abstractNumId w:val="19"/>
  </w:num>
  <w:num w:numId="6">
    <w:abstractNumId w:val="18"/>
  </w:num>
  <w:num w:numId="7">
    <w:abstractNumId w:val="17"/>
  </w:num>
  <w:num w:numId="8">
    <w:abstractNumId w:val="16"/>
  </w:num>
  <w:num w:numId="9">
    <w:abstractNumId w:val="15"/>
  </w:num>
  <w:num w:numId="10">
    <w:abstractNumId w:val="14"/>
  </w:num>
  <w:num w:numId="11">
    <w:abstractNumId w:val="13"/>
  </w:num>
  <w:num w:numId="12">
    <w:abstractNumId w:val="12"/>
  </w:num>
  <w:num w:numId="13">
    <w:abstractNumId w:val="11"/>
  </w:num>
  <w:num w:numId="14">
    <w:abstractNumId w:val="10"/>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35"/>
  </w:num>
  <w:num w:numId="26">
    <w:abstractNumId w:val="26"/>
  </w:num>
  <w:num w:numId="27">
    <w:abstractNumId w:val="32"/>
  </w:num>
  <w:num w:numId="28">
    <w:abstractNumId w:val="29"/>
  </w:num>
  <w:num w:numId="29">
    <w:abstractNumId w:val="41"/>
  </w:num>
  <w:num w:numId="30">
    <w:abstractNumId w:val="28"/>
  </w:num>
  <w:num w:numId="31">
    <w:abstractNumId w:val="25"/>
  </w:num>
  <w:num w:numId="32">
    <w:abstractNumId w:val="27"/>
  </w:num>
  <w:num w:numId="33">
    <w:abstractNumId w:val="37"/>
  </w:num>
  <w:num w:numId="34">
    <w:abstractNumId w:val="33"/>
  </w:num>
  <w:num w:numId="35">
    <w:abstractNumId w:val="39"/>
  </w:num>
  <w:num w:numId="36">
    <w:abstractNumId w:val="40"/>
  </w:num>
  <w:num w:numId="37">
    <w:abstractNumId w:val="36"/>
  </w:num>
  <w:num w:numId="38">
    <w:abstractNumId w:val="31"/>
  </w:num>
  <w:num w:numId="39">
    <w:abstractNumId w:val="34"/>
  </w:num>
  <w:num w:numId="40">
    <w:abstractNumId w:val="24"/>
  </w:num>
  <w:num w:numId="41">
    <w:abstractNumId w:val="30"/>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20"/>
    <w:rsid w:val="00000354"/>
    <w:rsid w:val="00000365"/>
    <w:rsid w:val="00000F67"/>
    <w:rsid w:val="00002F84"/>
    <w:rsid w:val="00003369"/>
    <w:rsid w:val="00005C4E"/>
    <w:rsid w:val="00010A45"/>
    <w:rsid w:val="00013417"/>
    <w:rsid w:val="00013DB3"/>
    <w:rsid w:val="00014F00"/>
    <w:rsid w:val="00016070"/>
    <w:rsid w:val="00021854"/>
    <w:rsid w:val="00022207"/>
    <w:rsid w:val="000246C0"/>
    <w:rsid w:val="00024DF3"/>
    <w:rsid w:val="00025F23"/>
    <w:rsid w:val="000264D1"/>
    <w:rsid w:val="00030991"/>
    <w:rsid w:val="0003288F"/>
    <w:rsid w:val="00032B12"/>
    <w:rsid w:val="00033F9D"/>
    <w:rsid w:val="00035C1B"/>
    <w:rsid w:val="00035FF0"/>
    <w:rsid w:val="00037A0E"/>
    <w:rsid w:val="00037F7D"/>
    <w:rsid w:val="00040508"/>
    <w:rsid w:val="00040601"/>
    <w:rsid w:val="000414D5"/>
    <w:rsid w:val="000419D7"/>
    <w:rsid w:val="0004371E"/>
    <w:rsid w:val="000452B3"/>
    <w:rsid w:val="00046867"/>
    <w:rsid w:val="00050887"/>
    <w:rsid w:val="00050F3D"/>
    <w:rsid w:val="00051CFB"/>
    <w:rsid w:val="0005338F"/>
    <w:rsid w:val="000547A5"/>
    <w:rsid w:val="000579B6"/>
    <w:rsid w:val="00057D64"/>
    <w:rsid w:val="00060CF2"/>
    <w:rsid w:val="00062F2D"/>
    <w:rsid w:val="00064917"/>
    <w:rsid w:val="00064ABC"/>
    <w:rsid w:val="00065283"/>
    <w:rsid w:val="000713C0"/>
    <w:rsid w:val="00074395"/>
    <w:rsid w:val="00075A63"/>
    <w:rsid w:val="00076EAC"/>
    <w:rsid w:val="00077153"/>
    <w:rsid w:val="00083562"/>
    <w:rsid w:val="00084390"/>
    <w:rsid w:val="00085B76"/>
    <w:rsid w:val="00085E6D"/>
    <w:rsid w:val="00086B46"/>
    <w:rsid w:val="00086E1A"/>
    <w:rsid w:val="00090366"/>
    <w:rsid w:val="000909C5"/>
    <w:rsid w:val="00091103"/>
    <w:rsid w:val="000911DE"/>
    <w:rsid w:val="000945AD"/>
    <w:rsid w:val="000968B7"/>
    <w:rsid w:val="000A1164"/>
    <w:rsid w:val="000A2226"/>
    <w:rsid w:val="000A54BC"/>
    <w:rsid w:val="000B2AF8"/>
    <w:rsid w:val="000B2F1C"/>
    <w:rsid w:val="000B4BD0"/>
    <w:rsid w:val="000B796A"/>
    <w:rsid w:val="000B7CA5"/>
    <w:rsid w:val="000C0B2C"/>
    <w:rsid w:val="000C5E9B"/>
    <w:rsid w:val="000D5754"/>
    <w:rsid w:val="000E2CBE"/>
    <w:rsid w:val="000E2E2B"/>
    <w:rsid w:val="000E3DDE"/>
    <w:rsid w:val="000E5370"/>
    <w:rsid w:val="000E7DF8"/>
    <w:rsid w:val="000F0476"/>
    <w:rsid w:val="000F090F"/>
    <w:rsid w:val="000F0D89"/>
    <w:rsid w:val="000F1CE8"/>
    <w:rsid w:val="000F2D78"/>
    <w:rsid w:val="000F423F"/>
    <w:rsid w:val="000F7FCF"/>
    <w:rsid w:val="00100A02"/>
    <w:rsid w:val="00101170"/>
    <w:rsid w:val="00102691"/>
    <w:rsid w:val="00102B8E"/>
    <w:rsid w:val="001052A0"/>
    <w:rsid w:val="001071CA"/>
    <w:rsid w:val="00116D9F"/>
    <w:rsid w:val="00117CD0"/>
    <w:rsid w:val="00120F40"/>
    <w:rsid w:val="00122E36"/>
    <w:rsid w:val="001248D2"/>
    <w:rsid w:val="001273E1"/>
    <w:rsid w:val="00134EF6"/>
    <w:rsid w:val="00136312"/>
    <w:rsid w:val="001430DC"/>
    <w:rsid w:val="00143214"/>
    <w:rsid w:val="0015124F"/>
    <w:rsid w:val="00152F1E"/>
    <w:rsid w:val="00153266"/>
    <w:rsid w:val="00153CEC"/>
    <w:rsid w:val="00154FD0"/>
    <w:rsid w:val="0015577A"/>
    <w:rsid w:val="00160BCC"/>
    <w:rsid w:val="001613C9"/>
    <w:rsid w:val="00162424"/>
    <w:rsid w:val="00166321"/>
    <w:rsid w:val="00167306"/>
    <w:rsid w:val="001703CC"/>
    <w:rsid w:val="00170424"/>
    <w:rsid w:val="0017121F"/>
    <w:rsid w:val="001720C7"/>
    <w:rsid w:val="001741AF"/>
    <w:rsid w:val="0017518F"/>
    <w:rsid w:val="00175CB2"/>
    <w:rsid w:val="00176F97"/>
    <w:rsid w:val="001773C0"/>
    <w:rsid w:val="0018168F"/>
    <w:rsid w:val="00183191"/>
    <w:rsid w:val="001832E4"/>
    <w:rsid w:val="00184E5B"/>
    <w:rsid w:val="001853CE"/>
    <w:rsid w:val="001900F6"/>
    <w:rsid w:val="00190525"/>
    <w:rsid w:val="00190C0B"/>
    <w:rsid w:val="00190D2E"/>
    <w:rsid w:val="0019125A"/>
    <w:rsid w:val="001913BE"/>
    <w:rsid w:val="00191A7E"/>
    <w:rsid w:val="00195B31"/>
    <w:rsid w:val="001A219E"/>
    <w:rsid w:val="001A229E"/>
    <w:rsid w:val="001A28C4"/>
    <w:rsid w:val="001A4B30"/>
    <w:rsid w:val="001A711D"/>
    <w:rsid w:val="001A7287"/>
    <w:rsid w:val="001A7C2A"/>
    <w:rsid w:val="001A7F80"/>
    <w:rsid w:val="001A7FEF"/>
    <w:rsid w:val="001B3410"/>
    <w:rsid w:val="001B4884"/>
    <w:rsid w:val="001B627F"/>
    <w:rsid w:val="001C19EA"/>
    <w:rsid w:val="001C1B72"/>
    <w:rsid w:val="001C1E31"/>
    <w:rsid w:val="001C3CC4"/>
    <w:rsid w:val="001C42D6"/>
    <w:rsid w:val="001C4361"/>
    <w:rsid w:val="001C4A30"/>
    <w:rsid w:val="001C6184"/>
    <w:rsid w:val="001C66E4"/>
    <w:rsid w:val="001D066B"/>
    <w:rsid w:val="001D1905"/>
    <w:rsid w:val="001D1D1A"/>
    <w:rsid w:val="001D5FE7"/>
    <w:rsid w:val="001D7EAF"/>
    <w:rsid w:val="001E0909"/>
    <w:rsid w:val="001E250F"/>
    <w:rsid w:val="001E4EE6"/>
    <w:rsid w:val="001E5486"/>
    <w:rsid w:val="001E6F82"/>
    <w:rsid w:val="001F3338"/>
    <w:rsid w:val="001F7DD5"/>
    <w:rsid w:val="002012BA"/>
    <w:rsid w:val="0020328F"/>
    <w:rsid w:val="00207502"/>
    <w:rsid w:val="00207F43"/>
    <w:rsid w:val="00210C71"/>
    <w:rsid w:val="00210E85"/>
    <w:rsid w:val="002115EE"/>
    <w:rsid w:val="00211D6E"/>
    <w:rsid w:val="00214D7D"/>
    <w:rsid w:val="00216EFD"/>
    <w:rsid w:val="00217EA2"/>
    <w:rsid w:val="002213D7"/>
    <w:rsid w:val="00222CF2"/>
    <w:rsid w:val="00222FDA"/>
    <w:rsid w:val="002231BE"/>
    <w:rsid w:val="00223489"/>
    <w:rsid w:val="00224FB0"/>
    <w:rsid w:val="0022766D"/>
    <w:rsid w:val="00227F49"/>
    <w:rsid w:val="00230D6A"/>
    <w:rsid w:val="00240151"/>
    <w:rsid w:val="00241A28"/>
    <w:rsid w:val="002432BE"/>
    <w:rsid w:val="0024448A"/>
    <w:rsid w:val="00244AB9"/>
    <w:rsid w:val="00246C57"/>
    <w:rsid w:val="002506C6"/>
    <w:rsid w:val="002514E7"/>
    <w:rsid w:val="00257963"/>
    <w:rsid w:val="002607D2"/>
    <w:rsid w:val="0026107B"/>
    <w:rsid w:val="00262409"/>
    <w:rsid w:val="00262D03"/>
    <w:rsid w:val="002636C6"/>
    <w:rsid w:val="00265B0E"/>
    <w:rsid w:val="00265FD3"/>
    <w:rsid w:val="00266D4F"/>
    <w:rsid w:val="0027475B"/>
    <w:rsid w:val="002748A5"/>
    <w:rsid w:val="00274D56"/>
    <w:rsid w:val="0027653D"/>
    <w:rsid w:val="00277826"/>
    <w:rsid w:val="002847FF"/>
    <w:rsid w:val="002849BA"/>
    <w:rsid w:val="002854F8"/>
    <w:rsid w:val="002856B0"/>
    <w:rsid w:val="00291786"/>
    <w:rsid w:val="0029308F"/>
    <w:rsid w:val="00293E27"/>
    <w:rsid w:val="002943D2"/>
    <w:rsid w:val="00294C0F"/>
    <w:rsid w:val="00296057"/>
    <w:rsid w:val="0029632A"/>
    <w:rsid w:val="00297381"/>
    <w:rsid w:val="002A00A3"/>
    <w:rsid w:val="002A0CE9"/>
    <w:rsid w:val="002A46A1"/>
    <w:rsid w:val="002A6B39"/>
    <w:rsid w:val="002B404F"/>
    <w:rsid w:val="002B57A6"/>
    <w:rsid w:val="002B6251"/>
    <w:rsid w:val="002B6780"/>
    <w:rsid w:val="002C1240"/>
    <w:rsid w:val="002C12D1"/>
    <w:rsid w:val="002C1743"/>
    <w:rsid w:val="002C1A67"/>
    <w:rsid w:val="002C37F0"/>
    <w:rsid w:val="002C3832"/>
    <w:rsid w:val="002C6F82"/>
    <w:rsid w:val="002D04E4"/>
    <w:rsid w:val="002D2ED6"/>
    <w:rsid w:val="002D4A95"/>
    <w:rsid w:val="002D4CD0"/>
    <w:rsid w:val="002D53F1"/>
    <w:rsid w:val="002E1CC5"/>
    <w:rsid w:val="002E39F4"/>
    <w:rsid w:val="002E4CF5"/>
    <w:rsid w:val="002E6538"/>
    <w:rsid w:val="002F014B"/>
    <w:rsid w:val="002F11DD"/>
    <w:rsid w:val="002F1CF9"/>
    <w:rsid w:val="002F210A"/>
    <w:rsid w:val="002F22A5"/>
    <w:rsid w:val="002F776C"/>
    <w:rsid w:val="00300EFA"/>
    <w:rsid w:val="00306126"/>
    <w:rsid w:val="00307004"/>
    <w:rsid w:val="00307BB5"/>
    <w:rsid w:val="00307DAD"/>
    <w:rsid w:val="00314C8D"/>
    <w:rsid w:val="003157CF"/>
    <w:rsid w:val="0031766D"/>
    <w:rsid w:val="0032078A"/>
    <w:rsid w:val="00320F51"/>
    <w:rsid w:val="00321300"/>
    <w:rsid w:val="003215D7"/>
    <w:rsid w:val="00321808"/>
    <w:rsid w:val="00321E9C"/>
    <w:rsid w:val="003239C9"/>
    <w:rsid w:val="00323E70"/>
    <w:rsid w:val="00332983"/>
    <w:rsid w:val="00333C29"/>
    <w:rsid w:val="003358AE"/>
    <w:rsid w:val="00336D42"/>
    <w:rsid w:val="00340BD0"/>
    <w:rsid w:val="00340CAA"/>
    <w:rsid w:val="00341A58"/>
    <w:rsid w:val="00344115"/>
    <w:rsid w:val="003446E8"/>
    <w:rsid w:val="0034706A"/>
    <w:rsid w:val="00351390"/>
    <w:rsid w:val="00351AA3"/>
    <w:rsid w:val="00352881"/>
    <w:rsid w:val="0035345E"/>
    <w:rsid w:val="00354720"/>
    <w:rsid w:val="00354AF2"/>
    <w:rsid w:val="003566E4"/>
    <w:rsid w:val="00356762"/>
    <w:rsid w:val="00361CD6"/>
    <w:rsid w:val="0036224E"/>
    <w:rsid w:val="003649CD"/>
    <w:rsid w:val="00366D3E"/>
    <w:rsid w:val="00367632"/>
    <w:rsid w:val="00367E61"/>
    <w:rsid w:val="0037066E"/>
    <w:rsid w:val="00370C43"/>
    <w:rsid w:val="00370FC6"/>
    <w:rsid w:val="003710E9"/>
    <w:rsid w:val="00372265"/>
    <w:rsid w:val="00372FBF"/>
    <w:rsid w:val="003734E0"/>
    <w:rsid w:val="0037407F"/>
    <w:rsid w:val="003749FA"/>
    <w:rsid w:val="00375879"/>
    <w:rsid w:val="00375BDF"/>
    <w:rsid w:val="003778D5"/>
    <w:rsid w:val="00377C50"/>
    <w:rsid w:val="003808EB"/>
    <w:rsid w:val="00380E9A"/>
    <w:rsid w:val="0038325A"/>
    <w:rsid w:val="00384A46"/>
    <w:rsid w:val="003865BA"/>
    <w:rsid w:val="00386B00"/>
    <w:rsid w:val="00390848"/>
    <w:rsid w:val="003911BA"/>
    <w:rsid w:val="00392CDE"/>
    <w:rsid w:val="00395569"/>
    <w:rsid w:val="00395B13"/>
    <w:rsid w:val="00397086"/>
    <w:rsid w:val="0039754F"/>
    <w:rsid w:val="003A13EC"/>
    <w:rsid w:val="003A30E7"/>
    <w:rsid w:val="003A4D07"/>
    <w:rsid w:val="003A5641"/>
    <w:rsid w:val="003A7218"/>
    <w:rsid w:val="003B5540"/>
    <w:rsid w:val="003B5B0D"/>
    <w:rsid w:val="003B622D"/>
    <w:rsid w:val="003B6906"/>
    <w:rsid w:val="003B69EA"/>
    <w:rsid w:val="003C1D36"/>
    <w:rsid w:val="003C29CA"/>
    <w:rsid w:val="003C39AB"/>
    <w:rsid w:val="003C3E46"/>
    <w:rsid w:val="003C6EAE"/>
    <w:rsid w:val="003D3291"/>
    <w:rsid w:val="003D4B48"/>
    <w:rsid w:val="003D5361"/>
    <w:rsid w:val="003D6CD2"/>
    <w:rsid w:val="003E00C4"/>
    <w:rsid w:val="003E29BB"/>
    <w:rsid w:val="003E2C71"/>
    <w:rsid w:val="003E34EB"/>
    <w:rsid w:val="003E3AAD"/>
    <w:rsid w:val="003E4EB9"/>
    <w:rsid w:val="003E69F0"/>
    <w:rsid w:val="003E6F11"/>
    <w:rsid w:val="004004D9"/>
    <w:rsid w:val="004006D9"/>
    <w:rsid w:val="00401F25"/>
    <w:rsid w:val="004031E5"/>
    <w:rsid w:val="00404B30"/>
    <w:rsid w:val="004054B7"/>
    <w:rsid w:val="004056B8"/>
    <w:rsid w:val="004057C2"/>
    <w:rsid w:val="0040615D"/>
    <w:rsid w:val="00406BD6"/>
    <w:rsid w:val="004127AA"/>
    <w:rsid w:val="00413FAC"/>
    <w:rsid w:val="00415A06"/>
    <w:rsid w:val="00416928"/>
    <w:rsid w:val="00417EDC"/>
    <w:rsid w:val="00421E9F"/>
    <w:rsid w:val="00423387"/>
    <w:rsid w:val="00427915"/>
    <w:rsid w:val="004313E4"/>
    <w:rsid w:val="004337E9"/>
    <w:rsid w:val="00437F9F"/>
    <w:rsid w:val="004402C1"/>
    <w:rsid w:val="00440FAF"/>
    <w:rsid w:val="00445FFB"/>
    <w:rsid w:val="004462C0"/>
    <w:rsid w:val="0044650F"/>
    <w:rsid w:val="00446689"/>
    <w:rsid w:val="00446DCA"/>
    <w:rsid w:val="00447470"/>
    <w:rsid w:val="004474AD"/>
    <w:rsid w:val="00450B7D"/>
    <w:rsid w:val="00452E1B"/>
    <w:rsid w:val="00453E3B"/>
    <w:rsid w:val="00453E96"/>
    <w:rsid w:val="00454351"/>
    <w:rsid w:val="00455319"/>
    <w:rsid w:val="00455498"/>
    <w:rsid w:val="00457334"/>
    <w:rsid w:val="00460571"/>
    <w:rsid w:val="00460EC8"/>
    <w:rsid w:val="00461E92"/>
    <w:rsid w:val="00463BAB"/>
    <w:rsid w:val="00463E40"/>
    <w:rsid w:val="004671A9"/>
    <w:rsid w:val="004678E7"/>
    <w:rsid w:val="004704FD"/>
    <w:rsid w:val="00472380"/>
    <w:rsid w:val="004747C1"/>
    <w:rsid w:val="0047572B"/>
    <w:rsid w:val="004820EC"/>
    <w:rsid w:val="0048211D"/>
    <w:rsid w:val="00482284"/>
    <w:rsid w:val="00482D10"/>
    <w:rsid w:val="00483DAD"/>
    <w:rsid w:val="00485188"/>
    <w:rsid w:val="004865EF"/>
    <w:rsid w:val="00490C56"/>
    <w:rsid w:val="004920F6"/>
    <w:rsid w:val="004939BD"/>
    <w:rsid w:val="00494322"/>
    <w:rsid w:val="004946CC"/>
    <w:rsid w:val="00495133"/>
    <w:rsid w:val="00495C20"/>
    <w:rsid w:val="00496201"/>
    <w:rsid w:val="00496CF8"/>
    <w:rsid w:val="00497D65"/>
    <w:rsid w:val="004A085E"/>
    <w:rsid w:val="004A0FC8"/>
    <w:rsid w:val="004A2BA1"/>
    <w:rsid w:val="004A5007"/>
    <w:rsid w:val="004A64BB"/>
    <w:rsid w:val="004A7371"/>
    <w:rsid w:val="004A769B"/>
    <w:rsid w:val="004B3A6D"/>
    <w:rsid w:val="004C0507"/>
    <w:rsid w:val="004C3156"/>
    <w:rsid w:val="004C386B"/>
    <w:rsid w:val="004C3A1F"/>
    <w:rsid w:val="004C590E"/>
    <w:rsid w:val="004C5F4E"/>
    <w:rsid w:val="004C65BF"/>
    <w:rsid w:val="004C6A20"/>
    <w:rsid w:val="004C7D3B"/>
    <w:rsid w:val="004D0076"/>
    <w:rsid w:val="004D01E3"/>
    <w:rsid w:val="004D0FE4"/>
    <w:rsid w:val="004D1F4A"/>
    <w:rsid w:val="004D2059"/>
    <w:rsid w:val="004D2765"/>
    <w:rsid w:val="004D5F2F"/>
    <w:rsid w:val="004D7B87"/>
    <w:rsid w:val="004E1174"/>
    <w:rsid w:val="004E1F50"/>
    <w:rsid w:val="004E2BB5"/>
    <w:rsid w:val="004E34AD"/>
    <w:rsid w:val="004E4671"/>
    <w:rsid w:val="004E6A47"/>
    <w:rsid w:val="004E76BC"/>
    <w:rsid w:val="004F397D"/>
    <w:rsid w:val="004F4C5A"/>
    <w:rsid w:val="004F5E87"/>
    <w:rsid w:val="005009CB"/>
    <w:rsid w:val="00501C1D"/>
    <w:rsid w:val="00504C45"/>
    <w:rsid w:val="00504FC2"/>
    <w:rsid w:val="00505CDD"/>
    <w:rsid w:val="00512495"/>
    <w:rsid w:val="00512C53"/>
    <w:rsid w:val="00513CE6"/>
    <w:rsid w:val="00513CE8"/>
    <w:rsid w:val="00513F30"/>
    <w:rsid w:val="00514820"/>
    <w:rsid w:val="00515CF8"/>
    <w:rsid w:val="00520517"/>
    <w:rsid w:val="00520F27"/>
    <w:rsid w:val="005227F5"/>
    <w:rsid w:val="00525695"/>
    <w:rsid w:val="00526CEF"/>
    <w:rsid w:val="005276B5"/>
    <w:rsid w:val="00530A98"/>
    <w:rsid w:val="00532BFA"/>
    <w:rsid w:val="00534A2C"/>
    <w:rsid w:val="0053684E"/>
    <w:rsid w:val="005409AE"/>
    <w:rsid w:val="0054201E"/>
    <w:rsid w:val="005438FD"/>
    <w:rsid w:val="005450BE"/>
    <w:rsid w:val="00546236"/>
    <w:rsid w:val="00547E17"/>
    <w:rsid w:val="005533AD"/>
    <w:rsid w:val="005545A6"/>
    <w:rsid w:val="0056138B"/>
    <w:rsid w:val="00561E0D"/>
    <w:rsid w:val="0056373D"/>
    <w:rsid w:val="0057081F"/>
    <w:rsid w:val="00571F35"/>
    <w:rsid w:val="00580A40"/>
    <w:rsid w:val="00584C66"/>
    <w:rsid w:val="00585D3F"/>
    <w:rsid w:val="00591F34"/>
    <w:rsid w:val="00592630"/>
    <w:rsid w:val="00592D31"/>
    <w:rsid w:val="00595A97"/>
    <w:rsid w:val="0059764E"/>
    <w:rsid w:val="005A007D"/>
    <w:rsid w:val="005A224E"/>
    <w:rsid w:val="005A2630"/>
    <w:rsid w:val="005A2E2B"/>
    <w:rsid w:val="005A4C28"/>
    <w:rsid w:val="005A5592"/>
    <w:rsid w:val="005B18DD"/>
    <w:rsid w:val="005B2AD7"/>
    <w:rsid w:val="005B54D4"/>
    <w:rsid w:val="005B671F"/>
    <w:rsid w:val="005B70E6"/>
    <w:rsid w:val="005C02A1"/>
    <w:rsid w:val="005C2128"/>
    <w:rsid w:val="005C470D"/>
    <w:rsid w:val="005C4B57"/>
    <w:rsid w:val="005D03A5"/>
    <w:rsid w:val="005D186F"/>
    <w:rsid w:val="005D34E6"/>
    <w:rsid w:val="005D4495"/>
    <w:rsid w:val="005D579B"/>
    <w:rsid w:val="005D57F4"/>
    <w:rsid w:val="005D6FE4"/>
    <w:rsid w:val="005D7785"/>
    <w:rsid w:val="005D7DDE"/>
    <w:rsid w:val="005E0875"/>
    <w:rsid w:val="005E0DC1"/>
    <w:rsid w:val="005E31A0"/>
    <w:rsid w:val="005E45F3"/>
    <w:rsid w:val="005E4EA1"/>
    <w:rsid w:val="005E6327"/>
    <w:rsid w:val="005E6E49"/>
    <w:rsid w:val="005E6F9D"/>
    <w:rsid w:val="005E76C6"/>
    <w:rsid w:val="005F001E"/>
    <w:rsid w:val="005F1173"/>
    <w:rsid w:val="005F14B3"/>
    <w:rsid w:val="005F15A7"/>
    <w:rsid w:val="005F1D59"/>
    <w:rsid w:val="005F1E3A"/>
    <w:rsid w:val="005F5211"/>
    <w:rsid w:val="005F60A3"/>
    <w:rsid w:val="005F7915"/>
    <w:rsid w:val="00601D43"/>
    <w:rsid w:val="00604504"/>
    <w:rsid w:val="00604842"/>
    <w:rsid w:val="0061138F"/>
    <w:rsid w:val="0061271D"/>
    <w:rsid w:val="00613813"/>
    <w:rsid w:val="0061593A"/>
    <w:rsid w:val="00615BE7"/>
    <w:rsid w:val="006179F8"/>
    <w:rsid w:val="006211BA"/>
    <w:rsid w:val="006220A9"/>
    <w:rsid w:val="006220BB"/>
    <w:rsid w:val="00625AFE"/>
    <w:rsid w:val="00625BA0"/>
    <w:rsid w:val="0062720B"/>
    <w:rsid w:val="00627583"/>
    <w:rsid w:val="006277AC"/>
    <w:rsid w:val="00635714"/>
    <w:rsid w:val="00636678"/>
    <w:rsid w:val="00637A80"/>
    <w:rsid w:val="00652014"/>
    <w:rsid w:val="00652A84"/>
    <w:rsid w:val="00654692"/>
    <w:rsid w:val="006549FE"/>
    <w:rsid w:val="006562F2"/>
    <w:rsid w:val="00656549"/>
    <w:rsid w:val="00662B85"/>
    <w:rsid w:val="0066328A"/>
    <w:rsid w:val="00663DA7"/>
    <w:rsid w:val="00666ABC"/>
    <w:rsid w:val="006673B0"/>
    <w:rsid w:val="0066781F"/>
    <w:rsid w:val="00667EC2"/>
    <w:rsid w:val="00670308"/>
    <w:rsid w:val="006707EF"/>
    <w:rsid w:val="00670A4B"/>
    <w:rsid w:val="00673B57"/>
    <w:rsid w:val="00673D86"/>
    <w:rsid w:val="00676CE1"/>
    <w:rsid w:val="00685091"/>
    <w:rsid w:val="00687EE5"/>
    <w:rsid w:val="00691D46"/>
    <w:rsid w:val="00691D95"/>
    <w:rsid w:val="00693964"/>
    <w:rsid w:val="00696DC8"/>
    <w:rsid w:val="006A05EA"/>
    <w:rsid w:val="006A111A"/>
    <w:rsid w:val="006A307D"/>
    <w:rsid w:val="006A3C3E"/>
    <w:rsid w:val="006A4BE6"/>
    <w:rsid w:val="006A64C9"/>
    <w:rsid w:val="006A667A"/>
    <w:rsid w:val="006A67B4"/>
    <w:rsid w:val="006A753B"/>
    <w:rsid w:val="006B0447"/>
    <w:rsid w:val="006B0596"/>
    <w:rsid w:val="006B3049"/>
    <w:rsid w:val="006B57CB"/>
    <w:rsid w:val="006B66A1"/>
    <w:rsid w:val="006B71C5"/>
    <w:rsid w:val="006B7C1D"/>
    <w:rsid w:val="006C1F37"/>
    <w:rsid w:val="006C20F5"/>
    <w:rsid w:val="006C43BB"/>
    <w:rsid w:val="006C4BB6"/>
    <w:rsid w:val="006C7EC8"/>
    <w:rsid w:val="006D0C6E"/>
    <w:rsid w:val="006D361E"/>
    <w:rsid w:val="006D3716"/>
    <w:rsid w:val="006D71A0"/>
    <w:rsid w:val="006D7ACA"/>
    <w:rsid w:val="006D7BB7"/>
    <w:rsid w:val="006E0A95"/>
    <w:rsid w:val="006E0D56"/>
    <w:rsid w:val="006E175F"/>
    <w:rsid w:val="006E1BEB"/>
    <w:rsid w:val="006E46DC"/>
    <w:rsid w:val="006E5379"/>
    <w:rsid w:val="006E5B10"/>
    <w:rsid w:val="006E5F1C"/>
    <w:rsid w:val="006E6469"/>
    <w:rsid w:val="006F0DBF"/>
    <w:rsid w:val="006F25F9"/>
    <w:rsid w:val="006F31BB"/>
    <w:rsid w:val="006F3D78"/>
    <w:rsid w:val="006F56F7"/>
    <w:rsid w:val="006F5F26"/>
    <w:rsid w:val="006F73E3"/>
    <w:rsid w:val="007003D6"/>
    <w:rsid w:val="0070175D"/>
    <w:rsid w:val="0070276A"/>
    <w:rsid w:val="00702CAD"/>
    <w:rsid w:val="00704D84"/>
    <w:rsid w:val="00705FEC"/>
    <w:rsid w:val="007115F2"/>
    <w:rsid w:val="0071285F"/>
    <w:rsid w:val="0071316E"/>
    <w:rsid w:val="007135F9"/>
    <w:rsid w:val="007142B4"/>
    <w:rsid w:val="00714385"/>
    <w:rsid w:val="007160D5"/>
    <w:rsid w:val="00716D4C"/>
    <w:rsid w:val="007200E4"/>
    <w:rsid w:val="007224DA"/>
    <w:rsid w:val="00725666"/>
    <w:rsid w:val="00727924"/>
    <w:rsid w:val="00731394"/>
    <w:rsid w:val="007318E0"/>
    <w:rsid w:val="007344D7"/>
    <w:rsid w:val="00734E27"/>
    <w:rsid w:val="007375BD"/>
    <w:rsid w:val="007405F9"/>
    <w:rsid w:val="00740D01"/>
    <w:rsid w:val="00741BCD"/>
    <w:rsid w:val="00742C76"/>
    <w:rsid w:val="00744FC3"/>
    <w:rsid w:val="007464CE"/>
    <w:rsid w:val="00747560"/>
    <w:rsid w:val="00747962"/>
    <w:rsid w:val="007511A2"/>
    <w:rsid w:val="00751587"/>
    <w:rsid w:val="00753599"/>
    <w:rsid w:val="00753A53"/>
    <w:rsid w:val="0075460E"/>
    <w:rsid w:val="0075699D"/>
    <w:rsid w:val="007574A5"/>
    <w:rsid w:val="007604C8"/>
    <w:rsid w:val="0076141D"/>
    <w:rsid w:val="00761925"/>
    <w:rsid w:val="00762452"/>
    <w:rsid w:val="007636C1"/>
    <w:rsid w:val="00763F03"/>
    <w:rsid w:val="00767C31"/>
    <w:rsid w:val="00767FC5"/>
    <w:rsid w:val="007713C3"/>
    <w:rsid w:val="007722F1"/>
    <w:rsid w:val="00772705"/>
    <w:rsid w:val="0077275C"/>
    <w:rsid w:val="00774232"/>
    <w:rsid w:val="00774E70"/>
    <w:rsid w:val="00783288"/>
    <w:rsid w:val="007858BE"/>
    <w:rsid w:val="00785C22"/>
    <w:rsid w:val="00787F8B"/>
    <w:rsid w:val="0079060E"/>
    <w:rsid w:val="0079717C"/>
    <w:rsid w:val="007A0549"/>
    <w:rsid w:val="007A229F"/>
    <w:rsid w:val="007A3E81"/>
    <w:rsid w:val="007A4D1F"/>
    <w:rsid w:val="007A64FC"/>
    <w:rsid w:val="007A683A"/>
    <w:rsid w:val="007B03B1"/>
    <w:rsid w:val="007B09F0"/>
    <w:rsid w:val="007B1B2D"/>
    <w:rsid w:val="007B40DE"/>
    <w:rsid w:val="007B46B1"/>
    <w:rsid w:val="007C2E3B"/>
    <w:rsid w:val="007C43A4"/>
    <w:rsid w:val="007C45B7"/>
    <w:rsid w:val="007C5438"/>
    <w:rsid w:val="007C76A6"/>
    <w:rsid w:val="007D2AFF"/>
    <w:rsid w:val="007D5ADB"/>
    <w:rsid w:val="007E2EB3"/>
    <w:rsid w:val="007E480E"/>
    <w:rsid w:val="007E5842"/>
    <w:rsid w:val="007E71D5"/>
    <w:rsid w:val="007F06A2"/>
    <w:rsid w:val="007F0D26"/>
    <w:rsid w:val="007F1899"/>
    <w:rsid w:val="007F2A74"/>
    <w:rsid w:val="007F33D1"/>
    <w:rsid w:val="007F4550"/>
    <w:rsid w:val="007F7A7F"/>
    <w:rsid w:val="0080344B"/>
    <w:rsid w:val="00803529"/>
    <w:rsid w:val="0080384F"/>
    <w:rsid w:val="00803B78"/>
    <w:rsid w:val="00805245"/>
    <w:rsid w:val="008056B2"/>
    <w:rsid w:val="00806146"/>
    <w:rsid w:val="00813DB6"/>
    <w:rsid w:val="00817294"/>
    <w:rsid w:val="00823044"/>
    <w:rsid w:val="00823957"/>
    <w:rsid w:val="0082595A"/>
    <w:rsid w:val="00827FD5"/>
    <w:rsid w:val="008323AE"/>
    <w:rsid w:val="0083436A"/>
    <w:rsid w:val="008349C9"/>
    <w:rsid w:val="008408BC"/>
    <w:rsid w:val="008413E0"/>
    <w:rsid w:val="00844635"/>
    <w:rsid w:val="008455F8"/>
    <w:rsid w:val="00852B47"/>
    <w:rsid w:val="00853D42"/>
    <w:rsid w:val="00853F84"/>
    <w:rsid w:val="0085406A"/>
    <w:rsid w:val="008547A8"/>
    <w:rsid w:val="008550F9"/>
    <w:rsid w:val="008550FC"/>
    <w:rsid w:val="00855CC5"/>
    <w:rsid w:val="0086012D"/>
    <w:rsid w:val="0086084D"/>
    <w:rsid w:val="00861143"/>
    <w:rsid w:val="008611CA"/>
    <w:rsid w:val="0086285D"/>
    <w:rsid w:val="00862E77"/>
    <w:rsid w:val="008630B3"/>
    <w:rsid w:val="00864ACC"/>
    <w:rsid w:val="008667AA"/>
    <w:rsid w:val="0086789C"/>
    <w:rsid w:val="00867D6D"/>
    <w:rsid w:val="00871975"/>
    <w:rsid w:val="008728CC"/>
    <w:rsid w:val="00872A0C"/>
    <w:rsid w:val="00872D19"/>
    <w:rsid w:val="00874A66"/>
    <w:rsid w:val="00874BAC"/>
    <w:rsid w:val="008761DD"/>
    <w:rsid w:val="0088400B"/>
    <w:rsid w:val="00886B8F"/>
    <w:rsid w:val="00887DDE"/>
    <w:rsid w:val="00893DE8"/>
    <w:rsid w:val="008973D3"/>
    <w:rsid w:val="008A1D41"/>
    <w:rsid w:val="008A20DC"/>
    <w:rsid w:val="008A25D9"/>
    <w:rsid w:val="008A2DC9"/>
    <w:rsid w:val="008A3CAD"/>
    <w:rsid w:val="008B0448"/>
    <w:rsid w:val="008B19C8"/>
    <w:rsid w:val="008B3B66"/>
    <w:rsid w:val="008B59DC"/>
    <w:rsid w:val="008B75D5"/>
    <w:rsid w:val="008B7ABC"/>
    <w:rsid w:val="008B7AD0"/>
    <w:rsid w:val="008C0A2C"/>
    <w:rsid w:val="008C11DD"/>
    <w:rsid w:val="008C3D69"/>
    <w:rsid w:val="008C6A00"/>
    <w:rsid w:val="008C7CF5"/>
    <w:rsid w:val="008D02F1"/>
    <w:rsid w:val="008D1FAE"/>
    <w:rsid w:val="008D265A"/>
    <w:rsid w:val="008D29E2"/>
    <w:rsid w:val="008D50CF"/>
    <w:rsid w:val="008E00A8"/>
    <w:rsid w:val="008E056D"/>
    <w:rsid w:val="008E2C43"/>
    <w:rsid w:val="008E5DE6"/>
    <w:rsid w:val="008E6A55"/>
    <w:rsid w:val="008E7BB2"/>
    <w:rsid w:val="008F069D"/>
    <w:rsid w:val="008F4DB7"/>
    <w:rsid w:val="008F75D0"/>
    <w:rsid w:val="00900534"/>
    <w:rsid w:val="00900DDF"/>
    <w:rsid w:val="00905DD2"/>
    <w:rsid w:val="0091432D"/>
    <w:rsid w:val="00914A42"/>
    <w:rsid w:val="00915634"/>
    <w:rsid w:val="00915E7F"/>
    <w:rsid w:val="009226BA"/>
    <w:rsid w:val="0092361E"/>
    <w:rsid w:val="009237D3"/>
    <w:rsid w:val="009258C7"/>
    <w:rsid w:val="00925932"/>
    <w:rsid w:val="00925D95"/>
    <w:rsid w:val="009261AB"/>
    <w:rsid w:val="00927C2E"/>
    <w:rsid w:val="0093201A"/>
    <w:rsid w:val="00933567"/>
    <w:rsid w:val="00935B32"/>
    <w:rsid w:val="00936978"/>
    <w:rsid w:val="00937AA2"/>
    <w:rsid w:val="00937B38"/>
    <w:rsid w:val="00940118"/>
    <w:rsid w:val="009416BF"/>
    <w:rsid w:val="00944456"/>
    <w:rsid w:val="009453E8"/>
    <w:rsid w:val="00945FE7"/>
    <w:rsid w:val="00947BD8"/>
    <w:rsid w:val="00947F38"/>
    <w:rsid w:val="0095210A"/>
    <w:rsid w:val="009565D9"/>
    <w:rsid w:val="00960243"/>
    <w:rsid w:val="0096044A"/>
    <w:rsid w:val="00963178"/>
    <w:rsid w:val="00965426"/>
    <w:rsid w:val="00965FBD"/>
    <w:rsid w:val="009676A3"/>
    <w:rsid w:val="009715D1"/>
    <w:rsid w:val="00972781"/>
    <w:rsid w:val="00974F59"/>
    <w:rsid w:val="0097544A"/>
    <w:rsid w:val="009812FD"/>
    <w:rsid w:val="00981740"/>
    <w:rsid w:val="00981A28"/>
    <w:rsid w:val="00981DB4"/>
    <w:rsid w:val="009827CB"/>
    <w:rsid w:val="00982B0C"/>
    <w:rsid w:val="00985402"/>
    <w:rsid w:val="009862DD"/>
    <w:rsid w:val="009863BE"/>
    <w:rsid w:val="009873C1"/>
    <w:rsid w:val="009874B7"/>
    <w:rsid w:val="00987CE5"/>
    <w:rsid w:val="00993D1C"/>
    <w:rsid w:val="00997385"/>
    <w:rsid w:val="00997702"/>
    <w:rsid w:val="009A1CEC"/>
    <w:rsid w:val="009A2801"/>
    <w:rsid w:val="009A5473"/>
    <w:rsid w:val="009A5D11"/>
    <w:rsid w:val="009A7B0A"/>
    <w:rsid w:val="009B3F93"/>
    <w:rsid w:val="009B3F99"/>
    <w:rsid w:val="009B4A54"/>
    <w:rsid w:val="009B5A63"/>
    <w:rsid w:val="009B6C2D"/>
    <w:rsid w:val="009C0B35"/>
    <w:rsid w:val="009C0F7F"/>
    <w:rsid w:val="009C120F"/>
    <w:rsid w:val="009C1D2E"/>
    <w:rsid w:val="009C2196"/>
    <w:rsid w:val="009C21A2"/>
    <w:rsid w:val="009C32B6"/>
    <w:rsid w:val="009C594C"/>
    <w:rsid w:val="009C5A66"/>
    <w:rsid w:val="009C6DEA"/>
    <w:rsid w:val="009D1068"/>
    <w:rsid w:val="009D2780"/>
    <w:rsid w:val="009D64FE"/>
    <w:rsid w:val="009D7652"/>
    <w:rsid w:val="009E04C8"/>
    <w:rsid w:val="009E1B50"/>
    <w:rsid w:val="009E267F"/>
    <w:rsid w:val="009E44FF"/>
    <w:rsid w:val="009E6836"/>
    <w:rsid w:val="009E6E46"/>
    <w:rsid w:val="009E7D65"/>
    <w:rsid w:val="009F0978"/>
    <w:rsid w:val="009F0E0A"/>
    <w:rsid w:val="009F5A72"/>
    <w:rsid w:val="009F6752"/>
    <w:rsid w:val="009F7FA2"/>
    <w:rsid w:val="00A0146B"/>
    <w:rsid w:val="00A05180"/>
    <w:rsid w:val="00A11DB7"/>
    <w:rsid w:val="00A133B4"/>
    <w:rsid w:val="00A14AB9"/>
    <w:rsid w:val="00A14FFB"/>
    <w:rsid w:val="00A15F64"/>
    <w:rsid w:val="00A16477"/>
    <w:rsid w:val="00A16C86"/>
    <w:rsid w:val="00A16FCF"/>
    <w:rsid w:val="00A172B5"/>
    <w:rsid w:val="00A20052"/>
    <w:rsid w:val="00A20A31"/>
    <w:rsid w:val="00A21207"/>
    <w:rsid w:val="00A218C3"/>
    <w:rsid w:val="00A25120"/>
    <w:rsid w:val="00A25F25"/>
    <w:rsid w:val="00A260CA"/>
    <w:rsid w:val="00A263B0"/>
    <w:rsid w:val="00A27ECE"/>
    <w:rsid w:val="00A30595"/>
    <w:rsid w:val="00A307CC"/>
    <w:rsid w:val="00A31EDC"/>
    <w:rsid w:val="00A339E0"/>
    <w:rsid w:val="00A43090"/>
    <w:rsid w:val="00A44AC8"/>
    <w:rsid w:val="00A45B03"/>
    <w:rsid w:val="00A507F8"/>
    <w:rsid w:val="00A51B23"/>
    <w:rsid w:val="00A52F6A"/>
    <w:rsid w:val="00A53199"/>
    <w:rsid w:val="00A54D94"/>
    <w:rsid w:val="00A56E7C"/>
    <w:rsid w:val="00A6195B"/>
    <w:rsid w:val="00A63B5C"/>
    <w:rsid w:val="00A65254"/>
    <w:rsid w:val="00A66704"/>
    <w:rsid w:val="00A71445"/>
    <w:rsid w:val="00A75B49"/>
    <w:rsid w:val="00A75CF3"/>
    <w:rsid w:val="00A808A2"/>
    <w:rsid w:val="00A80E10"/>
    <w:rsid w:val="00A84BCE"/>
    <w:rsid w:val="00A84DB9"/>
    <w:rsid w:val="00A85D4C"/>
    <w:rsid w:val="00A86D4A"/>
    <w:rsid w:val="00A90CEA"/>
    <w:rsid w:val="00A90F81"/>
    <w:rsid w:val="00A926A0"/>
    <w:rsid w:val="00A93A3B"/>
    <w:rsid w:val="00A93AF0"/>
    <w:rsid w:val="00A95E06"/>
    <w:rsid w:val="00A96071"/>
    <w:rsid w:val="00A976DD"/>
    <w:rsid w:val="00A97863"/>
    <w:rsid w:val="00AA2610"/>
    <w:rsid w:val="00AB3E21"/>
    <w:rsid w:val="00AB45B7"/>
    <w:rsid w:val="00AB5DEA"/>
    <w:rsid w:val="00AB644F"/>
    <w:rsid w:val="00AB77FA"/>
    <w:rsid w:val="00AC055F"/>
    <w:rsid w:val="00AC2FA6"/>
    <w:rsid w:val="00AC47FA"/>
    <w:rsid w:val="00AC7EAD"/>
    <w:rsid w:val="00AD2EB4"/>
    <w:rsid w:val="00AD54FE"/>
    <w:rsid w:val="00AE18F6"/>
    <w:rsid w:val="00AE5E39"/>
    <w:rsid w:val="00AE6F56"/>
    <w:rsid w:val="00AF1AA7"/>
    <w:rsid w:val="00AF2883"/>
    <w:rsid w:val="00AF38F2"/>
    <w:rsid w:val="00AF602A"/>
    <w:rsid w:val="00B0617F"/>
    <w:rsid w:val="00B1164A"/>
    <w:rsid w:val="00B142B3"/>
    <w:rsid w:val="00B15249"/>
    <w:rsid w:val="00B15515"/>
    <w:rsid w:val="00B160D0"/>
    <w:rsid w:val="00B16DD5"/>
    <w:rsid w:val="00B176F7"/>
    <w:rsid w:val="00B27A2B"/>
    <w:rsid w:val="00B31D14"/>
    <w:rsid w:val="00B325E0"/>
    <w:rsid w:val="00B342CA"/>
    <w:rsid w:val="00B43E0A"/>
    <w:rsid w:val="00B44844"/>
    <w:rsid w:val="00B44C62"/>
    <w:rsid w:val="00B44F61"/>
    <w:rsid w:val="00B45680"/>
    <w:rsid w:val="00B46ABA"/>
    <w:rsid w:val="00B557A3"/>
    <w:rsid w:val="00B55B9A"/>
    <w:rsid w:val="00B56F6B"/>
    <w:rsid w:val="00B57C3C"/>
    <w:rsid w:val="00B6258C"/>
    <w:rsid w:val="00B62B5D"/>
    <w:rsid w:val="00B652B5"/>
    <w:rsid w:val="00B65753"/>
    <w:rsid w:val="00B7193E"/>
    <w:rsid w:val="00B75F85"/>
    <w:rsid w:val="00B765C9"/>
    <w:rsid w:val="00B76FDD"/>
    <w:rsid w:val="00B808BE"/>
    <w:rsid w:val="00B8098E"/>
    <w:rsid w:val="00B82AE5"/>
    <w:rsid w:val="00B85051"/>
    <w:rsid w:val="00B91D25"/>
    <w:rsid w:val="00B92E96"/>
    <w:rsid w:val="00B936E3"/>
    <w:rsid w:val="00B96D4B"/>
    <w:rsid w:val="00B970A5"/>
    <w:rsid w:val="00B97426"/>
    <w:rsid w:val="00B9776A"/>
    <w:rsid w:val="00BA01CB"/>
    <w:rsid w:val="00BA15EC"/>
    <w:rsid w:val="00BA2268"/>
    <w:rsid w:val="00BA23AA"/>
    <w:rsid w:val="00BA7472"/>
    <w:rsid w:val="00BA752C"/>
    <w:rsid w:val="00BB04DB"/>
    <w:rsid w:val="00BB19F6"/>
    <w:rsid w:val="00BB233D"/>
    <w:rsid w:val="00BB5491"/>
    <w:rsid w:val="00BB56CE"/>
    <w:rsid w:val="00BB7422"/>
    <w:rsid w:val="00BC4C7B"/>
    <w:rsid w:val="00BC4D83"/>
    <w:rsid w:val="00BC739F"/>
    <w:rsid w:val="00BD088A"/>
    <w:rsid w:val="00BD0C02"/>
    <w:rsid w:val="00BD2B8A"/>
    <w:rsid w:val="00BD2FE1"/>
    <w:rsid w:val="00BD3405"/>
    <w:rsid w:val="00BD34BD"/>
    <w:rsid w:val="00BD6295"/>
    <w:rsid w:val="00BE00C2"/>
    <w:rsid w:val="00BE1220"/>
    <w:rsid w:val="00BE261C"/>
    <w:rsid w:val="00BE2D90"/>
    <w:rsid w:val="00BE4577"/>
    <w:rsid w:val="00BE4D53"/>
    <w:rsid w:val="00BF3827"/>
    <w:rsid w:val="00BF4BB7"/>
    <w:rsid w:val="00BF54EA"/>
    <w:rsid w:val="00BF5B86"/>
    <w:rsid w:val="00BF7697"/>
    <w:rsid w:val="00C02FCE"/>
    <w:rsid w:val="00C033A4"/>
    <w:rsid w:val="00C04065"/>
    <w:rsid w:val="00C04113"/>
    <w:rsid w:val="00C06762"/>
    <w:rsid w:val="00C12232"/>
    <w:rsid w:val="00C13115"/>
    <w:rsid w:val="00C15052"/>
    <w:rsid w:val="00C1734F"/>
    <w:rsid w:val="00C1736A"/>
    <w:rsid w:val="00C17DDE"/>
    <w:rsid w:val="00C17EC6"/>
    <w:rsid w:val="00C20370"/>
    <w:rsid w:val="00C23D0D"/>
    <w:rsid w:val="00C24585"/>
    <w:rsid w:val="00C249B8"/>
    <w:rsid w:val="00C25004"/>
    <w:rsid w:val="00C25C3F"/>
    <w:rsid w:val="00C276B2"/>
    <w:rsid w:val="00C27EEC"/>
    <w:rsid w:val="00C325F0"/>
    <w:rsid w:val="00C34B17"/>
    <w:rsid w:val="00C34B3F"/>
    <w:rsid w:val="00C35424"/>
    <w:rsid w:val="00C35745"/>
    <w:rsid w:val="00C35FC8"/>
    <w:rsid w:val="00C376B6"/>
    <w:rsid w:val="00C40F45"/>
    <w:rsid w:val="00C42B12"/>
    <w:rsid w:val="00C42F2D"/>
    <w:rsid w:val="00C47128"/>
    <w:rsid w:val="00C47DFB"/>
    <w:rsid w:val="00C51139"/>
    <w:rsid w:val="00C53963"/>
    <w:rsid w:val="00C53B41"/>
    <w:rsid w:val="00C541DD"/>
    <w:rsid w:val="00C55884"/>
    <w:rsid w:val="00C55ED5"/>
    <w:rsid w:val="00C565A9"/>
    <w:rsid w:val="00C566C0"/>
    <w:rsid w:val="00C57EEC"/>
    <w:rsid w:val="00C60C6E"/>
    <w:rsid w:val="00C6230E"/>
    <w:rsid w:val="00C6384A"/>
    <w:rsid w:val="00C67101"/>
    <w:rsid w:val="00C71397"/>
    <w:rsid w:val="00C76131"/>
    <w:rsid w:val="00C77D7A"/>
    <w:rsid w:val="00C80A99"/>
    <w:rsid w:val="00C81EF5"/>
    <w:rsid w:val="00C81F00"/>
    <w:rsid w:val="00C82EC9"/>
    <w:rsid w:val="00C83013"/>
    <w:rsid w:val="00C839F9"/>
    <w:rsid w:val="00C84428"/>
    <w:rsid w:val="00C84BC0"/>
    <w:rsid w:val="00C84F39"/>
    <w:rsid w:val="00C84F70"/>
    <w:rsid w:val="00C85BE0"/>
    <w:rsid w:val="00C86041"/>
    <w:rsid w:val="00C866CB"/>
    <w:rsid w:val="00C8776D"/>
    <w:rsid w:val="00C87B02"/>
    <w:rsid w:val="00C87E49"/>
    <w:rsid w:val="00C932BB"/>
    <w:rsid w:val="00C94AB8"/>
    <w:rsid w:val="00CA05D1"/>
    <w:rsid w:val="00CA15C3"/>
    <w:rsid w:val="00CA2350"/>
    <w:rsid w:val="00CA3594"/>
    <w:rsid w:val="00CA44D9"/>
    <w:rsid w:val="00CA5143"/>
    <w:rsid w:val="00CA68AB"/>
    <w:rsid w:val="00CA6957"/>
    <w:rsid w:val="00CA7023"/>
    <w:rsid w:val="00CB2666"/>
    <w:rsid w:val="00CB42CD"/>
    <w:rsid w:val="00CB6A8F"/>
    <w:rsid w:val="00CB78B6"/>
    <w:rsid w:val="00CC3608"/>
    <w:rsid w:val="00CC3F8C"/>
    <w:rsid w:val="00CC6DB5"/>
    <w:rsid w:val="00CC7C63"/>
    <w:rsid w:val="00CD0BBA"/>
    <w:rsid w:val="00CD1B8C"/>
    <w:rsid w:val="00CD2CF1"/>
    <w:rsid w:val="00CD322F"/>
    <w:rsid w:val="00CD6B71"/>
    <w:rsid w:val="00CD766A"/>
    <w:rsid w:val="00CD7CFF"/>
    <w:rsid w:val="00CE1A6B"/>
    <w:rsid w:val="00CE3BF6"/>
    <w:rsid w:val="00CE54FC"/>
    <w:rsid w:val="00CE555E"/>
    <w:rsid w:val="00CE6AED"/>
    <w:rsid w:val="00CE7F94"/>
    <w:rsid w:val="00CF3E3A"/>
    <w:rsid w:val="00CF43A5"/>
    <w:rsid w:val="00CF5EBC"/>
    <w:rsid w:val="00CF67A7"/>
    <w:rsid w:val="00CF69A3"/>
    <w:rsid w:val="00CF7017"/>
    <w:rsid w:val="00D0422C"/>
    <w:rsid w:val="00D04591"/>
    <w:rsid w:val="00D05BD4"/>
    <w:rsid w:val="00D05FF1"/>
    <w:rsid w:val="00D121CD"/>
    <w:rsid w:val="00D14E28"/>
    <w:rsid w:val="00D153E2"/>
    <w:rsid w:val="00D1559C"/>
    <w:rsid w:val="00D15D4A"/>
    <w:rsid w:val="00D15E47"/>
    <w:rsid w:val="00D16E70"/>
    <w:rsid w:val="00D16FC7"/>
    <w:rsid w:val="00D20471"/>
    <w:rsid w:val="00D21F8F"/>
    <w:rsid w:val="00D2305E"/>
    <w:rsid w:val="00D2382B"/>
    <w:rsid w:val="00D23A75"/>
    <w:rsid w:val="00D23CD8"/>
    <w:rsid w:val="00D24F78"/>
    <w:rsid w:val="00D255E7"/>
    <w:rsid w:val="00D261E1"/>
    <w:rsid w:val="00D3036A"/>
    <w:rsid w:val="00D32D78"/>
    <w:rsid w:val="00D33056"/>
    <w:rsid w:val="00D35B65"/>
    <w:rsid w:val="00D40097"/>
    <w:rsid w:val="00D41244"/>
    <w:rsid w:val="00D41260"/>
    <w:rsid w:val="00D45179"/>
    <w:rsid w:val="00D46169"/>
    <w:rsid w:val="00D46657"/>
    <w:rsid w:val="00D503DD"/>
    <w:rsid w:val="00D52083"/>
    <w:rsid w:val="00D53299"/>
    <w:rsid w:val="00D53E4E"/>
    <w:rsid w:val="00D54B42"/>
    <w:rsid w:val="00D54C5D"/>
    <w:rsid w:val="00D5585C"/>
    <w:rsid w:val="00D56AD8"/>
    <w:rsid w:val="00D570C4"/>
    <w:rsid w:val="00D5729E"/>
    <w:rsid w:val="00D575A1"/>
    <w:rsid w:val="00D57809"/>
    <w:rsid w:val="00D57DC7"/>
    <w:rsid w:val="00D60525"/>
    <w:rsid w:val="00D62423"/>
    <w:rsid w:val="00D6244D"/>
    <w:rsid w:val="00D71AAC"/>
    <w:rsid w:val="00D72064"/>
    <w:rsid w:val="00D720EB"/>
    <w:rsid w:val="00D731CB"/>
    <w:rsid w:val="00D7402D"/>
    <w:rsid w:val="00D7579E"/>
    <w:rsid w:val="00D75D80"/>
    <w:rsid w:val="00D76A01"/>
    <w:rsid w:val="00D7745D"/>
    <w:rsid w:val="00D805CC"/>
    <w:rsid w:val="00D80A4A"/>
    <w:rsid w:val="00D818EC"/>
    <w:rsid w:val="00D82BBE"/>
    <w:rsid w:val="00D83427"/>
    <w:rsid w:val="00D84CBD"/>
    <w:rsid w:val="00D8575D"/>
    <w:rsid w:val="00D8609E"/>
    <w:rsid w:val="00D873CE"/>
    <w:rsid w:val="00D9084D"/>
    <w:rsid w:val="00D94E5F"/>
    <w:rsid w:val="00D9536C"/>
    <w:rsid w:val="00D96F6D"/>
    <w:rsid w:val="00D97138"/>
    <w:rsid w:val="00D97B45"/>
    <w:rsid w:val="00DA2344"/>
    <w:rsid w:val="00DA2C48"/>
    <w:rsid w:val="00DA5BDD"/>
    <w:rsid w:val="00DA726B"/>
    <w:rsid w:val="00DB2451"/>
    <w:rsid w:val="00DB28C1"/>
    <w:rsid w:val="00DB387F"/>
    <w:rsid w:val="00DB4DAA"/>
    <w:rsid w:val="00DB6421"/>
    <w:rsid w:val="00DB7BF4"/>
    <w:rsid w:val="00DC05CC"/>
    <w:rsid w:val="00DC4676"/>
    <w:rsid w:val="00DC5244"/>
    <w:rsid w:val="00DC52F6"/>
    <w:rsid w:val="00DC55BE"/>
    <w:rsid w:val="00DC65D3"/>
    <w:rsid w:val="00DC6B1B"/>
    <w:rsid w:val="00DD09FA"/>
    <w:rsid w:val="00DD0DED"/>
    <w:rsid w:val="00DD1322"/>
    <w:rsid w:val="00DD1B7C"/>
    <w:rsid w:val="00DD1FBC"/>
    <w:rsid w:val="00DD3FD2"/>
    <w:rsid w:val="00DD423A"/>
    <w:rsid w:val="00DE4BBA"/>
    <w:rsid w:val="00DE5D2A"/>
    <w:rsid w:val="00DE6051"/>
    <w:rsid w:val="00DE6632"/>
    <w:rsid w:val="00DE69F8"/>
    <w:rsid w:val="00DF57DE"/>
    <w:rsid w:val="00DF694C"/>
    <w:rsid w:val="00DF7F4D"/>
    <w:rsid w:val="00E03C6C"/>
    <w:rsid w:val="00E04074"/>
    <w:rsid w:val="00E042BA"/>
    <w:rsid w:val="00E0482D"/>
    <w:rsid w:val="00E04C2E"/>
    <w:rsid w:val="00E07209"/>
    <w:rsid w:val="00E07E4E"/>
    <w:rsid w:val="00E16D27"/>
    <w:rsid w:val="00E20E45"/>
    <w:rsid w:val="00E22251"/>
    <w:rsid w:val="00E237C3"/>
    <w:rsid w:val="00E23C84"/>
    <w:rsid w:val="00E24B38"/>
    <w:rsid w:val="00E2536E"/>
    <w:rsid w:val="00E25425"/>
    <w:rsid w:val="00E25727"/>
    <w:rsid w:val="00E2577C"/>
    <w:rsid w:val="00E2782E"/>
    <w:rsid w:val="00E31420"/>
    <w:rsid w:val="00E3294C"/>
    <w:rsid w:val="00E36D1F"/>
    <w:rsid w:val="00E3757A"/>
    <w:rsid w:val="00E40C43"/>
    <w:rsid w:val="00E40F67"/>
    <w:rsid w:val="00E41BEA"/>
    <w:rsid w:val="00E41E99"/>
    <w:rsid w:val="00E430DE"/>
    <w:rsid w:val="00E441AC"/>
    <w:rsid w:val="00E4642D"/>
    <w:rsid w:val="00E46626"/>
    <w:rsid w:val="00E46CDA"/>
    <w:rsid w:val="00E51307"/>
    <w:rsid w:val="00E517B7"/>
    <w:rsid w:val="00E529E7"/>
    <w:rsid w:val="00E537AD"/>
    <w:rsid w:val="00E569D7"/>
    <w:rsid w:val="00E56CEF"/>
    <w:rsid w:val="00E6011D"/>
    <w:rsid w:val="00E602F4"/>
    <w:rsid w:val="00E609C7"/>
    <w:rsid w:val="00E64C13"/>
    <w:rsid w:val="00E654BA"/>
    <w:rsid w:val="00E67750"/>
    <w:rsid w:val="00E700B8"/>
    <w:rsid w:val="00E7098E"/>
    <w:rsid w:val="00E71FF3"/>
    <w:rsid w:val="00E721E8"/>
    <w:rsid w:val="00E73FCC"/>
    <w:rsid w:val="00E76794"/>
    <w:rsid w:val="00E76EEC"/>
    <w:rsid w:val="00E81280"/>
    <w:rsid w:val="00E8285F"/>
    <w:rsid w:val="00E845A2"/>
    <w:rsid w:val="00E84817"/>
    <w:rsid w:val="00E90130"/>
    <w:rsid w:val="00E964FE"/>
    <w:rsid w:val="00EA01E4"/>
    <w:rsid w:val="00EA0205"/>
    <w:rsid w:val="00EA1788"/>
    <w:rsid w:val="00EA5AF3"/>
    <w:rsid w:val="00EA61C5"/>
    <w:rsid w:val="00EA7A97"/>
    <w:rsid w:val="00EB07DB"/>
    <w:rsid w:val="00EB2E04"/>
    <w:rsid w:val="00EB2F25"/>
    <w:rsid w:val="00EB40D8"/>
    <w:rsid w:val="00EB41BC"/>
    <w:rsid w:val="00EB491A"/>
    <w:rsid w:val="00EB4B65"/>
    <w:rsid w:val="00EB5859"/>
    <w:rsid w:val="00EB5F0C"/>
    <w:rsid w:val="00EB6C74"/>
    <w:rsid w:val="00EB700E"/>
    <w:rsid w:val="00EC51E0"/>
    <w:rsid w:val="00EC5CD4"/>
    <w:rsid w:val="00EC6D8F"/>
    <w:rsid w:val="00ED4932"/>
    <w:rsid w:val="00ED510F"/>
    <w:rsid w:val="00ED5DD4"/>
    <w:rsid w:val="00ED7FBA"/>
    <w:rsid w:val="00EE3F43"/>
    <w:rsid w:val="00EE4EC1"/>
    <w:rsid w:val="00EE5FE9"/>
    <w:rsid w:val="00EE63B8"/>
    <w:rsid w:val="00EE73D6"/>
    <w:rsid w:val="00EF2BAD"/>
    <w:rsid w:val="00EF4A2B"/>
    <w:rsid w:val="00EF4B53"/>
    <w:rsid w:val="00EF55C8"/>
    <w:rsid w:val="00EF6928"/>
    <w:rsid w:val="00F0017F"/>
    <w:rsid w:val="00F001F3"/>
    <w:rsid w:val="00F027B6"/>
    <w:rsid w:val="00F059CC"/>
    <w:rsid w:val="00F06CB5"/>
    <w:rsid w:val="00F07B09"/>
    <w:rsid w:val="00F1059C"/>
    <w:rsid w:val="00F13FDD"/>
    <w:rsid w:val="00F15469"/>
    <w:rsid w:val="00F15D68"/>
    <w:rsid w:val="00F17830"/>
    <w:rsid w:val="00F20009"/>
    <w:rsid w:val="00F21AAA"/>
    <w:rsid w:val="00F2354D"/>
    <w:rsid w:val="00F23DDE"/>
    <w:rsid w:val="00F262BA"/>
    <w:rsid w:val="00F26985"/>
    <w:rsid w:val="00F26E51"/>
    <w:rsid w:val="00F30857"/>
    <w:rsid w:val="00F31898"/>
    <w:rsid w:val="00F32CD2"/>
    <w:rsid w:val="00F35260"/>
    <w:rsid w:val="00F35AF9"/>
    <w:rsid w:val="00F3607B"/>
    <w:rsid w:val="00F37655"/>
    <w:rsid w:val="00F402C2"/>
    <w:rsid w:val="00F42361"/>
    <w:rsid w:val="00F43DF3"/>
    <w:rsid w:val="00F456CF"/>
    <w:rsid w:val="00F4645E"/>
    <w:rsid w:val="00F47C7A"/>
    <w:rsid w:val="00F515B8"/>
    <w:rsid w:val="00F632C4"/>
    <w:rsid w:val="00F64A7D"/>
    <w:rsid w:val="00F65234"/>
    <w:rsid w:val="00F660E1"/>
    <w:rsid w:val="00F71481"/>
    <w:rsid w:val="00F73D14"/>
    <w:rsid w:val="00F73DD8"/>
    <w:rsid w:val="00F752A4"/>
    <w:rsid w:val="00F76F8F"/>
    <w:rsid w:val="00F77398"/>
    <w:rsid w:val="00F80BD7"/>
    <w:rsid w:val="00F81613"/>
    <w:rsid w:val="00F8378E"/>
    <w:rsid w:val="00F83DFA"/>
    <w:rsid w:val="00F86037"/>
    <w:rsid w:val="00F90149"/>
    <w:rsid w:val="00F95241"/>
    <w:rsid w:val="00F95CAE"/>
    <w:rsid w:val="00F97177"/>
    <w:rsid w:val="00F976F4"/>
    <w:rsid w:val="00FA09E8"/>
    <w:rsid w:val="00FA0CA0"/>
    <w:rsid w:val="00FA102C"/>
    <w:rsid w:val="00FA2234"/>
    <w:rsid w:val="00FA2DD9"/>
    <w:rsid w:val="00FA7849"/>
    <w:rsid w:val="00FB0633"/>
    <w:rsid w:val="00FB086B"/>
    <w:rsid w:val="00FB1AC7"/>
    <w:rsid w:val="00FB1F40"/>
    <w:rsid w:val="00FB3C7E"/>
    <w:rsid w:val="00FB4115"/>
    <w:rsid w:val="00FB5001"/>
    <w:rsid w:val="00FC2F8C"/>
    <w:rsid w:val="00FC5BE4"/>
    <w:rsid w:val="00FC63F5"/>
    <w:rsid w:val="00FD1BB5"/>
    <w:rsid w:val="00FD1F65"/>
    <w:rsid w:val="00FD2A91"/>
    <w:rsid w:val="00FD36FD"/>
    <w:rsid w:val="00FD43EA"/>
    <w:rsid w:val="00FD4792"/>
    <w:rsid w:val="00FD535A"/>
    <w:rsid w:val="00FD6D53"/>
    <w:rsid w:val="00FE1B57"/>
    <w:rsid w:val="00FE358B"/>
    <w:rsid w:val="00FE59F6"/>
    <w:rsid w:val="00FE75BD"/>
    <w:rsid w:val="00FF0F69"/>
    <w:rsid w:val="00FF1BE9"/>
    <w:rsid w:val="00FF538D"/>
    <w:rsid w:val="00FF7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6072D3"/>
  <w14:defaultImageDpi w14:val="96"/>
  <w15:docId w15:val="{E02453A7-3120-41AD-89EB-E86499F5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300"/>
      <w:outlineLvl w:val="0"/>
    </w:pPr>
    <w:rPr>
      <w:b/>
      <w:bCs/>
      <w:sz w:val="18"/>
      <w:szCs w:val="18"/>
    </w:rPr>
  </w:style>
  <w:style w:type="paragraph" w:styleId="Heading2">
    <w:name w:val="heading 2"/>
    <w:basedOn w:val="Normal"/>
    <w:next w:val="Normal"/>
    <w:link w:val="Heading2Char"/>
    <w:qFormat/>
    <w:pPr>
      <w:ind w:left="300"/>
      <w:jc w:val="both"/>
      <w:outlineLvl w:val="1"/>
    </w:pPr>
    <w:rPr>
      <w:b/>
      <w:bCs/>
      <w:i/>
      <w:iCs/>
      <w:sz w:val="18"/>
      <w:szCs w:val="18"/>
    </w:rPr>
  </w:style>
  <w:style w:type="paragraph" w:styleId="Heading3">
    <w:name w:val="heading 3"/>
    <w:basedOn w:val="Heading2"/>
    <w:next w:val="Normal"/>
    <w:link w:val="Heading3Char"/>
    <w:autoRedefine/>
    <w:qFormat/>
    <w:rsid w:val="00153266"/>
    <w:pPr>
      <w:keepNext/>
      <w:widowControl/>
      <w:numPr>
        <w:ilvl w:val="1"/>
      </w:numPr>
      <w:autoSpaceDE/>
      <w:autoSpaceDN/>
      <w:adjustRightInd/>
      <w:ind w:left="-284" w:right="-279" w:hanging="4"/>
      <w:jc w:val="left"/>
      <w:outlineLvl w:val="2"/>
    </w:pPr>
    <w:rPr>
      <w:rFonts w:ascii="Calibri" w:eastAsia="Times New Roman" w:hAnsi="Calibri" w:cs="Times New Roman"/>
      <w:bCs w:val="0"/>
      <w:i w:val="0"/>
      <w:iCs w:val="0"/>
      <w:sz w:val="24"/>
      <w:szCs w:val="20"/>
      <w:lang w:val="en-CA" w:eastAsia="fr-CA"/>
    </w:rPr>
  </w:style>
  <w:style w:type="paragraph" w:styleId="Heading6">
    <w:name w:val="heading 6"/>
    <w:basedOn w:val="Normal"/>
    <w:next w:val="Normal"/>
    <w:link w:val="Heading6Char"/>
    <w:qFormat/>
    <w:rsid w:val="00153266"/>
    <w:pPr>
      <w:widowControl/>
      <w:autoSpaceDE/>
      <w:autoSpaceDN/>
      <w:adjustRightInd/>
      <w:spacing w:before="240" w:after="60"/>
      <w:ind w:left="3168" w:hanging="720"/>
      <w:jc w:val="both"/>
      <w:outlineLvl w:val="5"/>
    </w:pPr>
    <w:rPr>
      <w:rFonts w:eastAsia="Times New Roman" w:cs="Times New Roman"/>
      <w:i/>
      <w:sz w:val="24"/>
      <w:szCs w:val="20"/>
      <w:lang w:val="en-US" w:eastAsia="en-US"/>
    </w:rPr>
  </w:style>
  <w:style w:type="paragraph" w:styleId="Heading7">
    <w:name w:val="heading 7"/>
    <w:basedOn w:val="Normal"/>
    <w:next w:val="Normal"/>
    <w:link w:val="Heading7Char"/>
    <w:qFormat/>
    <w:rsid w:val="00153266"/>
    <w:pPr>
      <w:widowControl/>
      <w:autoSpaceDE/>
      <w:autoSpaceDN/>
      <w:adjustRightInd/>
      <w:spacing w:before="240" w:after="60"/>
      <w:ind w:left="3888" w:hanging="720"/>
      <w:jc w:val="both"/>
      <w:outlineLvl w:val="6"/>
    </w:pPr>
    <w:rPr>
      <w:rFonts w:eastAsia="Times New Roman" w:cs="Times New Roman"/>
      <w:sz w:val="20"/>
      <w:szCs w:val="20"/>
      <w:lang w:val="en-US" w:eastAsia="en-US"/>
    </w:rPr>
  </w:style>
  <w:style w:type="paragraph" w:styleId="Heading8">
    <w:name w:val="heading 8"/>
    <w:basedOn w:val="Normal"/>
    <w:next w:val="Normal"/>
    <w:link w:val="Heading8Char"/>
    <w:qFormat/>
    <w:rsid w:val="00153266"/>
    <w:pPr>
      <w:widowControl/>
      <w:autoSpaceDE/>
      <w:autoSpaceDN/>
      <w:adjustRightInd/>
      <w:spacing w:before="240" w:after="60"/>
      <w:ind w:left="4608" w:hanging="720"/>
      <w:jc w:val="both"/>
      <w:outlineLvl w:val="7"/>
    </w:pPr>
    <w:rPr>
      <w:rFonts w:eastAsia="Times New Roman" w:cs="Times New Roman"/>
      <w:i/>
      <w:sz w:val="20"/>
      <w:szCs w:val="20"/>
      <w:lang w:val="en-US" w:eastAsia="en-US"/>
    </w:rPr>
  </w:style>
  <w:style w:type="paragraph" w:styleId="Heading9">
    <w:name w:val="heading 9"/>
    <w:basedOn w:val="Normal"/>
    <w:next w:val="Normal"/>
    <w:link w:val="Heading9Char"/>
    <w:rsid w:val="00153266"/>
    <w:pPr>
      <w:widowControl/>
      <w:autoSpaceDE/>
      <w:autoSpaceDN/>
      <w:adjustRightInd/>
      <w:spacing w:before="240" w:after="60"/>
      <w:ind w:left="5328" w:hanging="720"/>
      <w:jc w:val="both"/>
      <w:outlineLvl w:val="8"/>
    </w:pPr>
    <w:rPr>
      <w:rFonts w:eastAsia="Times New Roman" w:cs="Times New Roman"/>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Pr>
      <w:rFonts w:asciiTheme="majorHAnsi" w:eastAsiaTheme="majorEastAsia" w:hAnsiTheme="majorHAnsi" w:cstheme="majorBidi"/>
      <w:b/>
      <w:bCs/>
      <w:i/>
      <w:iCs/>
      <w:sz w:val="28"/>
      <w:szCs w:val="28"/>
    </w:rPr>
  </w:style>
  <w:style w:type="paragraph" w:styleId="ListParagraph">
    <w:name w:val="List Paragraph"/>
    <w:basedOn w:val="Normal"/>
    <w:uiPriority w:val="34"/>
    <w:qFormat/>
    <w:pPr>
      <w:ind w:left="839" w:hanging="72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E31420"/>
    <w:pPr>
      <w:tabs>
        <w:tab w:val="center" w:pos="4513"/>
        <w:tab w:val="right" w:pos="9026"/>
      </w:tabs>
    </w:pPr>
  </w:style>
  <w:style w:type="character" w:customStyle="1" w:styleId="HeaderChar">
    <w:name w:val="Header Char"/>
    <w:basedOn w:val="DefaultParagraphFont"/>
    <w:link w:val="Header"/>
    <w:uiPriority w:val="99"/>
    <w:rsid w:val="00E31420"/>
    <w:rPr>
      <w:rFonts w:ascii="Arial" w:hAnsi="Arial" w:cs="Arial"/>
    </w:rPr>
  </w:style>
  <w:style w:type="paragraph" w:styleId="Footer">
    <w:name w:val="footer"/>
    <w:basedOn w:val="Normal"/>
    <w:link w:val="FooterChar"/>
    <w:uiPriority w:val="99"/>
    <w:unhideWhenUsed/>
    <w:rsid w:val="00E31420"/>
    <w:pPr>
      <w:tabs>
        <w:tab w:val="center" w:pos="4513"/>
        <w:tab w:val="right" w:pos="9026"/>
      </w:tabs>
    </w:pPr>
  </w:style>
  <w:style w:type="character" w:customStyle="1" w:styleId="FooterChar">
    <w:name w:val="Footer Char"/>
    <w:basedOn w:val="DefaultParagraphFont"/>
    <w:link w:val="Footer"/>
    <w:uiPriority w:val="99"/>
    <w:rsid w:val="00E31420"/>
    <w:rPr>
      <w:rFonts w:ascii="Arial" w:hAnsi="Arial" w:cs="Arial"/>
    </w:rPr>
  </w:style>
  <w:style w:type="paragraph" w:styleId="BalloonText">
    <w:name w:val="Balloon Text"/>
    <w:basedOn w:val="Normal"/>
    <w:link w:val="BalloonTextChar"/>
    <w:uiPriority w:val="99"/>
    <w:semiHidden/>
    <w:unhideWhenUsed/>
    <w:rsid w:val="00652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A84"/>
    <w:rPr>
      <w:rFonts w:ascii="Segoe UI" w:hAnsi="Segoe UI" w:cs="Segoe UI"/>
      <w:sz w:val="18"/>
      <w:szCs w:val="18"/>
    </w:rPr>
  </w:style>
  <w:style w:type="character" w:styleId="CommentReference">
    <w:name w:val="annotation reference"/>
    <w:basedOn w:val="DefaultParagraphFont"/>
    <w:uiPriority w:val="99"/>
    <w:semiHidden/>
    <w:unhideWhenUsed/>
    <w:rsid w:val="00BB7422"/>
    <w:rPr>
      <w:sz w:val="16"/>
      <w:szCs w:val="16"/>
    </w:rPr>
  </w:style>
  <w:style w:type="paragraph" w:styleId="CommentText">
    <w:name w:val="annotation text"/>
    <w:basedOn w:val="Normal"/>
    <w:link w:val="CommentTextChar"/>
    <w:uiPriority w:val="99"/>
    <w:semiHidden/>
    <w:unhideWhenUsed/>
    <w:rsid w:val="00BB7422"/>
    <w:rPr>
      <w:sz w:val="20"/>
      <w:szCs w:val="20"/>
    </w:rPr>
  </w:style>
  <w:style w:type="character" w:customStyle="1" w:styleId="CommentTextChar">
    <w:name w:val="Comment Text Char"/>
    <w:basedOn w:val="DefaultParagraphFont"/>
    <w:link w:val="CommentText"/>
    <w:uiPriority w:val="99"/>
    <w:semiHidden/>
    <w:rsid w:val="00BB742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B7422"/>
    <w:rPr>
      <w:b/>
      <w:bCs/>
    </w:rPr>
  </w:style>
  <w:style w:type="character" w:customStyle="1" w:styleId="CommentSubjectChar">
    <w:name w:val="Comment Subject Char"/>
    <w:basedOn w:val="CommentTextChar"/>
    <w:link w:val="CommentSubject"/>
    <w:uiPriority w:val="99"/>
    <w:semiHidden/>
    <w:rsid w:val="00BB7422"/>
    <w:rPr>
      <w:rFonts w:ascii="Arial" w:hAnsi="Arial" w:cs="Arial"/>
      <w:b/>
      <w:bCs/>
      <w:sz w:val="20"/>
      <w:szCs w:val="20"/>
    </w:rPr>
  </w:style>
  <w:style w:type="character" w:customStyle="1" w:styleId="apple-tab-span">
    <w:name w:val="apple-tab-span"/>
    <w:basedOn w:val="DefaultParagraphFont"/>
    <w:rsid w:val="00636678"/>
  </w:style>
  <w:style w:type="character" w:customStyle="1" w:styleId="apple-converted-space">
    <w:name w:val="apple-converted-space"/>
    <w:basedOn w:val="DefaultParagraphFont"/>
    <w:rsid w:val="00636678"/>
  </w:style>
  <w:style w:type="character" w:styleId="Hyperlink">
    <w:name w:val="Hyperlink"/>
    <w:basedOn w:val="DefaultParagraphFont"/>
    <w:uiPriority w:val="99"/>
    <w:unhideWhenUsed/>
    <w:rsid w:val="003911BA"/>
    <w:rPr>
      <w:color w:val="0563C1" w:themeColor="hyperlink"/>
      <w:u w:val="single"/>
    </w:rPr>
  </w:style>
  <w:style w:type="character" w:styleId="UnresolvedMention">
    <w:name w:val="Unresolved Mention"/>
    <w:basedOn w:val="DefaultParagraphFont"/>
    <w:uiPriority w:val="99"/>
    <w:semiHidden/>
    <w:unhideWhenUsed/>
    <w:rsid w:val="003911BA"/>
    <w:rPr>
      <w:color w:val="605E5C"/>
      <w:shd w:val="clear" w:color="auto" w:fill="E1DFDD"/>
    </w:rPr>
  </w:style>
  <w:style w:type="paragraph" w:styleId="Revision">
    <w:name w:val="Revision"/>
    <w:hidden/>
    <w:uiPriority w:val="99"/>
    <w:semiHidden/>
    <w:rsid w:val="00F73DD8"/>
    <w:pPr>
      <w:spacing w:after="0" w:line="240" w:lineRule="auto"/>
    </w:pPr>
    <w:rPr>
      <w:rFonts w:ascii="Arial" w:hAnsi="Arial" w:cs="Arial"/>
    </w:rPr>
  </w:style>
  <w:style w:type="character" w:customStyle="1" w:styleId="aj">
    <w:name w:val="aj"/>
    <w:basedOn w:val="DefaultParagraphFont"/>
    <w:rsid w:val="00D75D80"/>
  </w:style>
  <w:style w:type="character" w:customStyle="1" w:styleId="hgkelc">
    <w:name w:val="hgkelc"/>
    <w:basedOn w:val="DefaultParagraphFont"/>
    <w:rsid w:val="00A53199"/>
  </w:style>
  <w:style w:type="paragraph" w:styleId="BodyText2">
    <w:name w:val="Body Text 2"/>
    <w:basedOn w:val="Normal"/>
    <w:link w:val="BodyText2Char"/>
    <w:unhideWhenUsed/>
    <w:rsid w:val="00744FC3"/>
    <w:pPr>
      <w:spacing w:after="120" w:line="480" w:lineRule="auto"/>
    </w:pPr>
  </w:style>
  <w:style w:type="character" w:customStyle="1" w:styleId="BodyText2Char">
    <w:name w:val="Body Text 2 Char"/>
    <w:basedOn w:val="DefaultParagraphFont"/>
    <w:link w:val="BodyText2"/>
    <w:rsid w:val="00744FC3"/>
    <w:rPr>
      <w:rFonts w:ascii="Arial" w:hAnsi="Arial" w:cs="Arial"/>
    </w:rPr>
  </w:style>
  <w:style w:type="paragraph" w:customStyle="1" w:styleId="ReportBodyText">
    <w:name w:val="Report Body Text"/>
    <w:basedOn w:val="Normal"/>
    <w:link w:val="ReportBodyTextChar"/>
    <w:qFormat/>
    <w:rsid w:val="000968B7"/>
    <w:pPr>
      <w:widowControl/>
      <w:autoSpaceDE/>
      <w:autoSpaceDN/>
      <w:adjustRightInd/>
      <w:ind w:left="144"/>
      <w:jc w:val="both"/>
    </w:pPr>
    <w:rPr>
      <w:rFonts w:ascii="Calibri" w:eastAsia="Times New Roman" w:hAnsi="Calibri" w:cs="Times New Roman"/>
      <w:sz w:val="24"/>
      <w:szCs w:val="20"/>
      <w:lang w:val="en-US" w:eastAsia="en-US"/>
    </w:rPr>
  </w:style>
  <w:style w:type="character" w:customStyle="1" w:styleId="ReportBodyTextChar">
    <w:name w:val="Report Body Text Char"/>
    <w:basedOn w:val="DefaultParagraphFont"/>
    <w:link w:val="ReportBodyText"/>
    <w:rsid w:val="000968B7"/>
    <w:rPr>
      <w:rFonts w:ascii="Calibri" w:eastAsia="Times New Roman" w:hAnsi="Calibri" w:cs="Times New Roman"/>
      <w:sz w:val="24"/>
      <w:szCs w:val="20"/>
      <w:lang w:val="en-US" w:eastAsia="en-US"/>
    </w:rPr>
  </w:style>
  <w:style w:type="table" w:styleId="TableGrid">
    <w:name w:val="Table Grid"/>
    <w:basedOn w:val="TableNormal"/>
    <w:uiPriority w:val="39"/>
    <w:rsid w:val="00317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53266"/>
    <w:rPr>
      <w:rFonts w:ascii="Calibri" w:eastAsia="Times New Roman" w:hAnsi="Calibri" w:cs="Times New Roman"/>
      <w:b/>
      <w:sz w:val="24"/>
      <w:szCs w:val="20"/>
      <w:lang w:val="en-CA" w:eastAsia="fr-CA"/>
    </w:rPr>
  </w:style>
  <w:style w:type="character" w:customStyle="1" w:styleId="Heading6Char">
    <w:name w:val="Heading 6 Char"/>
    <w:basedOn w:val="DefaultParagraphFont"/>
    <w:link w:val="Heading6"/>
    <w:rsid w:val="00153266"/>
    <w:rPr>
      <w:rFonts w:ascii="Arial" w:eastAsia="Times New Roman" w:hAnsi="Arial" w:cs="Times New Roman"/>
      <w:i/>
      <w:sz w:val="24"/>
      <w:szCs w:val="20"/>
      <w:lang w:val="en-US" w:eastAsia="en-US"/>
    </w:rPr>
  </w:style>
  <w:style w:type="character" w:customStyle="1" w:styleId="Heading7Char">
    <w:name w:val="Heading 7 Char"/>
    <w:basedOn w:val="DefaultParagraphFont"/>
    <w:link w:val="Heading7"/>
    <w:rsid w:val="00153266"/>
    <w:rPr>
      <w:rFonts w:ascii="Arial" w:eastAsia="Times New Roman" w:hAnsi="Arial" w:cs="Times New Roman"/>
      <w:sz w:val="20"/>
      <w:szCs w:val="20"/>
      <w:lang w:val="en-US" w:eastAsia="en-US"/>
    </w:rPr>
  </w:style>
  <w:style w:type="character" w:customStyle="1" w:styleId="Heading8Char">
    <w:name w:val="Heading 8 Char"/>
    <w:basedOn w:val="DefaultParagraphFont"/>
    <w:link w:val="Heading8"/>
    <w:rsid w:val="00153266"/>
    <w:rPr>
      <w:rFonts w:ascii="Arial" w:eastAsia="Times New Roman" w:hAnsi="Arial" w:cs="Times New Roman"/>
      <w:i/>
      <w:sz w:val="20"/>
      <w:szCs w:val="20"/>
      <w:lang w:val="en-US" w:eastAsia="en-US"/>
    </w:rPr>
  </w:style>
  <w:style w:type="character" w:customStyle="1" w:styleId="Heading9Char">
    <w:name w:val="Heading 9 Char"/>
    <w:basedOn w:val="DefaultParagraphFont"/>
    <w:link w:val="Heading9"/>
    <w:rsid w:val="00153266"/>
    <w:rPr>
      <w:rFonts w:ascii="Arial" w:eastAsia="Times New Roman" w:hAnsi="Arial" w:cs="Times New Roman"/>
      <w:i/>
      <w:sz w:val="18"/>
      <w:szCs w:val="20"/>
      <w:lang w:val="en-US" w:eastAsia="en-US"/>
    </w:rPr>
  </w:style>
  <w:style w:type="numbering" w:customStyle="1" w:styleId="NoList1">
    <w:name w:val="No List1"/>
    <w:next w:val="NoList"/>
    <w:uiPriority w:val="99"/>
    <w:semiHidden/>
    <w:unhideWhenUsed/>
    <w:rsid w:val="00153266"/>
  </w:style>
  <w:style w:type="paragraph" w:customStyle="1" w:styleId="CaptionsTABLES">
    <w:name w:val="Captions: TABLES"/>
    <w:basedOn w:val="ReportBodyText"/>
    <w:qFormat/>
    <w:rsid w:val="00153266"/>
    <w:pPr>
      <w:jc w:val="center"/>
    </w:pPr>
    <w:rPr>
      <w:i/>
      <w:sz w:val="20"/>
      <w:u w:val="single"/>
    </w:rPr>
  </w:style>
  <w:style w:type="paragraph" w:customStyle="1" w:styleId="yiv0566486401msonormal">
    <w:name w:val="yiv0566486401msonormal"/>
    <w:basedOn w:val="Normal"/>
    <w:rsid w:val="00153266"/>
    <w:pPr>
      <w:widowControl/>
      <w:autoSpaceDE/>
      <w:autoSpaceDN/>
      <w:adjustRightInd/>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yiv0566486401bodytextleft">
    <w:name w:val="yiv0566486401bodytextleft"/>
    <w:basedOn w:val="Normal"/>
    <w:rsid w:val="00153266"/>
    <w:pPr>
      <w:widowControl/>
      <w:autoSpaceDE/>
      <w:autoSpaceDN/>
      <w:adjustRightInd/>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DefaultText">
    <w:name w:val="Default Text"/>
    <w:basedOn w:val="Normal"/>
    <w:uiPriority w:val="99"/>
    <w:rsid w:val="00153266"/>
    <w:pPr>
      <w:widowControl/>
    </w:pPr>
    <w:rPr>
      <w:rFonts w:ascii="Times New Roman" w:eastAsia="Times New Roman" w:hAnsi="Times New Roman" w:cs="Times New Roman"/>
      <w:sz w:val="24"/>
      <w:szCs w:val="24"/>
      <w:lang w:val="en-US" w:eastAsia="en-US"/>
    </w:rPr>
  </w:style>
  <w:style w:type="paragraph" w:customStyle="1" w:styleId="Tables">
    <w:name w:val="Tables"/>
    <w:basedOn w:val="Normal"/>
    <w:rsid w:val="00153266"/>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jc w:val="center"/>
    </w:pPr>
    <w:rPr>
      <w:rFonts w:ascii="Times New Roman" w:eastAsia="Times New Roman" w:hAnsi="Times New Roman" w:cs="Times New Roman"/>
      <w:b/>
      <w:sz w:val="24"/>
      <w:szCs w:val="20"/>
      <w:lang w:val="en-CA" w:eastAsia="en-US"/>
    </w:rPr>
  </w:style>
  <w:style w:type="paragraph" w:customStyle="1" w:styleId="TitlePage">
    <w:name w:val="Title Page"/>
    <w:basedOn w:val="Normal"/>
    <w:qFormat/>
    <w:rsid w:val="00153266"/>
    <w:pPr>
      <w:widowControl/>
      <w:autoSpaceDE/>
      <w:autoSpaceDN/>
      <w:adjustRightInd/>
      <w:jc w:val="both"/>
    </w:pPr>
    <w:rPr>
      <w:rFonts w:ascii="Calibri" w:eastAsia="Times New Roman" w:hAnsi="Calibri" w:cs="Times New Roman"/>
      <w:sz w:val="24"/>
      <w:szCs w:val="20"/>
      <w:lang w:val="en-CA" w:eastAsia="en-US"/>
    </w:rPr>
  </w:style>
  <w:style w:type="character" w:customStyle="1" w:styleId="personname">
    <w:name w:val="person_name"/>
    <w:basedOn w:val="DefaultParagraphFont"/>
    <w:rsid w:val="00153266"/>
  </w:style>
  <w:style w:type="character" w:styleId="Emphasis">
    <w:name w:val="Emphasis"/>
    <w:basedOn w:val="DefaultParagraphFont"/>
    <w:uiPriority w:val="20"/>
    <w:qFormat/>
    <w:rsid w:val="00153266"/>
    <w:rPr>
      <w:i/>
      <w:iCs/>
    </w:rPr>
  </w:style>
  <w:style w:type="character" w:styleId="FollowedHyperlink">
    <w:name w:val="FollowedHyperlink"/>
    <w:basedOn w:val="DefaultParagraphFont"/>
    <w:uiPriority w:val="99"/>
    <w:semiHidden/>
    <w:unhideWhenUsed/>
    <w:rsid w:val="00153266"/>
    <w:rPr>
      <w:color w:val="954F72" w:themeColor="followedHyperlink"/>
      <w:u w:val="single"/>
    </w:rPr>
  </w:style>
  <w:style w:type="character" w:customStyle="1" w:styleId="BodyText1">
    <w:name w:val="Body Text1"/>
    <w:basedOn w:val="DefaultParagraphFont"/>
    <w:rsid w:val="0015326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03782">
      <w:bodyDiv w:val="1"/>
      <w:marLeft w:val="0"/>
      <w:marRight w:val="0"/>
      <w:marTop w:val="0"/>
      <w:marBottom w:val="0"/>
      <w:divBdr>
        <w:top w:val="none" w:sz="0" w:space="0" w:color="auto"/>
        <w:left w:val="none" w:sz="0" w:space="0" w:color="auto"/>
        <w:bottom w:val="none" w:sz="0" w:space="0" w:color="auto"/>
        <w:right w:val="none" w:sz="0" w:space="0" w:color="auto"/>
      </w:divBdr>
    </w:div>
    <w:div w:id="486627927">
      <w:bodyDiv w:val="1"/>
      <w:marLeft w:val="0"/>
      <w:marRight w:val="0"/>
      <w:marTop w:val="0"/>
      <w:marBottom w:val="0"/>
      <w:divBdr>
        <w:top w:val="none" w:sz="0" w:space="0" w:color="auto"/>
        <w:left w:val="none" w:sz="0" w:space="0" w:color="auto"/>
        <w:bottom w:val="none" w:sz="0" w:space="0" w:color="auto"/>
        <w:right w:val="none" w:sz="0" w:space="0" w:color="auto"/>
      </w:divBdr>
    </w:div>
    <w:div w:id="1254122342">
      <w:bodyDiv w:val="1"/>
      <w:marLeft w:val="0"/>
      <w:marRight w:val="0"/>
      <w:marTop w:val="0"/>
      <w:marBottom w:val="0"/>
      <w:divBdr>
        <w:top w:val="none" w:sz="0" w:space="0" w:color="auto"/>
        <w:left w:val="none" w:sz="0" w:space="0" w:color="auto"/>
        <w:bottom w:val="none" w:sz="0" w:space="0" w:color="auto"/>
        <w:right w:val="none" w:sz="0" w:space="0" w:color="auto"/>
      </w:divBdr>
    </w:div>
    <w:div w:id="1447845828">
      <w:bodyDiv w:val="1"/>
      <w:marLeft w:val="0"/>
      <w:marRight w:val="0"/>
      <w:marTop w:val="0"/>
      <w:marBottom w:val="0"/>
      <w:divBdr>
        <w:top w:val="none" w:sz="0" w:space="0" w:color="auto"/>
        <w:left w:val="none" w:sz="0" w:space="0" w:color="auto"/>
        <w:bottom w:val="none" w:sz="0" w:space="0" w:color="auto"/>
        <w:right w:val="none" w:sz="0" w:space="0" w:color="auto"/>
      </w:divBdr>
      <w:divsChild>
        <w:div w:id="472913686">
          <w:marLeft w:val="0"/>
          <w:marRight w:val="0"/>
          <w:marTop w:val="0"/>
          <w:marBottom w:val="0"/>
          <w:divBdr>
            <w:top w:val="none" w:sz="0" w:space="0" w:color="auto"/>
            <w:left w:val="none" w:sz="0" w:space="0" w:color="auto"/>
            <w:bottom w:val="none" w:sz="0" w:space="0" w:color="auto"/>
            <w:right w:val="none" w:sz="0" w:space="0" w:color="auto"/>
          </w:divBdr>
        </w:div>
        <w:div w:id="493187692">
          <w:marLeft w:val="0"/>
          <w:marRight w:val="0"/>
          <w:marTop w:val="0"/>
          <w:marBottom w:val="0"/>
          <w:divBdr>
            <w:top w:val="none" w:sz="0" w:space="0" w:color="auto"/>
            <w:left w:val="none" w:sz="0" w:space="0" w:color="auto"/>
            <w:bottom w:val="none" w:sz="0" w:space="0" w:color="auto"/>
            <w:right w:val="none" w:sz="0" w:space="0" w:color="auto"/>
          </w:divBdr>
        </w:div>
        <w:div w:id="533857252">
          <w:marLeft w:val="0"/>
          <w:marRight w:val="0"/>
          <w:marTop w:val="0"/>
          <w:marBottom w:val="0"/>
          <w:divBdr>
            <w:top w:val="none" w:sz="0" w:space="0" w:color="auto"/>
            <w:left w:val="none" w:sz="0" w:space="0" w:color="auto"/>
            <w:bottom w:val="none" w:sz="0" w:space="0" w:color="auto"/>
            <w:right w:val="none" w:sz="0" w:space="0" w:color="auto"/>
          </w:divBdr>
        </w:div>
        <w:div w:id="565990249">
          <w:marLeft w:val="0"/>
          <w:marRight w:val="0"/>
          <w:marTop w:val="0"/>
          <w:marBottom w:val="0"/>
          <w:divBdr>
            <w:top w:val="none" w:sz="0" w:space="0" w:color="auto"/>
            <w:left w:val="none" w:sz="0" w:space="0" w:color="auto"/>
            <w:bottom w:val="none" w:sz="0" w:space="0" w:color="auto"/>
            <w:right w:val="none" w:sz="0" w:space="0" w:color="auto"/>
          </w:divBdr>
        </w:div>
        <w:div w:id="599336879">
          <w:marLeft w:val="0"/>
          <w:marRight w:val="0"/>
          <w:marTop w:val="0"/>
          <w:marBottom w:val="0"/>
          <w:divBdr>
            <w:top w:val="none" w:sz="0" w:space="0" w:color="auto"/>
            <w:left w:val="none" w:sz="0" w:space="0" w:color="auto"/>
            <w:bottom w:val="none" w:sz="0" w:space="0" w:color="auto"/>
            <w:right w:val="none" w:sz="0" w:space="0" w:color="auto"/>
          </w:divBdr>
        </w:div>
        <w:div w:id="664019964">
          <w:marLeft w:val="0"/>
          <w:marRight w:val="0"/>
          <w:marTop w:val="0"/>
          <w:marBottom w:val="0"/>
          <w:divBdr>
            <w:top w:val="none" w:sz="0" w:space="0" w:color="auto"/>
            <w:left w:val="none" w:sz="0" w:space="0" w:color="auto"/>
            <w:bottom w:val="none" w:sz="0" w:space="0" w:color="auto"/>
            <w:right w:val="none" w:sz="0" w:space="0" w:color="auto"/>
          </w:divBdr>
        </w:div>
        <w:div w:id="782846803">
          <w:marLeft w:val="0"/>
          <w:marRight w:val="0"/>
          <w:marTop w:val="0"/>
          <w:marBottom w:val="0"/>
          <w:divBdr>
            <w:top w:val="none" w:sz="0" w:space="0" w:color="auto"/>
            <w:left w:val="none" w:sz="0" w:space="0" w:color="auto"/>
            <w:bottom w:val="none" w:sz="0" w:space="0" w:color="auto"/>
            <w:right w:val="none" w:sz="0" w:space="0" w:color="auto"/>
          </w:divBdr>
        </w:div>
        <w:div w:id="955871795">
          <w:marLeft w:val="0"/>
          <w:marRight w:val="0"/>
          <w:marTop w:val="0"/>
          <w:marBottom w:val="0"/>
          <w:divBdr>
            <w:top w:val="none" w:sz="0" w:space="0" w:color="auto"/>
            <w:left w:val="none" w:sz="0" w:space="0" w:color="auto"/>
            <w:bottom w:val="none" w:sz="0" w:space="0" w:color="auto"/>
            <w:right w:val="none" w:sz="0" w:space="0" w:color="auto"/>
          </w:divBdr>
        </w:div>
        <w:div w:id="1003047786">
          <w:marLeft w:val="0"/>
          <w:marRight w:val="0"/>
          <w:marTop w:val="0"/>
          <w:marBottom w:val="0"/>
          <w:divBdr>
            <w:top w:val="none" w:sz="0" w:space="0" w:color="auto"/>
            <w:left w:val="none" w:sz="0" w:space="0" w:color="auto"/>
            <w:bottom w:val="none" w:sz="0" w:space="0" w:color="auto"/>
            <w:right w:val="none" w:sz="0" w:space="0" w:color="auto"/>
          </w:divBdr>
        </w:div>
        <w:div w:id="1084378729">
          <w:marLeft w:val="0"/>
          <w:marRight w:val="0"/>
          <w:marTop w:val="0"/>
          <w:marBottom w:val="0"/>
          <w:divBdr>
            <w:top w:val="none" w:sz="0" w:space="0" w:color="auto"/>
            <w:left w:val="none" w:sz="0" w:space="0" w:color="auto"/>
            <w:bottom w:val="none" w:sz="0" w:space="0" w:color="auto"/>
            <w:right w:val="none" w:sz="0" w:space="0" w:color="auto"/>
          </w:divBdr>
        </w:div>
        <w:div w:id="1113472825">
          <w:marLeft w:val="0"/>
          <w:marRight w:val="0"/>
          <w:marTop w:val="0"/>
          <w:marBottom w:val="0"/>
          <w:divBdr>
            <w:top w:val="none" w:sz="0" w:space="0" w:color="auto"/>
            <w:left w:val="none" w:sz="0" w:space="0" w:color="auto"/>
            <w:bottom w:val="none" w:sz="0" w:space="0" w:color="auto"/>
            <w:right w:val="none" w:sz="0" w:space="0" w:color="auto"/>
          </w:divBdr>
        </w:div>
        <w:div w:id="1264997653">
          <w:marLeft w:val="0"/>
          <w:marRight w:val="0"/>
          <w:marTop w:val="0"/>
          <w:marBottom w:val="0"/>
          <w:divBdr>
            <w:top w:val="none" w:sz="0" w:space="0" w:color="auto"/>
            <w:left w:val="none" w:sz="0" w:space="0" w:color="auto"/>
            <w:bottom w:val="none" w:sz="0" w:space="0" w:color="auto"/>
            <w:right w:val="none" w:sz="0" w:space="0" w:color="auto"/>
          </w:divBdr>
        </w:div>
        <w:div w:id="1267885743">
          <w:marLeft w:val="0"/>
          <w:marRight w:val="0"/>
          <w:marTop w:val="0"/>
          <w:marBottom w:val="0"/>
          <w:divBdr>
            <w:top w:val="none" w:sz="0" w:space="0" w:color="auto"/>
            <w:left w:val="none" w:sz="0" w:space="0" w:color="auto"/>
            <w:bottom w:val="none" w:sz="0" w:space="0" w:color="auto"/>
            <w:right w:val="none" w:sz="0" w:space="0" w:color="auto"/>
          </w:divBdr>
        </w:div>
        <w:div w:id="1305548373">
          <w:marLeft w:val="0"/>
          <w:marRight w:val="0"/>
          <w:marTop w:val="0"/>
          <w:marBottom w:val="0"/>
          <w:divBdr>
            <w:top w:val="none" w:sz="0" w:space="0" w:color="auto"/>
            <w:left w:val="none" w:sz="0" w:space="0" w:color="auto"/>
            <w:bottom w:val="none" w:sz="0" w:space="0" w:color="auto"/>
            <w:right w:val="none" w:sz="0" w:space="0" w:color="auto"/>
          </w:divBdr>
        </w:div>
        <w:div w:id="1326863859">
          <w:marLeft w:val="0"/>
          <w:marRight w:val="0"/>
          <w:marTop w:val="0"/>
          <w:marBottom w:val="0"/>
          <w:divBdr>
            <w:top w:val="none" w:sz="0" w:space="0" w:color="auto"/>
            <w:left w:val="none" w:sz="0" w:space="0" w:color="auto"/>
            <w:bottom w:val="none" w:sz="0" w:space="0" w:color="auto"/>
            <w:right w:val="none" w:sz="0" w:space="0" w:color="auto"/>
          </w:divBdr>
        </w:div>
        <w:div w:id="1399088402">
          <w:marLeft w:val="0"/>
          <w:marRight w:val="0"/>
          <w:marTop w:val="0"/>
          <w:marBottom w:val="0"/>
          <w:divBdr>
            <w:top w:val="none" w:sz="0" w:space="0" w:color="auto"/>
            <w:left w:val="none" w:sz="0" w:space="0" w:color="auto"/>
            <w:bottom w:val="none" w:sz="0" w:space="0" w:color="auto"/>
            <w:right w:val="none" w:sz="0" w:space="0" w:color="auto"/>
          </w:divBdr>
        </w:div>
        <w:div w:id="1603880017">
          <w:marLeft w:val="0"/>
          <w:marRight w:val="0"/>
          <w:marTop w:val="0"/>
          <w:marBottom w:val="0"/>
          <w:divBdr>
            <w:top w:val="none" w:sz="0" w:space="0" w:color="auto"/>
            <w:left w:val="none" w:sz="0" w:space="0" w:color="auto"/>
            <w:bottom w:val="none" w:sz="0" w:space="0" w:color="auto"/>
            <w:right w:val="none" w:sz="0" w:space="0" w:color="auto"/>
          </w:divBdr>
        </w:div>
        <w:div w:id="1680766882">
          <w:marLeft w:val="0"/>
          <w:marRight w:val="0"/>
          <w:marTop w:val="0"/>
          <w:marBottom w:val="0"/>
          <w:divBdr>
            <w:top w:val="none" w:sz="0" w:space="0" w:color="auto"/>
            <w:left w:val="none" w:sz="0" w:space="0" w:color="auto"/>
            <w:bottom w:val="none" w:sz="0" w:space="0" w:color="auto"/>
            <w:right w:val="none" w:sz="0" w:space="0" w:color="auto"/>
          </w:divBdr>
        </w:div>
        <w:div w:id="1706714589">
          <w:marLeft w:val="0"/>
          <w:marRight w:val="0"/>
          <w:marTop w:val="0"/>
          <w:marBottom w:val="0"/>
          <w:divBdr>
            <w:top w:val="none" w:sz="0" w:space="0" w:color="auto"/>
            <w:left w:val="none" w:sz="0" w:space="0" w:color="auto"/>
            <w:bottom w:val="none" w:sz="0" w:space="0" w:color="auto"/>
            <w:right w:val="none" w:sz="0" w:space="0" w:color="auto"/>
          </w:divBdr>
        </w:div>
        <w:div w:id="1747919977">
          <w:marLeft w:val="0"/>
          <w:marRight w:val="0"/>
          <w:marTop w:val="0"/>
          <w:marBottom w:val="0"/>
          <w:divBdr>
            <w:top w:val="none" w:sz="0" w:space="0" w:color="auto"/>
            <w:left w:val="none" w:sz="0" w:space="0" w:color="auto"/>
            <w:bottom w:val="none" w:sz="0" w:space="0" w:color="auto"/>
            <w:right w:val="none" w:sz="0" w:space="0" w:color="auto"/>
          </w:divBdr>
        </w:div>
        <w:div w:id="1897351269">
          <w:marLeft w:val="0"/>
          <w:marRight w:val="0"/>
          <w:marTop w:val="0"/>
          <w:marBottom w:val="0"/>
          <w:divBdr>
            <w:top w:val="none" w:sz="0" w:space="0" w:color="auto"/>
            <w:left w:val="none" w:sz="0" w:space="0" w:color="auto"/>
            <w:bottom w:val="none" w:sz="0" w:space="0" w:color="auto"/>
            <w:right w:val="none" w:sz="0" w:space="0" w:color="auto"/>
          </w:divBdr>
        </w:div>
        <w:div w:id="1987854050">
          <w:marLeft w:val="0"/>
          <w:marRight w:val="0"/>
          <w:marTop w:val="0"/>
          <w:marBottom w:val="0"/>
          <w:divBdr>
            <w:top w:val="none" w:sz="0" w:space="0" w:color="auto"/>
            <w:left w:val="none" w:sz="0" w:space="0" w:color="auto"/>
            <w:bottom w:val="none" w:sz="0" w:space="0" w:color="auto"/>
            <w:right w:val="none" w:sz="0" w:space="0" w:color="auto"/>
          </w:divBdr>
        </w:div>
        <w:div w:id="2073845054">
          <w:marLeft w:val="0"/>
          <w:marRight w:val="0"/>
          <w:marTop w:val="0"/>
          <w:marBottom w:val="0"/>
          <w:divBdr>
            <w:top w:val="none" w:sz="0" w:space="0" w:color="auto"/>
            <w:left w:val="none" w:sz="0" w:space="0" w:color="auto"/>
            <w:bottom w:val="none" w:sz="0" w:space="0" w:color="auto"/>
            <w:right w:val="none" w:sz="0" w:space="0" w:color="auto"/>
          </w:divBdr>
        </w:div>
        <w:div w:id="2116166867">
          <w:marLeft w:val="0"/>
          <w:marRight w:val="0"/>
          <w:marTop w:val="0"/>
          <w:marBottom w:val="0"/>
          <w:divBdr>
            <w:top w:val="none" w:sz="0" w:space="0" w:color="auto"/>
            <w:left w:val="none" w:sz="0" w:space="0" w:color="auto"/>
            <w:bottom w:val="none" w:sz="0" w:space="0" w:color="auto"/>
            <w:right w:val="none" w:sz="0" w:space="0" w:color="auto"/>
          </w:divBdr>
        </w:div>
        <w:div w:id="2131241338">
          <w:marLeft w:val="0"/>
          <w:marRight w:val="0"/>
          <w:marTop w:val="0"/>
          <w:marBottom w:val="0"/>
          <w:divBdr>
            <w:top w:val="none" w:sz="0" w:space="0" w:color="auto"/>
            <w:left w:val="none" w:sz="0" w:space="0" w:color="auto"/>
            <w:bottom w:val="none" w:sz="0" w:space="0" w:color="auto"/>
            <w:right w:val="none" w:sz="0" w:space="0" w:color="auto"/>
          </w:divBdr>
        </w:div>
      </w:divsChild>
    </w:div>
    <w:div w:id="1624262755">
      <w:bodyDiv w:val="1"/>
      <w:marLeft w:val="0"/>
      <w:marRight w:val="0"/>
      <w:marTop w:val="0"/>
      <w:marBottom w:val="0"/>
      <w:divBdr>
        <w:top w:val="none" w:sz="0" w:space="0" w:color="auto"/>
        <w:left w:val="none" w:sz="0" w:space="0" w:color="auto"/>
        <w:bottom w:val="none" w:sz="0" w:space="0" w:color="auto"/>
        <w:right w:val="none" w:sz="0" w:space="0" w:color="auto"/>
      </w:divBdr>
    </w:div>
    <w:div w:id="1624651772">
      <w:bodyDiv w:val="1"/>
      <w:marLeft w:val="0"/>
      <w:marRight w:val="0"/>
      <w:marTop w:val="0"/>
      <w:marBottom w:val="0"/>
      <w:divBdr>
        <w:top w:val="none" w:sz="0" w:space="0" w:color="auto"/>
        <w:left w:val="none" w:sz="0" w:space="0" w:color="auto"/>
        <w:bottom w:val="none" w:sz="0" w:space="0" w:color="auto"/>
        <w:right w:val="none" w:sz="0" w:space="0" w:color="auto"/>
      </w:divBdr>
      <w:divsChild>
        <w:div w:id="486440382">
          <w:marLeft w:val="547"/>
          <w:marRight w:val="0"/>
          <w:marTop w:val="120"/>
          <w:marBottom w:val="240"/>
          <w:divBdr>
            <w:top w:val="none" w:sz="0" w:space="0" w:color="auto"/>
            <w:left w:val="none" w:sz="0" w:space="0" w:color="auto"/>
            <w:bottom w:val="none" w:sz="0" w:space="0" w:color="auto"/>
            <w:right w:val="none" w:sz="0" w:space="0" w:color="auto"/>
          </w:divBdr>
        </w:div>
        <w:div w:id="548422835">
          <w:marLeft w:val="547"/>
          <w:marRight w:val="0"/>
          <w:marTop w:val="120"/>
          <w:marBottom w:val="240"/>
          <w:divBdr>
            <w:top w:val="none" w:sz="0" w:space="0" w:color="auto"/>
            <w:left w:val="none" w:sz="0" w:space="0" w:color="auto"/>
            <w:bottom w:val="none" w:sz="0" w:space="0" w:color="auto"/>
            <w:right w:val="none" w:sz="0" w:space="0" w:color="auto"/>
          </w:divBdr>
        </w:div>
        <w:div w:id="1501432355">
          <w:marLeft w:val="547"/>
          <w:marRight w:val="0"/>
          <w:marTop w:val="120"/>
          <w:marBottom w:val="240"/>
          <w:divBdr>
            <w:top w:val="none" w:sz="0" w:space="0" w:color="auto"/>
            <w:left w:val="none" w:sz="0" w:space="0" w:color="auto"/>
            <w:bottom w:val="none" w:sz="0" w:space="0" w:color="auto"/>
            <w:right w:val="none" w:sz="0" w:space="0" w:color="auto"/>
          </w:divBdr>
        </w:div>
        <w:div w:id="1709063038">
          <w:marLeft w:val="547"/>
          <w:marRight w:val="0"/>
          <w:marTop w:val="120"/>
          <w:marBottom w:val="240"/>
          <w:divBdr>
            <w:top w:val="none" w:sz="0" w:space="0" w:color="auto"/>
            <w:left w:val="none" w:sz="0" w:space="0" w:color="auto"/>
            <w:bottom w:val="none" w:sz="0" w:space="0" w:color="auto"/>
            <w:right w:val="none" w:sz="0" w:space="0" w:color="auto"/>
          </w:divBdr>
        </w:div>
        <w:div w:id="2093621574">
          <w:marLeft w:val="547"/>
          <w:marRight w:val="0"/>
          <w:marTop w:val="120"/>
          <w:marBottom w:val="240"/>
          <w:divBdr>
            <w:top w:val="none" w:sz="0" w:space="0" w:color="auto"/>
            <w:left w:val="none" w:sz="0" w:space="0" w:color="auto"/>
            <w:bottom w:val="none" w:sz="0" w:space="0" w:color="auto"/>
            <w:right w:val="none" w:sz="0" w:space="0" w:color="auto"/>
          </w:divBdr>
        </w:div>
      </w:divsChild>
    </w:div>
    <w:div w:id="1788742838">
      <w:bodyDiv w:val="1"/>
      <w:marLeft w:val="0"/>
      <w:marRight w:val="0"/>
      <w:marTop w:val="0"/>
      <w:marBottom w:val="0"/>
      <w:divBdr>
        <w:top w:val="none" w:sz="0" w:space="0" w:color="auto"/>
        <w:left w:val="none" w:sz="0" w:space="0" w:color="auto"/>
        <w:bottom w:val="none" w:sz="0" w:space="0" w:color="auto"/>
        <w:right w:val="none" w:sz="0" w:space="0" w:color="auto"/>
      </w:divBdr>
    </w:div>
    <w:div w:id="2043898957">
      <w:bodyDiv w:val="1"/>
      <w:marLeft w:val="0"/>
      <w:marRight w:val="0"/>
      <w:marTop w:val="0"/>
      <w:marBottom w:val="0"/>
      <w:divBdr>
        <w:top w:val="none" w:sz="0" w:space="0" w:color="auto"/>
        <w:left w:val="none" w:sz="0" w:space="0" w:color="auto"/>
        <w:bottom w:val="none" w:sz="0" w:space="0" w:color="auto"/>
        <w:right w:val="none" w:sz="0" w:space="0" w:color="auto"/>
      </w:divBdr>
    </w:div>
    <w:div w:id="209461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www.lme.com/Metals/Precious-metals/LME-Gold" TargetMode="External"/><Relationship Id="rId21" Type="http://schemas.openxmlformats.org/officeDocument/2006/relationships/hyperlink" Target="http://www.lme.com/Metals" TargetMode="External"/><Relationship Id="rId34" Type="http://schemas.openxmlformats.org/officeDocument/2006/relationships/hyperlink" Target="https://licensing.gov.nl.ca/mrinquiryreport/sfjsp?interviewID=MRInquiryReport&amp;Licence=031792M" TargetMode="External"/><Relationship Id="rId42" Type="http://schemas.openxmlformats.org/officeDocument/2006/relationships/hyperlink" Target="http://www.chesterfieldresourcesplc.com/" TargetMode="External"/><Relationship Id="rId47" Type="http://schemas.openxmlformats.org/officeDocument/2006/relationships/image" Target="media/image6.jpeg"/><Relationship Id="rId50" Type="http://schemas.openxmlformats.org/officeDocument/2006/relationships/hyperlink" Target="https://licensing.gov.nl.ca/mrinquiryreport/sfjsp?interviewID=MRInquiryReport&amp;Licence=031789M" TargetMode="External"/><Relationship Id="rId55" Type="http://schemas.openxmlformats.org/officeDocument/2006/relationships/hyperlink" Target="https://licensing.gov.nl.ca/mrinquiryreport/sfjsp?interviewID=MRInquiryReport&amp;Licence=032466M" TargetMode="External"/><Relationship Id="rId63"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lme.com/Metals/Precious-metals/LME-Gold" TargetMode="External"/><Relationship Id="rId11" Type="http://schemas.openxmlformats.org/officeDocument/2006/relationships/image" Target="media/image1.jpeg"/><Relationship Id="rId24" Type="http://schemas.openxmlformats.org/officeDocument/2006/relationships/hyperlink" Target="http://www.lme.com/Metals/Non-ferrous/Copper" TargetMode="External"/><Relationship Id="rId32" Type="http://schemas.openxmlformats.org/officeDocument/2006/relationships/hyperlink" Target="https://licensing.gov.nl.ca/mrinquiryreport/sfjsp?interviewID=MRInquiryReport&amp;Licence=031790M" TargetMode="External"/><Relationship Id="rId37" Type="http://schemas.openxmlformats.org/officeDocument/2006/relationships/hyperlink" Target="https://licensing.gov.nl.ca/mrinquiryreport/sfjsp?interviewID=MRInquiryReport&amp;Licence=032467M" TargetMode="External"/><Relationship Id="rId40" Type="http://schemas.openxmlformats.org/officeDocument/2006/relationships/hyperlink" Target="https://licensing.gov.nl.ca/mrinquiryreport/sfjsp?interviewID=MRInquiryReport&amp;Licence=032470M" TargetMode="External"/><Relationship Id="rId45" Type="http://schemas.openxmlformats.org/officeDocument/2006/relationships/hyperlink" Target="https://www.gov.nl.ca/iet/" TargetMode="External"/><Relationship Id="rId53" Type="http://schemas.openxmlformats.org/officeDocument/2006/relationships/hyperlink" Target="https://licensing.gov.nl.ca/mrinquiryreport/sfjsp?interviewID=MRInquiryReport&amp;Licence=031792M" TargetMode="External"/><Relationship Id="rId58" Type="http://schemas.openxmlformats.org/officeDocument/2006/relationships/hyperlink" Target="https://licensing.gov.nl.ca/mrinquiryreport/sfjsp?interviewID=MRInquiryReport&amp;Licence=032469M" TargetMode="External"/><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image" Target="media/image3.jpeg"/><Relationship Id="rId14" Type="http://schemas.openxmlformats.org/officeDocument/2006/relationships/hyperlink" Target="http://www.lme.com/Metals" TargetMode="External"/><Relationship Id="rId22" Type="http://schemas.openxmlformats.org/officeDocument/2006/relationships/image" Target="media/image4.jpeg"/><Relationship Id="rId27" Type="http://schemas.openxmlformats.org/officeDocument/2006/relationships/hyperlink" Target="https://www.lme.com/Metals/Precious-metals/LME-Gold" TargetMode="External"/><Relationship Id="rId30" Type="http://schemas.openxmlformats.org/officeDocument/2006/relationships/hyperlink" Target="http://www.chesterfieldresourcesplc.com/" TargetMode="External"/><Relationship Id="rId35" Type="http://schemas.openxmlformats.org/officeDocument/2006/relationships/hyperlink" Target="https://licensing.gov.nl.ca/mrinquiryreport/sfjsp?interviewID=MRInquiryReport&amp;Licence=031793M" TargetMode="External"/><Relationship Id="rId43" Type="http://schemas.openxmlformats.org/officeDocument/2006/relationships/hyperlink" Target="http://www.chesterfieldresourcesplc.com/" TargetMode="External"/><Relationship Id="rId48" Type="http://schemas.openxmlformats.org/officeDocument/2006/relationships/image" Target="media/image7.jpeg"/><Relationship Id="rId56" Type="http://schemas.openxmlformats.org/officeDocument/2006/relationships/hyperlink" Target="https://licensing.gov.nl.ca/mrinquiryreport/sfjsp?interviewID=MRInquiryReport&amp;Licence=032467M" TargetMode="External"/><Relationship Id="rId64" Type="http://schemas.openxmlformats.org/officeDocument/2006/relationships/fontTable" Target="fontTable.xml"/><Relationship Id="rId8" Type="http://schemas.openxmlformats.org/officeDocument/2006/relationships/hyperlink" Target="http://www.chesterfieldresourcesplc.com/" TargetMode="External"/><Relationship Id="rId51" Type="http://schemas.openxmlformats.org/officeDocument/2006/relationships/hyperlink" Target="https://licensing.gov.nl.ca/mrinquiryreport/sfjsp?interviewID=MRInquiryReport&amp;Licence=031790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lme.com/Metals" TargetMode="External"/><Relationship Id="rId25" Type="http://schemas.openxmlformats.org/officeDocument/2006/relationships/hyperlink" Target="http://www.lme.com/Metals/Non-ferrous/Copper" TargetMode="External"/><Relationship Id="rId33" Type="http://schemas.openxmlformats.org/officeDocument/2006/relationships/hyperlink" Target="https://licensing.gov.nl.ca/mrinquiryreport/sfjsp?interviewID=MRInquiryReport&amp;Licence=031791M" TargetMode="External"/><Relationship Id="rId38" Type="http://schemas.openxmlformats.org/officeDocument/2006/relationships/hyperlink" Target="https://licensing.gov.nl.ca/mrinquiryreport/sfjsp?interviewID=MRInquiryReport&amp;Licence=032468M" TargetMode="External"/><Relationship Id="rId46" Type="http://schemas.openxmlformats.org/officeDocument/2006/relationships/hyperlink" Target="https://gis.geosurv.gov.nl.ca" TargetMode="External"/><Relationship Id="rId59" Type="http://schemas.openxmlformats.org/officeDocument/2006/relationships/hyperlink" Target="https://licensing.gov.nl.ca/mrinquiryreport/sfjsp?interviewID=MRInquiryReport&amp;Licence=032470M" TargetMode="External"/><Relationship Id="rId20" Type="http://schemas.openxmlformats.org/officeDocument/2006/relationships/hyperlink" Target="http://www.lme.com/Metals" TargetMode="External"/><Relationship Id="rId41" Type="http://schemas.openxmlformats.org/officeDocument/2006/relationships/hyperlink" Target="http://www.chesterfieldresourcesplc.com/" TargetMode="External"/><Relationship Id="rId54" Type="http://schemas.openxmlformats.org/officeDocument/2006/relationships/hyperlink" Target="https://licensing.gov.nl.ca/mrinquiryreport/sfjsp?interviewID=MRInquiryReport&amp;Licence=031793M" TargetMode="External"/><Relationship Id="rId62"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esterfieldresourcesplc.com/" TargetMode="External"/><Relationship Id="rId23" Type="http://schemas.openxmlformats.org/officeDocument/2006/relationships/image" Target="media/image5.jpeg"/><Relationship Id="rId28" Type="http://schemas.openxmlformats.org/officeDocument/2006/relationships/hyperlink" Target="https://www.lme.com/Metals/Precious-metals/LME-Gold" TargetMode="External"/><Relationship Id="rId36" Type="http://schemas.openxmlformats.org/officeDocument/2006/relationships/hyperlink" Target="https://licensing.gov.nl.ca/mrinquiryreport/sfjsp?interviewID=MRInquiryReport&amp;Licence=032466M" TargetMode="External"/><Relationship Id="rId49" Type="http://schemas.openxmlformats.org/officeDocument/2006/relationships/image" Target="media/image8.jpg"/><Relationship Id="rId57" Type="http://schemas.openxmlformats.org/officeDocument/2006/relationships/hyperlink" Target="https://licensing.gov.nl.ca/mrinquiryreport/sfjsp?interviewID=MRInquiryReport&amp;Licence=032468M" TargetMode="External"/><Relationship Id="rId10" Type="http://schemas.openxmlformats.org/officeDocument/2006/relationships/hyperlink" Target="http://www.chesterfieldresourcesplc.com/" TargetMode="External"/><Relationship Id="rId31" Type="http://schemas.openxmlformats.org/officeDocument/2006/relationships/hyperlink" Target="https://licensing.gov.nl.ca/mrinquiryreport/sfjsp?interviewID=MRInquiryReport&amp;Licence=031789M" TargetMode="External"/><Relationship Id="rId44" Type="http://schemas.openxmlformats.org/officeDocument/2006/relationships/hyperlink" Target="https://www.gov.nl.ca/iet/" TargetMode="External"/><Relationship Id="rId52" Type="http://schemas.openxmlformats.org/officeDocument/2006/relationships/hyperlink" Target="https://licensing.gov.nl.ca/mrinquiryreport/sfjsp?interviewID=MRInquiryReport&amp;Licence=031791M" TargetMode="External"/><Relationship Id="rId60" Type="http://schemas.openxmlformats.org/officeDocument/2006/relationships/image" Target="media/image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hesterfieldresourcesplc.com/" TargetMode="External"/><Relationship Id="rId13" Type="http://schemas.openxmlformats.org/officeDocument/2006/relationships/hyperlink" Target="http://www.lme.com/Metals" TargetMode="External"/><Relationship Id="rId18" Type="http://schemas.openxmlformats.org/officeDocument/2006/relationships/hyperlink" Target="https://www.lme.com/Metals/Precious-metals/LME-Gold" TargetMode="External"/><Relationship Id="rId39" Type="http://schemas.openxmlformats.org/officeDocument/2006/relationships/hyperlink" Target="https://licensing.gov.nl.ca/mrinquiryreport/sfjsp?interviewID=MRInquiryReport&amp;Licence=03246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8FFA-E681-4D73-98A5-6F39522F2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121</Pages>
  <Words>60323</Words>
  <Characters>330372</Characters>
  <Application>Microsoft Office Word</Application>
  <DocSecurity>0</DocSecurity>
  <Lines>2753</Lines>
  <Paragraphs>779</Paragraphs>
  <ScaleCrop>false</ScaleCrop>
  <HeadingPairs>
    <vt:vector size="2" baseType="variant">
      <vt:variant>
        <vt:lpstr>Title</vt:lpstr>
      </vt:variant>
      <vt:variant>
        <vt:i4>1</vt:i4>
      </vt:variant>
    </vt:vector>
  </HeadingPairs>
  <TitlesOfParts>
    <vt:vector size="1" baseType="lpstr">
      <vt:lpstr>Microsoft Word - 2020.12.08 Chesterfield Resources Plc - Prospectus - Final Version</vt:lpstr>
    </vt:vector>
  </TitlesOfParts>
  <Company/>
  <LinksUpToDate>false</LinksUpToDate>
  <CharactersWithSpaces>389916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- 2020.12.08 Chesterfield Resources Plc - Prospectus - Final Version</dc:title>
  <dc:subject/>
  <dc:creator>NFRYDA</dc:creator>
  <cp:keywords/>
  <dc:description/>
  <cp:lastModifiedBy>S Parmar</cp:lastModifiedBy>
  <cp:revision>7</cp:revision>
  <cp:lastPrinted>2021-06-07T15:16:00Z</cp:lastPrinted>
  <dcterms:created xsi:type="dcterms:W3CDTF">2021-07-06T16:21:00Z</dcterms:created>
  <dcterms:modified xsi:type="dcterms:W3CDTF">2021-07-07T06:31:00Z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