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D6AA225" w14:textId="77777777" w:rsidR="008D13E5" w:rsidRDefault="008D13E5" w:rsidP="00EF073F">
      <w:pPr>
        <w:jc w:val="center"/>
        <w:rPr>
          <w:rFonts w:ascii="Verdana" w:hAnsi="Verdana"/>
          <w:sz w:val="20"/>
          <w:szCs w:val="20"/>
        </w:rPr>
      </w:pPr>
    </w:p>
    <w:p w14:paraId="2EDB4CB2" w14:textId="77777777" w:rsidR="00EF257D" w:rsidRPr="00FD1272" w:rsidRDefault="008D13E5" w:rsidP="00EF257D">
      <w:pPr>
        <w:jc w:val="center"/>
        <w:rPr>
          <w:rFonts w:ascii="Verdana" w:hAnsi="Verdana"/>
          <w:sz w:val="20"/>
          <w:szCs w:val="20"/>
        </w:rPr>
      </w:pPr>
      <w:r w:rsidRPr="00FD1272">
        <w:rPr>
          <w:rFonts w:ascii="Verdana" w:hAnsi="Verdana"/>
          <w:sz w:val="20"/>
          <w:szCs w:val="20"/>
        </w:rPr>
        <w:t>Companies Act 2006</w:t>
      </w:r>
    </w:p>
    <w:p w14:paraId="2E1A07D4" w14:textId="77777777" w:rsidR="008D13E5" w:rsidRPr="00FD1272" w:rsidRDefault="00A77173" w:rsidP="00EF073F">
      <w:pPr>
        <w:jc w:val="center"/>
        <w:rPr>
          <w:rFonts w:ascii="Verdana" w:hAnsi="Verdana"/>
          <w:sz w:val="20"/>
          <w:szCs w:val="20"/>
        </w:rPr>
      </w:pPr>
      <w:r w:rsidRPr="00FD1272">
        <w:rPr>
          <w:rFonts w:ascii="Verdana" w:hAnsi="Verdana"/>
          <w:sz w:val="20"/>
          <w:szCs w:val="20"/>
        </w:rPr>
        <w:t>Ordinary and Special Resolutions of</w:t>
      </w:r>
    </w:p>
    <w:p w14:paraId="37AB2E93" w14:textId="77777777" w:rsidR="008D13E5" w:rsidRPr="00FD1272" w:rsidRDefault="008D13E5" w:rsidP="00EF073F">
      <w:pPr>
        <w:jc w:val="center"/>
        <w:rPr>
          <w:rFonts w:ascii="Verdana" w:hAnsi="Verdana"/>
          <w:sz w:val="20"/>
          <w:szCs w:val="20"/>
        </w:rPr>
      </w:pPr>
      <w:r w:rsidRPr="00FD1272">
        <w:rPr>
          <w:rFonts w:ascii="Verdana" w:hAnsi="Verdana"/>
          <w:b/>
          <w:sz w:val="20"/>
          <w:szCs w:val="20"/>
        </w:rPr>
        <w:t>IntegraFin Holdings plc</w:t>
      </w:r>
      <w:r w:rsidR="0062466E" w:rsidRPr="00FD1272">
        <w:rPr>
          <w:rFonts w:ascii="Verdana" w:hAnsi="Verdana"/>
          <w:b/>
          <w:sz w:val="20"/>
          <w:szCs w:val="20"/>
        </w:rPr>
        <w:t xml:space="preserve"> </w:t>
      </w:r>
      <w:r w:rsidR="0062466E" w:rsidRPr="00FD1272">
        <w:rPr>
          <w:rFonts w:ascii="Verdana" w:hAnsi="Verdana"/>
          <w:sz w:val="20"/>
          <w:szCs w:val="20"/>
        </w:rPr>
        <w:t>(the “Company”)</w:t>
      </w:r>
    </w:p>
    <w:p w14:paraId="3D26A015" w14:textId="77777777" w:rsidR="00A84943" w:rsidRPr="00FD1272" w:rsidRDefault="00A84943" w:rsidP="00EF073F">
      <w:pPr>
        <w:jc w:val="center"/>
        <w:rPr>
          <w:rFonts w:ascii="Verdana" w:hAnsi="Verdana"/>
          <w:b/>
          <w:sz w:val="20"/>
          <w:szCs w:val="20"/>
        </w:rPr>
      </w:pPr>
    </w:p>
    <w:p w14:paraId="0DD827F0" w14:textId="5334FC53" w:rsidR="008D13E5" w:rsidRDefault="008D13E5" w:rsidP="00D15726">
      <w:pPr>
        <w:jc w:val="both"/>
        <w:rPr>
          <w:rFonts w:ascii="Verdana" w:hAnsi="Verdana"/>
          <w:sz w:val="20"/>
          <w:szCs w:val="20"/>
        </w:rPr>
      </w:pPr>
      <w:r w:rsidRPr="00FD1272">
        <w:rPr>
          <w:rFonts w:ascii="Verdana" w:hAnsi="Verdana"/>
          <w:sz w:val="20"/>
          <w:szCs w:val="20"/>
        </w:rPr>
        <w:t xml:space="preserve">At </w:t>
      </w:r>
      <w:r w:rsidR="00A84943" w:rsidRPr="00FD1272">
        <w:rPr>
          <w:rFonts w:ascii="Verdana" w:hAnsi="Verdana"/>
          <w:sz w:val="20"/>
          <w:szCs w:val="20"/>
        </w:rPr>
        <w:t>an</w:t>
      </w:r>
      <w:r w:rsidRPr="00FD1272">
        <w:rPr>
          <w:rFonts w:ascii="Verdana" w:hAnsi="Verdana"/>
          <w:sz w:val="20"/>
          <w:szCs w:val="20"/>
        </w:rPr>
        <w:t xml:space="preserve"> Annual General Meeting of the above Company, duly convened and held </w:t>
      </w:r>
      <w:r w:rsidR="00A84943" w:rsidRPr="00FD1272">
        <w:rPr>
          <w:rFonts w:ascii="Verdana" w:hAnsi="Verdana"/>
          <w:sz w:val="20"/>
          <w:szCs w:val="20"/>
        </w:rPr>
        <w:t xml:space="preserve">at the registered office </w:t>
      </w:r>
      <w:r w:rsidR="00FD1272" w:rsidRPr="00FD1272">
        <w:rPr>
          <w:rFonts w:ascii="Verdana" w:hAnsi="Verdana"/>
          <w:sz w:val="20"/>
          <w:szCs w:val="20"/>
        </w:rPr>
        <w:t xml:space="preserve">on </w:t>
      </w:r>
      <w:r w:rsidR="000079AA">
        <w:rPr>
          <w:rFonts w:ascii="Verdana" w:hAnsi="Verdana"/>
          <w:sz w:val="20"/>
          <w:szCs w:val="20"/>
        </w:rPr>
        <w:t>2</w:t>
      </w:r>
      <w:r w:rsidR="000079AA">
        <w:rPr>
          <w:rFonts w:ascii="Verdana" w:hAnsi="Verdana"/>
          <w:sz w:val="20"/>
          <w:szCs w:val="20"/>
        </w:rPr>
        <w:t>6</w:t>
      </w:r>
      <w:r w:rsidR="000079AA">
        <w:rPr>
          <w:rFonts w:ascii="Verdana" w:hAnsi="Verdana"/>
          <w:sz w:val="20"/>
          <w:szCs w:val="20"/>
        </w:rPr>
        <w:t xml:space="preserve"> </w:t>
      </w:r>
      <w:r w:rsidR="00B72029">
        <w:rPr>
          <w:rFonts w:ascii="Verdana" w:hAnsi="Verdana"/>
          <w:sz w:val="20"/>
          <w:szCs w:val="20"/>
        </w:rPr>
        <w:t xml:space="preserve">February </w:t>
      </w:r>
      <w:r w:rsidR="000079AA">
        <w:rPr>
          <w:rFonts w:ascii="Verdana" w:hAnsi="Verdana"/>
          <w:sz w:val="20"/>
          <w:szCs w:val="20"/>
        </w:rPr>
        <w:t>2026</w:t>
      </w:r>
      <w:r w:rsidRPr="00407BB8">
        <w:rPr>
          <w:rFonts w:ascii="Verdana" w:hAnsi="Verdana"/>
          <w:sz w:val="20"/>
          <w:szCs w:val="20"/>
        </w:rPr>
        <w:t xml:space="preserve"> the following resolutions were duly passed: </w:t>
      </w:r>
    </w:p>
    <w:p w14:paraId="3880E1A7" w14:textId="77777777" w:rsidR="004230D4" w:rsidRDefault="004230D4" w:rsidP="00C24F34">
      <w:pPr>
        <w:rPr>
          <w:rFonts w:ascii="Verdana" w:hAnsi="Verdana"/>
          <w:sz w:val="20"/>
          <w:szCs w:val="20"/>
        </w:rPr>
      </w:pPr>
    </w:p>
    <w:p w14:paraId="435D97BD" w14:textId="77777777" w:rsidR="004230D4" w:rsidRPr="00407BB8" w:rsidRDefault="004230D4" w:rsidP="00C24F34">
      <w:pPr>
        <w:rPr>
          <w:rFonts w:ascii="Verdana" w:hAnsi="Verdana"/>
          <w:sz w:val="20"/>
          <w:szCs w:val="20"/>
        </w:rPr>
      </w:pPr>
    </w:p>
    <w:p w14:paraId="7892FFDA" w14:textId="77777777" w:rsidR="00B9537F" w:rsidRPr="00407BB8" w:rsidRDefault="00B9537F" w:rsidP="00B9537F">
      <w:pPr>
        <w:autoSpaceDE w:val="0"/>
        <w:autoSpaceDN w:val="0"/>
        <w:adjustRightInd w:val="0"/>
        <w:spacing w:after="160" w:line="259" w:lineRule="auto"/>
        <w:jc w:val="center"/>
        <w:rPr>
          <w:rFonts w:ascii="Verdana" w:hAnsi="Verdana"/>
          <w:b/>
          <w:sz w:val="20"/>
          <w:szCs w:val="20"/>
          <w:u w:val="single"/>
        </w:rPr>
      </w:pPr>
      <w:r w:rsidRPr="00407BB8">
        <w:rPr>
          <w:rFonts w:ascii="Verdana" w:hAnsi="Verdana"/>
          <w:b/>
          <w:sz w:val="20"/>
          <w:szCs w:val="20"/>
          <w:u w:val="single"/>
        </w:rPr>
        <w:t>Special Resolutions</w:t>
      </w:r>
    </w:p>
    <w:p w14:paraId="795D8E20" w14:textId="77777777" w:rsidR="000079AA" w:rsidRDefault="000079AA" w:rsidP="000079AA">
      <w:pPr>
        <w:autoSpaceDE w:val="0"/>
        <w:autoSpaceDN w:val="0"/>
        <w:adjustRightInd w:val="0"/>
        <w:spacing w:line="259" w:lineRule="auto"/>
        <w:jc w:val="both"/>
        <w:rPr>
          <w:rFonts w:ascii="Verdana" w:hAnsi="Verdana"/>
          <w:sz w:val="20"/>
          <w:szCs w:val="20"/>
        </w:rPr>
      </w:pPr>
      <w:r w:rsidRPr="000079AA">
        <w:rPr>
          <w:rFonts w:ascii="Verdana" w:hAnsi="Verdana"/>
          <w:sz w:val="20"/>
          <w:szCs w:val="20"/>
        </w:rPr>
        <w:t xml:space="preserve">Disapplication of pre-emption rights </w:t>
      </w:r>
    </w:p>
    <w:p w14:paraId="62777AB1" w14:textId="77777777" w:rsidR="000079AA" w:rsidRDefault="000079AA" w:rsidP="000079AA">
      <w:pPr>
        <w:autoSpaceDE w:val="0"/>
        <w:autoSpaceDN w:val="0"/>
        <w:adjustRightInd w:val="0"/>
        <w:spacing w:line="259" w:lineRule="auto"/>
        <w:jc w:val="both"/>
        <w:rPr>
          <w:rFonts w:ascii="Verdana" w:hAnsi="Verdana"/>
          <w:sz w:val="20"/>
          <w:szCs w:val="20"/>
        </w:rPr>
      </w:pPr>
    </w:p>
    <w:p w14:paraId="7F9734F6" w14:textId="15225DDC" w:rsidR="000079AA" w:rsidRPr="000079AA" w:rsidRDefault="000079AA" w:rsidP="000079AA">
      <w:pPr>
        <w:autoSpaceDE w:val="0"/>
        <w:autoSpaceDN w:val="0"/>
        <w:adjustRightInd w:val="0"/>
        <w:spacing w:line="259" w:lineRule="auto"/>
        <w:jc w:val="both"/>
        <w:rPr>
          <w:rFonts w:ascii="Verdana" w:hAnsi="Verdana"/>
          <w:sz w:val="20"/>
          <w:szCs w:val="20"/>
        </w:rPr>
      </w:pPr>
      <w:r w:rsidRPr="000079AA">
        <w:rPr>
          <w:rFonts w:ascii="Verdana" w:hAnsi="Verdana"/>
          <w:sz w:val="20"/>
          <w:szCs w:val="20"/>
        </w:rPr>
        <w:t xml:space="preserve">Special resolution </w:t>
      </w:r>
    </w:p>
    <w:p w14:paraId="6EF3B3E2" w14:textId="77777777" w:rsidR="000079AA" w:rsidRPr="000079AA" w:rsidRDefault="000079AA" w:rsidP="000079AA">
      <w:pPr>
        <w:autoSpaceDE w:val="0"/>
        <w:autoSpaceDN w:val="0"/>
        <w:adjustRightInd w:val="0"/>
        <w:spacing w:line="259" w:lineRule="auto"/>
        <w:jc w:val="both"/>
        <w:rPr>
          <w:rFonts w:ascii="Verdana" w:hAnsi="Verdana"/>
          <w:sz w:val="20"/>
          <w:szCs w:val="20"/>
        </w:rPr>
      </w:pPr>
    </w:p>
    <w:p w14:paraId="5BC2FDC6" w14:textId="77777777" w:rsidR="000079AA" w:rsidRDefault="000079AA" w:rsidP="000079AA">
      <w:pPr>
        <w:autoSpaceDE w:val="0"/>
        <w:autoSpaceDN w:val="0"/>
        <w:adjustRightInd w:val="0"/>
        <w:spacing w:after="160" w:line="259" w:lineRule="auto"/>
        <w:contextualSpacing/>
        <w:jc w:val="both"/>
        <w:rPr>
          <w:rFonts w:ascii="Verdana" w:hAnsi="Verdana"/>
          <w:sz w:val="20"/>
          <w:szCs w:val="20"/>
        </w:rPr>
      </w:pPr>
      <w:r w:rsidRPr="000079AA">
        <w:rPr>
          <w:rFonts w:ascii="Verdana" w:hAnsi="Verdana"/>
          <w:sz w:val="20"/>
          <w:szCs w:val="20"/>
        </w:rPr>
        <w:t xml:space="preserve">16. That, if resolution 15 set out in this notice is passed, the directors of the Company be and are hereby empowered pursuant to section 570 of the 2006 Act to allot equity securities (as defined in section 560 of the 2006 Act) for cash pursuant to the general authority conferred by resolution 15 above and/or to sell equity securities held as treasury shares for cash pursuant to section 727 of the 2006 Act, in each case, as if section 561 of the 2006 Act did not apply to any such allotment or sale, provided that this power shall be limited to: </w:t>
      </w:r>
    </w:p>
    <w:p w14:paraId="10360AF8" w14:textId="77777777" w:rsidR="000079AA" w:rsidRDefault="000079AA" w:rsidP="000079AA">
      <w:pPr>
        <w:autoSpaceDE w:val="0"/>
        <w:autoSpaceDN w:val="0"/>
        <w:adjustRightInd w:val="0"/>
        <w:spacing w:after="160" w:line="259" w:lineRule="auto"/>
        <w:contextualSpacing/>
        <w:jc w:val="both"/>
        <w:rPr>
          <w:rFonts w:ascii="Verdana" w:hAnsi="Verdana"/>
          <w:sz w:val="20"/>
          <w:szCs w:val="20"/>
        </w:rPr>
      </w:pPr>
    </w:p>
    <w:p w14:paraId="7BDD532D" w14:textId="77777777" w:rsidR="000079AA" w:rsidRDefault="000079AA" w:rsidP="000079AA">
      <w:pPr>
        <w:autoSpaceDE w:val="0"/>
        <w:autoSpaceDN w:val="0"/>
        <w:adjustRightInd w:val="0"/>
        <w:spacing w:after="160" w:line="259" w:lineRule="auto"/>
        <w:ind w:left="720"/>
        <w:contextualSpacing/>
        <w:jc w:val="both"/>
        <w:rPr>
          <w:rFonts w:ascii="Verdana" w:hAnsi="Verdana"/>
          <w:sz w:val="20"/>
          <w:szCs w:val="20"/>
        </w:rPr>
      </w:pPr>
      <w:r w:rsidRPr="000079AA">
        <w:rPr>
          <w:rFonts w:ascii="Verdana" w:hAnsi="Verdana"/>
          <w:sz w:val="20"/>
          <w:szCs w:val="20"/>
        </w:rPr>
        <w:t xml:space="preserve">16.1 any such allotment and/or sale of equity securities in connection with an offer or issue by way of rights or other pre-emptive offer or issue, open for acceptance for a period fixed by the directors, to holders of Ordinary Shares on the register on any record date fixed by the directors in proportion (as nearly as may be) to the respective numbers of Ordinary Shares deemed to be held by them, subject to such exclusions or other arrangements as the directors may deem necessary or expedient in relation to fractional entitlements, legal, regulatory or practical problems arising in any overseas territory, the requirements of any regulatory body or stock exchange or any other matter whatsoever; and </w:t>
      </w:r>
    </w:p>
    <w:p w14:paraId="22C2A6D1" w14:textId="77777777" w:rsidR="000079AA" w:rsidRDefault="000079AA" w:rsidP="000079AA">
      <w:pPr>
        <w:autoSpaceDE w:val="0"/>
        <w:autoSpaceDN w:val="0"/>
        <w:adjustRightInd w:val="0"/>
        <w:spacing w:after="160" w:line="259" w:lineRule="auto"/>
        <w:ind w:left="720"/>
        <w:contextualSpacing/>
        <w:jc w:val="both"/>
        <w:rPr>
          <w:rFonts w:ascii="Verdana" w:hAnsi="Verdana"/>
          <w:sz w:val="20"/>
          <w:szCs w:val="20"/>
        </w:rPr>
      </w:pPr>
    </w:p>
    <w:p w14:paraId="75526F96" w14:textId="77777777" w:rsidR="000079AA" w:rsidRDefault="000079AA" w:rsidP="000079AA">
      <w:pPr>
        <w:autoSpaceDE w:val="0"/>
        <w:autoSpaceDN w:val="0"/>
        <w:adjustRightInd w:val="0"/>
        <w:spacing w:after="160" w:line="259" w:lineRule="auto"/>
        <w:ind w:left="720"/>
        <w:contextualSpacing/>
        <w:jc w:val="both"/>
        <w:rPr>
          <w:rFonts w:ascii="Verdana" w:hAnsi="Verdana"/>
          <w:sz w:val="20"/>
          <w:szCs w:val="20"/>
        </w:rPr>
      </w:pPr>
      <w:r w:rsidRPr="000079AA">
        <w:rPr>
          <w:rFonts w:ascii="Verdana" w:hAnsi="Verdana"/>
          <w:sz w:val="20"/>
          <w:szCs w:val="20"/>
        </w:rPr>
        <w:t xml:space="preserve">16.2 any such allotment and/or sale, otherwise than pursuant to sub-paragraph 16.1 above, of equity securities having, in the case of Ordinary Shares, an aggregate nominal value or, in the case of other equity securities, giving the right to subscribe for or convert into Ordinary Shares having an aggregate nominal value not exceeding £165,661.01 representing 5% of the aggregate nominal value of the issued share capital of the Company as at 6 January 2026, </w:t>
      </w:r>
    </w:p>
    <w:p w14:paraId="068AEF23" w14:textId="77777777" w:rsidR="000079AA" w:rsidRDefault="000079AA" w:rsidP="000079AA">
      <w:pPr>
        <w:autoSpaceDE w:val="0"/>
        <w:autoSpaceDN w:val="0"/>
        <w:adjustRightInd w:val="0"/>
        <w:spacing w:after="160" w:line="259" w:lineRule="auto"/>
        <w:ind w:left="720"/>
        <w:contextualSpacing/>
        <w:jc w:val="both"/>
        <w:rPr>
          <w:rFonts w:ascii="Verdana" w:hAnsi="Verdana"/>
          <w:sz w:val="20"/>
          <w:szCs w:val="20"/>
        </w:rPr>
      </w:pPr>
    </w:p>
    <w:p w14:paraId="42493182" w14:textId="77777777" w:rsidR="000079AA" w:rsidRDefault="000079AA" w:rsidP="000079AA">
      <w:pPr>
        <w:autoSpaceDE w:val="0"/>
        <w:autoSpaceDN w:val="0"/>
        <w:adjustRightInd w:val="0"/>
        <w:spacing w:after="160" w:line="259" w:lineRule="auto"/>
        <w:ind w:left="720"/>
        <w:contextualSpacing/>
        <w:jc w:val="both"/>
        <w:rPr>
          <w:rFonts w:ascii="Verdana" w:hAnsi="Verdana"/>
          <w:sz w:val="20"/>
          <w:szCs w:val="20"/>
        </w:rPr>
      </w:pPr>
      <w:r w:rsidRPr="000079AA">
        <w:rPr>
          <w:rFonts w:ascii="Verdana" w:hAnsi="Verdana"/>
          <w:sz w:val="20"/>
          <w:szCs w:val="20"/>
        </w:rPr>
        <w:t xml:space="preserve">such authority to expire (unless previously varied as to duration, revoked or renewed by the Company in general meeting) at the conclusion of the next AGM of the Company or within 15 months of the date of the passing of this resolution (whichever is the earlier), except that the Company may before such expiry make an offer or agreement which would or might require equity securities to be allotted or equity securities held as treasury shares to be sold after such expiry and the directors may allot equity securities and/ or sell equity securities held as treasury shares in pursuance of such offer or agreement as if the power conferred by this resolution had not expired. </w:t>
      </w:r>
    </w:p>
    <w:p w14:paraId="669D9182" w14:textId="77777777" w:rsidR="000079AA" w:rsidRDefault="000079AA" w:rsidP="000079AA">
      <w:pPr>
        <w:autoSpaceDE w:val="0"/>
        <w:autoSpaceDN w:val="0"/>
        <w:adjustRightInd w:val="0"/>
        <w:spacing w:after="160" w:line="259" w:lineRule="auto"/>
        <w:contextualSpacing/>
        <w:jc w:val="both"/>
        <w:rPr>
          <w:rFonts w:ascii="Verdana" w:hAnsi="Verdana"/>
          <w:sz w:val="20"/>
          <w:szCs w:val="20"/>
        </w:rPr>
      </w:pPr>
      <w:r w:rsidRPr="000079AA">
        <w:rPr>
          <w:rFonts w:ascii="Verdana" w:hAnsi="Verdana"/>
          <w:sz w:val="20"/>
          <w:szCs w:val="20"/>
        </w:rPr>
        <w:lastRenderedPageBreak/>
        <w:t xml:space="preserve">Further disapplication of pre-emption rights for acquisitions or specified capital investment </w:t>
      </w:r>
    </w:p>
    <w:p w14:paraId="5B5A87DE" w14:textId="77777777" w:rsidR="000079AA" w:rsidRDefault="000079AA" w:rsidP="000079AA">
      <w:pPr>
        <w:autoSpaceDE w:val="0"/>
        <w:autoSpaceDN w:val="0"/>
        <w:adjustRightInd w:val="0"/>
        <w:spacing w:after="160" w:line="259" w:lineRule="auto"/>
        <w:contextualSpacing/>
        <w:jc w:val="both"/>
        <w:rPr>
          <w:rFonts w:ascii="Verdana" w:hAnsi="Verdana"/>
          <w:sz w:val="20"/>
          <w:szCs w:val="20"/>
        </w:rPr>
      </w:pPr>
    </w:p>
    <w:p w14:paraId="1CD9C929" w14:textId="77777777" w:rsidR="000079AA" w:rsidRDefault="000079AA" w:rsidP="000079AA">
      <w:pPr>
        <w:autoSpaceDE w:val="0"/>
        <w:autoSpaceDN w:val="0"/>
        <w:adjustRightInd w:val="0"/>
        <w:spacing w:after="160" w:line="259" w:lineRule="auto"/>
        <w:contextualSpacing/>
        <w:jc w:val="both"/>
        <w:rPr>
          <w:rFonts w:ascii="Verdana" w:hAnsi="Verdana"/>
          <w:sz w:val="20"/>
          <w:szCs w:val="20"/>
        </w:rPr>
      </w:pPr>
      <w:r w:rsidRPr="000079AA">
        <w:rPr>
          <w:rFonts w:ascii="Verdana" w:hAnsi="Verdana"/>
          <w:sz w:val="20"/>
          <w:szCs w:val="20"/>
        </w:rPr>
        <w:t xml:space="preserve">Special resolution </w:t>
      </w:r>
    </w:p>
    <w:p w14:paraId="27B75109" w14:textId="77777777" w:rsidR="000079AA" w:rsidRDefault="000079AA" w:rsidP="000079AA">
      <w:pPr>
        <w:autoSpaceDE w:val="0"/>
        <w:autoSpaceDN w:val="0"/>
        <w:adjustRightInd w:val="0"/>
        <w:spacing w:after="160" w:line="259" w:lineRule="auto"/>
        <w:contextualSpacing/>
        <w:jc w:val="both"/>
        <w:rPr>
          <w:rFonts w:ascii="Verdana" w:hAnsi="Verdana"/>
          <w:sz w:val="20"/>
          <w:szCs w:val="20"/>
        </w:rPr>
      </w:pPr>
    </w:p>
    <w:p w14:paraId="7B7F3245" w14:textId="77777777" w:rsidR="000079AA" w:rsidRDefault="000079AA" w:rsidP="000079AA">
      <w:pPr>
        <w:autoSpaceDE w:val="0"/>
        <w:autoSpaceDN w:val="0"/>
        <w:adjustRightInd w:val="0"/>
        <w:spacing w:after="160" w:line="259" w:lineRule="auto"/>
        <w:contextualSpacing/>
        <w:jc w:val="both"/>
        <w:rPr>
          <w:rFonts w:ascii="Verdana" w:hAnsi="Verdana"/>
          <w:sz w:val="20"/>
          <w:szCs w:val="20"/>
        </w:rPr>
      </w:pPr>
      <w:r w:rsidRPr="000079AA">
        <w:rPr>
          <w:rFonts w:ascii="Verdana" w:hAnsi="Verdana"/>
          <w:sz w:val="20"/>
          <w:szCs w:val="20"/>
        </w:rPr>
        <w:t xml:space="preserve">17. That, if resolution 15 set out in the notice convening this meeting is passed, the directors of the Company be and are hereby empowered pursuant to section 570 of the 2006 Act to allot equity securities (as defined in section 560 of the 2006 Act) for cash pursuant to the general authority conferred by resolution 18 above and/or to sell equity securities held as treasury shares for cash pursuant to section 727 of the 2006 Act, in each case, as if section 561 of the 2006 Act did not apply to any such allotment or sale, provided that this power shall be: </w:t>
      </w:r>
    </w:p>
    <w:p w14:paraId="13B1C382" w14:textId="77777777" w:rsidR="000079AA" w:rsidRDefault="000079AA" w:rsidP="000079AA">
      <w:pPr>
        <w:autoSpaceDE w:val="0"/>
        <w:autoSpaceDN w:val="0"/>
        <w:adjustRightInd w:val="0"/>
        <w:spacing w:after="160" w:line="259" w:lineRule="auto"/>
        <w:contextualSpacing/>
        <w:jc w:val="both"/>
        <w:rPr>
          <w:rFonts w:ascii="Verdana" w:hAnsi="Verdana"/>
          <w:sz w:val="20"/>
          <w:szCs w:val="20"/>
        </w:rPr>
      </w:pPr>
    </w:p>
    <w:p w14:paraId="6CEDBF4B" w14:textId="77777777" w:rsidR="000079AA" w:rsidRDefault="000079AA" w:rsidP="000079AA">
      <w:pPr>
        <w:autoSpaceDE w:val="0"/>
        <w:autoSpaceDN w:val="0"/>
        <w:adjustRightInd w:val="0"/>
        <w:spacing w:after="160" w:line="259" w:lineRule="auto"/>
        <w:ind w:left="720"/>
        <w:contextualSpacing/>
        <w:jc w:val="both"/>
        <w:rPr>
          <w:rFonts w:ascii="Verdana" w:hAnsi="Verdana"/>
          <w:sz w:val="20"/>
          <w:szCs w:val="20"/>
        </w:rPr>
      </w:pPr>
      <w:r w:rsidRPr="000079AA">
        <w:rPr>
          <w:rFonts w:ascii="Verdana" w:hAnsi="Verdana"/>
          <w:sz w:val="20"/>
          <w:szCs w:val="20"/>
        </w:rPr>
        <w:t xml:space="preserve">17.1 limited to any such allotment and/or sale of equity securities having, in the case of Ordinary Shares, an aggregate nominal value or, in the case of other equity securities, giving the right to subscribe for or convert into Ordinary Shares having an aggregate nominal value, not exceeding £165,661.01 representing 5% of the aggregate nominal value of the issued share capital of the Company as at 6 January 2026; and </w:t>
      </w:r>
    </w:p>
    <w:p w14:paraId="17C8230D" w14:textId="77777777" w:rsidR="000079AA" w:rsidRDefault="000079AA" w:rsidP="000079AA">
      <w:pPr>
        <w:autoSpaceDE w:val="0"/>
        <w:autoSpaceDN w:val="0"/>
        <w:adjustRightInd w:val="0"/>
        <w:spacing w:after="160" w:line="259" w:lineRule="auto"/>
        <w:ind w:left="720"/>
        <w:contextualSpacing/>
        <w:jc w:val="both"/>
        <w:rPr>
          <w:rFonts w:ascii="Verdana" w:hAnsi="Verdana"/>
          <w:sz w:val="20"/>
          <w:szCs w:val="20"/>
        </w:rPr>
      </w:pPr>
    </w:p>
    <w:p w14:paraId="269DC3DB" w14:textId="77777777" w:rsidR="000079AA" w:rsidRDefault="000079AA" w:rsidP="000079AA">
      <w:pPr>
        <w:autoSpaceDE w:val="0"/>
        <w:autoSpaceDN w:val="0"/>
        <w:adjustRightInd w:val="0"/>
        <w:spacing w:after="160" w:line="259" w:lineRule="auto"/>
        <w:ind w:left="720"/>
        <w:contextualSpacing/>
        <w:jc w:val="both"/>
        <w:rPr>
          <w:rFonts w:ascii="Verdana" w:hAnsi="Verdana"/>
          <w:sz w:val="20"/>
          <w:szCs w:val="20"/>
        </w:rPr>
      </w:pPr>
      <w:r w:rsidRPr="000079AA">
        <w:rPr>
          <w:rFonts w:ascii="Verdana" w:hAnsi="Verdana"/>
          <w:sz w:val="20"/>
          <w:szCs w:val="20"/>
        </w:rPr>
        <w:t xml:space="preserve">17.2 used only for the purposes of financing (or refinancing, if the authority is to be used within six months after the original transaction) a transaction which the directors determine to be an acquisition or other capital investment of a kind contemplated by the Statement of Principles in Dis-applying Pre-emption Rights most recently published by the Pre-emption Group to the date of this resolution, </w:t>
      </w:r>
    </w:p>
    <w:p w14:paraId="091B5E0B" w14:textId="77777777" w:rsidR="000079AA" w:rsidRDefault="000079AA" w:rsidP="000079AA">
      <w:pPr>
        <w:autoSpaceDE w:val="0"/>
        <w:autoSpaceDN w:val="0"/>
        <w:adjustRightInd w:val="0"/>
        <w:spacing w:after="160" w:line="259" w:lineRule="auto"/>
        <w:ind w:left="720"/>
        <w:contextualSpacing/>
        <w:jc w:val="both"/>
        <w:rPr>
          <w:rFonts w:ascii="Verdana" w:hAnsi="Verdana"/>
          <w:sz w:val="20"/>
          <w:szCs w:val="20"/>
        </w:rPr>
      </w:pPr>
    </w:p>
    <w:p w14:paraId="28583B68" w14:textId="77777777" w:rsidR="000079AA" w:rsidRDefault="000079AA" w:rsidP="000079AA">
      <w:pPr>
        <w:autoSpaceDE w:val="0"/>
        <w:autoSpaceDN w:val="0"/>
        <w:adjustRightInd w:val="0"/>
        <w:spacing w:after="160" w:line="259" w:lineRule="auto"/>
        <w:ind w:left="720"/>
        <w:contextualSpacing/>
        <w:jc w:val="both"/>
        <w:rPr>
          <w:rFonts w:ascii="Verdana" w:hAnsi="Verdana"/>
          <w:sz w:val="20"/>
          <w:szCs w:val="20"/>
        </w:rPr>
      </w:pPr>
      <w:r w:rsidRPr="000079AA">
        <w:rPr>
          <w:rFonts w:ascii="Verdana" w:hAnsi="Verdana"/>
          <w:sz w:val="20"/>
          <w:szCs w:val="20"/>
        </w:rPr>
        <w:t xml:space="preserve">such authority to expire (unless previously varied as to duration, revoked or renewed by the Company in general meeting) at the conclusion of the next AGM of the Company or within 15 months of the date of the passing of this resolution (whichever is the earlier), except that the Company may before such expiry make an offer or agreement which would or might require equity securities to be allotted or equity securities held as treasury shares to be sold after such expiry and the directors may allot equity securities and/ or sell equity securities held as treasury shares in pursuance of such offer or agreement as if the power conferred by this resolution had not expired. </w:t>
      </w:r>
      <w:proofErr w:type="spellStart"/>
      <w:r w:rsidRPr="000079AA">
        <w:rPr>
          <w:rFonts w:ascii="Verdana" w:hAnsi="Verdana"/>
          <w:sz w:val="20"/>
          <w:szCs w:val="20"/>
        </w:rPr>
        <w:t>IntegraFin</w:t>
      </w:r>
      <w:proofErr w:type="spellEnd"/>
      <w:r w:rsidRPr="000079AA">
        <w:rPr>
          <w:rFonts w:ascii="Verdana" w:hAnsi="Verdana"/>
          <w:sz w:val="20"/>
          <w:szCs w:val="20"/>
        </w:rPr>
        <w:t xml:space="preserve"> Holdings plc</w:t>
      </w:r>
      <w:r w:rsidRPr="000079AA">
        <w:rPr>
          <w:rFonts w:ascii="Verdana" w:hAnsi="Verdana"/>
          <w:sz w:val="20"/>
          <w:szCs w:val="20"/>
        </w:rPr>
        <w:t> </w:t>
      </w:r>
      <w:r w:rsidRPr="000079AA">
        <w:rPr>
          <w:rFonts w:ascii="Verdana" w:hAnsi="Verdana"/>
          <w:sz w:val="20"/>
          <w:szCs w:val="20"/>
        </w:rPr>
        <w:t xml:space="preserve">Notice of Annual General Meeting 2026 7 </w:t>
      </w:r>
    </w:p>
    <w:p w14:paraId="7A0E0E3F" w14:textId="77777777" w:rsidR="000079AA" w:rsidRDefault="000079AA" w:rsidP="000079AA">
      <w:pPr>
        <w:autoSpaceDE w:val="0"/>
        <w:autoSpaceDN w:val="0"/>
        <w:adjustRightInd w:val="0"/>
        <w:spacing w:after="160" w:line="259" w:lineRule="auto"/>
        <w:contextualSpacing/>
        <w:jc w:val="both"/>
        <w:rPr>
          <w:rFonts w:ascii="Verdana" w:hAnsi="Verdana"/>
          <w:sz w:val="20"/>
          <w:szCs w:val="20"/>
        </w:rPr>
      </w:pPr>
    </w:p>
    <w:p w14:paraId="6FBAFF52" w14:textId="77777777" w:rsidR="000079AA" w:rsidRDefault="000079AA" w:rsidP="000079AA">
      <w:pPr>
        <w:autoSpaceDE w:val="0"/>
        <w:autoSpaceDN w:val="0"/>
        <w:adjustRightInd w:val="0"/>
        <w:spacing w:after="160" w:line="259" w:lineRule="auto"/>
        <w:contextualSpacing/>
        <w:jc w:val="both"/>
        <w:rPr>
          <w:rFonts w:ascii="Verdana" w:hAnsi="Verdana"/>
          <w:sz w:val="20"/>
          <w:szCs w:val="20"/>
        </w:rPr>
      </w:pPr>
      <w:r w:rsidRPr="000079AA">
        <w:rPr>
          <w:rFonts w:ascii="Verdana" w:hAnsi="Verdana"/>
          <w:sz w:val="20"/>
          <w:szCs w:val="20"/>
        </w:rPr>
        <w:t xml:space="preserve">Purchases of Ordinary Shares by the Company </w:t>
      </w:r>
    </w:p>
    <w:p w14:paraId="3DAC79AE" w14:textId="77777777" w:rsidR="000079AA" w:rsidRDefault="000079AA" w:rsidP="000079AA">
      <w:pPr>
        <w:autoSpaceDE w:val="0"/>
        <w:autoSpaceDN w:val="0"/>
        <w:adjustRightInd w:val="0"/>
        <w:spacing w:after="160" w:line="259" w:lineRule="auto"/>
        <w:contextualSpacing/>
        <w:jc w:val="both"/>
        <w:rPr>
          <w:rFonts w:ascii="Verdana" w:hAnsi="Verdana"/>
          <w:sz w:val="20"/>
          <w:szCs w:val="20"/>
        </w:rPr>
      </w:pPr>
    </w:p>
    <w:p w14:paraId="44F08320" w14:textId="77777777" w:rsidR="000079AA" w:rsidRDefault="000079AA" w:rsidP="000079AA">
      <w:pPr>
        <w:autoSpaceDE w:val="0"/>
        <w:autoSpaceDN w:val="0"/>
        <w:adjustRightInd w:val="0"/>
        <w:spacing w:after="160" w:line="259" w:lineRule="auto"/>
        <w:contextualSpacing/>
        <w:jc w:val="both"/>
        <w:rPr>
          <w:rFonts w:ascii="Verdana" w:hAnsi="Verdana"/>
          <w:sz w:val="20"/>
          <w:szCs w:val="20"/>
        </w:rPr>
      </w:pPr>
      <w:r w:rsidRPr="000079AA">
        <w:rPr>
          <w:rFonts w:ascii="Verdana" w:hAnsi="Verdana"/>
          <w:sz w:val="20"/>
          <w:szCs w:val="20"/>
        </w:rPr>
        <w:t xml:space="preserve">Special resolution </w:t>
      </w:r>
    </w:p>
    <w:p w14:paraId="7AADD444" w14:textId="77777777" w:rsidR="000079AA" w:rsidRDefault="000079AA" w:rsidP="000079AA">
      <w:pPr>
        <w:autoSpaceDE w:val="0"/>
        <w:autoSpaceDN w:val="0"/>
        <w:adjustRightInd w:val="0"/>
        <w:spacing w:after="160" w:line="259" w:lineRule="auto"/>
        <w:contextualSpacing/>
        <w:jc w:val="both"/>
        <w:rPr>
          <w:rFonts w:ascii="Verdana" w:hAnsi="Verdana"/>
          <w:sz w:val="20"/>
          <w:szCs w:val="20"/>
        </w:rPr>
      </w:pPr>
    </w:p>
    <w:p w14:paraId="36068DB0" w14:textId="77777777" w:rsidR="000079AA" w:rsidRDefault="000079AA" w:rsidP="000079AA">
      <w:pPr>
        <w:autoSpaceDE w:val="0"/>
        <w:autoSpaceDN w:val="0"/>
        <w:adjustRightInd w:val="0"/>
        <w:spacing w:after="160" w:line="259" w:lineRule="auto"/>
        <w:contextualSpacing/>
        <w:jc w:val="both"/>
        <w:rPr>
          <w:rFonts w:ascii="Verdana" w:hAnsi="Verdana"/>
          <w:sz w:val="20"/>
          <w:szCs w:val="20"/>
        </w:rPr>
      </w:pPr>
      <w:r w:rsidRPr="000079AA">
        <w:rPr>
          <w:rFonts w:ascii="Verdana" w:hAnsi="Verdana"/>
          <w:sz w:val="20"/>
          <w:szCs w:val="20"/>
        </w:rPr>
        <w:t xml:space="preserve">18. That, the Company be and is generally and unconditionally authorised to make market purchases (within the meaning of section 693(4) of the 2006 Act) of its Ordinary Shares, provided that, in doing so, it: </w:t>
      </w:r>
    </w:p>
    <w:p w14:paraId="3C3E2F13" w14:textId="77777777" w:rsidR="000079AA" w:rsidRDefault="000079AA" w:rsidP="000079AA">
      <w:pPr>
        <w:autoSpaceDE w:val="0"/>
        <w:autoSpaceDN w:val="0"/>
        <w:adjustRightInd w:val="0"/>
        <w:spacing w:after="160" w:line="259" w:lineRule="auto"/>
        <w:contextualSpacing/>
        <w:jc w:val="both"/>
        <w:rPr>
          <w:rFonts w:ascii="Verdana" w:hAnsi="Verdana"/>
          <w:sz w:val="20"/>
          <w:szCs w:val="20"/>
        </w:rPr>
      </w:pPr>
    </w:p>
    <w:p w14:paraId="07DDBD95" w14:textId="77777777" w:rsidR="000079AA" w:rsidRDefault="000079AA" w:rsidP="000079AA">
      <w:pPr>
        <w:autoSpaceDE w:val="0"/>
        <w:autoSpaceDN w:val="0"/>
        <w:adjustRightInd w:val="0"/>
        <w:spacing w:after="160" w:line="259" w:lineRule="auto"/>
        <w:ind w:left="720"/>
        <w:contextualSpacing/>
        <w:jc w:val="both"/>
        <w:rPr>
          <w:rFonts w:ascii="Verdana" w:hAnsi="Verdana"/>
          <w:sz w:val="20"/>
          <w:szCs w:val="20"/>
        </w:rPr>
      </w:pPr>
      <w:r w:rsidRPr="000079AA">
        <w:rPr>
          <w:rFonts w:ascii="Verdana" w:hAnsi="Verdana"/>
          <w:sz w:val="20"/>
          <w:szCs w:val="20"/>
        </w:rPr>
        <w:t xml:space="preserve">18.1 purchases not more than 33,132,201 shares representing 10% of the issued share capital of the Company, in aggregate as at 6 January </w:t>
      </w:r>
      <w:proofErr w:type="gramStart"/>
      <w:r w:rsidRPr="000079AA">
        <w:rPr>
          <w:rFonts w:ascii="Verdana" w:hAnsi="Verdana"/>
          <w:sz w:val="20"/>
          <w:szCs w:val="20"/>
        </w:rPr>
        <w:t>2026;</w:t>
      </w:r>
      <w:proofErr w:type="gramEnd"/>
      <w:r w:rsidRPr="000079AA">
        <w:rPr>
          <w:rFonts w:ascii="Verdana" w:hAnsi="Verdana"/>
          <w:sz w:val="20"/>
          <w:szCs w:val="20"/>
        </w:rPr>
        <w:t xml:space="preserve"> </w:t>
      </w:r>
    </w:p>
    <w:p w14:paraId="0F4D7331" w14:textId="77777777" w:rsidR="000079AA" w:rsidRDefault="000079AA" w:rsidP="000079AA">
      <w:pPr>
        <w:autoSpaceDE w:val="0"/>
        <w:autoSpaceDN w:val="0"/>
        <w:adjustRightInd w:val="0"/>
        <w:spacing w:after="160" w:line="259" w:lineRule="auto"/>
        <w:ind w:left="720"/>
        <w:contextualSpacing/>
        <w:jc w:val="both"/>
        <w:rPr>
          <w:rFonts w:ascii="Verdana" w:hAnsi="Verdana"/>
          <w:sz w:val="20"/>
          <w:szCs w:val="20"/>
        </w:rPr>
      </w:pPr>
    </w:p>
    <w:p w14:paraId="67E6146A" w14:textId="77777777" w:rsidR="000079AA" w:rsidRDefault="000079AA" w:rsidP="000079AA">
      <w:pPr>
        <w:autoSpaceDE w:val="0"/>
        <w:autoSpaceDN w:val="0"/>
        <w:adjustRightInd w:val="0"/>
        <w:spacing w:after="160" w:line="259" w:lineRule="auto"/>
        <w:ind w:left="720"/>
        <w:contextualSpacing/>
        <w:jc w:val="both"/>
        <w:rPr>
          <w:rFonts w:ascii="Verdana" w:hAnsi="Verdana"/>
          <w:sz w:val="20"/>
          <w:szCs w:val="20"/>
        </w:rPr>
      </w:pPr>
      <w:r w:rsidRPr="000079AA">
        <w:rPr>
          <w:rFonts w:ascii="Verdana" w:hAnsi="Verdana"/>
          <w:sz w:val="20"/>
          <w:szCs w:val="20"/>
        </w:rPr>
        <w:t xml:space="preserve">18.2 pays not less than one pence (excluding expenses) per Ordinary Share; and </w:t>
      </w:r>
    </w:p>
    <w:p w14:paraId="171B0E24" w14:textId="77777777" w:rsidR="000079AA" w:rsidRDefault="000079AA" w:rsidP="000079AA">
      <w:pPr>
        <w:autoSpaceDE w:val="0"/>
        <w:autoSpaceDN w:val="0"/>
        <w:adjustRightInd w:val="0"/>
        <w:spacing w:after="160" w:line="259" w:lineRule="auto"/>
        <w:ind w:left="1440"/>
        <w:contextualSpacing/>
        <w:jc w:val="both"/>
        <w:rPr>
          <w:rFonts w:ascii="Verdana" w:hAnsi="Verdana"/>
          <w:sz w:val="20"/>
          <w:szCs w:val="20"/>
        </w:rPr>
      </w:pPr>
      <w:r w:rsidRPr="000079AA">
        <w:rPr>
          <w:rFonts w:ascii="Verdana" w:hAnsi="Verdana"/>
          <w:sz w:val="20"/>
          <w:szCs w:val="20"/>
        </w:rPr>
        <w:lastRenderedPageBreak/>
        <w:t xml:space="preserve">18.3 pays a price per Ordinary Share that is not more (excluding expenses) per Ordinary Share than the higher of: (1) 105% of the average middle market quotations for an Ordinary Share, as derived from the London Stock Exchange Daily Official List, for the five business days immediately preceding the day on which the Ordinary Share is purchased; and (2) the amount equal to the higher of the price of the last independent trade of an Ordinary Share and the highest current independent bid for an Ordinary Share as derived from the London Stock Exchange trading service (SETS), </w:t>
      </w:r>
    </w:p>
    <w:p w14:paraId="32BE7965" w14:textId="77777777" w:rsidR="000079AA" w:rsidRDefault="000079AA" w:rsidP="000079AA">
      <w:pPr>
        <w:autoSpaceDE w:val="0"/>
        <w:autoSpaceDN w:val="0"/>
        <w:adjustRightInd w:val="0"/>
        <w:spacing w:after="160" w:line="259" w:lineRule="auto"/>
        <w:ind w:left="1440"/>
        <w:contextualSpacing/>
        <w:jc w:val="both"/>
        <w:rPr>
          <w:rFonts w:ascii="Verdana" w:hAnsi="Verdana"/>
          <w:sz w:val="20"/>
          <w:szCs w:val="20"/>
        </w:rPr>
      </w:pPr>
    </w:p>
    <w:p w14:paraId="579A66E7" w14:textId="77777777" w:rsidR="000079AA" w:rsidRDefault="000079AA" w:rsidP="000079AA">
      <w:pPr>
        <w:autoSpaceDE w:val="0"/>
        <w:autoSpaceDN w:val="0"/>
        <w:adjustRightInd w:val="0"/>
        <w:spacing w:after="160" w:line="259" w:lineRule="auto"/>
        <w:ind w:left="1440"/>
        <w:contextualSpacing/>
        <w:jc w:val="both"/>
        <w:rPr>
          <w:rFonts w:ascii="Verdana" w:hAnsi="Verdana"/>
          <w:sz w:val="20"/>
          <w:szCs w:val="20"/>
        </w:rPr>
      </w:pPr>
      <w:r w:rsidRPr="000079AA">
        <w:rPr>
          <w:rFonts w:ascii="Verdana" w:hAnsi="Verdana"/>
          <w:sz w:val="20"/>
          <w:szCs w:val="20"/>
        </w:rPr>
        <w:t xml:space="preserve">such authority to expire (unless previously varied as to duration, revoked or renewed by the Company in general meeting) at the conclusion of the next AGM of the Company or within 15 months of the date of the passing of this resolution (whichever is the earlier), except that the Company may, if it agrees to purchase Ordinary Shares pursuant to the authority before it expires, complete the purchase wholly or partially after the authority expires. </w:t>
      </w:r>
    </w:p>
    <w:p w14:paraId="17EB26D3" w14:textId="77777777" w:rsidR="000079AA" w:rsidRDefault="000079AA" w:rsidP="000079AA">
      <w:pPr>
        <w:autoSpaceDE w:val="0"/>
        <w:autoSpaceDN w:val="0"/>
        <w:adjustRightInd w:val="0"/>
        <w:spacing w:after="160" w:line="259" w:lineRule="auto"/>
        <w:contextualSpacing/>
        <w:jc w:val="both"/>
        <w:rPr>
          <w:rFonts w:ascii="Verdana" w:hAnsi="Verdana"/>
          <w:sz w:val="20"/>
          <w:szCs w:val="20"/>
        </w:rPr>
      </w:pPr>
    </w:p>
    <w:p w14:paraId="4E8A1B2E" w14:textId="77777777" w:rsidR="000079AA" w:rsidRDefault="000079AA" w:rsidP="000079AA">
      <w:pPr>
        <w:autoSpaceDE w:val="0"/>
        <w:autoSpaceDN w:val="0"/>
        <w:adjustRightInd w:val="0"/>
        <w:spacing w:after="160" w:line="259" w:lineRule="auto"/>
        <w:contextualSpacing/>
        <w:jc w:val="both"/>
        <w:rPr>
          <w:rFonts w:ascii="Verdana" w:hAnsi="Verdana"/>
          <w:sz w:val="20"/>
          <w:szCs w:val="20"/>
        </w:rPr>
      </w:pPr>
      <w:r w:rsidRPr="000079AA">
        <w:rPr>
          <w:rFonts w:ascii="Verdana" w:hAnsi="Verdana"/>
          <w:sz w:val="20"/>
          <w:szCs w:val="20"/>
        </w:rPr>
        <w:t xml:space="preserve">Notice of general meetings </w:t>
      </w:r>
    </w:p>
    <w:p w14:paraId="26F9B3B6" w14:textId="77777777" w:rsidR="000079AA" w:rsidRDefault="000079AA" w:rsidP="000079AA">
      <w:pPr>
        <w:autoSpaceDE w:val="0"/>
        <w:autoSpaceDN w:val="0"/>
        <w:adjustRightInd w:val="0"/>
        <w:spacing w:after="160" w:line="259" w:lineRule="auto"/>
        <w:contextualSpacing/>
        <w:jc w:val="both"/>
        <w:rPr>
          <w:rFonts w:ascii="Verdana" w:hAnsi="Verdana"/>
          <w:sz w:val="20"/>
          <w:szCs w:val="20"/>
        </w:rPr>
      </w:pPr>
    </w:p>
    <w:p w14:paraId="6D00BD45" w14:textId="77777777" w:rsidR="000079AA" w:rsidRDefault="000079AA" w:rsidP="000079AA">
      <w:pPr>
        <w:autoSpaceDE w:val="0"/>
        <w:autoSpaceDN w:val="0"/>
        <w:adjustRightInd w:val="0"/>
        <w:spacing w:after="160" w:line="259" w:lineRule="auto"/>
        <w:contextualSpacing/>
        <w:jc w:val="both"/>
        <w:rPr>
          <w:rFonts w:ascii="Verdana" w:hAnsi="Verdana"/>
          <w:sz w:val="20"/>
          <w:szCs w:val="20"/>
        </w:rPr>
      </w:pPr>
      <w:r w:rsidRPr="000079AA">
        <w:rPr>
          <w:rFonts w:ascii="Verdana" w:hAnsi="Verdana"/>
          <w:sz w:val="20"/>
          <w:szCs w:val="20"/>
        </w:rPr>
        <w:t xml:space="preserve">Special resolution </w:t>
      </w:r>
    </w:p>
    <w:p w14:paraId="0A886C33" w14:textId="77777777" w:rsidR="000079AA" w:rsidRDefault="000079AA" w:rsidP="000079AA">
      <w:pPr>
        <w:autoSpaceDE w:val="0"/>
        <w:autoSpaceDN w:val="0"/>
        <w:adjustRightInd w:val="0"/>
        <w:spacing w:after="160" w:line="259" w:lineRule="auto"/>
        <w:contextualSpacing/>
        <w:jc w:val="both"/>
        <w:rPr>
          <w:rFonts w:ascii="Verdana" w:hAnsi="Verdana"/>
          <w:sz w:val="20"/>
          <w:szCs w:val="20"/>
        </w:rPr>
      </w:pPr>
    </w:p>
    <w:p w14:paraId="7059CC41" w14:textId="5069EBD0" w:rsidR="004230D4" w:rsidRPr="00035C02" w:rsidRDefault="000079AA" w:rsidP="000079AA">
      <w:pPr>
        <w:autoSpaceDE w:val="0"/>
        <w:autoSpaceDN w:val="0"/>
        <w:adjustRightInd w:val="0"/>
        <w:spacing w:after="160" w:line="259" w:lineRule="auto"/>
        <w:contextualSpacing/>
        <w:jc w:val="both"/>
        <w:rPr>
          <w:rFonts w:ascii="Verdana" w:hAnsi="Verdana"/>
          <w:sz w:val="20"/>
          <w:szCs w:val="20"/>
        </w:rPr>
      </w:pPr>
      <w:r w:rsidRPr="000079AA">
        <w:rPr>
          <w:rFonts w:ascii="Verdana" w:hAnsi="Verdana"/>
          <w:sz w:val="20"/>
          <w:szCs w:val="20"/>
        </w:rPr>
        <w:t>19. That a general meeting (other than an AGM) of the Company may be called on not less than 14 clear days’ notice in accordance with section 307A of the 2006 Act.</w:t>
      </w:r>
    </w:p>
    <w:sectPr w:rsidR="004230D4" w:rsidRPr="00035C02" w:rsidSect="00744050">
      <w:headerReference w:type="default" r:id="rId8"/>
      <w:footerReference w:type="default" r:id="rId9"/>
      <w:pgSz w:w="11906" w:h="16838"/>
      <w:pgMar w:top="1258" w:right="1797" w:bottom="1440" w:left="1797"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99122D6" w14:textId="77777777" w:rsidR="00B52F68" w:rsidRDefault="00B52F68">
      <w:r>
        <w:separator/>
      </w:r>
    </w:p>
  </w:endnote>
  <w:endnote w:type="continuationSeparator" w:id="0">
    <w:p w14:paraId="6AAC760D" w14:textId="77777777" w:rsidR="00B52F68" w:rsidRDefault="00B52F6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D15C19" w14:textId="77777777" w:rsidR="00C60B98" w:rsidRPr="006A2F88" w:rsidRDefault="00C60B98" w:rsidP="00A93625">
    <w:pPr>
      <w:pStyle w:val="Footer"/>
      <w:jc w:val="center"/>
      <w:rPr>
        <w:rFonts w:ascii="Verdana" w:hAnsi="Verdana"/>
        <w:sz w:val="16"/>
        <w:szCs w:val="16"/>
      </w:rPr>
    </w:pPr>
    <w:r w:rsidRPr="006A2F88">
      <w:rPr>
        <w:rFonts w:ascii="Verdana" w:hAnsi="Verdana"/>
        <w:sz w:val="16"/>
        <w:szCs w:val="16"/>
      </w:rPr>
      <w:t xml:space="preserve">Page </w:t>
    </w:r>
    <w:r w:rsidRPr="006A2F88">
      <w:rPr>
        <w:rFonts w:ascii="Verdana" w:hAnsi="Verdana"/>
        <w:sz w:val="16"/>
        <w:szCs w:val="16"/>
      </w:rPr>
      <w:fldChar w:fldCharType="begin"/>
    </w:r>
    <w:r w:rsidRPr="006A2F88">
      <w:rPr>
        <w:rFonts w:ascii="Verdana" w:hAnsi="Verdana"/>
        <w:sz w:val="16"/>
        <w:szCs w:val="16"/>
      </w:rPr>
      <w:instrText xml:space="preserve"> PAGE </w:instrText>
    </w:r>
    <w:r w:rsidRPr="006A2F88">
      <w:rPr>
        <w:rFonts w:ascii="Verdana" w:hAnsi="Verdana"/>
        <w:sz w:val="16"/>
        <w:szCs w:val="16"/>
      </w:rPr>
      <w:fldChar w:fldCharType="separate"/>
    </w:r>
    <w:r w:rsidR="007B76E8">
      <w:rPr>
        <w:rFonts w:ascii="Verdana" w:hAnsi="Verdana"/>
        <w:noProof/>
        <w:sz w:val="16"/>
        <w:szCs w:val="16"/>
      </w:rPr>
      <w:t>3</w:t>
    </w:r>
    <w:r w:rsidRPr="006A2F88">
      <w:rPr>
        <w:rFonts w:ascii="Verdana" w:hAnsi="Verdana"/>
        <w:sz w:val="16"/>
        <w:szCs w:val="16"/>
      </w:rPr>
      <w:fldChar w:fldCharType="end"/>
    </w:r>
    <w:r w:rsidRPr="006A2F88">
      <w:rPr>
        <w:rFonts w:ascii="Verdana" w:hAnsi="Verdana"/>
        <w:sz w:val="16"/>
        <w:szCs w:val="16"/>
      </w:rPr>
      <w:t xml:space="preserve"> of </w:t>
    </w:r>
    <w:r w:rsidRPr="006A2F88">
      <w:rPr>
        <w:rFonts w:ascii="Verdana" w:hAnsi="Verdana"/>
        <w:sz w:val="16"/>
        <w:szCs w:val="16"/>
      </w:rPr>
      <w:fldChar w:fldCharType="begin"/>
    </w:r>
    <w:r w:rsidRPr="006A2F88">
      <w:rPr>
        <w:rFonts w:ascii="Verdana" w:hAnsi="Verdana"/>
        <w:sz w:val="16"/>
        <w:szCs w:val="16"/>
      </w:rPr>
      <w:instrText xml:space="preserve"> NUMPAGES </w:instrText>
    </w:r>
    <w:r w:rsidRPr="006A2F88">
      <w:rPr>
        <w:rFonts w:ascii="Verdana" w:hAnsi="Verdana"/>
        <w:sz w:val="16"/>
        <w:szCs w:val="16"/>
      </w:rPr>
      <w:fldChar w:fldCharType="separate"/>
    </w:r>
    <w:r w:rsidR="007B76E8">
      <w:rPr>
        <w:rFonts w:ascii="Verdana" w:hAnsi="Verdana"/>
        <w:noProof/>
        <w:sz w:val="16"/>
        <w:szCs w:val="16"/>
      </w:rPr>
      <w:t>3</w:t>
    </w:r>
    <w:r w:rsidRPr="006A2F88">
      <w:rPr>
        <w:rFonts w:ascii="Verdana" w:hAnsi="Verdana"/>
        <w:sz w:val="16"/>
        <w:szCs w:val="16"/>
      </w:rPr>
      <w:fldChar w:fldCharType="end"/>
    </w:r>
  </w:p>
  <w:p w14:paraId="38C7213F" w14:textId="77777777" w:rsidR="00C60B98" w:rsidRPr="00A93625" w:rsidRDefault="00C60B98" w:rsidP="00A93625">
    <w:pPr>
      <w:pStyle w:val="Footer"/>
      <w:rPr>
        <w:szCs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760A101" w14:textId="77777777" w:rsidR="00B52F68" w:rsidRDefault="00B52F68">
      <w:r>
        <w:separator/>
      </w:r>
    </w:p>
  </w:footnote>
  <w:footnote w:type="continuationSeparator" w:id="0">
    <w:p w14:paraId="6DD0E254" w14:textId="77777777" w:rsidR="00B52F68" w:rsidRDefault="00B52F6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8D59C2" w14:textId="77777777" w:rsidR="00C60B98" w:rsidRPr="00C24F34" w:rsidRDefault="00C60B98" w:rsidP="00A84943">
    <w:pPr>
      <w:pStyle w:val="Header"/>
      <w:rPr>
        <w:rFonts w:ascii="Verdana" w:hAnsi="Verdana"/>
        <w:noProof/>
        <w:sz w:val="20"/>
        <w:szCs w:val="20"/>
      </w:rPr>
    </w:pPr>
    <w:r w:rsidRPr="00C24F34">
      <w:rPr>
        <w:rFonts w:ascii="Verdana" w:hAnsi="Verdana"/>
        <w:noProof/>
        <w:sz w:val="20"/>
        <w:szCs w:val="20"/>
      </w:rPr>
      <w:t>Company number: 08860879</w:t>
    </w:r>
  </w:p>
  <w:p w14:paraId="66B947E8" w14:textId="77777777" w:rsidR="00C60B98" w:rsidRPr="00A84943" w:rsidRDefault="00C60B98" w:rsidP="00A84943">
    <w:pPr>
      <w:pStyle w:val="Header"/>
      <w:rPr>
        <w:noProof/>
      </w:rPr>
    </w:pPr>
  </w:p>
  <w:p w14:paraId="6D0886B7" w14:textId="77777777" w:rsidR="00C60B98" w:rsidRPr="00FD4EA9" w:rsidRDefault="00C60B98" w:rsidP="00FD4EA9">
    <w:pPr>
      <w:pStyle w:val="Header"/>
    </w:pPr>
    <w:r>
      <w:rPr>
        <w:noProof/>
      </w:rPr>
      <w:tab/>
    </w:r>
    <w:r>
      <w:rPr>
        <w:noProof/>
      </w:rPr>
      <w:tab/>
    </w:r>
    <w:r w:rsidRPr="00057262">
      <w:rPr>
        <w:noProof/>
      </w:rPr>
      <w:pict w14:anchorId="6B1B20DA">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3" o:spid="_x0000_i1025" type="#_x0000_t75" style="width:128.25pt;height:24pt;visibility:visible">
          <v:imagedata r:id="rId1" o:title=""/>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6C7C5D"/>
    <w:multiLevelType w:val="hybridMultilevel"/>
    <w:tmpl w:val="54C0B3DE"/>
    <w:lvl w:ilvl="0" w:tplc="00368E40">
      <w:start w:val="2"/>
      <w:numFmt w:val="decimal"/>
      <w:lvlText w:val="%1."/>
      <w:lvlJc w:val="left"/>
      <w:pPr>
        <w:tabs>
          <w:tab w:val="num" w:pos="720"/>
        </w:tabs>
        <w:ind w:left="720" w:hanging="360"/>
      </w:pPr>
      <w:rPr>
        <w:rFonts w:hint="default"/>
        <w:b/>
      </w:rPr>
    </w:lvl>
    <w:lvl w:ilvl="1" w:tplc="08090019">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 w15:restartNumberingAfterBreak="0">
    <w:nsid w:val="064B1005"/>
    <w:multiLevelType w:val="hybridMultilevel"/>
    <w:tmpl w:val="818443D2"/>
    <w:lvl w:ilvl="0" w:tplc="63042518">
      <w:start w:val="5"/>
      <w:numFmt w:val="bullet"/>
      <w:lvlText w:val="-"/>
      <w:lvlJc w:val="left"/>
      <w:pPr>
        <w:ind w:left="720" w:hanging="360"/>
      </w:pPr>
      <w:rPr>
        <w:rFonts w:ascii="Verdana" w:eastAsia="Times New Roman" w:hAnsi="Verdana"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D9A7A31"/>
    <w:multiLevelType w:val="hybridMultilevel"/>
    <w:tmpl w:val="1F44E81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669751A"/>
    <w:multiLevelType w:val="multilevel"/>
    <w:tmpl w:val="E5E4E386"/>
    <w:lvl w:ilvl="0">
      <w:start w:val="17"/>
      <w:numFmt w:val="decimal"/>
      <w:lvlText w:val="%1."/>
      <w:lvlJc w:val="left"/>
      <w:pPr>
        <w:ind w:left="720" w:hanging="360"/>
      </w:pPr>
      <w:rPr>
        <w:rFonts w:hint="default"/>
      </w:rPr>
    </w:lvl>
    <w:lvl w:ilvl="1">
      <w:start w:val="1"/>
      <w:numFmt w:val="decimal"/>
      <w:isLgl/>
      <w:lvlText w:val="%1.%2"/>
      <w:lvlJc w:val="left"/>
      <w:pPr>
        <w:ind w:left="144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3240" w:hanging="144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4320" w:hanging="1800"/>
      </w:pPr>
      <w:rPr>
        <w:rFonts w:hint="default"/>
      </w:rPr>
    </w:lvl>
    <w:lvl w:ilvl="7">
      <w:start w:val="1"/>
      <w:numFmt w:val="decimal"/>
      <w:isLgl/>
      <w:lvlText w:val="%1.%2.%3.%4.%5.%6.%7.%8"/>
      <w:lvlJc w:val="left"/>
      <w:pPr>
        <w:ind w:left="5040" w:hanging="2160"/>
      </w:pPr>
      <w:rPr>
        <w:rFonts w:hint="default"/>
      </w:rPr>
    </w:lvl>
    <w:lvl w:ilvl="8">
      <w:start w:val="1"/>
      <w:numFmt w:val="decimal"/>
      <w:isLgl/>
      <w:lvlText w:val="%1.%2.%3.%4.%5.%6.%7.%8.%9"/>
      <w:lvlJc w:val="left"/>
      <w:pPr>
        <w:ind w:left="5400" w:hanging="2160"/>
      </w:pPr>
      <w:rPr>
        <w:rFonts w:hint="default"/>
      </w:rPr>
    </w:lvl>
  </w:abstractNum>
  <w:abstractNum w:abstractNumId="4" w15:restartNumberingAfterBreak="0">
    <w:nsid w:val="21712464"/>
    <w:multiLevelType w:val="hybridMultilevel"/>
    <w:tmpl w:val="B5028EF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24383A5D"/>
    <w:multiLevelType w:val="hybridMultilevel"/>
    <w:tmpl w:val="9A60DEA8"/>
    <w:lvl w:ilvl="0" w:tplc="0809000F">
      <w:start w:val="1"/>
      <w:numFmt w:val="decimal"/>
      <w:lvlText w:val="%1."/>
      <w:lvlJc w:val="left"/>
      <w:pPr>
        <w:ind w:left="720" w:hanging="360"/>
      </w:pPr>
      <w:rPr>
        <w:rFonts w:cs="Times New Roman" w:hint="default"/>
        <w:b w:val="0"/>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2D821B4C"/>
    <w:multiLevelType w:val="multilevel"/>
    <w:tmpl w:val="C4766B24"/>
    <w:lvl w:ilvl="0">
      <w:start w:val="4"/>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720"/>
        </w:tabs>
        <w:ind w:left="720" w:hanging="72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1080"/>
        </w:tabs>
        <w:ind w:left="1080" w:hanging="1080"/>
      </w:pPr>
      <w:rPr>
        <w:rFonts w:cs="Times New Roman" w:hint="default"/>
      </w:rPr>
    </w:lvl>
    <w:lvl w:ilvl="4">
      <w:start w:val="1"/>
      <w:numFmt w:val="decimal"/>
      <w:lvlText w:val="%1.%2.%3.%4.%5"/>
      <w:lvlJc w:val="left"/>
      <w:pPr>
        <w:tabs>
          <w:tab w:val="num" w:pos="1440"/>
        </w:tabs>
        <w:ind w:left="1440" w:hanging="1440"/>
      </w:pPr>
      <w:rPr>
        <w:rFonts w:cs="Times New Roman" w:hint="default"/>
      </w:rPr>
    </w:lvl>
    <w:lvl w:ilvl="5">
      <w:start w:val="1"/>
      <w:numFmt w:val="decimal"/>
      <w:lvlText w:val="%1.%2.%3.%4.%5.%6"/>
      <w:lvlJc w:val="left"/>
      <w:pPr>
        <w:tabs>
          <w:tab w:val="num" w:pos="1440"/>
        </w:tabs>
        <w:ind w:left="1440" w:hanging="1440"/>
      </w:pPr>
      <w:rPr>
        <w:rFonts w:cs="Times New Roman" w:hint="default"/>
      </w:rPr>
    </w:lvl>
    <w:lvl w:ilvl="6">
      <w:start w:val="1"/>
      <w:numFmt w:val="decimal"/>
      <w:lvlText w:val="%1.%2.%3.%4.%5.%6.%7"/>
      <w:lvlJc w:val="left"/>
      <w:pPr>
        <w:tabs>
          <w:tab w:val="num" w:pos="1800"/>
        </w:tabs>
        <w:ind w:left="1800" w:hanging="1800"/>
      </w:pPr>
      <w:rPr>
        <w:rFonts w:cs="Times New Roman" w:hint="default"/>
      </w:rPr>
    </w:lvl>
    <w:lvl w:ilvl="7">
      <w:start w:val="1"/>
      <w:numFmt w:val="decimal"/>
      <w:lvlText w:val="%1.%2.%3.%4.%5.%6.%7.%8"/>
      <w:lvlJc w:val="left"/>
      <w:pPr>
        <w:tabs>
          <w:tab w:val="num" w:pos="2160"/>
        </w:tabs>
        <w:ind w:left="2160" w:hanging="2160"/>
      </w:pPr>
      <w:rPr>
        <w:rFonts w:cs="Times New Roman" w:hint="default"/>
      </w:rPr>
    </w:lvl>
    <w:lvl w:ilvl="8">
      <w:start w:val="1"/>
      <w:numFmt w:val="decimal"/>
      <w:lvlText w:val="%1.%2.%3.%4.%5.%6.%7.%8.%9"/>
      <w:lvlJc w:val="left"/>
      <w:pPr>
        <w:tabs>
          <w:tab w:val="num" w:pos="2160"/>
        </w:tabs>
        <w:ind w:left="2160" w:hanging="2160"/>
      </w:pPr>
      <w:rPr>
        <w:rFonts w:cs="Times New Roman" w:hint="default"/>
      </w:rPr>
    </w:lvl>
  </w:abstractNum>
  <w:abstractNum w:abstractNumId="7" w15:restartNumberingAfterBreak="0">
    <w:nsid w:val="2E4A7906"/>
    <w:multiLevelType w:val="multilevel"/>
    <w:tmpl w:val="5D2E338C"/>
    <w:lvl w:ilvl="0">
      <w:start w:val="5"/>
      <w:numFmt w:val="decimal"/>
      <w:lvlText w:val="%1"/>
      <w:lvlJc w:val="left"/>
      <w:pPr>
        <w:ind w:left="360" w:hanging="36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160" w:hanging="2160"/>
      </w:pPr>
      <w:rPr>
        <w:rFonts w:hint="default"/>
      </w:rPr>
    </w:lvl>
  </w:abstractNum>
  <w:abstractNum w:abstractNumId="8" w15:restartNumberingAfterBreak="0">
    <w:nsid w:val="30BE1CE1"/>
    <w:multiLevelType w:val="hybridMultilevel"/>
    <w:tmpl w:val="1EDC4884"/>
    <w:lvl w:ilvl="0" w:tplc="663A4828">
      <w:start w:val="1"/>
      <w:numFmt w:val="decimal"/>
      <w:lvlText w:val="%1."/>
      <w:lvlJc w:val="left"/>
      <w:pPr>
        <w:tabs>
          <w:tab w:val="num" w:pos="1080"/>
        </w:tabs>
        <w:ind w:left="1080" w:hanging="720"/>
      </w:pPr>
      <w:rPr>
        <w:rFonts w:hint="default"/>
        <w:b/>
      </w:rPr>
    </w:lvl>
    <w:lvl w:ilvl="1" w:tplc="08090001">
      <w:start w:val="1"/>
      <w:numFmt w:val="bullet"/>
      <w:lvlText w:val=""/>
      <w:lvlJc w:val="left"/>
      <w:pPr>
        <w:tabs>
          <w:tab w:val="num" w:pos="1440"/>
        </w:tabs>
        <w:ind w:left="1440" w:hanging="360"/>
      </w:pPr>
      <w:rPr>
        <w:rFonts w:ascii="Symbol" w:hAnsi="Symbol" w:hint="default"/>
      </w:rPr>
    </w:lvl>
    <w:lvl w:ilvl="2" w:tplc="0809001B" w:tentative="1">
      <w:start w:val="1"/>
      <w:numFmt w:val="lowerRoman"/>
      <w:lvlText w:val="%3."/>
      <w:lvlJc w:val="right"/>
      <w:pPr>
        <w:tabs>
          <w:tab w:val="num" w:pos="2160"/>
        </w:tabs>
        <w:ind w:left="2160" w:hanging="180"/>
      </w:pPr>
    </w:lvl>
    <w:lvl w:ilvl="3" w:tplc="0809000F">
      <w:start w:val="1"/>
      <w:numFmt w:val="decimal"/>
      <w:lvlText w:val="%4."/>
      <w:lvlJc w:val="left"/>
      <w:pPr>
        <w:tabs>
          <w:tab w:val="num" w:pos="2880"/>
        </w:tabs>
        <w:ind w:left="2880" w:hanging="360"/>
      </w:pPr>
      <w:rPr>
        <w:rFonts w:hint="default"/>
      </w:r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9" w15:restartNumberingAfterBreak="0">
    <w:nsid w:val="33022262"/>
    <w:multiLevelType w:val="hybridMultilevel"/>
    <w:tmpl w:val="806655CE"/>
    <w:lvl w:ilvl="0" w:tplc="08090001">
      <w:start w:val="1"/>
      <w:numFmt w:val="bullet"/>
      <w:lvlText w:val=""/>
      <w:lvlJc w:val="left"/>
      <w:pPr>
        <w:tabs>
          <w:tab w:val="num" w:pos="720"/>
        </w:tabs>
        <w:ind w:left="720" w:hanging="360"/>
      </w:pPr>
      <w:rPr>
        <w:rFonts w:ascii="Symbol" w:eastAsia="Times New Roman" w:hAnsi="Symbol" w:cs="Times New Roman"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4A1257AE"/>
    <w:multiLevelType w:val="multilevel"/>
    <w:tmpl w:val="DDAE1B08"/>
    <w:lvl w:ilvl="0">
      <w:start w:val="8"/>
      <w:numFmt w:val="decimal"/>
      <w:lvlText w:val="%1"/>
      <w:lvlJc w:val="left"/>
      <w:pPr>
        <w:tabs>
          <w:tab w:val="num" w:pos="360"/>
        </w:tabs>
        <w:ind w:left="360" w:hanging="36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2160"/>
        </w:tabs>
        <w:ind w:left="2160" w:hanging="2160"/>
      </w:pPr>
      <w:rPr>
        <w:rFonts w:hint="default"/>
      </w:rPr>
    </w:lvl>
    <w:lvl w:ilvl="8">
      <w:start w:val="1"/>
      <w:numFmt w:val="decimal"/>
      <w:lvlText w:val="%1.%2.%3.%4.%5.%6.%7.%8.%9"/>
      <w:lvlJc w:val="left"/>
      <w:pPr>
        <w:tabs>
          <w:tab w:val="num" w:pos="2160"/>
        </w:tabs>
        <w:ind w:left="2160" w:hanging="2160"/>
      </w:pPr>
      <w:rPr>
        <w:rFonts w:hint="default"/>
      </w:rPr>
    </w:lvl>
  </w:abstractNum>
  <w:abstractNum w:abstractNumId="11" w15:restartNumberingAfterBreak="0">
    <w:nsid w:val="50B62C36"/>
    <w:multiLevelType w:val="hybridMultilevel"/>
    <w:tmpl w:val="8FBA7A0A"/>
    <w:lvl w:ilvl="0" w:tplc="518CE84E">
      <w:start w:val="19"/>
      <w:numFmt w:val="decimal"/>
      <w:lvlText w:val="%1."/>
      <w:lvlJc w:val="left"/>
      <w:pPr>
        <w:ind w:left="1800" w:hanging="360"/>
      </w:pPr>
      <w:rPr>
        <w:rFonts w:hint="default"/>
      </w:rPr>
    </w:lvl>
    <w:lvl w:ilvl="1" w:tplc="08090019" w:tentative="1">
      <w:start w:val="1"/>
      <w:numFmt w:val="lowerLetter"/>
      <w:lvlText w:val="%2."/>
      <w:lvlJc w:val="left"/>
      <w:pPr>
        <w:ind w:left="2520" w:hanging="360"/>
      </w:pPr>
    </w:lvl>
    <w:lvl w:ilvl="2" w:tplc="0809001B" w:tentative="1">
      <w:start w:val="1"/>
      <w:numFmt w:val="lowerRoman"/>
      <w:lvlText w:val="%3."/>
      <w:lvlJc w:val="right"/>
      <w:pPr>
        <w:ind w:left="3240" w:hanging="180"/>
      </w:pPr>
    </w:lvl>
    <w:lvl w:ilvl="3" w:tplc="0809000F" w:tentative="1">
      <w:start w:val="1"/>
      <w:numFmt w:val="decimal"/>
      <w:lvlText w:val="%4."/>
      <w:lvlJc w:val="left"/>
      <w:pPr>
        <w:ind w:left="3960" w:hanging="360"/>
      </w:pPr>
    </w:lvl>
    <w:lvl w:ilvl="4" w:tplc="08090019" w:tentative="1">
      <w:start w:val="1"/>
      <w:numFmt w:val="lowerLetter"/>
      <w:lvlText w:val="%5."/>
      <w:lvlJc w:val="left"/>
      <w:pPr>
        <w:ind w:left="4680" w:hanging="360"/>
      </w:pPr>
    </w:lvl>
    <w:lvl w:ilvl="5" w:tplc="0809001B" w:tentative="1">
      <w:start w:val="1"/>
      <w:numFmt w:val="lowerRoman"/>
      <w:lvlText w:val="%6."/>
      <w:lvlJc w:val="right"/>
      <w:pPr>
        <w:ind w:left="5400" w:hanging="180"/>
      </w:pPr>
    </w:lvl>
    <w:lvl w:ilvl="6" w:tplc="0809000F" w:tentative="1">
      <w:start w:val="1"/>
      <w:numFmt w:val="decimal"/>
      <w:lvlText w:val="%7."/>
      <w:lvlJc w:val="left"/>
      <w:pPr>
        <w:ind w:left="6120" w:hanging="360"/>
      </w:pPr>
    </w:lvl>
    <w:lvl w:ilvl="7" w:tplc="08090019" w:tentative="1">
      <w:start w:val="1"/>
      <w:numFmt w:val="lowerLetter"/>
      <w:lvlText w:val="%8."/>
      <w:lvlJc w:val="left"/>
      <w:pPr>
        <w:ind w:left="6840" w:hanging="360"/>
      </w:pPr>
    </w:lvl>
    <w:lvl w:ilvl="8" w:tplc="0809001B" w:tentative="1">
      <w:start w:val="1"/>
      <w:numFmt w:val="lowerRoman"/>
      <w:lvlText w:val="%9."/>
      <w:lvlJc w:val="right"/>
      <w:pPr>
        <w:ind w:left="7560" w:hanging="180"/>
      </w:pPr>
    </w:lvl>
  </w:abstractNum>
  <w:abstractNum w:abstractNumId="12" w15:restartNumberingAfterBreak="0">
    <w:nsid w:val="51C66D4C"/>
    <w:multiLevelType w:val="hybridMultilevel"/>
    <w:tmpl w:val="B9CC6446"/>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578963F7"/>
    <w:multiLevelType w:val="hybridMultilevel"/>
    <w:tmpl w:val="C256050E"/>
    <w:lvl w:ilvl="0" w:tplc="0809000F">
      <w:start w:val="1"/>
      <w:numFmt w:val="decimal"/>
      <w:lvlText w:val="%1."/>
      <w:lvlJc w:val="left"/>
      <w:pPr>
        <w:tabs>
          <w:tab w:val="num" w:pos="720"/>
        </w:tabs>
        <w:ind w:left="720" w:hanging="36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4" w15:restartNumberingAfterBreak="0">
    <w:nsid w:val="5A8911B7"/>
    <w:multiLevelType w:val="multilevel"/>
    <w:tmpl w:val="843A11B2"/>
    <w:lvl w:ilvl="0">
      <w:start w:val="8"/>
      <w:numFmt w:val="decimal"/>
      <w:lvlText w:val="%1"/>
      <w:lvlJc w:val="left"/>
      <w:pPr>
        <w:tabs>
          <w:tab w:val="num" w:pos="720"/>
        </w:tabs>
        <w:ind w:left="720" w:hanging="720"/>
      </w:pPr>
      <w:rPr>
        <w:rFonts w:hint="default"/>
      </w:rPr>
    </w:lvl>
    <w:lvl w:ilvl="1">
      <w:start w:val="2"/>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2160"/>
        </w:tabs>
        <w:ind w:left="2160" w:hanging="2160"/>
      </w:pPr>
      <w:rPr>
        <w:rFonts w:hint="default"/>
      </w:rPr>
    </w:lvl>
    <w:lvl w:ilvl="8">
      <w:start w:val="1"/>
      <w:numFmt w:val="decimal"/>
      <w:lvlText w:val="%1.%2.%3.%4.%5.%6.%7.%8.%9"/>
      <w:lvlJc w:val="left"/>
      <w:pPr>
        <w:tabs>
          <w:tab w:val="num" w:pos="2160"/>
        </w:tabs>
        <w:ind w:left="2160" w:hanging="2160"/>
      </w:pPr>
      <w:rPr>
        <w:rFonts w:hint="default"/>
      </w:rPr>
    </w:lvl>
  </w:abstractNum>
  <w:abstractNum w:abstractNumId="15" w15:restartNumberingAfterBreak="0">
    <w:nsid w:val="62C732C9"/>
    <w:multiLevelType w:val="multilevel"/>
    <w:tmpl w:val="4B707F4E"/>
    <w:lvl w:ilvl="0">
      <w:start w:val="1"/>
      <w:numFmt w:val="decimal"/>
      <w:lvlText w:val="%1."/>
      <w:lvlJc w:val="left"/>
      <w:pPr>
        <w:tabs>
          <w:tab w:val="num" w:pos="720"/>
        </w:tabs>
        <w:ind w:left="720" w:hanging="720"/>
      </w:pPr>
      <w:rPr>
        <w:rFonts w:ascii="Verdana" w:eastAsia="Times New Roman" w:hAnsi="Verdana" w:cs="Times New Roman" w:hint="default"/>
      </w:rPr>
    </w:lvl>
    <w:lvl w:ilvl="1">
      <w:start w:val="1"/>
      <w:numFmt w:val="decimal"/>
      <w:isLgl/>
      <w:lvlText w:val="%1.%2"/>
      <w:lvlJc w:val="left"/>
      <w:pPr>
        <w:tabs>
          <w:tab w:val="num" w:pos="720"/>
        </w:tabs>
        <w:ind w:left="720" w:hanging="720"/>
      </w:pPr>
      <w:rPr>
        <w:rFonts w:hint="default"/>
      </w:rPr>
    </w:lvl>
    <w:lvl w:ilvl="2">
      <w:start w:val="1"/>
      <w:numFmt w:val="decimal"/>
      <w:isLgl/>
      <w:lvlText w:val="%1.%2.%3"/>
      <w:lvlJc w:val="left"/>
      <w:pPr>
        <w:tabs>
          <w:tab w:val="num" w:pos="720"/>
        </w:tabs>
        <w:ind w:left="720" w:hanging="720"/>
      </w:pPr>
      <w:rPr>
        <w:rFonts w:hint="default"/>
      </w:rPr>
    </w:lvl>
    <w:lvl w:ilvl="3">
      <w:start w:val="1"/>
      <w:numFmt w:val="decimal"/>
      <w:isLgl/>
      <w:lvlText w:val="%1.%2.%3.%4"/>
      <w:lvlJc w:val="left"/>
      <w:pPr>
        <w:tabs>
          <w:tab w:val="num" w:pos="1080"/>
        </w:tabs>
        <w:ind w:left="1080" w:hanging="1080"/>
      </w:pPr>
      <w:rPr>
        <w:rFonts w:hint="default"/>
      </w:rPr>
    </w:lvl>
    <w:lvl w:ilvl="4">
      <w:start w:val="1"/>
      <w:numFmt w:val="decimal"/>
      <w:isLgl/>
      <w:lvlText w:val="%1.%2.%3.%4.%5"/>
      <w:lvlJc w:val="left"/>
      <w:pPr>
        <w:tabs>
          <w:tab w:val="num" w:pos="1440"/>
        </w:tabs>
        <w:ind w:left="1440" w:hanging="1440"/>
      </w:pPr>
      <w:rPr>
        <w:rFonts w:hint="default"/>
      </w:rPr>
    </w:lvl>
    <w:lvl w:ilvl="5">
      <w:start w:val="1"/>
      <w:numFmt w:val="decimal"/>
      <w:isLgl/>
      <w:lvlText w:val="%1.%2.%3.%4.%5.%6"/>
      <w:lvlJc w:val="left"/>
      <w:pPr>
        <w:tabs>
          <w:tab w:val="num" w:pos="1440"/>
        </w:tabs>
        <w:ind w:left="1440" w:hanging="1440"/>
      </w:pPr>
      <w:rPr>
        <w:rFonts w:hint="default"/>
      </w:rPr>
    </w:lvl>
    <w:lvl w:ilvl="6">
      <w:start w:val="1"/>
      <w:numFmt w:val="decimal"/>
      <w:isLgl/>
      <w:lvlText w:val="%1.%2.%3.%4.%5.%6.%7"/>
      <w:lvlJc w:val="left"/>
      <w:pPr>
        <w:tabs>
          <w:tab w:val="num" w:pos="1800"/>
        </w:tabs>
        <w:ind w:left="1800" w:hanging="1800"/>
      </w:pPr>
      <w:rPr>
        <w:rFonts w:hint="default"/>
      </w:rPr>
    </w:lvl>
    <w:lvl w:ilvl="7">
      <w:start w:val="1"/>
      <w:numFmt w:val="decimal"/>
      <w:isLgl/>
      <w:lvlText w:val="%1.%2.%3.%4.%5.%6.%7.%8"/>
      <w:lvlJc w:val="left"/>
      <w:pPr>
        <w:tabs>
          <w:tab w:val="num" w:pos="2160"/>
        </w:tabs>
        <w:ind w:left="2160" w:hanging="2160"/>
      </w:pPr>
      <w:rPr>
        <w:rFonts w:hint="default"/>
      </w:rPr>
    </w:lvl>
    <w:lvl w:ilvl="8">
      <w:start w:val="1"/>
      <w:numFmt w:val="decimal"/>
      <w:isLgl/>
      <w:lvlText w:val="%1.%2.%3.%4.%5.%6.%7.%8.%9"/>
      <w:lvlJc w:val="left"/>
      <w:pPr>
        <w:tabs>
          <w:tab w:val="num" w:pos="2160"/>
        </w:tabs>
        <w:ind w:left="2160" w:hanging="2160"/>
      </w:pPr>
      <w:rPr>
        <w:rFonts w:hint="default"/>
      </w:rPr>
    </w:lvl>
  </w:abstractNum>
  <w:abstractNum w:abstractNumId="16" w15:restartNumberingAfterBreak="0">
    <w:nsid w:val="63BB4122"/>
    <w:multiLevelType w:val="multilevel"/>
    <w:tmpl w:val="D9088BA0"/>
    <w:lvl w:ilvl="0">
      <w:start w:val="6"/>
      <w:numFmt w:val="decimal"/>
      <w:lvlText w:val="%1"/>
      <w:lvlJc w:val="left"/>
      <w:pPr>
        <w:ind w:left="360" w:hanging="36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160" w:hanging="2160"/>
      </w:pPr>
      <w:rPr>
        <w:rFonts w:hint="default"/>
      </w:rPr>
    </w:lvl>
  </w:abstractNum>
  <w:abstractNum w:abstractNumId="17" w15:restartNumberingAfterBreak="0">
    <w:nsid w:val="699D6C28"/>
    <w:multiLevelType w:val="multilevel"/>
    <w:tmpl w:val="61102C56"/>
    <w:lvl w:ilvl="0">
      <w:start w:val="18"/>
      <w:numFmt w:val="decimal"/>
      <w:lvlText w:val="%1"/>
      <w:lvlJc w:val="left"/>
      <w:pPr>
        <w:ind w:left="720" w:hanging="360"/>
      </w:pPr>
      <w:rPr>
        <w:rFonts w:hint="default"/>
      </w:rPr>
    </w:lvl>
    <w:lvl w:ilvl="1">
      <w:start w:val="1"/>
      <w:numFmt w:val="decimal"/>
      <w:isLgl/>
      <w:lvlText w:val="%1.%2"/>
      <w:lvlJc w:val="left"/>
      <w:pPr>
        <w:ind w:left="144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3240" w:hanging="144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4320" w:hanging="1800"/>
      </w:pPr>
      <w:rPr>
        <w:rFonts w:hint="default"/>
      </w:rPr>
    </w:lvl>
    <w:lvl w:ilvl="7">
      <w:start w:val="1"/>
      <w:numFmt w:val="decimal"/>
      <w:isLgl/>
      <w:lvlText w:val="%1.%2.%3.%4.%5.%6.%7.%8"/>
      <w:lvlJc w:val="left"/>
      <w:pPr>
        <w:ind w:left="5040" w:hanging="2160"/>
      </w:pPr>
      <w:rPr>
        <w:rFonts w:hint="default"/>
      </w:rPr>
    </w:lvl>
    <w:lvl w:ilvl="8">
      <w:start w:val="1"/>
      <w:numFmt w:val="decimal"/>
      <w:isLgl/>
      <w:lvlText w:val="%1.%2.%3.%4.%5.%6.%7.%8.%9"/>
      <w:lvlJc w:val="left"/>
      <w:pPr>
        <w:ind w:left="5400" w:hanging="2160"/>
      </w:pPr>
      <w:rPr>
        <w:rFonts w:hint="default"/>
      </w:rPr>
    </w:lvl>
  </w:abstractNum>
  <w:abstractNum w:abstractNumId="18" w15:restartNumberingAfterBreak="0">
    <w:nsid w:val="72B4252E"/>
    <w:multiLevelType w:val="hybridMultilevel"/>
    <w:tmpl w:val="121E6180"/>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738C1D47"/>
    <w:multiLevelType w:val="hybridMultilevel"/>
    <w:tmpl w:val="D884C77A"/>
    <w:lvl w:ilvl="0" w:tplc="0809000F">
      <w:start w:val="5"/>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 w15:restartNumberingAfterBreak="0">
    <w:nsid w:val="77403607"/>
    <w:multiLevelType w:val="multilevel"/>
    <w:tmpl w:val="DDF24D52"/>
    <w:lvl w:ilvl="0">
      <w:start w:val="1"/>
      <w:numFmt w:val="decimal"/>
      <w:lvlText w:val="%1."/>
      <w:lvlJc w:val="left"/>
      <w:pPr>
        <w:ind w:left="360" w:hanging="360"/>
      </w:pPr>
      <w:rPr>
        <w:b w:val="0"/>
      </w:rPr>
    </w:lvl>
    <w:lvl w:ilvl="1">
      <w:start w:val="1"/>
      <w:numFmt w:val="decimal"/>
      <w:isLgl/>
      <w:lvlText w:val="%1.%2"/>
      <w:lvlJc w:val="left"/>
      <w:pPr>
        <w:ind w:left="1440" w:hanging="720"/>
      </w:pPr>
      <w:rPr>
        <w:rFonts w:hint="default"/>
      </w:rPr>
    </w:lvl>
    <w:lvl w:ilvl="2">
      <w:start w:val="1"/>
      <w:numFmt w:val="decimal"/>
      <w:isLgl/>
      <w:lvlText w:val="%1.%2.%3"/>
      <w:lvlJc w:val="left"/>
      <w:pPr>
        <w:ind w:left="2160" w:hanging="720"/>
      </w:pPr>
      <w:rPr>
        <w:rFonts w:hint="default"/>
      </w:rPr>
    </w:lvl>
    <w:lvl w:ilvl="3">
      <w:start w:val="1"/>
      <w:numFmt w:val="decimal"/>
      <w:isLgl/>
      <w:lvlText w:val="%1.%2.%3.%4"/>
      <w:lvlJc w:val="left"/>
      <w:pPr>
        <w:ind w:left="3240" w:hanging="1080"/>
      </w:pPr>
      <w:rPr>
        <w:rFonts w:hint="default"/>
      </w:rPr>
    </w:lvl>
    <w:lvl w:ilvl="4">
      <w:start w:val="1"/>
      <w:numFmt w:val="decimal"/>
      <w:isLgl/>
      <w:lvlText w:val="%1.%2.%3.%4.%5"/>
      <w:lvlJc w:val="left"/>
      <w:pPr>
        <w:ind w:left="4320" w:hanging="1440"/>
      </w:pPr>
      <w:rPr>
        <w:rFonts w:hint="default"/>
      </w:rPr>
    </w:lvl>
    <w:lvl w:ilvl="5">
      <w:start w:val="1"/>
      <w:numFmt w:val="decimal"/>
      <w:isLgl/>
      <w:lvlText w:val="%1.%2.%3.%4.%5.%6"/>
      <w:lvlJc w:val="left"/>
      <w:pPr>
        <w:ind w:left="5040" w:hanging="1440"/>
      </w:pPr>
      <w:rPr>
        <w:rFonts w:hint="default"/>
      </w:rPr>
    </w:lvl>
    <w:lvl w:ilvl="6">
      <w:start w:val="1"/>
      <w:numFmt w:val="decimal"/>
      <w:isLgl/>
      <w:lvlText w:val="%1.%2.%3.%4.%5.%6.%7"/>
      <w:lvlJc w:val="left"/>
      <w:pPr>
        <w:ind w:left="6120" w:hanging="1800"/>
      </w:pPr>
      <w:rPr>
        <w:rFonts w:hint="default"/>
      </w:rPr>
    </w:lvl>
    <w:lvl w:ilvl="7">
      <w:start w:val="1"/>
      <w:numFmt w:val="decimal"/>
      <w:isLgl/>
      <w:lvlText w:val="%1.%2.%3.%4.%5.%6.%7.%8"/>
      <w:lvlJc w:val="left"/>
      <w:pPr>
        <w:ind w:left="7200" w:hanging="2160"/>
      </w:pPr>
      <w:rPr>
        <w:rFonts w:hint="default"/>
      </w:rPr>
    </w:lvl>
    <w:lvl w:ilvl="8">
      <w:start w:val="1"/>
      <w:numFmt w:val="decimal"/>
      <w:isLgl/>
      <w:lvlText w:val="%1.%2.%3.%4.%5.%6.%7.%8.%9"/>
      <w:lvlJc w:val="left"/>
      <w:pPr>
        <w:ind w:left="7920" w:hanging="2160"/>
      </w:pPr>
      <w:rPr>
        <w:rFonts w:hint="default"/>
      </w:rPr>
    </w:lvl>
  </w:abstractNum>
  <w:abstractNum w:abstractNumId="21" w15:restartNumberingAfterBreak="0">
    <w:nsid w:val="78CF6B5E"/>
    <w:multiLevelType w:val="hybridMultilevel"/>
    <w:tmpl w:val="8188A890"/>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7C690F82"/>
    <w:multiLevelType w:val="hybridMultilevel"/>
    <w:tmpl w:val="83D4FC88"/>
    <w:lvl w:ilvl="0" w:tplc="08090001">
      <w:numFmt w:val="bullet"/>
      <w:lvlText w:val=""/>
      <w:lvlJc w:val="left"/>
      <w:pPr>
        <w:tabs>
          <w:tab w:val="num" w:pos="720"/>
        </w:tabs>
        <w:ind w:left="720" w:hanging="360"/>
      </w:pPr>
      <w:rPr>
        <w:rFonts w:ascii="Symbol" w:eastAsia="Times New Roman" w:hAnsi="Symbol" w:cs="Times New Roman"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7E4A3F43"/>
    <w:multiLevelType w:val="multilevel"/>
    <w:tmpl w:val="BD70FFB8"/>
    <w:lvl w:ilvl="0">
      <w:start w:val="2"/>
      <w:numFmt w:val="decimal"/>
      <w:lvlText w:val="%1."/>
      <w:lvlJc w:val="left"/>
      <w:pPr>
        <w:tabs>
          <w:tab w:val="num" w:pos="720"/>
        </w:tabs>
        <w:ind w:left="720" w:hanging="720"/>
      </w:pPr>
      <w:rPr>
        <w:rFonts w:hint="default"/>
        <w:b/>
      </w:rPr>
    </w:lvl>
    <w:lvl w:ilvl="1">
      <w:start w:val="1"/>
      <w:numFmt w:val="decimal"/>
      <w:isLgl/>
      <w:lvlText w:val="%1.%2"/>
      <w:lvlJc w:val="left"/>
      <w:pPr>
        <w:tabs>
          <w:tab w:val="num" w:pos="720"/>
        </w:tabs>
        <w:ind w:left="720" w:hanging="720"/>
      </w:pPr>
      <w:rPr>
        <w:rFonts w:hint="default"/>
      </w:rPr>
    </w:lvl>
    <w:lvl w:ilvl="2">
      <w:start w:val="1"/>
      <w:numFmt w:val="decimal"/>
      <w:isLgl/>
      <w:lvlText w:val="%1.%2.%3"/>
      <w:lvlJc w:val="left"/>
      <w:pPr>
        <w:tabs>
          <w:tab w:val="num" w:pos="720"/>
        </w:tabs>
        <w:ind w:left="720" w:hanging="720"/>
      </w:pPr>
      <w:rPr>
        <w:rFonts w:hint="default"/>
      </w:rPr>
    </w:lvl>
    <w:lvl w:ilvl="3">
      <w:start w:val="1"/>
      <w:numFmt w:val="decimal"/>
      <w:isLgl/>
      <w:lvlText w:val="%1.%2.%3.%4"/>
      <w:lvlJc w:val="left"/>
      <w:pPr>
        <w:tabs>
          <w:tab w:val="num" w:pos="1080"/>
        </w:tabs>
        <w:ind w:left="1080" w:hanging="1080"/>
      </w:pPr>
      <w:rPr>
        <w:rFonts w:hint="default"/>
      </w:rPr>
    </w:lvl>
    <w:lvl w:ilvl="4">
      <w:start w:val="1"/>
      <w:numFmt w:val="decimal"/>
      <w:isLgl/>
      <w:lvlText w:val="%1.%2.%3.%4.%5"/>
      <w:lvlJc w:val="left"/>
      <w:pPr>
        <w:tabs>
          <w:tab w:val="num" w:pos="1440"/>
        </w:tabs>
        <w:ind w:left="1440" w:hanging="1440"/>
      </w:pPr>
      <w:rPr>
        <w:rFonts w:hint="default"/>
      </w:rPr>
    </w:lvl>
    <w:lvl w:ilvl="5">
      <w:start w:val="1"/>
      <w:numFmt w:val="decimal"/>
      <w:isLgl/>
      <w:lvlText w:val="%1.%2.%3.%4.%5.%6"/>
      <w:lvlJc w:val="left"/>
      <w:pPr>
        <w:tabs>
          <w:tab w:val="num" w:pos="1440"/>
        </w:tabs>
        <w:ind w:left="1440" w:hanging="1440"/>
      </w:pPr>
      <w:rPr>
        <w:rFonts w:hint="default"/>
      </w:rPr>
    </w:lvl>
    <w:lvl w:ilvl="6">
      <w:start w:val="1"/>
      <w:numFmt w:val="decimal"/>
      <w:isLgl/>
      <w:lvlText w:val="%1.%2.%3.%4.%5.%6.%7"/>
      <w:lvlJc w:val="left"/>
      <w:pPr>
        <w:tabs>
          <w:tab w:val="num" w:pos="1800"/>
        </w:tabs>
        <w:ind w:left="1800" w:hanging="1800"/>
      </w:pPr>
      <w:rPr>
        <w:rFonts w:hint="default"/>
      </w:rPr>
    </w:lvl>
    <w:lvl w:ilvl="7">
      <w:start w:val="1"/>
      <w:numFmt w:val="decimal"/>
      <w:isLgl/>
      <w:lvlText w:val="%1.%2.%3.%4.%5.%6.%7.%8"/>
      <w:lvlJc w:val="left"/>
      <w:pPr>
        <w:tabs>
          <w:tab w:val="num" w:pos="2160"/>
        </w:tabs>
        <w:ind w:left="2160" w:hanging="2160"/>
      </w:pPr>
      <w:rPr>
        <w:rFonts w:hint="default"/>
      </w:rPr>
    </w:lvl>
    <w:lvl w:ilvl="8">
      <w:start w:val="1"/>
      <w:numFmt w:val="decimal"/>
      <w:isLgl/>
      <w:lvlText w:val="%1.%2.%3.%4.%5.%6.%7.%8.%9"/>
      <w:lvlJc w:val="left"/>
      <w:pPr>
        <w:tabs>
          <w:tab w:val="num" w:pos="2160"/>
        </w:tabs>
        <w:ind w:left="2160" w:hanging="2160"/>
      </w:pPr>
      <w:rPr>
        <w:rFonts w:hint="default"/>
      </w:rPr>
    </w:lvl>
  </w:abstractNum>
  <w:num w:numId="1" w16cid:durableId="839000559">
    <w:abstractNumId w:val="13"/>
  </w:num>
  <w:num w:numId="2" w16cid:durableId="260339921">
    <w:abstractNumId w:val="23"/>
  </w:num>
  <w:num w:numId="3" w16cid:durableId="1290666087">
    <w:abstractNumId w:val="9"/>
  </w:num>
  <w:num w:numId="4" w16cid:durableId="507017885">
    <w:abstractNumId w:val="22"/>
  </w:num>
  <w:num w:numId="5" w16cid:durableId="862477515">
    <w:abstractNumId w:val="14"/>
  </w:num>
  <w:num w:numId="6" w16cid:durableId="383918636">
    <w:abstractNumId w:val="15"/>
  </w:num>
  <w:num w:numId="7" w16cid:durableId="899287290">
    <w:abstractNumId w:val="8"/>
  </w:num>
  <w:num w:numId="8" w16cid:durableId="478033129">
    <w:abstractNumId w:val="21"/>
  </w:num>
  <w:num w:numId="9" w16cid:durableId="396443508">
    <w:abstractNumId w:val="0"/>
  </w:num>
  <w:num w:numId="10" w16cid:durableId="218060004">
    <w:abstractNumId w:val="6"/>
  </w:num>
  <w:num w:numId="11" w16cid:durableId="1759252456">
    <w:abstractNumId w:val="10"/>
  </w:num>
  <w:num w:numId="12" w16cid:durableId="1534075475">
    <w:abstractNumId w:val="12"/>
  </w:num>
  <w:num w:numId="13" w16cid:durableId="66390973">
    <w:abstractNumId w:val="18"/>
  </w:num>
  <w:num w:numId="14" w16cid:durableId="105126498">
    <w:abstractNumId w:val="2"/>
  </w:num>
  <w:num w:numId="15" w16cid:durableId="1537813653">
    <w:abstractNumId w:val="7"/>
  </w:num>
  <w:num w:numId="16" w16cid:durableId="2066024372">
    <w:abstractNumId w:val="16"/>
  </w:num>
  <w:num w:numId="17" w16cid:durableId="1065449569">
    <w:abstractNumId w:val="4"/>
  </w:num>
  <w:num w:numId="18" w16cid:durableId="1788621506">
    <w:abstractNumId w:val="19"/>
  </w:num>
  <w:num w:numId="19" w16cid:durableId="205533418">
    <w:abstractNumId w:val="1"/>
  </w:num>
  <w:num w:numId="20" w16cid:durableId="742145709">
    <w:abstractNumId w:val="20"/>
  </w:num>
  <w:num w:numId="21" w16cid:durableId="1043562090">
    <w:abstractNumId w:val="11"/>
  </w:num>
  <w:num w:numId="22" w16cid:durableId="111285311">
    <w:abstractNumId w:val="5"/>
  </w:num>
  <w:num w:numId="23" w16cid:durableId="1808818467">
    <w:abstractNumId w:val="3"/>
  </w:num>
  <w:num w:numId="24" w16cid:durableId="1255357070">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20"/>
  <w:characterSpacingControl w:val="doNotCompress"/>
  <w:hdrShapeDefaults>
    <o:shapedefaults v:ext="edit" spidmax="3074"/>
  </w:hdrShapeDefault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6A2F88"/>
    <w:rsid w:val="00003F15"/>
    <w:rsid w:val="0000699B"/>
    <w:rsid w:val="000079AA"/>
    <w:rsid w:val="000143F1"/>
    <w:rsid w:val="00015452"/>
    <w:rsid w:val="00017EC4"/>
    <w:rsid w:val="000200D5"/>
    <w:rsid w:val="00024FF5"/>
    <w:rsid w:val="000262E2"/>
    <w:rsid w:val="0002724E"/>
    <w:rsid w:val="00030027"/>
    <w:rsid w:val="00033E3B"/>
    <w:rsid w:val="00034E1D"/>
    <w:rsid w:val="00035C02"/>
    <w:rsid w:val="00044D7E"/>
    <w:rsid w:val="0004627E"/>
    <w:rsid w:val="000473C9"/>
    <w:rsid w:val="0005095C"/>
    <w:rsid w:val="0005507E"/>
    <w:rsid w:val="00056206"/>
    <w:rsid w:val="00066526"/>
    <w:rsid w:val="00067484"/>
    <w:rsid w:val="0006782A"/>
    <w:rsid w:val="00067A9B"/>
    <w:rsid w:val="00070E04"/>
    <w:rsid w:val="0007233E"/>
    <w:rsid w:val="00075DAB"/>
    <w:rsid w:val="00077150"/>
    <w:rsid w:val="00077275"/>
    <w:rsid w:val="0008586D"/>
    <w:rsid w:val="00093EB3"/>
    <w:rsid w:val="000A1092"/>
    <w:rsid w:val="000A1A37"/>
    <w:rsid w:val="000A1B63"/>
    <w:rsid w:val="000A22E1"/>
    <w:rsid w:val="000A2ECE"/>
    <w:rsid w:val="000A5681"/>
    <w:rsid w:val="000A7826"/>
    <w:rsid w:val="000B2547"/>
    <w:rsid w:val="000B2BBD"/>
    <w:rsid w:val="000B4633"/>
    <w:rsid w:val="000B4B7A"/>
    <w:rsid w:val="000B5129"/>
    <w:rsid w:val="000B778B"/>
    <w:rsid w:val="000B7F7C"/>
    <w:rsid w:val="000C2903"/>
    <w:rsid w:val="000D654B"/>
    <w:rsid w:val="000D7E4C"/>
    <w:rsid w:val="000E287C"/>
    <w:rsid w:val="000E7E58"/>
    <w:rsid w:val="000F185D"/>
    <w:rsid w:val="00100442"/>
    <w:rsid w:val="00102AED"/>
    <w:rsid w:val="0010414E"/>
    <w:rsid w:val="00105856"/>
    <w:rsid w:val="00105DC9"/>
    <w:rsid w:val="00110FA7"/>
    <w:rsid w:val="00111148"/>
    <w:rsid w:val="0011406B"/>
    <w:rsid w:val="001140BA"/>
    <w:rsid w:val="00114C0E"/>
    <w:rsid w:val="00115088"/>
    <w:rsid w:val="00117100"/>
    <w:rsid w:val="001234B5"/>
    <w:rsid w:val="00125912"/>
    <w:rsid w:val="001309B0"/>
    <w:rsid w:val="00133E7F"/>
    <w:rsid w:val="001344BC"/>
    <w:rsid w:val="00134517"/>
    <w:rsid w:val="001354D6"/>
    <w:rsid w:val="00135C89"/>
    <w:rsid w:val="00147852"/>
    <w:rsid w:val="00151AB6"/>
    <w:rsid w:val="0015307B"/>
    <w:rsid w:val="00157538"/>
    <w:rsid w:val="001600B3"/>
    <w:rsid w:val="00160DEA"/>
    <w:rsid w:val="00165174"/>
    <w:rsid w:val="001654A8"/>
    <w:rsid w:val="0017077F"/>
    <w:rsid w:val="001722CA"/>
    <w:rsid w:val="00173751"/>
    <w:rsid w:val="001770A7"/>
    <w:rsid w:val="001811BF"/>
    <w:rsid w:val="00181A38"/>
    <w:rsid w:val="001836FA"/>
    <w:rsid w:val="0018782F"/>
    <w:rsid w:val="001947ED"/>
    <w:rsid w:val="0019614F"/>
    <w:rsid w:val="001969D0"/>
    <w:rsid w:val="001A0780"/>
    <w:rsid w:val="001A34C2"/>
    <w:rsid w:val="001A5FA3"/>
    <w:rsid w:val="001A796E"/>
    <w:rsid w:val="001A7E2D"/>
    <w:rsid w:val="001B5A92"/>
    <w:rsid w:val="001C1666"/>
    <w:rsid w:val="001C21A3"/>
    <w:rsid w:val="001C3F03"/>
    <w:rsid w:val="001C5D46"/>
    <w:rsid w:val="001C7996"/>
    <w:rsid w:val="001D02D3"/>
    <w:rsid w:val="001D203D"/>
    <w:rsid w:val="001D3AD2"/>
    <w:rsid w:val="001D6C10"/>
    <w:rsid w:val="001E21C3"/>
    <w:rsid w:val="001E3914"/>
    <w:rsid w:val="001E392C"/>
    <w:rsid w:val="001E3D61"/>
    <w:rsid w:val="001E7BBB"/>
    <w:rsid w:val="001F24EC"/>
    <w:rsid w:val="001F420E"/>
    <w:rsid w:val="00201BED"/>
    <w:rsid w:val="00202290"/>
    <w:rsid w:val="002065E9"/>
    <w:rsid w:val="00210C72"/>
    <w:rsid w:val="00210F66"/>
    <w:rsid w:val="00212E7B"/>
    <w:rsid w:val="00212FC0"/>
    <w:rsid w:val="002166C5"/>
    <w:rsid w:val="00216771"/>
    <w:rsid w:val="00217728"/>
    <w:rsid w:val="00217A17"/>
    <w:rsid w:val="00224A86"/>
    <w:rsid w:val="00224AC6"/>
    <w:rsid w:val="002267CB"/>
    <w:rsid w:val="00226ECD"/>
    <w:rsid w:val="00233C1F"/>
    <w:rsid w:val="00236CA5"/>
    <w:rsid w:val="002378DE"/>
    <w:rsid w:val="00240655"/>
    <w:rsid w:val="00247E9B"/>
    <w:rsid w:val="002501B2"/>
    <w:rsid w:val="00253305"/>
    <w:rsid w:val="00255EB7"/>
    <w:rsid w:val="0026067A"/>
    <w:rsid w:val="002608D9"/>
    <w:rsid w:val="00260C39"/>
    <w:rsid w:val="002643A8"/>
    <w:rsid w:val="00265F38"/>
    <w:rsid w:val="00267365"/>
    <w:rsid w:val="00273C94"/>
    <w:rsid w:val="00274981"/>
    <w:rsid w:val="00275802"/>
    <w:rsid w:val="002819B4"/>
    <w:rsid w:val="00287248"/>
    <w:rsid w:val="00287600"/>
    <w:rsid w:val="002B1716"/>
    <w:rsid w:val="002B17CE"/>
    <w:rsid w:val="002B264B"/>
    <w:rsid w:val="002B2A63"/>
    <w:rsid w:val="002B54AB"/>
    <w:rsid w:val="002B56D2"/>
    <w:rsid w:val="002C091D"/>
    <w:rsid w:val="002C495C"/>
    <w:rsid w:val="002C609B"/>
    <w:rsid w:val="002D2513"/>
    <w:rsid w:val="002E3AA5"/>
    <w:rsid w:val="002E7A1C"/>
    <w:rsid w:val="002F0562"/>
    <w:rsid w:val="002F30E0"/>
    <w:rsid w:val="002F39C5"/>
    <w:rsid w:val="002F508B"/>
    <w:rsid w:val="003014C4"/>
    <w:rsid w:val="003039EC"/>
    <w:rsid w:val="0030514E"/>
    <w:rsid w:val="00305DEC"/>
    <w:rsid w:val="0030753A"/>
    <w:rsid w:val="00310027"/>
    <w:rsid w:val="00310A58"/>
    <w:rsid w:val="003168C2"/>
    <w:rsid w:val="00320060"/>
    <w:rsid w:val="00321EC1"/>
    <w:rsid w:val="003258E8"/>
    <w:rsid w:val="0033047C"/>
    <w:rsid w:val="003323EA"/>
    <w:rsid w:val="00332DFF"/>
    <w:rsid w:val="00343296"/>
    <w:rsid w:val="00343581"/>
    <w:rsid w:val="00344CEC"/>
    <w:rsid w:val="00347EBA"/>
    <w:rsid w:val="003521F7"/>
    <w:rsid w:val="00353313"/>
    <w:rsid w:val="00355F80"/>
    <w:rsid w:val="0035728B"/>
    <w:rsid w:val="0036001A"/>
    <w:rsid w:val="0036274A"/>
    <w:rsid w:val="00362AEA"/>
    <w:rsid w:val="003667BA"/>
    <w:rsid w:val="003725A8"/>
    <w:rsid w:val="00373320"/>
    <w:rsid w:val="00374B83"/>
    <w:rsid w:val="00382E16"/>
    <w:rsid w:val="00386B14"/>
    <w:rsid w:val="00390B78"/>
    <w:rsid w:val="003917A4"/>
    <w:rsid w:val="003A20C2"/>
    <w:rsid w:val="003A401D"/>
    <w:rsid w:val="003A4202"/>
    <w:rsid w:val="003A5AC7"/>
    <w:rsid w:val="003A6CF3"/>
    <w:rsid w:val="003A7707"/>
    <w:rsid w:val="003C0852"/>
    <w:rsid w:val="003C3B05"/>
    <w:rsid w:val="003D5800"/>
    <w:rsid w:val="003D6FDD"/>
    <w:rsid w:val="003E1399"/>
    <w:rsid w:val="003E5324"/>
    <w:rsid w:val="003E65CC"/>
    <w:rsid w:val="003E7C12"/>
    <w:rsid w:val="003F01EF"/>
    <w:rsid w:val="003F154D"/>
    <w:rsid w:val="003F67AC"/>
    <w:rsid w:val="003F6F46"/>
    <w:rsid w:val="003F7D04"/>
    <w:rsid w:val="004001C3"/>
    <w:rsid w:val="0040252E"/>
    <w:rsid w:val="00402642"/>
    <w:rsid w:val="004032C2"/>
    <w:rsid w:val="00403552"/>
    <w:rsid w:val="00403D2F"/>
    <w:rsid w:val="00403D79"/>
    <w:rsid w:val="00404F85"/>
    <w:rsid w:val="00404FA3"/>
    <w:rsid w:val="00405D2F"/>
    <w:rsid w:val="00407BB8"/>
    <w:rsid w:val="00421BC7"/>
    <w:rsid w:val="004230D4"/>
    <w:rsid w:val="004279E5"/>
    <w:rsid w:val="00430905"/>
    <w:rsid w:val="00436D76"/>
    <w:rsid w:val="00441E64"/>
    <w:rsid w:val="00444664"/>
    <w:rsid w:val="0045065A"/>
    <w:rsid w:val="00451851"/>
    <w:rsid w:val="0045535A"/>
    <w:rsid w:val="00455AD9"/>
    <w:rsid w:val="00455B9F"/>
    <w:rsid w:val="00457F22"/>
    <w:rsid w:val="00461CFF"/>
    <w:rsid w:val="00462531"/>
    <w:rsid w:val="00463457"/>
    <w:rsid w:val="0046628F"/>
    <w:rsid w:val="00471AF1"/>
    <w:rsid w:val="0047299B"/>
    <w:rsid w:val="00476BB0"/>
    <w:rsid w:val="00480F98"/>
    <w:rsid w:val="00483E94"/>
    <w:rsid w:val="004852BC"/>
    <w:rsid w:val="004911E9"/>
    <w:rsid w:val="004955BF"/>
    <w:rsid w:val="00496154"/>
    <w:rsid w:val="00497DE6"/>
    <w:rsid w:val="004A6053"/>
    <w:rsid w:val="004A6BD1"/>
    <w:rsid w:val="004B174B"/>
    <w:rsid w:val="004B27C5"/>
    <w:rsid w:val="004B429C"/>
    <w:rsid w:val="004B45A1"/>
    <w:rsid w:val="004B77F6"/>
    <w:rsid w:val="004C1B58"/>
    <w:rsid w:val="004C2F4E"/>
    <w:rsid w:val="004C3485"/>
    <w:rsid w:val="004C3E48"/>
    <w:rsid w:val="004D163C"/>
    <w:rsid w:val="004E09FE"/>
    <w:rsid w:val="004F0486"/>
    <w:rsid w:val="004F13AD"/>
    <w:rsid w:val="004F4393"/>
    <w:rsid w:val="004F69C3"/>
    <w:rsid w:val="004F6E72"/>
    <w:rsid w:val="005010E9"/>
    <w:rsid w:val="00503341"/>
    <w:rsid w:val="0050545C"/>
    <w:rsid w:val="005074EB"/>
    <w:rsid w:val="00512324"/>
    <w:rsid w:val="00512621"/>
    <w:rsid w:val="00515821"/>
    <w:rsid w:val="005203D1"/>
    <w:rsid w:val="0052600C"/>
    <w:rsid w:val="005309C2"/>
    <w:rsid w:val="00532436"/>
    <w:rsid w:val="00532F42"/>
    <w:rsid w:val="0053583C"/>
    <w:rsid w:val="00540AEC"/>
    <w:rsid w:val="00541322"/>
    <w:rsid w:val="00542C8D"/>
    <w:rsid w:val="0054793B"/>
    <w:rsid w:val="00551470"/>
    <w:rsid w:val="00551D13"/>
    <w:rsid w:val="00553937"/>
    <w:rsid w:val="00553DFD"/>
    <w:rsid w:val="005557DD"/>
    <w:rsid w:val="00556BAD"/>
    <w:rsid w:val="00557C33"/>
    <w:rsid w:val="00565CFA"/>
    <w:rsid w:val="00566B79"/>
    <w:rsid w:val="00572425"/>
    <w:rsid w:val="00575047"/>
    <w:rsid w:val="00576963"/>
    <w:rsid w:val="00577D73"/>
    <w:rsid w:val="00581907"/>
    <w:rsid w:val="00581E47"/>
    <w:rsid w:val="00582EBF"/>
    <w:rsid w:val="005846DC"/>
    <w:rsid w:val="005935A6"/>
    <w:rsid w:val="00594148"/>
    <w:rsid w:val="0059784A"/>
    <w:rsid w:val="005A2018"/>
    <w:rsid w:val="005C152E"/>
    <w:rsid w:val="005C638E"/>
    <w:rsid w:val="005D2945"/>
    <w:rsid w:val="005D5479"/>
    <w:rsid w:val="005D67AB"/>
    <w:rsid w:val="005E1EEC"/>
    <w:rsid w:val="005E69EE"/>
    <w:rsid w:val="005F4AA5"/>
    <w:rsid w:val="005F7571"/>
    <w:rsid w:val="005F793F"/>
    <w:rsid w:val="00600B8F"/>
    <w:rsid w:val="006024E9"/>
    <w:rsid w:val="00603D54"/>
    <w:rsid w:val="00610697"/>
    <w:rsid w:val="00610DA2"/>
    <w:rsid w:val="0061323E"/>
    <w:rsid w:val="00613E0B"/>
    <w:rsid w:val="00621DC8"/>
    <w:rsid w:val="006239E8"/>
    <w:rsid w:val="0062428A"/>
    <w:rsid w:val="0062466E"/>
    <w:rsid w:val="006251BE"/>
    <w:rsid w:val="006273C1"/>
    <w:rsid w:val="00631C12"/>
    <w:rsid w:val="00631E74"/>
    <w:rsid w:val="00643E6C"/>
    <w:rsid w:val="00646027"/>
    <w:rsid w:val="00660830"/>
    <w:rsid w:val="00661083"/>
    <w:rsid w:val="006614CD"/>
    <w:rsid w:val="00662653"/>
    <w:rsid w:val="0066487A"/>
    <w:rsid w:val="00665034"/>
    <w:rsid w:val="006740FA"/>
    <w:rsid w:val="00674FB3"/>
    <w:rsid w:val="006757CE"/>
    <w:rsid w:val="006766B1"/>
    <w:rsid w:val="006829A0"/>
    <w:rsid w:val="00682F6D"/>
    <w:rsid w:val="0068408A"/>
    <w:rsid w:val="00690B03"/>
    <w:rsid w:val="00690D55"/>
    <w:rsid w:val="006943D7"/>
    <w:rsid w:val="00694A68"/>
    <w:rsid w:val="00696095"/>
    <w:rsid w:val="006A2F88"/>
    <w:rsid w:val="006A609F"/>
    <w:rsid w:val="006A6A5F"/>
    <w:rsid w:val="006B105F"/>
    <w:rsid w:val="006B3576"/>
    <w:rsid w:val="006B44A0"/>
    <w:rsid w:val="006B4BB7"/>
    <w:rsid w:val="006B6175"/>
    <w:rsid w:val="006C363E"/>
    <w:rsid w:val="006C7D16"/>
    <w:rsid w:val="006D2449"/>
    <w:rsid w:val="006E1E46"/>
    <w:rsid w:val="006F510D"/>
    <w:rsid w:val="006F6321"/>
    <w:rsid w:val="00707AE9"/>
    <w:rsid w:val="007126C2"/>
    <w:rsid w:val="00712AFB"/>
    <w:rsid w:val="007139D2"/>
    <w:rsid w:val="00721BA5"/>
    <w:rsid w:val="007222C2"/>
    <w:rsid w:val="007241CF"/>
    <w:rsid w:val="007353BD"/>
    <w:rsid w:val="00735472"/>
    <w:rsid w:val="00743B8E"/>
    <w:rsid w:val="00744050"/>
    <w:rsid w:val="00745731"/>
    <w:rsid w:val="007465E4"/>
    <w:rsid w:val="0074699F"/>
    <w:rsid w:val="0074701B"/>
    <w:rsid w:val="00760845"/>
    <w:rsid w:val="00760DFF"/>
    <w:rsid w:val="00761B96"/>
    <w:rsid w:val="00762001"/>
    <w:rsid w:val="00765D7D"/>
    <w:rsid w:val="00766336"/>
    <w:rsid w:val="007671E7"/>
    <w:rsid w:val="00767C5C"/>
    <w:rsid w:val="0077110C"/>
    <w:rsid w:val="00776A8C"/>
    <w:rsid w:val="007827F9"/>
    <w:rsid w:val="00786B45"/>
    <w:rsid w:val="007935DB"/>
    <w:rsid w:val="00797052"/>
    <w:rsid w:val="007A0A3F"/>
    <w:rsid w:val="007A3D3F"/>
    <w:rsid w:val="007A4CFA"/>
    <w:rsid w:val="007B26C5"/>
    <w:rsid w:val="007B3A17"/>
    <w:rsid w:val="007B76E8"/>
    <w:rsid w:val="007C3BA7"/>
    <w:rsid w:val="007C42D1"/>
    <w:rsid w:val="007C49E0"/>
    <w:rsid w:val="007C63D2"/>
    <w:rsid w:val="007D05C6"/>
    <w:rsid w:val="007D2AF7"/>
    <w:rsid w:val="007D3F3E"/>
    <w:rsid w:val="007D58E4"/>
    <w:rsid w:val="007D6793"/>
    <w:rsid w:val="007D7909"/>
    <w:rsid w:val="007E33BC"/>
    <w:rsid w:val="007E68A1"/>
    <w:rsid w:val="007F1FFA"/>
    <w:rsid w:val="007F3FB2"/>
    <w:rsid w:val="007F4837"/>
    <w:rsid w:val="007F5CF1"/>
    <w:rsid w:val="007F6D1A"/>
    <w:rsid w:val="008012C2"/>
    <w:rsid w:val="008059F6"/>
    <w:rsid w:val="00805D65"/>
    <w:rsid w:val="0081176D"/>
    <w:rsid w:val="00812672"/>
    <w:rsid w:val="00813273"/>
    <w:rsid w:val="008201B9"/>
    <w:rsid w:val="00822BC8"/>
    <w:rsid w:val="00827812"/>
    <w:rsid w:val="008306B5"/>
    <w:rsid w:val="00831927"/>
    <w:rsid w:val="008341D2"/>
    <w:rsid w:val="00835934"/>
    <w:rsid w:val="00836B69"/>
    <w:rsid w:val="0084187C"/>
    <w:rsid w:val="00845A4D"/>
    <w:rsid w:val="00862FA1"/>
    <w:rsid w:val="008661E9"/>
    <w:rsid w:val="0086655F"/>
    <w:rsid w:val="00866E79"/>
    <w:rsid w:val="00872273"/>
    <w:rsid w:val="00872FCE"/>
    <w:rsid w:val="0088029F"/>
    <w:rsid w:val="00880937"/>
    <w:rsid w:val="0088193E"/>
    <w:rsid w:val="00884F53"/>
    <w:rsid w:val="00891671"/>
    <w:rsid w:val="008925EF"/>
    <w:rsid w:val="00892D97"/>
    <w:rsid w:val="0089354C"/>
    <w:rsid w:val="008B1FFB"/>
    <w:rsid w:val="008B23A7"/>
    <w:rsid w:val="008B2B51"/>
    <w:rsid w:val="008B3AAE"/>
    <w:rsid w:val="008B5969"/>
    <w:rsid w:val="008C008F"/>
    <w:rsid w:val="008C1562"/>
    <w:rsid w:val="008C411A"/>
    <w:rsid w:val="008C4C21"/>
    <w:rsid w:val="008D13E5"/>
    <w:rsid w:val="008D26AE"/>
    <w:rsid w:val="008D6DE2"/>
    <w:rsid w:val="008D70F8"/>
    <w:rsid w:val="008D7711"/>
    <w:rsid w:val="008E0815"/>
    <w:rsid w:val="008E23C3"/>
    <w:rsid w:val="008E2734"/>
    <w:rsid w:val="008E39D4"/>
    <w:rsid w:val="008E504E"/>
    <w:rsid w:val="008E6911"/>
    <w:rsid w:val="008F0CA2"/>
    <w:rsid w:val="008F22E6"/>
    <w:rsid w:val="008F48D2"/>
    <w:rsid w:val="008F7543"/>
    <w:rsid w:val="0090181F"/>
    <w:rsid w:val="00907531"/>
    <w:rsid w:val="00915375"/>
    <w:rsid w:val="00915C95"/>
    <w:rsid w:val="00920F14"/>
    <w:rsid w:val="0092126D"/>
    <w:rsid w:val="00921FBD"/>
    <w:rsid w:val="00922883"/>
    <w:rsid w:val="00924E19"/>
    <w:rsid w:val="00926C89"/>
    <w:rsid w:val="00927CB9"/>
    <w:rsid w:val="00930FCF"/>
    <w:rsid w:val="009345FE"/>
    <w:rsid w:val="00937AE1"/>
    <w:rsid w:val="0094037C"/>
    <w:rsid w:val="00942E4A"/>
    <w:rsid w:val="009448DB"/>
    <w:rsid w:val="00945700"/>
    <w:rsid w:val="0095035D"/>
    <w:rsid w:val="00950373"/>
    <w:rsid w:val="00955568"/>
    <w:rsid w:val="009573DB"/>
    <w:rsid w:val="009621A7"/>
    <w:rsid w:val="009625AA"/>
    <w:rsid w:val="00973984"/>
    <w:rsid w:val="00980509"/>
    <w:rsid w:val="00983924"/>
    <w:rsid w:val="009857C0"/>
    <w:rsid w:val="00990742"/>
    <w:rsid w:val="0099265C"/>
    <w:rsid w:val="00993016"/>
    <w:rsid w:val="009950D5"/>
    <w:rsid w:val="009A07DD"/>
    <w:rsid w:val="009A0838"/>
    <w:rsid w:val="009A1A3D"/>
    <w:rsid w:val="009A6189"/>
    <w:rsid w:val="009B1446"/>
    <w:rsid w:val="009B2AEB"/>
    <w:rsid w:val="009B2F8C"/>
    <w:rsid w:val="009B3937"/>
    <w:rsid w:val="009B6971"/>
    <w:rsid w:val="009C13BF"/>
    <w:rsid w:val="009C309D"/>
    <w:rsid w:val="009C6639"/>
    <w:rsid w:val="009C7D24"/>
    <w:rsid w:val="009C7D2E"/>
    <w:rsid w:val="009D0A63"/>
    <w:rsid w:val="009D0D84"/>
    <w:rsid w:val="009D1330"/>
    <w:rsid w:val="009D3FDA"/>
    <w:rsid w:val="009E0A26"/>
    <w:rsid w:val="009E1D95"/>
    <w:rsid w:val="009E4CEA"/>
    <w:rsid w:val="009F011E"/>
    <w:rsid w:val="009F0662"/>
    <w:rsid w:val="009F40E8"/>
    <w:rsid w:val="009F5B34"/>
    <w:rsid w:val="00A025AB"/>
    <w:rsid w:val="00A02989"/>
    <w:rsid w:val="00A05DA2"/>
    <w:rsid w:val="00A07A55"/>
    <w:rsid w:val="00A12F63"/>
    <w:rsid w:val="00A21732"/>
    <w:rsid w:val="00A23F1C"/>
    <w:rsid w:val="00A2634D"/>
    <w:rsid w:val="00A35EE0"/>
    <w:rsid w:val="00A43060"/>
    <w:rsid w:val="00A45B90"/>
    <w:rsid w:val="00A51712"/>
    <w:rsid w:val="00A518DD"/>
    <w:rsid w:val="00A52A94"/>
    <w:rsid w:val="00A52C55"/>
    <w:rsid w:val="00A62326"/>
    <w:rsid w:val="00A62368"/>
    <w:rsid w:val="00A6338A"/>
    <w:rsid w:val="00A6357A"/>
    <w:rsid w:val="00A63906"/>
    <w:rsid w:val="00A666A6"/>
    <w:rsid w:val="00A71A1A"/>
    <w:rsid w:val="00A77173"/>
    <w:rsid w:val="00A77A11"/>
    <w:rsid w:val="00A805FD"/>
    <w:rsid w:val="00A84943"/>
    <w:rsid w:val="00A86806"/>
    <w:rsid w:val="00A8757A"/>
    <w:rsid w:val="00A92120"/>
    <w:rsid w:val="00A92661"/>
    <w:rsid w:val="00A92A47"/>
    <w:rsid w:val="00A93625"/>
    <w:rsid w:val="00AA35CC"/>
    <w:rsid w:val="00AA3AA8"/>
    <w:rsid w:val="00AA4EA5"/>
    <w:rsid w:val="00AA5996"/>
    <w:rsid w:val="00AA6773"/>
    <w:rsid w:val="00AB27FD"/>
    <w:rsid w:val="00AB7AEE"/>
    <w:rsid w:val="00AC5188"/>
    <w:rsid w:val="00AC5729"/>
    <w:rsid w:val="00AC70E2"/>
    <w:rsid w:val="00AD01BD"/>
    <w:rsid w:val="00AD4F3B"/>
    <w:rsid w:val="00AD68D0"/>
    <w:rsid w:val="00AE0110"/>
    <w:rsid w:val="00AE2EEB"/>
    <w:rsid w:val="00AE446B"/>
    <w:rsid w:val="00AE7104"/>
    <w:rsid w:val="00AF04F7"/>
    <w:rsid w:val="00AF74C9"/>
    <w:rsid w:val="00B004AA"/>
    <w:rsid w:val="00B07520"/>
    <w:rsid w:val="00B07EF0"/>
    <w:rsid w:val="00B10C81"/>
    <w:rsid w:val="00B13BCA"/>
    <w:rsid w:val="00B14874"/>
    <w:rsid w:val="00B14D38"/>
    <w:rsid w:val="00B16EFD"/>
    <w:rsid w:val="00B27771"/>
    <w:rsid w:val="00B340EA"/>
    <w:rsid w:val="00B34BB4"/>
    <w:rsid w:val="00B35021"/>
    <w:rsid w:val="00B37EDD"/>
    <w:rsid w:val="00B42988"/>
    <w:rsid w:val="00B445FE"/>
    <w:rsid w:val="00B45D32"/>
    <w:rsid w:val="00B4778A"/>
    <w:rsid w:val="00B47C27"/>
    <w:rsid w:val="00B50E5F"/>
    <w:rsid w:val="00B5116C"/>
    <w:rsid w:val="00B51578"/>
    <w:rsid w:val="00B52F68"/>
    <w:rsid w:val="00B53022"/>
    <w:rsid w:val="00B5445D"/>
    <w:rsid w:val="00B550C5"/>
    <w:rsid w:val="00B6054C"/>
    <w:rsid w:val="00B64538"/>
    <w:rsid w:val="00B6605A"/>
    <w:rsid w:val="00B665A6"/>
    <w:rsid w:val="00B665BF"/>
    <w:rsid w:val="00B72029"/>
    <w:rsid w:val="00B75108"/>
    <w:rsid w:val="00B80514"/>
    <w:rsid w:val="00B80EEF"/>
    <w:rsid w:val="00B83030"/>
    <w:rsid w:val="00B85336"/>
    <w:rsid w:val="00B9086E"/>
    <w:rsid w:val="00B94D72"/>
    <w:rsid w:val="00B9537F"/>
    <w:rsid w:val="00BA0DE7"/>
    <w:rsid w:val="00BA5FE9"/>
    <w:rsid w:val="00BB416B"/>
    <w:rsid w:val="00BC1F09"/>
    <w:rsid w:val="00BC7E13"/>
    <w:rsid w:val="00BD2017"/>
    <w:rsid w:val="00BD77EE"/>
    <w:rsid w:val="00BE10C9"/>
    <w:rsid w:val="00BE697B"/>
    <w:rsid w:val="00BF7692"/>
    <w:rsid w:val="00C0084A"/>
    <w:rsid w:val="00C0618F"/>
    <w:rsid w:val="00C072EE"/>
    <w:rsid w:val="00C073A5"/>
    <w:rsid w:val="00C10893"/>
    <w:rsid w:val="00C121CF"/>
    <w:rsid w:val="00C20171"/>
    <w:rsid w:val="00C215CD"/>
    <w:rsid w:val="00C24F34"/>
    <w:rsid w:val="00C317E1"/>
    <w:rsid w:val="00C3315B"/>
    <w:rsid w:val="00C35C77"/>
    <w:rsid w:val="00C4042F"/>
    <w:rsid w:val="00C43F9F"/>
    <w:rsid w:val="00C44AAC"/>
    <w:rsid w:val="00C4511B"/>
    <w:rsid w:val="00C56658"/>
    <w:rsid w:val="00C57A61"/>
    <w:rsid w:val="00C60B98"/>
    <w:rsid w:val="00C63473"/>
    <w:rsid w:val="00C6533D"/>
    <w:rsid w:val="00C70B6E"/>
    <w:rsid w:val="00C747E9"/>
    <w:rsid w:val="00C80A50"/>
    <w:rsid w:val="00C84227"/>
    <w:rsid w:val="00C91509"/>
    <w:rsid w:val="00C93417"/>
    <w:rsid w:val="00C94661"/>
    <w:rsid w:val="00C96469"/>
    <w:rsid w:val="00C97E5B"/>
    <w:rsid w:val="00CA1B88"/>
    <w:rsid w:val="00CA2216"/>
    <w:rsid w:val="00CA2BD8"/>
    <w:rsid w:val="00CA52AD"/>
    <w:rsid w:val="00CB240C"/>
    <w:rsid w:val="00CB56FE"/>
    <w:rsid w:val="00CB6841"/>
    <w:rsid w:val="00CB73A3"/>
    <w:rsid w:val="00CC0B45"/>
    <w:rsid w:val="00CC10E8"/>
    <w:rsid w:val="00CC7CE1"/>
    <w:rsid w:val="00CD4454"/>
    <w:rsid w:val="00CD4DD7"/>
    <w:rsid w:val="00CE35D3"/>
    <w:rsid w:val="00CE361E"/>
    <w:rsid w:val="00CE4EAE"/>
    <w:rsid w:val="00CE79EE"/>
    <w:rsid w:val="00CF0489"/>
    <w:rsid w:val="00CF079C"/>
    <w:rsid w:val="00CF3BDD"/>
    <w:rsid w:val="00D0184E"/>
    <w:rsid w:val="00D11561"/>
    <w:rsid w:val="00D11DB0"/>
    <w:rsid w:val="00D1216D"/>
    <w:rsid w:val="00D124A0"/>
    <w:rsid w:val="00D12971"/>
    <w:rsid w:val="00D14424"/>
    <w:rsid w:val="00D15726"/>
    <w:rsid w:val="00D170E4"/>
    <w:rsid w:val="00D30964"/>
    <w:rsid w:val="00D34903"/>
    <w:rsid w:val="00D375CE"/>
    <w:rsid w:val="00D41A3A"/>
    <w:rsid w:val="00D52BEB"/>
    <w:rsid w:val="00D53638"/>
    <w:rsid w:val="00D53F88"/>
    <w:rsid w:val="00D56CB9"/>
    <w:rsid w:val="00D57DEB"/>
    <w:rsid w:val="00D61D4D"/>
    <w:rsid w:val="00D6648D"/>
    <w:rsid w:val="00D72636"/>
    <w:rsid w:val="00D73B7C"/>
    <w:rsid w:val="00D752CF"/>
    <w:rsid w:val="00D840F0"/>
    <w:rsid w:val="00D85D65"/>
    <w:rsid w:val="00D9170D"/>
    <w:rsid w:val="00D92C84"/>
    <w:rsid w:val="00D97FB9"/>
    <w:rsid w:val="00DA2FCF"/>
    <w:rsid w:val="00DB0AB2"/>
    <w:rsid w:val="00DB668B"/>
    <w:rsid w:val="00DC06B9"/>
    <w:rsid w:val="00DC0999"/>
    <w:rsid w:val="00DC59DB"/>
    <w:rsid w:val="00DD22E0"/>
    <w:rsid w:val="00DD31DC"/>
    <w:rsid w:val="00DE0BDC"/>
    <w:rsid w:val="00DE0BEE"/>
    <w:rsid w:val="00DE27A9"/>
    <w:rsid w:val="00DE3AEC"/>
    <w:rsid w:val="00DF1C8E"/>
    <w:rsid w:val="00DF4290"/>
    <w:rsid w:val="00E07FE6"/>
    <w:rsid w:val="00E140C0"/>
    <w:rsid w:val="00E178A2"/>
    <w:rsid w:val="00E218FA"/>
    <w:rsid w:val="00E27C9A"/>
    <w:rsid w:val="00E3031E"/>
    <w:rsid w:val="00E30A35"/>
    <w:rsid w:val="00E31AB4"/>
    <w:rsid w:val="00E322AC"/>
    <w:rsid w:val="00E5325E"/>
    <w:rsid w:val="00E54FC5"/>
    <w:rsid w:val="00E559C4"/>
    <w:rsid w:val="00E569A5"/>
    <w:rsid w:val="00E57039"/>
    <w:rsid w:val="00E63E73"/>
    <w:rsid w:val="00E67165"/>
    <w:rsid w:val="00E75DFF"/>
    <w:rsid w:val="00E77300"/>
    <w:rsid w:val="00E80900"/>
    <w:rsid w:val="00E81860"/>
    <w:rsid w:val="00EA2D96"/>
    <w:rsid w:val="00EA3D6D"/>
    <w:rsid w:val="00EB0F77"/>
    <w:rsid w:val="00EB1046"/>
    <w:rsid w:val="00EB1F34"/>
    <w:rsid w:val="00EB49C8"/>
    <w:rsid w:val="00EB5158"/>
    <w:rsid w:val="00EC35E6"/>
    <w:rsid w:val="00EC4612"/>
    <w:rsid w:val="00ED34A4"/>
    <w:rsid w:val="00EE3475"/>
    <w:rsid w:val="00EE4B33"/>
    <w:rsid w:val="00EE4F2C"/>
    <w:rsid w:val="00EF073F"/>
    <w:rsid w:val="00EF257D"/>
    <w:rsid w:val="00EF2F67"/>
    <w:rsid w:val="00EF4283"/>
    <w:rsid w:val="00F03B56"/>
    <w:rsid w:val="00F07B58"/>
    <w:rsid w:val="00F15D75"/>
    <w:rsid w:val="00F17469"/>
    <w:rsid w:val="00F2088D"/>
    <w:rsid w:val="00F21E8F"/>
    <w:rsid w:val="00F22E28"/>
    <w:rsid w:val="00F338DF"/>
    <w:rsid w:val="00F41A2B"/>
    <w:rsid w:val="00F47D68"/>
    <w:rsid w:val="00F503EB"/>
    <w:rsid w:val="00F52191"/>
    <w:rsid w:val="00F52B7E"/>
    <w:rsid w:val="00F533AD"/>
    <w:rsid w:val="00F53F52"/>
    <w:rsid w:val="00F55A30"/>
    <w:rsid w:val="00F573E4"/>
    <w:rsid w:val="00F60378"/>
    <w:rsid w:val="00F61795"/>
    <w:rsid w:val="00F72376"/>
    <w:rsid w:val="00F80501"/>
    <w:rsid w:val="00F81C0A"/>
    <w:rsid w:val="00F82EC7"/>
    <w:rsid w:val="00F84F85"/>
    <w:rsid w:val="00F86FCC"/>
    <w:rsid w:val="00F901C6"/>
    <w:rsid w:val="00F9112C"/>
    <w:rsid w:val="00F92028"/>
    <w:rsid w:val="00F93778"/>
    <w:rsid w:val="00FA2629"/>
    <w:rsid w:val="00FB08AB"/>
    <w:rsid w:val="00FB2CD1"/>
    <w:rsid w:val="00FB529A"/>
    <w:rsid w:val="00FB5B0E"/>
    <w:rsid w:val="00FB6BC4"/>
    <w:rsid w:val="00FC19B7"/>
    <w:rsid w:val="00FC20B6"/>
    <w:rsid w:val="00FC52F5"/>
    <w:rsid w:val="00FC5859"/>
    <w:rsid w:val="00FD1272"/>
    <w:rsid w:val="00FD4EA9"/>
    <w:rsid w:val="00FD71F3"/>
    <w:rsid w:val="00FE173E"/>
    <w:rsid w:val="00FE39EF"/>
    <w:rsid w:val="00FE5A66"/>
    <w:rsid w:val="00FF04B8"/>
    <w:rsid w:val="00FF18DC"/>
    <w:rsid w:val="00FF2D71"/>
    <w:rsid w:val="00FF3E8D"/>
    <w:rsid w:val="00FF55F1"/>
    <w:rsid w:val="00FF5ACA"/>
    <w:rsid w:val="00FF7DC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2"/>
    </o:shapelayout>
  </w:shapeDefaults>
  <w:decimalSymbol w:val="."/>
  <w:listSeparator w:val=","/>
  <w14:docId w14:val="78CCC7FE"/>
  <w15:chartTrackingRefBased/>
  <w15:docId w15:val="{6CFAA892-B56C-4DEC-BAF4-66B0F3032C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styleId="Header">
    <w:name w:val="header"/>
    <w:basedOn w:val="Normal"/>
    <w:rsid w:val="006A2F88"/>
    <w:pPr>
      <w:tabs>
        <w:tab w:val="center" w:pos="4153"/>
        <w:tab w:val="right" w:pos="8306"/>
      </w:tabs>
    </w:pPr>
  </w:style>
  <w:style w:type="paragraph" w:styleId="Footer">
    <w:name w:val="footer"/>
    <w:basedOn w:val="Normal"/>
    <w:rsid w:val="006A2F88"/>
    <w:pPr>
      <w:tabs>
        <w:tab w:val="center" w:pos="4153"/>
        <w:tab w:val="right" w:pos="8306"/>
      </w:tabs>
    </w:pPr>
  </w:style>
  <w:style w:type="table" w:styleId="TableGrid">
    <w:name w:val="Table Grid"/>
    <w:basedOn w:val="TableNormal"/>
    <w:rsid w:val="006A2F8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rsid w:val="000B2BBD"/>
    <w:pPr>
      <w:spacing w:before="100" w:beforeAutospacing="1" w:after="100" w:afterAutospacing="1"/>
    </w:pPr>
  </w:style>
  <w:style w:type="paragraph" w:styleId="BalloonText">
    <w:name w:val="Balloon Text"/>
    <w:basedOn w:val="Normal"/>
    <w:semiHidden/>
    <w:rsid w:val="00A43060"/>
    <w:rPr>
      <w:rFonts w:ascii="Tahoma" w:hAnsi="Tahoma" w:cs="Tahoma"/>
      <w:sz w:val="16"/>
      <w:szCs w:val="16"/>
    </w:rPr>
  </w:style>
  <w:style w:type="character" w:styleId="CommentReference">
    <w:name w:val="annotation reference"/>
    <w:semiHidden/>
    <w:rsid w:val="0045065A"/>
    <w:rPr>
      <w:sz w:val="16"/>
      <w:szCs w:val="16"/>
    </w:rPr>
  </w:style>
  <w:style w:type="paragraph" w:styleId="CommentText">
    <w:name w:val="annotation text"/>
    <w:basedOn w:val="Normal"/>
    <w:semiHidden/>
    <w:rsid w:val="0045065A"/>
    <w:rPr>
      <w:sz w:val="20"/>
      <w:szCs w:val="20"/>
    </w:rPr>
  </w:style>
  <w:style w:type="paragraph" w:styleId="CommentSubject">
    <w:name w:val="annotation subject"/>
    <w:basedOn w:val="CommentText"/>
    <w:next w:val="CommentText"/>
    <w:semiHidden/>
    <w:rsid w:val="0045065A"/>
    <w:rPr>
      <w:b/>
      <w:bCs/>
    </w:rPr>
  </w:style>
  <w:style w:type="paragraph" w:styleId="NoSpacing">
    <w:name w:val="No Spacing"/>
    <w:uiPriority w:val="1"/>
    <w:qFormat/>
    <w:rsid w:val="00C6533D"/>
    <w:rPr>
      <w:sz w:val="24"/>
      <w:szCs w:val="24"/>
    </w:rPr>
  </w:style>
  <w:style w:type="paragraph" w:styleId="ListParagraph">
    <w:name w:val="List Paragraph"/>
    <w:basedOn w:val="Normal"/>
    <w:link w:val="ListParagraphChar"/>
    <w:uiPriority w:val="34"/>
    <w:qFormat/>
    <w:rsid w:val="007671E7"/>
    <w:pPr>
      <w:ind w:left="720"/>
    </w:pPr>
  </w:style>
  <w:style w:type="character" w:customStyle="1" w:styleId="ListParagraphChar">
    <w:name w:val="List Paragraph Char"/>
    <w:link w:val="ListParagraph"/>
    <w:uiPriority w:val="34"/>
    <w:rsid w:val="00F533AD"/>
    <w:rPr>
      <w:sz w:val="24"/>
      <w:szCs w:val="24"/>
    </w:rPr>
  </w:style>
  <w:style w:type="paragraph" w:styleId="Revision">
    <w:name w:val="Revision"/>
    <w:hidden/>
    <w:uiPriority w:val="99"/>
    <w:semiHidden/>
    <w:rsid w:val="001354D6"/>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9544971-48AB-4DA9-B6D5-D28B9FC61E9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1132</Words>
  <Characters>5620</Characters>
  <Application>Microsoft Office Word</Application>
  <DocSecurity>0</DocSecurity>
  <Lines>119</Lines>
  <Paragraphs>32</Paragraphs>
  <ScaleCrop>false</ScaleCrop>
  <HeadingPairs>
    <vt:vector size="2" baseType="variant">
      <vt:variant>
        <vt:lpstr>Title</vt:lpstr>
      </vt:variant>
      <vt:variant>
        <vt:i4>1</vt:i4>
      </vt:variant>
    </vt:vector>
  </HeadingPairs>
  <TitlesOfParts>
    <vt:vector size="1" baseType="lpstr">
      <vt:lpstr>Minutes of a Board Meeting of IntegraFin Holdings Limited (the ‘Company’)</vt:lpstr>
    </vt:vector>
  </TitlesOfParts>
  <Company>Integrated Financial Arrangements</Company>
  <LinksUpToDate>false</LinksUpToDate>
  <CharactersWithSpaces>6720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Minutes of a Board Meeting of IntegraFin Holdings Limited (the ‘Company’)</dc:title>
  <dc:subject/>
  <dc:creator>hb_</dc:creator>
  <cp:keywords/>
  <dc:description/>
  <cp:lastModifiedBy>Samantha Andrews</cp:lastModifiedBy>
  <cp:revision>2</cp:revision>
  <cp:lastPrinted>2020-03-02T14:16:00Z</cp:lastPrinted>
  <dcterms:created xsi:type="dcterms:W3CDTF">2026-02-26T17:41:00Z</dcterms:created>
  <dcterms:modified xsi:type="dcterms:W3CDTF">2026-02-26T17:41:00Z</dcterms:modified>
</cp:coreProperties>
</file>