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DCD0" w14:textId="77777777" w:rsidR="006A3A08" w:rsidRPr="005E30B1" w:rsidRDefault="006A3A08" w:rsidP="000177CF">
      <w:pPr>
        <w:pStyle w:val="AODocTxt"/>
        <w:rPr>
          <w:b/>
        </w:rPr>
      </w:pPr>
      <w:r w:rsidRPr="005E30B1">
        <w:rPr>
          <w:b/>
        </w:rPr>
        <w:t>Company number</w:t>
      </w:r>
      <w:r w:rsidR="000177CF">
        <w:rPr>
          <w:b/>
        </w:rPr>
        <w:t xml:space="preserve">: </w:t>
      </w:r>
      <w:r w:rsidRPr="005E30B1">
        <w:rPr>
          <w:b/>
        </w:rPr>
        <w:t>06404270</w:t>
      </w:r>
    </w:p>
    <w:p w14:paraId="5DDD12F8" w14:textId="77777777" w:rsidR="006A3A08" w:rsidRPr="005E30B1" w:rsidRDefault="006A3A08" w:rsidP="006A3A08">
      <w:pPr>
        <w:pStyle w:val="AODocTxt"/>
        <w:jc w:val="center"/>
        <w:rPr>
          <w:b/>
        </w:rPr>
      </w:pPr>
      <w:r w:rsidRPr="005E30B1">
        <w:rPr>
          <w:b/>
        </w:rPr>
        <w:t>RESOLUTIONS</w:t>
      </w:r>
    </w:p>
    <w:p w14:paraId="052D943B" w14:textId="77777777" w:rsidR="006A3A08" w:rsidRPr="005E30B1" w:rsidRDefault="006A3A08" w:rsidP="006A3A08">
      <w:pPr>
        <w:pStyle w:val="AODocTxt"/>
        <w:jc w:val="center"/>
        <w:rPr>
          <w:b/>
        </w:rPr>
      </w:pPr>
      <w:r w:rsidRPr="005E30B1">
        <w:rPr>
          <w:b/>
        </w:rPr>
        <w:t>OF</w:t>
      </w:r>
    </w:p>
    <w:p w14:paraId="409C50A2" w14:textId="77777777" w:rsidR="006A3A08" w:rsidRDefault="006A3A08" w:rsidP="006A3A08">
      <w:pPr>
        <w:pStyle w:val="AODocTxt"/>
        <w:jc w:val="center"/>
        <w:rPr>
          <w:b/>
        </w:rPr>
      </w:pPr>
      <w:r>
        <w:rPr>
          <w:b/>
        </w:rPr>
        <w:t>QUILTER PLC</w:t>
      </w:r>
    </w:p>
    <w:p w14:paraId="47CE2F57" w14:textId="7460F453" w:rsidR="006A3A08" w:rsidRDefault="006A3A08" w:rsidP="007B3514">
      <w:pPr>
        <w:pStyle w:val="AODocTxt"/>
        <w:spacing w:after="240"/>
        <w:jc w:val="center"/>
      </w:pPr>
      <w:r>
        <w:t>(</w:t>
      </w:r>
      <w:proofErr w:type="gramStart"/>
      <w:r>
        <w:t>passed</w:t>
      </w:r>
      <w:proofErr w:type="gramEnd"/>
      <w:r>
        <w:t xml:space="preserve"> on </w:t>
      </w:r>
      <w:r w:rsidR="00671B91">
        <w:t>1</w:t>
      </w:r>
      <w:r w:rsidR="00604D91">
        <w:t>2</w:t>
      </w:r>
      <w:r w:rsidR="00671B91">
        <w:t xml:space="preserve"> May 20</w:t>
      </w:r>
      <w:r w:rsidR="00A84B04">
        <w:t>2</w:t>
      </w:r>
      <w:r w:rsidR="00604D91">
        <w:t>2</w:t>
      </w:r>
      <w:r>
        <w:t>)</w:t>
      </w:r>
    </w:p>
    <w:p w14:paraId="2E21315E" w14:textId="77777777" w:rsidR="00B23B38" w:rsidRDefault="00B23B38" w:rsidP="007B3514">
      <w:pPr>
        <w:pStyle w:val="AODocTxt"/>
        <w:spacing w:before="360"/>
      </w:pPr>
    </w:p>
    <w:p w14:paraId="3C13C32F" w14:textId="3EEF8678" w:rsidR="00B23B38" w:rsidRPr="00820603" w:rsidRDefault="00820603" w:rsidP="007B3514">
      <w:pPr>
        <w:pStyle w:val="AODocTxt"/>
        <w:spacing w:before="360"/>
        <w:rPr>
          <w:lang w:val="en-US"/>
        </w:rPr>
      </w:pPr>
      <w:r w:rsidRPr="008C7197">
        <w:t xml:space="preserve">In accordance with Listing Rule 9.6.2, copies of the resolutions </w:t>
      </w:r>
      <w:r>
        <w:t>passed a</w:t>
      </w:r>
      <w:r w:rsidR="00B23B38">
        <w:t>t a General Meeting of Quilter plc (the “</w:t>
      </w:r>
      <w:r w:rsidR="00B23B38" w:rsidRPr="00820603">
        <w:rPr>
          <w:b/>
          <w:bCs/>
        </w:rPr>
        <w:t>Company</w:t>
      </w:r>
      <w:r w:rsidR="00B23B38">
        <w:t>”) duly convened and held at Senator House, 85 Queen Victoria Street, London EC4V 4AB on Thursday 12 May 2022 at 11:30 a.m. (UK time) / 12:30pm (SA time)</w:t>
      </w:r>
      <w:r>
        <w:t xml:space="preserve"> are set out below and </w:t>
      </w:r>
      <w:r w:rsidRPr="008C7197">
        <w:t>have been filed with the National Storage Mechanism at</w:t>
      </w:r>
      <w:r>
        <w:t xml:space="preserve"> </w:t>
      </w:r>
      <w:hyperlink r:id="rId11" w:history="1">
        <w:r w:rsidRPr="00930138">
          <w:rPr>
            <w:rStyle w:val="Hyperlink"/>
          </w:rPr>
          <w:t>https://data.fca.org.uk/#/nsm/nationalstoragemechanism</w:t>
        </w:r>
      </w:hyperlink>
      <w:r>
        <w:rPr>
          <w:lang w:val="en-US"/>
        </w:rPr>
        <w:t xml:space="preserve">.    </w:t>
      </w:r>
      <w:r w:rsidR="00B23B38">
        <w:t>Resolutions 1, 2, 4 and 5 were passed as special resolutions. Resolution 3 was passed as an ordinary resolution.</w:t>
      </w:r>
    </w:p>
    <w:p w14:paraId="78C702D0" w14:textId="77777777" w:rsidR="008C7197" w:rsidRDefault="008C7197" w:rsidP="008C7197">
      <w:pPr>
        <w:rPr>
          <w:lang w:val="en-US"/>
        </w:rPr>
      </w:pPr>
    </w:p>
    <w:p w14:paraId="05C3D369" w14:textId="64EB1CBD" w:rsidR="00464AC8" w:rsidRPr="00464AC8" w:rsidRDefault="00464AC8" w:rsidP="00B23B38">
      <w:pPr>
        <w:pStyle w:val="AODocTxt"/>
        <w:ind w:left="360"/>
        <w:jc w:val="center"/>
        <w:rPr>
          <w:b/>
        </w:rPr>
      </w:pPr>
      <w:r w:rsidRPr="00464AC8">
        <w:rPr>
          <w:b/>
        </w:rPr>
        <w:t>RESOLUTIONS</w:t>
      </w:r>
    </w:p>
    <w:p w14:paraId="2F6D9ADD" w14:textId="77777777" w:rsidR="006F4B36" w:rsidRPr="006F4B36" w:rsidRDefault="006F4B36" w:rsidP="00464AC8">
      <w:pPr>
        <w:pStyle w:val="AODocTxtL1"/>
        <w:ind w:left="0"/>
        <w:rPr>
          <w:b/>
          <w:bCs/>
        </w:rPr>
      </w:pPr>
      <w:r w:rsidRPr="006F4B36">
        <w:rPr>
          <w:b/>
          <w:bCs/>
        </w:rPr>
        <w:t xml:space="preserve">Resolution 1—Adoption of new articles of association </w:t>
      </w:r>
    </w:p>
    <w:p w14:paraId="078624D9" w14:textId="77777777" w:rsidR="006E0CD4" w:rsidRDefault="006F4B36" w:rsidP="00464AC8">
      <w:pPr>
        <w:pStyle w:val="AODocTxtL1"/>
        <w:ind w:left="0"/>
      </w:pPr>
      <w:r>
        <w:t xml:space="preserve">THAT, subject to and conditional upon the issue of B Shares, the draft articles of association produced to the meeting, marked ‘‘A” and signed by the Chair of the meeting for identification purposes (the </w:t>
      </w:r>
      <w:r w:rsidRPr="006E0CD4">
        <w:rPr>
          <w:b/>
          <w:bCs/>
        </w:rPr>
        <w:t>New Articles of Association</w:t>
      </w:r>
      <w:r>
        <w:t>), be and are hereby approved and adopted as the articles of association of the Company in substitution for, and to the exclusion of, all existing articles of association of the Company, with effect from the Company’s New Existing Ordinary Shares (as defined in Resolution 3) being admitted to the premium segment of the official list of the Financial Conduct Authority and to trading on the London Stock Exchange’s main market for listed securities by 8:00 (UK time) a.m. on Monday 23 May 2022 (or such later time and/or date as the Directors may in their absolute discretion determine) (</w:t>
      </w:r>
      <w:r w:rsidRPr="006E0CD4">
        <w:rPr>
          <w:b/>
          <w:bCs/>
        </w:rPr>
        <w:t>Admission</w:t>
      </w:r>
      <w:r>
        <w:t xml:space="preserve">). </w:t>
      </w:r>
    </w:p>
    <w:p w14:paraId="7F03F5A0" w14:textId="77777777" w:rsidR="006E0CD4" w:rsidRPr="006E0CD4" w:rsidRDefault="006F4B36" w:rsidP="00464AC8">
      <w:pPr>
        <w:pStyle w:val="AODocTxtL1"/>
        <w:ind w:left="0"/>
        <w:rPr>
          <w:b/>
          <w:bCs/>
        </w:rPr>
      </w:pPr>
      <w:r w:rsidRPr="006E0CD4">
        <w:rPr>
          <w:b/>
          <w:bCs/>
        </w:rPr>
        <w:t xml:space="preserve">Resolution 2—Issue of B Shares </w:t>
      </w:r>
    </w:p>
    <w:p w14:paraId="12B5F4A9" w14:textId="77777777" w:rsidR="006E0CD4" w:rsidRDefault="006F4B36" w:rsidP="00464AC8">
      <w:pPr>
        <w:pStyle w:val="AODocTxtL1"/>
        <w:ind w:left="0"/>
      </w:pPr>
      <w:r>
        <w:t xml:space="preserve">THAT, subject to and conditional upon the passing of Resolutions 1 and 3: </w:t>
      </w:r>
    </w:p>
    <w:p w14:paraId="2DF1898C" w14:textId="77777777" w:rsidR="006E0CD4" w:rsidRDefault="006F4B36" w:rsidP="00464AC8">
      <w:pPr>
        <w:pStyle w:val="AODocTxtL1"/>
        <w:ind w:left="0"/>
      </w:pPr>
      <w:r>
        <w:t xml:space="preserve">(a) the Directors be authorised to: </w:t>
      </w:r>
    </w:p>
    <w:p w14:paraId="17C478ED" w14:textId="77777777" w:rsidR="006E0CD4" w:rsidRDefault="006F4B36" w:rsidP="006E0CD4">
      <w:pPr>
        <w:pStyle w:val="AODocTxtL1"/>
      </w:pPr>
      <w:r>
        <w:t>(</w:t>
      </w:r>
      <w:proofErr w:type="spellStart"/>
      <w:r>
        <w:t>i</w:t>
      </w:r>
      <w:proofErr w:type="spellEnd"/>
      <w:r>
        <w:t xml:space="preserve">) capitalise a sum not exceeding £330,000,000, standing to the credit of the Company’s merger reserve, and to apply such sum in paying up in full up to the maximum number of redeemable preference shares of 20 pence each in the capital of the Company carrying the rights and restrictions set out in article 6A of the New Articles of Association (as defined in Resolution 1) (the </w:t>
      </w:r>
      <w:r w:rsidRPr="006E0CD4">
        <w:rPr>
          <w:b/>
          <w:bCs/>
        </w:rPr>
        <w:t>B Shares</w:t>
      </w:r>
      <w:r>
        <w:t xml:space="preserve">) that may be allotted to the holders of ordinary shares of 7 pence each in the capital of the Company in issue as at such times and/or dates as the Directors may determine (each an </w:t>
      </w:r>
      <w:r w:rsidRPr="006E0CD4">
        <w:rPr>
          <w:b/>
          <w:bCs/>
        </w:rPr>
        <w:t>Existing Ordinary Share</w:t>
      </w:r>
      <w:r>
        <w:t xml:space="preserve">) pursuant to the authority given by sub-paragraph (a)(ii) below; and </w:t>
      </w:r>
    </w:p>
    <w:p w14:paraId="029C9D30" w14:textId="77777777" w:rsidR="00366F64" w:rsidRDefault="006F4B36" w:rsidP="006E0CD4">
      <w:pPr>
        <w:pStyle w:val="AODocTxtL1"/>
      </w:pPr>
      <w:r>
        <w:t xml:space="preserve">(ii) pursuant to section 551 of the Companies Act 2006, exercise all powers of the Company to allot and issue credited as fully paid up B Shares up to an aggregate nominal amount of £330,000,000 to the holders of Existing Ordinary Shares on the basis of one B Share for each Existing Ordinary Share held and recorded on the Company’s register of members at such times and/or dates as the Directors may determine, in accordance with the terms of the circular sent by the Company to its shareholders on 29 March 2022 and the Directors’ determination as to the number of B Shares to be allotted and issued; and </w:t>
      </w:r>
    </w:p>
    <w:p w14:paraId="64252855" w14:textId="10BECBC9" w:rsidR="006E0CD4" w:rsidRDefault="006F4B36" w:rsidP="00366F64">
      <w:pPr>
        <w:pStyle w:val="AODocTxtL1"/>
        <w:ind w:left="0"/>
      </w:pPr>
      <w:r>
        <w:lastRenderedPageBreak/>
        <w:t xml:space="preserve">(b) the authority conferred by this Resolution shall expire at the conclusion of the next Annual General Meeting of the Company after the passing of this Resolution or, if earlier, at the close of business on 30 June 2023. </w:t>
      </w:r>
    </w:p>
    <w:p w14:paraId="296ED35E" w14:textId="77777777" w:rsidR="006E0CD4" w:rsidRPr="00B23B38" w:rsidRDefault="006F4B36" w:rsidP="00464AC8">
      <w:pPr>
        <w:pStyle w:val="AODocTxtL1"/>
        <w:ind w:left="0"/>
        <w:rPr>
          <w:b/>
          <w:bCs/>
        </w:rPr>
      </w:pPr>
      <w:r w:rsidRPr="00B23B38">
        <w:rPr>
          <w:b/>
          <w:bCs/>
        </w:rPr>
        <w:t xml:space="preserve">Resolution 3—Share Consolidation </w:t>
      </w:r>
    </w:p>
    <w:p w14:paraId="38DEB4FE" w14:textId="380DBDA0" w:rsidR="006E0CD4" w:rsidRPr="00B23B38" w:rsidRDefault="006F4B36" w:rsidP="00464AC8">
      <w:pPr>
        <w:pStyle w:val="AODocTxtL1"/>
        <w:ind w:left="0"/>
      </w:pPr>
      <w:r w:rsidRPr="00B23B38">
        <w:t xml:space="preserve">THAT, subject to and conditional upon the passing of Resolutions 1 and 2 above, and subject to and conditional upon Admission (as defined in Resolution 1) occurring, every ordinary share of 7 pence each in the capital of the Company in issue as shown on the Company’s register of members of the Company at such times and/or dates as the Directors may determine in accordance with the terms of the circular sent by the Company to its shareholders on 29 March 2022 (the </w:t>
      </w:r>
      <w:r w:rsidRPr="00B23B38">
        <w:rPr>
          <w:b/>
          <w:bCs/>
        </w:rPr>
        <w:t>Existing Ordinary Shares</w:t>
      </w:r>
      <w:r w:rsidRPr="00B23B38">
        <w:t xml:space="preserve"> and each an </w:t>
      </w:r>
      <w:r w:rsidRPr="00B23B38">
        <w:rPr>
          <w:b/>
          <w:bCs/>
        </w:rPr>
        <w:t>Existing Ordinary Share</w:t>
      </w:r>
      <w:r w:rsidRPr="00B23B38">
        <w:t xml:space="preserve">) be subdivided into 6 undesignated shares in the capital of the Company (each an </w:t>
      </w:r>
      <w:r w:rsidRPr="00B23B38">
        <w:rPr>
          <w:b/>
          <w:bCs/>
        </w:rPr>
        <w:t>Undesignated Share</w:t>
      </w:r>
      <w:r w:rsidRPr="00B23B38">
        <w:t xml:space="preserve">) and immediately thereafter, every 7 Undesignated Shares be consolidated into one new ordinary share of 8 1/6 pence each in the capital of the Company (or such other numbers and price as the Directors may in their absolute discretion determine if the price of an Existing Ordinary Share and the number of Existing Ordinary Shares in issue shortly before the date of the General Meeting mean that this ratio would no longer maintain comparability of the Company’s share price before and after the return of capital) (each a </w:t>
      </w:r>
      <w:r w:rsidRPr="00B23B38">
        <w:rPr>
          <w:b/>
          <w:bCs/>
        </w:rPr>
        <w:t>New Ordinary Share</w:t>
      </w:r>
      <w:r w:rsidRPr="00B23B38">
        <w:t xml:space="preserve">), provided that, where such subdivision and consolidation results in any member being entitled to a fraction of a New Ordinary Share, such fraction shall, so far as possible, be aggregated with the fractions of New Ordinary Shares to which other members of the Company may be entitled and the Directors of the Company be and are hereby authorised to sell (or appoint any other person to sell to any person), on behalf of the relevant members, all the New Ordinary Shares representing such fractions to any persons, and to donate the aggregated proceeds to the Quilter Foundation. </w:t>
      </w:r>
    </w:p>
    <w:p w14:paraId="66A5CBC7" w14:textId="77777777" w:rsidR="006E0CD4" w:rsidRPr="006E0CD4" w:rsidRDefault="006F4B36" w:rsidP="00464AC8">
      <w:pPr>
        <w:pStyle w:val="AODocTxtL1"/>
        <w:ind w:left="0"/>
        <w:rPr>
          <w:b/>
          <w:bCs/>
        </w:rPr>
      </w:pPr>
      <w:r w:rsidRPr="006E0CD4">
        <w:rPr>
          <w:b/>
          <w:bCs/>
        </w:rPr>
        <w:t xml:space="preserve">Resolution 4—Authority to purchase own shares </w:t>
      </w:r>
    </w:p>
    <w:p w14:paraId="35D71389" w14:textId="77777777" w:rsidR="00366F64" w:rsidRDefault="006F4B36" w:rsidP="00464AC8">
      <w:pPr>
        <w:pStyle w:val="AODocTxtL1"/>
        <w:ind w:left="0"/>
      </w:pPr>
      <w:r>
        <w:t xml:space="preserve">THAT, subject to and conditional upon the passing of Resolution 3 above, in accordance with section 701 of the Companies Act 2006, the Company is generally and unconditionally authorised to make market purchases (within the meaning of section 693 of the Act) of New Ordinary Shares on such terms and in such manner as the Directors of the Company may determine provided that: </w:t>
      </w:r>
    </w:p>
    <w:p w14:paraId="2586E63E" w14:textId="77777777" w:rsidR="00366F64" w:rsidRDefault="006F4B36" w:rsidP="00464AC8">
      <w:pPr>
        <w:pStyle w:val="AODocTxtL1"/>
        <w:ind w:left="0"/>
      </w:pPr>
      <w:r>
        <w:t xml:space="preserve">(a) the maximum number of New Ordinary Shares that may be purchased under this authority (when aggregated with any purchases made pursuant to Resolution 5 below and subject to any adjustments required if the Directors exercise the power described in Resolution 3 to adjust the Share Consolidation ratio pursuant to that resolution) is </w:t>
      </w:r>
      <w:proofErr w:type="gramStart"/>
      <w:r>
        <w:t>140,410,550;</w:t>
      </w:r>
      <w:proofErr w:type="gramEnd"/>
      <w:r>
        <w:t xml:space="preserve"> </w:t>
      </w:r>
    </w:p>
    <w:p w14:paraId="6378B3FE" w14:textId="77777777" w:rsidR="00366F64" w:rsidRDefault="006F4B36" w:rsidP="00464AC8">
      <w:pPr>
        <w:pStyle w:val="AODocTxtL1"/>
        <w:ind w:left="0"/>
      </w:pPr>
      <w:r>
        <w:t xml:space="preserve">(b) the maximum price which may be paid for any New Ordinary Share purchased under this authority (exclusive of expenses payable by the Company in connection with the purchase) shall not be more than the higher of: </w:t>
      </w:r>
    </w:p>
    <w:p w14:paraId="4EAAB209" w14:textId="77777777" w:rsidR="00366F64" w:rsidRDefault="006F4B36" w:rsidP="00366F64">
      <w:pPr>
        <w:pStyle w:val="AODocTxtL1"/>
      </w:pPr>
      <w:r>
        <w:t>(</w:t>
      </w:r>
      <w:proofErr w:type="spellStart"/>
      <w:r>
        <w:t>i</w:t>
      </w:r>
      <w:proofErr w:type="spellEnd"/>
      <w:r>
        <w:t xml:space="preserve">) an amount equal to 105% of the average of the middle market prices shown in the quotations for the New Ordinary Shares in the London Stock Exchange Daily Official List for the five business days immediately preceding the day on which that New Ordinary Share is </w:t>
      </w:r>
      <w:proofErr w:type="gramStart"/>
      <w:r>
        <w:t>purchased;</w:t>
      </w:r>
      <w:proofErr w:type="gramEnd"/>
    </w:p>
    <w:p w14:paraId="488A7922" w14:textId="77777777" w:rsidR="00366F64" w:rsidRDefault="006F4B36" w:rsidP="00366F64">
      <w:pPr>
        <w:pStyle w:val="AODocTxtL1"/>
      </w:pPr>
      <w:r>
        <w:t xml:space="preserve">(ii) and an amount equal to the higher of the price of the last independent trade of a New Ordinary Share and the highest current independent bid for a New Ordinary Share on the trading venue where the purchase is carried </w:t>
      </w:r>
      <w:proofErr w:type="gramStart"/>
      <w:r>
        <w:t>out;</w:t>
      </w:r>
      <w:proofErr w:type="gramEnd"/>
      <w:r>
        <w:t xml:space="preserve"> </w:t>
      </w:r>
    </w:p>
    <w:p w14:paraId="12762A42" w14:textId="77777777" w:rsidR="00366F64" w:rsidRDefault="006F4B36" w:rsidP="00366F64">
      <w:pPr>
        <w:pStyle w:val="AODocTxtL1"/>
        <w:ind w:left="0"/>
      </w:pPr>
      <w:r>
        <w:t>(c) the minimum price which may be paid shall be the nominal value of that New Ordinary Share (exclusive of expenses payable by the Company in connection with the purchase</w:t>
      </w:r>
      <w:proofErr w:type="gramStart"/>
      <w:r>
        <w:t>);</w:t>
      </w:r>
      <w:proofErr w:type="gramEnd"/>
      <w:r>
        <w:t xml:space="preserve"> </w:t>
      </w:r>
    </w:p>
    <w:p w14:paraId="6168C793" w14:textId="77777777" w:rsidR="00366F64" w:rsidRDefault="006F4B36" w:rsidP="00366F64">
      <w:pPr>
        <w:pStyle w:val="AODocTxtL1"/>
        <w:ind w:left="0"/>
      </w:pPr>
      <w:r>
        <w:t xml:space="preserve">(d) this authority shall expire at the conclusion of the next Annual General Meeting of the Company after the passing of this resolution or, if earlier, at the close of business on 30 June 2023 unless renewed before that time; and </w:t>
      </w:r>
    </w:p>
    <w:p w14:paraId="47EE51EE" w14:textId="5A3FECB5" w:rsidR="006E0CD4" w:rsidRDefault="006F4B36" w:rsidP="00366F64">
      <w:pPr>
        <w:pStyle w:val="AODocTxtL1"/>
        <w:ind w:left="0"/>
      </w:pPr>
      <w:r>
        <w:t xml:space="preserve">(e) the Company may make a contract or contracts to purchase New Ordinary Shares under this authority before its expiry which will or may be executed wholly or partly after the expiry of this authority and may make a purchase of New Ordinary Shares in pursuance of any such contract. </w:t>
      </w:r>
    </w:p>
    <w:p w14:paraId="75879EF9" w14:textId="77777777" w:rsidR="00366F64" w:rsidRDefault="00366F64" w:rsidP="00464AC8">
      <w:pPr>
        <w:pStyle w:val="AODocTxtL1"/>
        <w:ind w:left="0"/>
        <w:rPr>
          <w:b/>
          <w:bCs/>
        </w:rPr>
      </w:pPr>
    </w:p>
    <w:p w14:paraId="0B88651C" w14:textId="0BBD3ADB" w:rsidR="006E0CD4" w:rsidRPr="006E0CD4" w:rsidRDefault="006F4B36" w:rsidP="00464AC8">
      <w:pPr>
        <w:pStyle w:val="AODocTxtL1"/>
        <w:ind w:left="0"/>
        <w:rPr>
          <w:b/>
          <w:bCs/>
        </w:rPr>
      </w:pPr>
      <w:r w:rsidRPr="006E0CD4">
        <w:rPr>
          <w:b/>
          <w:bCs/>
        </w:rPr>
        <w:t>Resolution 5—Authority to purchase own shares</w:t>
      </w:r>
    </w:p>
    <w:p w14:paraId="3DAAA05A" w14:textId="77777777" w:rsidR="00366F64" w:rsidRDefault="006F4B36" w:rsidP="00464AC8">
      <w:pPr>
        <w:pStyle w:val="AODocTxtL1"/>
        <w:ind w:left="0"/>
      </w:pPr>
      <w:r>
        <w:t xml:space="preserve">That, subject to and conditional upon the passing of Resolution 3 above, contingent purchase contracts each in the form produced to the General Meeting (subject to any changes required if the Directors exercise the power described in Resolution 3 to adjust the Share Consolidation ratio pursuant to that resolution), between the Company and each of: </w:t>
      </w:r>
    </w:p>
    <w:p w14:paraId="1E074908" w14:textId="77777777" w:rsidR="00366F64" w:rsidRDefault="006F4B36" w:rsidP="00464AC8">
      <w:pPr>
        <w:pStyle w:val="AODocTxtL1"/>
        <w:ind w:left="0"/>
      </w:pPr>
      <w:r>
        <w:t xml:space="preserve">(a) J.P. Morgan Equities South Africa Proprietary Limited; and </w:t>
      </w:r>
    </w:p>
    <w:p w14:paraId="6E58F8B2" w14:textId="77777777" w:rsidR="00366F64" w:rsidRDefault="006F4B36" w:rsidP="00464AC8">
      <w:pPr>
        <w:pStyle w:val="AODocTxtL1"/>
        <w:ind w:left="0"/>
      </w:pPr>
      <w:r>
        <w:t xml:space="preserve">(b) Goldman Sachs International, </w:t>
      </w:r>
    </w:p>
    <w:p w14:paraId="7A8F7514" w14:textId="2A465ABD" w:rsidR="006F4B36" w:rsidRDefault="006F4B36" w:rsidP="00464AC8">
      <w:pPr>
        <w:pStyle w:val="AODocTxtL1"/>
        <w:ind w:left="0"/>
        <w:rPr>
          <w:b/>
        </w:rPr>
      </w:pPr>
      <w:r>
        <w:t xml:space="preserve">relating to the New Ordinary Shares traded on the Johannesburg Stock Exchange, pursuant to which the Company may make off-market purchases from J.P. Morgan Equities South Africa Proprietary Limited or Goldman Sachs International of up to a maximum of 140,410,550 New Ordinary Shares in aggregate (such maximum number to be reduced by any purchases made pursuant to the authority in Resolution 4 above and subject to any adjustments required if the Directors exercise the power described in Resolution 3 to adjust the Share Consolidation ratio), be and are hereby approved in accordance with sections 693 and 694 of the Companies Act 2006, and that the Company be and is hereby authorised to make off-market purchases of New Ordinary Shares pursuant to each such contract until the conclusion of the next Annual General Meeting of the Company after the passing of this resolution or, if earlier, the close of business on 30 June 2023. </w:t>
      </w:r>
    </w:p>
    <w:p w14:paraId="403C3CCA" w14:textId="77777777" w:rsidR="006F4B36" w:rsidRDefault="006F4B36" w:rsidP="00464AC8">
      <w:pPr>
        <w:pStyle w:val="AODocTxtL1"/>
        <w:ind w:left="0"/>
        <w:rPr>
          <w:b/>
        </w:rPr>
      </w:pPr>
    </w:p>
    <w:p w14:paraId="07A369BB" w14:textId="77777777" w:rsidR="00CE65EB" w:rsidRDefault="00CE65EB" w:rsidP="00A84B04">
      <w:pPr>
        <w:autoSpaceDE w:val="0"/>
        <w:autoSpaceDN w:val="0"/>
        <w:adjustRightInd w:val="0"/>
        <w:jc w:val="both"/>
      </w:pPr>
    </w:p>
    <w:sectPr w:rsidR="00CE65EB" w:rsidSect="002414AB">
      <w:headerReference w:type="even" r:id="rId12"/>
      <w:headerReference w:type="default" r:id="rId13"/>
      <w:footerReference w:type="even" r:id="rId14"/>
      <w:footerReference w:type="default" r:id="rId15"/>
      <w:headerReference w:type="first" r:id="rId16"/>
      <w:footerReference w:type="first" r:id="rId17"/>
      <w:pgSz w:w="11907" w:h="16839" w:code="9"/>
      <w:pgMar w:top="993" w:right="1134" w:bottom="1134"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FCD0" w14:textId="77777777" w:rsidR="00AC3026" w:rsidRPr="00920631" w:rsidRDefault="00AC3026" w:rsidP="001E7139">
      <w:r w:rsidRPr="00920631">
        <w:separator/>
      </w:r>
    </w:p>
  </w:endnote>
  <w:endnote w:type="continuationSeparator" w:id="0">
    <w:p w14:paraId="00BEDD99" w14:textId="77777777" w:rsidR="00AC3026" w:rsidRPr="00920631" w:rsidRDefault="00AC3026"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4531" w14:textId="77777777" w:rsidR="00D62CFF" w:rsidRPr="00D319BF" w:rsidRDefault="00D62CFF" w:rsidP="00D3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09"/>
      <w:gridCol w:w="3214"/>
      <w:gridCol w:w="3216"/>
    </w:tblGrid>
    <w:tr w:rsidR="00BB07C3" w:rsidRPr="00920631" w14:paraId="4DF19EB4" w14:textId="77777777" w:rsidTr="00D62CFF">
      <w:tc>
        <w:tcPr>
          <w:tcW w:w="1665" w:type="pct"/>
        </w:tcPr>
        <w:p w14:paraId="7625C9FB" w14:textId="77777777" w:rsidR="00BB07C3" w:rsidRPr="00920631" w:rsidRDefault="00BB07C3" w:rsidP="002414AB">
          <w:pPr>
            <w:spacing w:line="260" w:lineRule="atLeast"/>
          </w:pPr>
          <w:bookmarkStart w:id="0" w:name="bmkFooterPrimaryDoc"/>
        </w:p>
      </w:tc>
      <w:tc>
        <w:tcPr>
          <w:tcW w:w="1667" w:type="pct"/>
        </w:tcPr>
        <w:p w14:paraId="22C29EB7" w14:textId="77777777" w:rsidR="00BB07C3" w:rsidRPr="00920631" w:rsidRDefault="00BB07C3" w:rsidP="007D75EC">
          <w:pPr>
            <w:pStyle w:val="AONormal8C"/>
          </w:pPr>
          <w:r w:rsidRPr="00920631">
            <w:fldChar w:fldCharType="begin"/>
          </w:r>
          <w:r w:rsidRPr="00920631">
            <w:instrText xml:space="preserve"> PAGE  \* Arabic  \* MERGEFORMAT </w:instrText>
          </w:r>
          <w:r w:rsidRPr="00920631">
            <w:fldChar w:fldCharType="separate"/>
          </w:r>
          <w:r w:rsidR="00DA562B">
            <w:rPr>
              <w:noProof/>
            </w:rPr>
            <w:t>1</w:t>
          </w:r>
          <w:r w:rsidRPr="00920631">
            <w:fldChar w:fldCharType="end"/>
          </w:r>
        </w:p>
      </w:tc>
      <w:tc>
        <w:tcPr>
          <w:tcW w:w="1668" w:type="pct"/>
        </w:tcPr>
        <w:p w14:paraId="1F4FA820" w14:textId="77777777" w:rsidR="00BB07C3" w:rsidRPr="00920631" w:rsidRDefault="00BB07C3" w:rsidP="007D75EC">
          <w:pPr>
            <w:pStyle w:val="AONormal8R"/>
          </w:pPr>
        </w:p>
      </w:tc>
    </w:tr>
    <w:bookmarkEnd w:id="0"/>
  </w:tbl>
  <w:p w14:paraId="49623961" w14:textId="77777777" w:rsidR="0061772E" w:rsidRPr="00920631" w:rsidRDefault="00820603" w:rsidP="00D319B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1"/>
      <w:gridCol w:w="3214"/>
      <w:gridCol w:w="3214"/>
    </w:tblGrid>
    <w:tr w:rsidR="005D5CB3" w14:paraId="33A3A654" w14:textId="77777777" w:rsidTr="005D5CB3">
      <w:tc>
        <w:tcPr>
          <w:tcW w:w="5000" w:type="pct"/>
          <w:gridSpan w:val="3"/>
          <w:tcMar>
            <w:top w:w="170" w:type="dxa"/>
          </w:tcMar>
        </w:tcPr>
        <w:p w14:paraId="5ABDEF30" w14:textId="77777777" w:rsidR="00CE4B95" w:rsidRDefault="00CE4B95" w:rsidP="005D5CB3">
          <w:pPr>
            <w:pStyle w:val="AONormal8LBold"/>
          </w:pPr>
        </w:p>
        <w:p w14:paraId="438DD7FC" w14:textId="380DF3EA" w:rsidR="005D5CB3" w:rsidRDefault="00820603" w:rsidP="005D5CB3">
          <w:pPr>
            <w:pStyle w:val="AONormal8LBold"/>
          </w:pPr>
          <w:r>
            <w:fldChar w:fldCharType="begin"/>
          </w:r>
          <w:r>
            <w:instrText xml:space="preserve"> DOCPROPERTY  cpFooterText </w:instrText>
          </w:r>
          <w:r>
            <w:fldChar w:fldCharType="separate"/>
          </w:r>
          <w:r>
            <w:t xml:space="preserve"> </w:t>
          </w:r>
          <w:r>
            <w:fldChar w:fldCharType="end"/>
          </w:r>
        </w:p>
      </w:tc>
    </w:tr>
    <w:tr w:rsidR="005D5CB3" w14:paraId="70A2ECAB" w14:textId="77777777" w:rsidTr="005D5CB3">
      <w:tc>
        <w:tcPr>
          <w:tcW w:w="1666" w:type="pct"/>
        </w:tcPr>
        <w:p w14:paraId="2830BECE" w14:textId="336D28DD" w:rsidR="005D5CB3" w:rsidRDefault="00820603" w:rsidP="005D5CB3">
          <w:pPr>
            <w:pStyle w:val="AONormal8L"/>
          </w:pPr>
          <w:r>
            <w:fldChar w:fldCharType="begin"/>
          </w:r>
          <w:r>
            <w:instrText xml:space="preserve"> DOCPROPERTY  cpCombinedRef </w:instrText>
          </w:r>
          <w:r>
            <w:fldChar w:fldCharType="separate"/>
          </w:r>
          <w:r>
            <w:t>0112142-0000009 CO:32928329.2</w:t>
          </w:r>
          <w:r>
            <w:fldChar w:fldCharType="end"/>
          </w:r>
        </w:p>
      </w:tc>
      <w:tc>
        <w:tcPr>
          <w:tcW w:w="1667" w:type="pct"/>
        </w:tcPr>
        <w:p w14:paraId="7114B9F4" w14:textId="77777777" w:rsidR="005D5CB3" w:rsidRDefault="005D5CB3"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14:paraId="432EACAB" w14:textId="77777777" w:rsidR="005D5CB3" w:rsidRDefault="005D5CB3" w:rsidP="005D5CB3">
          <w:pPr>
            <w:pStyle w:val="AONormal8R"/>
          </w:pPr>
        </w:p>
      </w:tc>
    </w:tr>
  </w:tbl>
  <w:p w14:paraId="355E4014" w14:textId="77777777" w:rsidR="005D5CB3" w:rsidRDefault="005D5CB3" w:rsidP="00D3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215A" w14:textId="77777777" w:rsidR="00AC3026" w:rsidRPr="00920631" w:rsidRDefault="00AC3026" w:rsidP="001E7139">
      <w:r w:rsidRPr="00920631">
        <w:separator/>
      </w:r>
    </w:p>
  </w:footnote>
  <w:footnote w:type="continuationSeparator" w:id="0">
    <w:p w14:paraId="265C073A" w14:textId="77777777" w:rsidR="00AC3026" w:rsidRPr="00920631" w:rsidRDefault="00AC3026"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B54C" w14:textId="77777777" w:rsidR="00D319BF" w:rsidRDefault="00D3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38B" w14:textId="77777777" w:rsidR="00D319BF" w:rsidRDefault="00D31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639"/>
    </w:tblGrid>
    <w:tr w:rsidR="005D5CB3" w14:paraId="78081228" w14:textId="77777777" w:rsidTr="005D5CB3">
      <w:tc>
        <w:tcPr>
          <w:tcW w:w="9854" w:type="dxa"/>
        </w:tcPr>
        <w:bookmarkStart w:id="1" w:name="bmkHeaderPrimaryDoc"/>
        <w:p w14:paraId="2EC5DEFB" w14:textId="463F3C0C" w:rsidR="005D5CB3" w:rsidRDefault="005D5CB3" w:rsidP="005D5CB3">
          <w:pPr>
            <w:pStyle w:val="AONormal8LBold"/>
          </w:pPr>
          <w:r>
            <w:fldChar w:fldCharType="begin"/>
          </w:r>
          <w:r>
            <w:instrText xml:space="preserve"> DOCPROPERTY  cpHeaderText </w:instrText>
          </w:r>
          <w:r>
            <w:fldChar w:fldCharType="separate"/>
          </w:r>
          <w:r w:rsidR="00820603">
            <w:t xml:space="preserve"> </w:t>
          </w:r>
          <w:r>
            <w:fldChar w:fldCharType="end"/>
          </w:r>
        </w:p>
      </w:tc>
    </w:tr>
    <w:bookmarkEnd w:id="1"/>
  </w:tbl>
  <w:p w14:paraId="68AD739A"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BB13DD6"/>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39320AF"/>
    <w:multiLevelType w:val="multilevel"/>
    <w:tmpl w:val="151C4CFC"/>
    <w:lvl w:ilvl="0">
      <w:start w:val="132"/>
      <w:numFmt w:val="decimal"/>
      <w:lvlText w:val="%1"/>
      <w:lvlJc w:val="left"/>
      <w:pPr>
        <w:ind w:left="1440" w:hanging="360"/>
      </w:pPr>
      <w:rPr>
        <w:rFonts w:hint="default"/>
      </w:rPr>
    </w:lvl>
    <w:lvl w:ilvl="1">
      <w:start w:val="1"/>
      <w:numFmt w:val="decimal"/>
      <w:isLgl/>
      <w:lvlText w:val="%1.%2"/>
      <w:lvlJc w:val="left"/>
      <w:pPr>
        <w:ind w:left="1710" w:hanging="63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5" w15:restartNumberingAfterBreak="0">
    <w:nsid w:val="1F2050D6"/>
    <w:multiLevelType w:val="hybridMultilevel"/>
    <w:tmpl w:val="E52C60F8"/>
    <w:lvl w:ilvl="0" w:tplc="8DF0BBE8">
      <w:start w:val="2"/>
      <w:numFmt w:val="lowerLetter"/>
      <w:lvlText w:val="(%1)"/>
      <w:lvlJc w:val="left"/>
      <w:pPr>
        <w:ind w:left="2160" w:hanging="360"/>
      </w:pPr>
      <w:rPr>
        <w:rFonts w:hint="default"/>
      </w:rPr>
    </w:lvl>
    <w:lvl w:ilvl="1" w:tplc="63922E06">
      <w:start w:val="132"/>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28B86E7E">
      <w:start w:val="1"/>
      <w:numFmt w:val="lowerLetter"/>
      <w:lvlText w:val="(%4)"/>
      <w:lvlJc w:val="left"/>
      <w:pPr>
        <w:ind w:left="2880" w:hanging="360"/>
      </w:pPr>
      <w:rPr>
        <w:rFonts w:ascii="Times New Roman" w:eastAsiaTheme="minorHAnsi"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55E55"/>
    <w:multiLevelType w:val="hybridMultilevel"/>
    <w:tmpl w:val="D99E2C22"/>
    <w:lvl w:ilvl="0" w:tplc="53A44D0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00CDE94">
      <w:start w:val="1"/>
      <w:numFmt w:val="lowerRoman"/>
      <w:lvlText w:val="(%4)"/>
      <w:lvlJc w:val="left"/>
      <w:pPr>
        <w:ind w:left="2880" w:hanging="360"/>
      </w:pPr>
      <w:rPr>
        <w:rFonts w:ascii="Times New Roman" w:eastAsiaTheme="minorHAnsi" w:hAnsi="Times New Roman" w:cs="Times New Roman"/>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665D7"/>
    <w:multiLevelType w:val="hybridMultilevel"/>
    <w:tmpl w:val="61AEC66A"/>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9"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397E5317"/>
    <w:multiLevelType w:val="multilevel"/>
    <w:tmpl w:val="C376387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4" w15:restartNumberingAfterBreak="0">
    <w:nsid w:val="44925DB4"/>
    <w:multiLevelType w:val="hybridMultilevel"/>
    <w:tmpl w:val="F89E57F2"/>
    <w:lvl w:ilvl="0" w:tplc="28B4E33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6BA0025"/>
    <w:multiLevelType w:val="hybridMultilevel"/>
    <w:tmpl w:val="B8786690"/>
    <w:lvl w:ilvl="0" w:tplc="3B48A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9" w15:restartNumberingAfterBreak="0">
    <w:nsid w:val="4D3822F4"/>
    <w:multiLevelType w:val="multilevel"/>
    <w:tmpl w:val="2EB8D3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5B5581"/>
    <w:multiLevelType w:val="hybridMultilevel"/>
    <w:tmpl w:val="38881934"/>
    <w:lvl w:ilvl="0" w:tplc="A93E2C76">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B4E3E"/>
    <w:multiLevelType w:val="multilevel"/>
    <w:tmpl w:val="B4BC1FA8"/>
    <w:lvl w:ilvl="0">
      <w:start w:val="1"/>
      <w:numFmt w:val="decimal"/>
      <w:lvlRestart w:val="0"/>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lvl>
    <w:lvl w:ilvl="2">
      <w:start w:val="1"/>
      <w:numFmt w:val="decimal"/>
      <w:pStyle w:val="AOHead3"/>
      <w:lvlText w:val="%3."/>
      <w:lvlJc w:val="left"/>
      <w:pPr>
        <w:tabs>
          <w:tab w:val="num" w:pos="1440"/>
        </w:tabs>
        <w:ind w:left="1440" w:hanging="720"/>
      </w:pPr>
      <w:rPr>
        <w:rFonts w:ascii="Times New Roman" w:eastAsiaTheme="minorHAnsi" w:hAnsi="Times New Roman" w:cs="Times New Roman"/>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2"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3" w15:restartNumberingAfterBreak="0">
    <w:nsid w:val="544E755A"/>
    <w:multiLevelType w:val="hybridMultilevel"/>
    <w:tmpl w:val="BC9C3B5A"/>
    <w:lvl w:ilvl="0" w:tplc="9E34C344">
      <w:start w:val="17"/>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5" w15:restartNumberingAfterBreak="0">
    <w:nsid w:val="63FF0374"/>
    <w:multiLevelType w:val="hybridMultilevel"/>
    <w:tmpl w:val="35FC8BD6"/>
    <w:lvl w:ilvl="0" w:tplc="935A4A50">
      <w:start w:val="19"/>
      <w:numFmt w:val="decimal"/>
      <w:lvlText w:val="%1."/>
      <w:lvlJc w:val="left"/>
      <w:pPr>
        <w:ind w:left="720" w:hanging="360"/>
      </w:pPr>
      <w:rPr>
        <w:rFonts w:ascii="Times New Roman" w:hAnsi="Times New Roman" w:cs="Times New Roman"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76BB2"/>
    <w:multiLevelType w:val="multilevel"/>
    <w:tmpl w:val="D13A4A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5717D3"/>
    <w:multiLevelType w:val="hybridMultilevel"/>
    <w:tmpl w:val="9E186B06"/>
    <w:lvl w:ilvl="0" w:tplc="28B86E7E">
      <w:start w:val="1"/>
      <w:numFmt w:val="lowerLetter"/>
      <w:lvlText w:val="(%1)"/>
      <w:lvlJc w:val="left"/>
      <w:pPr>
        <w:ind w:left="2160" w:hanging="360"/>
      </w:pPr>
      <w:rPr>
        <w:rFonts w:ascii="Times New Roman" w:eastAsiaTheme="minorHAnsi" w:hAnsi="Times New Roman" w:cs="Times New Roman"/>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6E3C3850"/>
    <w:multiLevelType w:val="hybridMultilevel"/>
    <w:tmpl w:val="5420D8CA"/>
    <w:lvl w:ilvl="0" w:tplc="AC586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1" w15:restartNumberingAfterBreak="0">
    <w:nsid w:val="6F5611FA"/>
    <w:multiLevelType w:val="hybridMultilevel"/>
    <w:tmpl w:val="E3389654"/>
    <w:lvl w:ilvl="0" w:tplc="12EE938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3" w15:restartNumberingAfterBreak="0">
    <w:nsid w:val="73F2613F"/>
    <w:multiLevelType w:val="hybridMultilevel"/>
    <w:tmpl w:val="40DA668A"/>
    <w:lvl w:ilvl="0" w:tplc="B724822C">
      <w:start w:val="9"/>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7A4B5A86"/>
    <w:multiLevelType w:val="hybridMultilevel"/>
    <w:tmpl w:val="67221D0C"/>
    <w:lvl w:ilvl="0" w:tplc="28B4E330">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7C245501"/>
    <w:multiLevelType w:val="hybridMultilevel"/>
    <w:tmpl w:val="879E5D20"/>
    <w:lvl w:ilvl="0" w:tplc="3B48AB5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8"/>
  </w:num>
  <w:num w:numId="3">
    <w:abstractNumId w:val="24"/>
  </w:num>
  <w:num w:numId="4">
    <w:abstractNumId w:val="34"/>
  </w:num>
  <w:num w:numId="5">
    <w:abstractNumId w:val="12"/>
  </w:num>
  <w:num w:numId="6">
    <w:abstractNumId w:val="16"/>
  </w:num>
  <w:num w:numId="7">
    <w:abstractNumId w:val="30"/>
  </w:num>
  <w:num w:numId="8">
    <w:abstractNumId w:val="0"/>
  </w:num>
  <w:num w:numId="9">
    <w:abstractNumId w:val="17"/>
  </w:num>
  <w:num w:numId="10">
    <w:abstractNumId w:val="11"/>
  </w:num>
  <w:num w:numId="11">
    <w:abstractNumId w:val="8"/>
  </w:num>
  <w:num w:numId="12">
    <w:abstractNumId w:val="4"/>
  </w:num>
  <w:num w:numId="13">
    <w:abstractNumId w:val="32"/>
  </w:num>
  <w:num w:numId="14">
    <w:abstractNumId w:val="13"/>
  </w:num>
  <w:num w:numId="15">
    <w:abstractNumId w:val="22"/>
  </w:num>
  <w:num w:numId="16">
    <w:abstractNumId w:val="9"/>
  </w:num>
  <w:num w:numId="17">
    <w:abstractNumId w:val="28"/>
  </w:num>
  <w:num w:numId="18">
    <w:abstractNumId w:val="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7"/>
  </w:num>
  <w:num w:numId="23">
    <w:abstractNumId w:val="19"/>
  </w:num>
  <w:num w:numId="24">
    <w:abstractNumId w:val="21"/>
  </w:num>
  <w:num w:numId="25">
    <w:abstractNumId w:val="26"/>
  </w:num>
  <w:num w:numId="26">
    <w:abstractNumId w:val="7"/>
  </w:num>
  <w:num w:numId="27">
    <w:abstractNumId w:val="6"/>
  </w:num>
  <w:num w:numId="28">
    <w:abstractNumId w:val="35"/>
  </w:num>
  <w:num w:numId="29">
    <w:abstractNumId w:val="36"/>
  </w:num>
  <w:num w:numId="30">
    <w:abstractNumId w:val="1"/>
  </w:num>
  <w:num w:numId="31">
    <w:abstractNumId w:val="20"/>
  </w:num>
  <w:num w:numId="32">
    <w:abstractNumId w:val="21"/>
  </w:num>
  <w:num w:numId="33">
    <w:abstractNumId w:val="29"/>
  </w:num>
  <w:num w:numId="34">
    <w:abstractNumId w:val="15"/>
  </w:num>
  <w:num w:numId="35">
    <w:abstractNumId w:val="21"/>
  </w:num>
  <w:num w:numId="36">
    <w:abstractNumId w:val="31"/>
  </w:num>
  <w:num w:numId="37">
    <w:abstractNumId w:val="33"/>
  </w:num>
  <w:num w:numId="38">
    <w:abstractNumId w:val="14"/>
  </w:num>
  <w:num w:numId="39">
    <w:abstractNumId w:val="5"/>
  </w:num>
  <w:num w:numId="40">
    <w:abstractNumId w:val="21"/>
  </w:num>
  <w:num w:numId="41">
    <w:abstractNumId w:val="25"/>
  </w:num>
  <w:num w:numId="42">
    <w:abstractNumId w:val="3"/>
  </w:num>
  <w:num w:numId="43">
    <w:abstractNumId w:val="1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1D"/>
    <w:rsid w:val="00005FB3"/>
    <w:rsid w:val="000177CF"/>
    <w:rsid w:val="00035DF9"/>
    <w:rsid w:val="000508EE"/>
    <w:rsid w:val="000520A8"/>
    <w:rsid w:val="00083181"/>
    <w:rsid w:val="000D0702"/>
    <w:rsid w:val="001409F7"/>
    <w:rsid w:val="001420EB"/>
    <w:rsid w:val="00142864"/>
    <w:rsid w:val="0016444D"/>
    <w:rsid w:val="001837F3"/>
    <w:rsid w:val="001E7139"/>
    <w:rsid w:val="001E79DF"/>
    <w:rsid w:val="0020244D"/>
    <w:rsid w:val="00207F8C"/>
    <w:rsid w:val="00235DD2"/>
    <w:rsid w:val="0023731C"/>
    <w:rsid w:val="002375C9"/>
    <w:rsid w:val="002414AB"/>
    <w:rsid w:val="00244F4C"/>
    <w:rsid w:val="00251D49"/>
    <w:rsid w:val="002A01D2"/>
    <w:rsid w:val="002E0DDE"/>
    <w:rsid w:val="0030587F"/>
    <w:rsid w:val="00366F64"/>
    <w:rsid w:val="00375A6D"/>
    <w:rsid w:val="003813A3"/>
    <w:rsid w:val="003B4D20"/>
    <w:rsid w:val="003D5B73"/>
    <w:rsid w:val="003D6E06"/>
    <w:rsid w:val="003E236B"/>
    <w:rsid w:val="00432A6C"/>
    <w:rsid w:val="00440C96"/>
    <w:rsid w:val="004429DB"/>
    <w:rsid w:val="0045533C"/>
    <w:rsid w:val="00463113"/>
    <w:rsid w:val="00464AC8"/>
    <w:rsid w:val="0047162F"/>
    <w:rsid w:val="004A6489"/>
    <w:rsid w:val="004B20A6"/>
    <w:rsid w:val="004B39A3"/>
    <w:rsid w:val="004B646F"/>
    <w:rsid w:val="004C587E"/>
    <w:rsid w:val="00540494"/>
    <w:rsid w:val="00582045"/>
    <w:rsid w:val="005B78DC"/>
    <w:rsid w:val="005C595A"/>
    <w:rsid w:val="005D16AE"/>
    <w:rsid w:val="005D5CB3"/>
    <w:rsid w:val="005E30B1"/>
    <w:rsid w:val="005E5E8C"/>
    <w:rsid w:val="005F30EC"/>
    <w:rsid w:val="00604D91"/>
    <w:rsid w:val="00624BE1"/>
    <w:rsid w:val="00630AD0"/>
    <w:rsid w:val="00640AF0"/>
    <w:rsid w:val="00653BB5"/>
    <w:rsid w:val="00671B91"/>
    <w:rsid w:val="0068599B"/>
    <w:rsid w:val="006948EC"/>
    <w:rsid w:val="006A3A08"/>
    <w:rsid w:val="006A5AA0"/>
    <w:rsid w:val="006C6D54"/>
    <w:rsid w:val="006D4C27"/>
    <w:rsid w:val="006E0CD4"/>
    <w:rsid w:val="006F4B36"/>
    <w:rsid w:val="006F4DD9"/>
    <w:rsid w:val="00717CC4"/>
    <w:rsid w:val="00723B4B"/>
    <w:rsid w:val="00730573"/>
    <w:rsid w:val="00743036"/>
    <w:rsid w:val="0077326A"/>
    <w:rsid w:val="00776877"/>
    <w:rsid w:val="007B2196"/>
    <w:rsid w:val="007B3514"/>
    <w:rsid w:val="007C63AF"/>
    <w:rsid w:val="007D75EC"/>
    <w:rsid w:val="007F3436"/>
    <w:rsid w:val="0080453A"/>
    <w:rsid w:val="00812CDC"/>
    <w:rsid w:val="00820603"/>
    <w:rsid w:val="00820A4D"/>
    <w:rsid w:val="00822A1E"/>
    <w:rsid w:val="0086261C"/>
    <w:rsid w:val="0089618E"/>
    <w:rsid w:val="008C14D4"/>
    <w:rsid w:val="008C7197"/>
    <w:rsid w:val="008D3A44"/>
    <w:rsid w:val="008D53B9"/>
    <w:rsid w:val="008E0A09"/>
    <w:rsid w:val="008F68D8"/>
    <w:rsid w:val="00920631"/>
    <w:rsid w:val="00945978"/>
    <w:rsid w:val="00960B61"/>
    <w:rsid w:val="00960F52"/>
    <w:rsid w:val="009D20EB"/>
    <w:rsid w:val="009E0C49"/>
    <w:rsid w:val="00A069D1"/>
    <w:rsid w:val="00A279B2"/>
    <w:rsid w:val="00A374AB"/>
    <w:rsid w:val="00A442EB"/>
    <w:rsid w:val="00A65CC0"/>
    <w:rsid w:val="00A74288"/>
    <w:rsid w:val="00A76A73"/>
    <w:rsid w:val="00A84B04"/>
    <w:rsid w:val="00AC3026"/>
    <w:rsid w:val="00AD7846"/>
    <w:rsid w:val="00AE445D"/>
    <w:rsid w:val="00AE4565"/>
    <w:rsid w:val="00AF716D"/>
    <w:rsid w:val="00B01120"/>
    <w:rsid w:val="00B1321E"/>
    <w:rsid w:val="00B15851"/>
    <w:rsid w:val="00B23B38"/>
    <w:rsid w:val="00B30DF9"/>
    <w:rsid w:val="00B52515"/>
    <w:rsid w:val="00B54819"/>
    <w:rsid w:val="00B55761"/>
    <w:rsid w:val="00B8178B"/>
    <w:rsid w:val="00BA4D06"/>
    <w:rsid w:val="00BA6B05"/>
    <w:rsid w:val="00BB07C3"/>
    <w:rsid w:val="00BB7754"/>
    <w:rsid w:val="00BC0964"/>
    <w:rsid w:val="00BE2502"/>
    <w:rsid w:val="00BF1C21"/>
    <w:rsid w:val="00C05B18"/>
    <w:rsid w:val="00C22B88"/>
    <w:rsid w:val="00C2524B"/>
    <w:rsid w:val="00C27C6D"/>
    <w:rsid w:val="00C3045C"/>
    <w:rsid w:val="00C46506"/>
    <w:rsid w:val="00C844FF"/>
    <w:rsid w:val="00CA2C1F"/>
    <w:rsid w:val="00CA6867"/>
    <w:rsid w:val="00CB5521"/>
    <w:rsid w:val="00CC19DE"/>
    <w:rsid w:val="00CC72EC"/>
    <w:rsid w:val="00CE4B95"/>
    <w:rsid w:val="00CE65EB"/>
    <w:rsid w:val="00D03DDB"/>
    <w:rsid w:val="00D319BF"/>
    <w:rsid w:val="00D60A12"/>
    <w:rsid w:val="00D62CFF"/>
    <w:rsid w:val="00D73B36"/>
    <w:rsid w:val="00D77AB8"/>
    <w:rsid w:val="00D836DC"/>
    <w:rsid w:val="00D96705"/>
    <w:rsid w:val="00DA3E4B"/>
    <w:rsid w:val="00DA562B"/>
    <w:rsid w:val="00DB7989"/>
    <w:rsid w:val="00DC2FEB"/>
    <w:rsid w:val="00DE5DAB"/>
    <w:rsid w:val="00E05622"/>
    <w:rsid w:val="00E0704E"/>
    <w:rsid w:val="00E17428"/>
    <w:rsid w:val="00E17B23"/>
    <w:rsid w:val="00E30C20"/>
    <w:rsid w:val="00E34142"/>
    <w:rsid w:val="00E41A8A"/>
    <w:rsid w:val="00E42EEB"/>
    <w:rsid w:val="00E55FA0"/>
    <w:rsid w:val="00E72D84"/>
    <w:rsid w:val="00E81B74"/>
    <w:rsid w:val="00E904EB"/>
    <w:rsid w:val="00E9172D"/>
    <w:rsid w:val="00EA5A2B"/>
    <w:rsid w:val="00EB3AA3"/>
    <w:rsid w:val="00EC191D"/>
    <w:rsid w:val="00ED1E76"/>
    <w:rsid w:val="00EF1683"/>
    <w:rsid w:val="00F01CD0"/>
    <w:rsid w:val="00F53B14"/>
    <w:rsid w:val="00F553A4"/>
    <w:rsid w:val="00F647A7"/>
    <w:rsid w:val="00F70721"/>
    <w:rsid w:val="00F91C00"/>
    <w:rsid w:val="00F93ECA"/>
    <w:rsid w:val="00FB3E09"/>
    <w:rsid w:val="00FC7898"/>
    <w:rsid w:val="00FD4C5E"/>
    <w:rsid w:val="00FE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24497F"/>
  <w15:docId w15:val="{A031A97E-C34F-459A-960C-DC0E79F2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semiHidden/>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0A6"/>
    <w:pPr>
      <w:ind w:left="720"/>
      <w:contextualSpacing/>
    </w:pPr>
  </w:style>
  <w:style w:type="character" w:styleId="Hyperlink">
    <w:name w:val="Hyperlink"/>
    <w:basedOn w:val="DefaultParagraphFont"/>
    <w:uiPriority w:val="99"/>
    <w:unhideWhenUsed/>
    <w:rsid w:val="008C7197"/>
    <w:rPr>
      <w:color w:val="0000FF"/>
      <w:u w:val="single"/>
    </w:rPr>
  </w:style>
  <w:style w:type="character" w:customStyle="1" w:styleId="ah">
    <w:name w:val="ah"/>
    <w:basedOn w:val="DefaultParagraphFont"/>
    <w:rsid w:val="008C7197"/>
  </w:style>
  <w:style w:type="character" w:styleId="CommentReference">
    <w:name w:val="annotation reference"/>
    <w:basedOn w:val="DefaultParagraphFont"/>
    <w:uiPriority w:val="99"/>
    <w:semiHidden/>
    <w:unhideWhenUsed/>
    <w:rsid w:val="00235DD2"/>
    <w:rPr>
      <w:sz w:val="16"/>
      <w:szCs w:val="16"/>
    </w:rPr>
  </w:style>
  <w:style w:type="paragraph" w:styleId="CommentSubject">
    <w:name w:val="annotation subject"/>
    <w:basedOn w:val="CommentText"/>
    <w:next w:val="CommentText"/>
    <w:link w:val="CommentSubjectChar"/>
    <w:uiPriority w:val="99"/>
    <w:semiHidden/>
    <w:unhideWhenUsed/>
    <w:rsid w:val="00235DD2"/>
    <w:rPr>
      <w:b/>
      <w:bCs/>
      <w:sz w:val="20"/>
    </w:rPr>
  </w:style>
  <w:style w:type="character" w:customStyle="1" w:styleId="CommentSubjectChar">
    <w:name w:val="Comment Subject Char"/>
    <w:basedOn w:val="CommentTextChar"/>
    <w:link w:val="CommentSubject"/>
    <w:uiPriority w:val="99"/>
    <w:semiHidden/>
    <w:rsid w:val="00235DD2"/>
    <w:rPr>
      <w:rFonts w:cs="Times New Roman"/>
      <w:b/>
      <w:bCs/>
      <w:sz w:val="20"/>
      <w:szCs w:val="20"/>
    </w:rPr>
  </w:style>
  <w:style w:type="character" w:styleId="UnresolvedMention">
    <w:name w:val="Unresolved Mention"/>
    <w:basedOn w:val="DefaultParagraphFont"/>
    <w:uiPriority w:val="99"/>
    <w:semiHidden/>
    <w:unhideWhenUsed/>
    <w:rsid w:val="0082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0657">
      <w:bodyDiv w:val="1"/>
      <w:marLeft w:val="0"/>
      <w:marRight w:val="0"/>
      <w:marTop w:val="0"/>
      <w:marBottom w:val="0"/>
      <w:divBdr>
        <w:top w:val="none" w:sz="0" w:space="0" w:color="auto"/>
        <w:left w:val="none" w:sz="0" w:space="0" w:color="auto"/>
        <w:bottom w:val="none" w:sz="0" w:space="0" w:color="auto"/>
        <w:right w:val="none" w:sz="0" w:space="0" w:color="auto"/>
      </w:divBdr>
    </w:div>
    <w:div w:id="670716532">
      <w:bodyDiv w:val="1"/>
      <w:marLeft w:val="0"/>
      <w:marRight w:val="0"/>
      <w:marTop w:val="0"/>
      <w:marBottom w:val="0"/>
      <w:divBdr>
        <w:top w:val="none" w:sz="0" w:space="0" w:color="auto"/>
        <w:left w:val="none" w:sz="0" w:space="0" w:color="auto"/>
        <w:bottom w:val="none" w:sz="0" w:space="0" w:color="auto"/>
        <w:right w:val="none" w:sz="0" w:space="0" w:color="auto"/>
      </w:divBdr>
    </w:div>
    <w:div w:id="6756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fca.org.uk/#/nsm/nationalstoragemechanis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8-05-17T17-15-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29493e11-43b2-444c-9949-93e4e79e13ca" origin="userSelected">
  <element uid="d594d16e-bd72-4a7a-b554-fc74cdefcaf9" value=""/>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Props1.xml><?xml version="1.0" encoding="utf-8"?>
<ds:datastoreItem xmlns:ds="http://schemas.openxmlformats.org/officeDocument/2006/customXml" ds:itemID="{DDB3EC13-4DD3-4138-945A-939D7A0DCA1E}">
  <ds:schemaRefs>
    <ds:schemaRef ds:uri="http://schemas.openxmlformats.org/officeDocument/2006/bibliography"/>
  </ds:schemaRefs>
</ds:datastoreItem>
</file>

<file path=customXml/itemProps2.xml><?xml version="1.0" encoding="utf-8"?>
<ds:datastoreItem xmlns:ds="http://schemas.openxmlformats.org/officeDocument/2006/customXml" ds:itemID="{45F80180-E272-4074-B79F-A9C66667CC2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AODocument</Template>
  <TotalTime>10</TotalTime>
  <Pages>3</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Lisa Norton</cp:lastModifiedBy>
  <cp:revision>4</cp:revision>
  <cp:lastPrinted>2022-05-11T13:50:00Z</cp:lastPrinted>
  <dcterms:created xsi:type="dcterms:W3CDTF">2022-05-10T20:33:00Z</dcterms:created>
  <dcterms:modified xsi:type="dcterms:W3CDTF">2022-05-11T13:50:00Z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0x0101008E1931B9D01341BF82A1BE848E2F0648000D63B21F009B944AA79D7724E168C8DD</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Mohammad</vt:lpwstr>
  </property>
  <property fmtid="{D5CDD505-2E9C-101B-9397-08002B2CF9AE}" pid="9" name="AuthorName">
    <vt:lpwstr>Mohammad Mehmood</vt:lpwstr>
  </property>
  <property fmtid="{D5CDD505-2E9C-101B-9397-08002B2CF9AE}" pid="10" name="AuthorInitials">
    <vt:lpwstr/>
  </property>
  <property fmtid="{D5CDD505-2E9C-101B-9397-08002B2CF9AE}" pid="11" name="AuthorJobTitle">
    <vt:lpwstr/>
  </property>
  <property fmtid="{D5CDD505-2E9C-101B-9397-08002B2CF9AE}" pid="12" name="AuthorEmail">
    <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
  </property>
  <property fmtid="{D5CDD505-2E9C-101B-9397-08002B2CF9AE}" pid="17" name="LanguageID">
    <vt:lpwstr>English (UK)</vt:lpwstr>
  </property>
  <property fmtid="{D5CDD505-2E9C-101B-9397-08002B2CF9AE}" pid="18" name="OfficeID">
    <vt:lpwstr>London</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Client">
    <vt:lpwstr>0112142</vt:lpwstr>
  </property>
  <property fmtid="{D5CDD505-2E9C-101B-9397-08002B2CF9AE}" pid="23" name="Matter">
    <vt:lpwstr>0000009</vt:lpwstr>
  </property>
  <property fmtid="{D5CDD505-2E9C-101B-9397-08002B2CF9AE}" pid="24" name="cpClientMatter">
    <vt:lpwstr>0112142-0000009</vt:lpwstr>
  </property>
  <property fmtid="{D5CDD505-2E9C-101B-9397-08002B2CF9AE}" pid="25" name="cpDocRef">
    <vt:lpwstr>CO:32928329.2</vt:lpwstr>
  </property>
  <property fmtid="{D5CDD505-2E9C-101B-9397-08002B2CF9AE}" pid="26" name="cpCombinedRef">
    <vt:lpwstr>0112142-0000009 CO:32928329.2</vt:lpwstr>
  </property>
  <property fmtid="{D5CDD505-2E9C-101B-9397-08002B2CF9AE}" pid="27" name="docIndexRef">
    <vt:lpwstr>867c742c-be22-4bf5-90eb-824d0e188c3b</vt:lpwstr>
  </property>
  <property fmtid="{D5CDD505-2E9C-101B-9397-08002B2CF9AE}" pid="28" name="bjSaver">
    <vt:lpwstr>o/0eaZoo0VuPd4gRFpft0NgzR7sW+xYC</vt:lpwstr>
  </property>
  <property fmtid="{D5CDD505-2E9C-101B-9397-08002B2CF9AE}" pid="29" name="bjDocumentSecurityLabel">
    <vt:lpwstr>PUBLIC</vt:lpwstr>
  </property>
  <property fmtid="{D5CDD505-2E9C-101B-9397-08002B2CF9AE}" pid="30"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31" name="bjDocumentLabelXML-0">
    <vt:lpwstr>ames.com/2008/01/sie/internal/label"&gt;&lt;element uid="d594d16e-bd72-4a7a-b554-fc74cdefcaf9" value="" /&gt;&lt;element uid="id_classification_nonbusiness" value="" /&gt;&lt;/sisl&gt;</vt:lpwstr>
  </property>
  <property fmtid="{D5CDD505-2E9C-101B-9397-08002B2CF9AE}" pid="32" name="MSIP_Label_6c98d367-e486-496c-b15f-fe4920252c73_Enabled">
    <vt:lpwstr>true</vt:lpwstr>
  </property>
  <property fmtid="{D5CDD505-2E9C-101B-9397-08002B2CF9AE}" pid="33" name="MSIP_Label_6c98d367-e486-496c-b15f-fe4920252c73_SetDate">
    <vt:lpwstr>2021-05-12T08:16:29Z</vt:lpwstr>
  </property>
  <property fmtid="{D5CDD505-2E9C-101B-9397-08002B2CF9AE}" pid="34" name="MSIP_Label_6c98d367-e486-496c-b15f-fe4920252c73_Method">
    <vt:lpwstr>Privileged</vt:lpwstr>
  </property>
  <property fmtid="{D5CDD505-2E9C-101B-9397-08002B2CF9AE}" pid="35" name="MSIP_Label_6c98d367-e486-496c-b15f-fe4920252c73_Name">
    <vt:lpwstr>6c98d367-e486-496c-b15f-fe4920252c73</vt:lpwstr>
  </property>
  <property fmtid="{D5CDD505-2E9C-101B-9397-08002B2CF9AE}" pid="36" name="MSIP_Label_6c98d367-e486-496c-b15f-fe4920252c73_SiteId">
    <vt:lpwstr>0c5bd621-4db2-45d4-92c6-94708f93fa6e</vt:lpwstr>
  </property>
  <property fmtid="{D5CDD505-2E9C-101B-9397-08002B2CF9AE}" pid="37" name="MSIP_Label_6c98d367-e486-496c-b15f-fe4920252c73_ActionId">
    <vt:lpwstr>56adf5f1-1ed2-493d-bb03-510e5010ebdc</vt:lpwstr>
  </property>
  <property fmtid="{D5CDD505-2E9C-101B-9397-08002B2CF9AE}" pid="38" name="MSIP_Label_6c98d367-e486-496c-b15f-fe4920252c73_ContentBits">
    <vt:lpwstr>0</vt:lpwstr>
  </property>
</Properties>
</file>