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E1A" w:rsidRPr="00D364C9" w:rsidRDefault="00CA6E1A" w:rsidP="00CA6E1A">
      <w:pPr>
        <w:pStyle w:val="NormalSpaced"/>
        <w:jc w:val="center"/>
        <w:rPr>
          <w:rFonts w:ascii="Arial" w:hAnsi="Arial" w:cs="Arial"/>
        </w:rPr>
      </w:pPr>
      <w:r>
        <w:rPr>
          <w:rFonts w:ascii="Arial" w:hAnsi="Arial" w:cs="Arial"/>
          <w:b/>
        </w:rPr>
        <w:t>GORE STREET ENERGY STORAGE FUND</w:t>
      </w:r>
      <w:r w:rsidRPr="00506680">
        <w:rPr>
          <w:rFonts w:ascii="Arial" w:hAnsi="Arial" w:cs="Arial"/>
          <w:b/>
        </w:rPr>
        <w:t xml:space="preserve"> PLC</w:t>
      </w:r>
      <w:r w:rsidRPr="00D364C9">
        <w:rPr>
          <w:rFonts w:ascii="Arial" w:hAnsi="Arial" w:cs="Arial"/>
        </w:rPr>
        <w:t xml:space="preserve"> (</w:t>
      </w:r>
      <w:r>
        <w:rPr>
          <w:rFonts w:ascii="Arial" w:hAnsi="Arial" w:cs="Arial"/>
        </w:rPr>
        <w:t>the “</w:t>
      </w:r>
      <w:r w:rsidRPr="00D364C9">
        <w:rPr>
          <w:rStyle w:val="Defterm"/>
          <w:rFonts w:ascii="Arial" w:hAnsi="Arial" w:cs="Arial"/>
        </w:rPr>
        <w:t>Company</w:t>
      </w:r>
      <w:r>
        <w:rPr>
          <w:rStyle w:val="Defterm"/>
          <w:rFonts w:ascii="Arial" w:hAnsi="Arial" w:cs="Arial"/>
        </w:rPr>
        <w:t>”</w:t>
      </w:r>
      <w:r w:rsidRPr="00D364C9">
        <w:rPr>
          <w:rFonts w:ascii="Arial" w:hAnsi="Arial" w:cs="Arial"/>
        </w:rPr>
        <w:t>)</w:t>
      </w:r>
    </w:p>
    <w:p w:rsidR="007303CF" w:rsidRPr="00D364C9" w:rsidRDefault="00506680" w:rsidP="00D364C9">
      <w:pPr>
        <w:pStyle w:val="NormalSpaced"/>
        <w:jc w:val="center"/>
        <w:rPr>
          <w:rFonts w:ascii="Arial" w:hAnsi="Arial" w:cs="Arial"/>
        </w:rPr>
      </w:pPr>
      <w:r>
        <w:rPr>
          <w:rFonts w:ascii="Arial" w:hAnsi="Arial" w:cs="Arial"/>
          <w:b/>
        </w:rPr>
        <w:t>ORDINARY AND</w:t>
      </w:r>
      <w:r w:rsidR="00087E64" w:rsidRPr="00D364C9">
        <w:rPr>
          <w:rFonts w:ascii="Arial" w:hAnsi="Arial" w:cs="Arial"/>
          <w:b/>
        </w:rPr>
        <w:t xml:space="preserve"> SPECIAL RESOLUTIONS</w:t>
      </w:r>
    </w:p>
    <w:p w:rsidR="007303CF" w:rsidRPr="00D364C9" w:rsidRDefault="00087E64" w:rsidP="00D364C9">
      <w:pPr>
        <w:pStyle w:val="NormalSpaced"/>
        <w:jc w:val="center"/>
        <w:rPr>
          <w:rFonts w:ascii="Arial" w:hAnsi="Arial" w:cs="Arial"/>
        </w:rPr>
      </w:pPr>
      <w:r w:rsidRPr="00D364C9">
        <w:rPr>
          <w:rFonts w:ascii="Arial" w:hAnsi="Arial" w:cs="Arial"/>
        </w:rPr>
        <w:t>Passed on</w:t>
      </w:r>
      <w:r w:rsidR="0011730F">
        <w:rPr>
          <w:rFonts w:ascii="Arial" w:hAnsi="Arial" w:cs="Arial"/>
        </w:rPr>
        <w:t xml:space="preserve"> </w:t>
      </w:r>
      <w:r w:rsidR="00255DD7">
        <w:rPr>
          <w:rFonts w:ascii="Arial" w:hAnsi="Arial" w:cs="Arial"/>
        </w:rPr>
        <w:t>7 December 2020</w:t>
      </w:r>
    </w:p>
    <w:p w:rsidR="007303CF" w:rsidRPr="00D364C9" w:rsidRDefault="00D364C9">
      <w:pPr>
        <w:pStyle w:val="NormalSpaced"/>
        <w:rPr>
          <w:rFonts w:ascii="Arial" w:hAnsi="Arial" w:cs="Arial"/>
        </w:rPr>
      </w:pPr>
      <w:r w:rsidRPr="00D364C9">
        <w:rPr>
          <w:rFonts w:ascii="Arial" w:hAnsi="Arial" w:cs="Arial"/>
        </w:rPr>
        <w:t xml:space="preserve">At </w:t>
      </w:r>
      <w:r w:rsidR="009E1879">
        <w:rPr>
          <w:rFonts w:ascii="Arial" w:hAnsi="Arial" w:cs="Arial"/>
        </w:rPr>
        <w:t xml:space="preserve">a </w:t>
      </w:r>
      <w:r>
        <w:rPr>
          <w:rFonts w:ascii="Arial" w:hAnsi="Arial" w:cs="Arial"/>
        </w:rPr>
        <w:t>General M</w:t>
      </w:r>
      <w:r w:rsidR="00087E64" w:rsidRPr="00D364C9">
        <w:rPr>
          <w:rFonts w:ascii="Arial" w:hAnsi="Arial" w:cs="Arial"/>
        </w:rPr>
        <w:t xml:space="preserve">eeting of the Company duly convened and held </w:t>
      </w:r>
      <w:r w:rsidR="00255DD7">
        <w:rPr>
          <w:rFonts w:ascii="Arial" w:hAnsi="Arial" w:cs="Arial"/>
        </w:rPr>
        <w:t xml:space="preserve">by videoconference under </w:t>
      </w:r>
      <w:r w:rsidR="00A17395">
        <w:rPr>
          <w:rFonts w:ascii="Arial" w:hAnsi="Arial" w:cs="Arial"/>
        </w:rPr>
        <w:t xml:space="preserve">The </w:t>
      </w:r>
      <w:r w:rsidR="00255DD7">
        <w:rPr>
          <w:rFonts w:ascii="Arial" w:hAnsi="Arial" w:cs="Arial"/>
        </w:rPr>
        <w:t>Corporate Insolvency and Governance Act 2020</w:t>
      </w:r>
      <w:r>
        <w:rPr>
          <w:rFonts w:ascii="Arial" w:hAnsi="Arial" w:cs="Arial"/>
        </w:rPr>
        <w:t xml:space="preserve"> on</w:t>
      </w:r>
      <w:r w:rsidR="00367F01">
        <w:rPr>
          <w:rFonts w:ascii="Arial" w:hAnsi="Arial" w:cs="Arial"/>
        </w:rPr>
        <w:t xml:space="preserve"> </w:t>
      </w:r>
      <w:r w:rsidR="00255DD7">
        <w:rPr>
          <w:rFonts w:ascii="Arial" w:hAnsi="Arial" w:cs="Arial"/>
        </w:rPr>
        <w:t>Monday, 7 December 2020 at 10.30</w:t>
      </w:r>
      <w:r>
        <w:rPr>
          <w:rFonts w:ascii="Arial" w:hAnsi="Arial" w:cs="Arial"/>
        </w:rPr>
        <w:t xml:space="preserve"> </w:t>
      </w:r>
      <w:r w:rsidR="00367F01">
        <w:rPr>
          <w:rFonts w:ascii="Arial" w:hAnsi="Arial" w:cs="Arial"/>
        </w:rPr>
        <w:t>hours</w:t>
      </w:r>
      <w:r>
        <w:rPr>
          <w:rFonts w:ascii="Arial" w:hAnsi="Arial" w:cs="Arial"/>
        </w:rPr>
        <w:t xml:space="preserve"> </w:t>
      </w:r>
      <w:r w:rsidR="00087E64" w:rsidRPr="00D364C9">
        <w:rPr>
          <w:rFonts w:ascii="Arial" w:hAnsi="Arial" w:cs="Arial"/>
        </w:rPr>
        <w:t xml:space="preserve">the following resolutions </w:t>
      </w:r>
      <w:r>
        <w:rPr>
          <w:rFonts w:ascii="Arial" w:hAnsi="Arial" w:cs="Arial"/>
        </w:rPr>
        <w:t>were</w:t>
      </w:r>
      <w:r w:rsidR="00087E64" w:rsidRPr="00D364C9">
        <w:rPr>
          <w:rFonts w:ascii="Arial" w:hAnsi="Arial" w:cs="Arial"/>
        </w:rPr>
        <w:t xml:space="preserve"> duly passed as ordinary</w:t>
      </w:r>
      <w:r w:rsidR="00FB7575">
        <w:rPr>
          <w:rFonts w:ascii="Arial" w:hAnsi="Arial" w:cs="Arial"/>
        </w:rPr>
        <w:t xml:space="preserve"> </w:t>
      </w:r>
      <w:r w:rsidR="00087E64" w:rsidRPr="00D364C9">
        <w:rPr>
          <w:rFonts w:ascii="Arial" w:hAnsi="Arial" w:cs="Arial"/>
        </w:rPr>
        <w:t>and special</w:t>
      </w:r>
      <w:r w:rsidR="00FB7575">
        <w:rPr>
          <w:rFonts w:ascii="Arial" w:hAnsi="Arial" w:cs="Arial"/>
        </w:rPr>
        <w:t xml:space="preserve"> resolutions</w:t>
      </w:r>
      <w:r w:rsidR="00087E64" w:rsidRPr="00D364C9">
        <w:rPr>
          <w:rFonts w:ascii="Arial" w:hAnsi="Arial" w:cs="Arial"/>
        </w:rPr>
        <w:t>.</w:t>
      </w:r>
    </w:p>
    <w:p w:rsidR="007303CF" w:rsidRDefault="00087E64" w:rsidP="00367F01">
      <w:pPr>
        <w:pStyle w:val="1stIntroHeadings"/>
        <w:jc w:val="center"/>
        <w:rPr>
          <w:rFonts w:ascii="Arial" w:hAnsi="Arial" w:cs="Arial"/>
        </w:rPr>
      </w:pPr>
      <w:bookmarkStart w:id="0" w:name="main"/>
      <w:r w:rsidRPr="00D364C9">
        <w:rPr>
          <w:rFonts w:ascii="Arial" w:hAnsi="Arial" w:cs="Arial"/>
        </w:rPr>
        <w:t>Ordinary resolution</w:t>
      </w:r>
      <w:r w:rsidR="00D364C9">
        <w:rPr>
          <w:rFonts w:ascii="Arial" w:hAnsi="Arial" w:cs="Arial"/>
        </w:rPr>
        <w:t>s</w:t>
      </w:r>
    </w:p>
    <w:p w:rsidR="00CA6E1A" w:rsidRPr="00CA6E1A" w:rsidRDefault="00CA6E1A" w:rsidP="00CA6E1A">
      <w:pPr>
        <w:pStyle w:val="SHTabNum"/>
        <w:rPr>
          <w:rFonts w:ascii="Arial" w:hAnsi="Arial" w:cs="Arial"/>
          <w:sz w:val="22"/>
          <w:szCs w:val="22"/>
        </w:rPr>
      </w:pPr>
      <w:r w:rsidRPr="00CA6E1A">
        <w:rPr>
          <w:rFonts w:ascii="Arial" w:hAnsi="Arial" w:cs="Arial"/>
          <w:b/>
          <w:sz w:val="22"/>
          <w:szCs w:val="22"/>
        </w:rPr>
        <w:t>THAT</w:t>
      </w:r>
      <w:r w:rsidRPr="00CA6E1A">
        <w:rPr>
          <w:rFonts w:ascii="Arial" w:hAnsi="Arial" w:cs="Arial"/>
          <w:sz w:val="22"/>
          <w:szCs w:val="22"/>
        </w:rPr>
        <w:t xml:space="preserve"> the directors of the Company (the "</w:t>
      </w:r>
      <w:r w:rsidRPr="00CA6E1A">
        <w:rPr>
          <w:rFonts w:ascii="Arial" w:hAnsi="Arial" w:cs="Arial"/>
          <w:b/>
          <w:sz w:val="22"/>
          <w:szCs w:val="22"/>
        </w:rPr>
        <w:t>Directors</w:t>
      </w:r>
      <w:r w:rsidRPr="00CA6E1A">
        <w:rPr>
          <w:rFonts w:ascii="Arial" w:hAnsi="Arial" w:cs="Arial"/>
          <w:sz w:val="22"/>
          <w:szCs w:val="22"/>
        </w:rPr>
        <w:t>") be and are hereby generally and unconditionally authorised, in substitution for any existing authorities, pursuant to and in accordance with section 551 of the Companies Act 2006 (the "</w:t>
      </w:r>
      <w:r w:rsidRPr="00CA6E1A">
        <w:rPr>
          <w:rFonts w:ascii="Arial" w:hAnsi="Arial" w:cs="Arial"/>
          <w:b/>
          <w:sz w:val="22"/>
          <w:szCs w:val="22"/>
        </w:rPr>
        <w:t>Companies</w:t>
      </w:r>
      <w:r w:rsidRPr="00CA6E1A">
        <w:rPr>
          <w:rFonts w:ascii="Arial" w:hAnsi="Arial" w:cs="Arial"/>
          <w:sz w:val="22"/>
          <w:szCs w:val="22"/>
        </w:rPr>
        <w:t xml:space="preserve"> </w:t>
      </w:r>
      <w:r w:rsidRPr="00CA6E1A">
        <w:rPr>
          <w:rFonts w:ascii="Arial" w:hAnsi="Arial" w:cs="Arial"/>
          <w:b/>
          <w:sz w:val="22"/>
          <w:szCs w:val="22"/>
        </w:rPr>
        <w:t>Act</w:t>
      </w:r>
      <w:r w:rsidRPr="00CA6E1A">
        <w:rPr>
          <w:rFonts w:ascii="Arial" w:hAnsi="Arial" w:cs="Arial"/>
          <w:sz w:val="22"/>
          <w:szCs w:val="22"/>
        </w:rPr>
        <w:t>") to exercise all the powers of the Company to allot ordinary shares of one penny each in the capital of the Company ("</w:t>
      </w:r>
      <w:r w:rsidRPr="00CA6E1A">
        <w:rPr>
          <w:rFonts w:ascii="Arial" w:hAnsi="Arial" w:cs="Arial"/>
          <w:b/>
          <w:sz w:val="22"/>
          <w:szCs w:val="22"/>
        </w:rPr>
        <w:t>Ordinary Shares</w:t>
      </w:r>
      <w:r w:rsidRPr="00CA6E1A">
        <w:rPr>
          <w:rFonts w:ascii="Arial" w:hAnsi="Arial" w:cs="Arial"/>
          <w:sz w:val="22"/>
          <w:szCs w:val="22"/>
        </w:rPr>
        <w:t>") up to an aggregate nominal amount of £600,000 in connection with the Initial Issue (as defined and described in the circular to shareholders dated 18 November 2020 of which this notice forms part (the "</w:t>
      </w:r>
      <w:r w:rsidRPr="00CA6E1A">
        <w:rPr>
          <w:rFonts w:ascii="Arial" w:hAnsi="Arial" w:cs="Arial"/>
          <w:b/>
          <w:sz w:val="22"/>
          <w:szCs w:val="22"/>
        </w:rPr>
        <w:t>Circular</w:t>
      </w:r>
      <w:r w:rsidRPr="00CA6E1A">
        <w:rPr>
          <w:rFonts w:ascii="Arial" w:hAnsi="Arial" w:cs="Arial"/>
          <w:sz w:val="22"/>
          <w:szCs w:val="22"/>
        </w:rPr>
        <w:t>")), such authority to expire immediately following Initial Admission (as defined in the Circular), save that the Company may, at any time prior to the expiry of such authority, make an offer or enter into an agreement which would or might require Ordinary Shares to be allotted and the Directors may allot Ordinary Shares in pursuance of such an offer or agreement as if the authority conferred hereby had not expired.</w:t>
      </w:r>
    </w:p>
    <w:p w:rsidR="00CA6E1A" w:rsidRPr="00CA6E1A" w:rsidRDefault="00CA6E1A" w:rsidP="00CA6E1A">
      <w:pPr>
        <w:pStyle w:val="SHTabNum"/>
        <w:rPr>
          <w:rFonts w:ascii="Arial" w:hAnsi="Arial" w:cs="Arial"/>
          <w:sz w:val="22"/>
          <w:szCs w:val="22"/>
        </w:rPr>
      </w:pPr>
      <w:r w:rsidRPr="00CA6E1A">
        <w:rPr>
          <w:rFonts w:ascii="Arial" w:hAnsi="Arial" w:cs="Arial"/>
          <w:b/>
          <w:sz w:val="22"/>
          <w:szCs w:val="22"/>
        </w:rPr>
        <w:t>THAT</w:t>
      </w:r>
      <w:r w:rsidRPr="00CA6E1A">
        <w:rPr>
          <w:rFonts w:ascii="Arial" w:hAnsi="Arial" w:cs="Arial"/>
          <w:sz w:val="22"/>
          <w:szCs w:val="22"/>
        </w:rPr>
        <w:t xml:space="preserve"> the Directors be and are hereby generally and unconditionally authorised, in addition to the authority granted by Resolution 1 above, pursuant to and in accordance with section 551 of the Companies Act to exercise all the powers of the Company to allot up to 250,000,000 Ordinary Shares (less the number of Ordinary Shares issued pursuant to the Initial Issue (as defined in the Circular)), such authority to expire at the conclusion of the annual general meeting of the Company to be held in 2021 (unless previously revoked or varied by the Company in general meeting), save that the Company may, at any time prior to the expiry of such authority, make an offer or enter into an agreement which would or might require Ordinary Shares to be allotted and the Directors may allot Ordinary Shares in pursuance of such an offer or agreement as if the authority conferred hereby had not expired.</w:t>
      </w:r>
    </w:p>
    <w:p w:rsidR="00CA6E1A" w:rsidRDefault="00CA6E1A">
      <w:pPr>
        <w:spacing w:line="240" w:lineRule="auto"/>
        <w:jc w:val="left"/>
        <w:rPr>
          <w:rFonts w:ascii="Arial" w:eastAsiaTheme="minorHAnsi" w:hAnsi="Arial" w:cs="Arial"/>
          <w:b/>
          <w:szCs w:val="22"/>
        </w:rPr>
      </w:pPr>
      <w:r>
        <w:rPr>
          <w:rFonts w:ascii="Arial" w:hAnsi="Arial" w:cs="Arial"/>
          <w:b/>
          <w:szCs w:val="22"/>
        </w:rPr>
        <w:br w:type="page"/>
      </w:r>
    </w:p>
    <w:p w:rsidR="00CA6E1A" w:rsidRPr="00CA6E1A" w:rsidRDefault="00CA6E1A" w:rsidP="00CA6E1A">
      <w:pPr>
        <w:pStyle w:val="SHNormal"/>
        <w:spacing w:after="120"/>
        <w:jc w:val="center"/>
        <w:rPr>
          <w:rFonts w:ascii="Arial" w:hAnsi="Arial" w:cs="Arial"/>
          <w:b/>
          <w:sz w:val="22"/>
          <w:szCs w:val="22"/>
        </w:rPr>
      </w:pPr>
    </w:p>
    <w:p w:rsidR="00CA6E1A" w:rsidRPr="00CA6E1A" w:rsidRDefault="00CA6E1A" w:rsidP="00CA6E1A">
      <w:pPr>
        <w:pStyle w:val="SHNormal"/>
        <w:spacing w:after="120"/>
        <w:jc w:val="center"/>
        <w:rPr>
          <w:rFonts w:ascii="Arial" w:hAnsi="Arial" w:cs="Arial"/>
          <w:b/>
          <w:sz w:val="22"/>
          <w:szCs w:val="22"/>
        </w:rPr>
      </w:pPr>
      <w:r w:rsidRPr="00CA6E1A">
        <w:rPr>
          <w:rFonts w:ascii="Arial" w:hAnsi="Arial" w:cs="Arial"/>
          <w:b/>
          <w:sz w:val="22"/>
          <w:szCs w:val="22"/>
        </w:rPr>
        <w:t>SPECIAL RESOLUTIONS</w:t>
      </w:r>
    </w:p>
    <w:p w:rsidR="00CA6E1A" w:rsidRPr="00CA6E1A" w:rsidRDefault="00CA6E1A" w:rsidP="00CA6E1A">
      <w:pPr>
        <w:pStyle w:val="SHTabNum"/>
        <w:rPr>
          <w:rFonts w:ascii="Arial" w:hAnsi="Arial" w:cs="Arial"/>
          <w:sz w:val="22"/>
          <w:szCs w:val="22"/>
        </w:rPr>
      </w:pPr>
      <w:r w:rsidRPr="00CA6E1A">
        <w:rPr>
          <w:rFonts w:ascii="Arial" w:hAnsi="Arial" w:cs="Arial"/>
          <w:b/>
          <w:sz w:val="22"/>
          <w:szCs w:val="22"/>
        </w:rPr>
        <w:t>THAT</w:t>
      </w:r>
      <w:r w:rsidRPr="00CA6E1A">
        <w:rPr>
          <w:rFonts w:ascii="Arial" w:hAnsi="Arial" w:cs="Arial"/>
          <w:sz w:val="22"/>
          <w:szCs w:val="22"/>
        </w:rPr>
        <w:t>, subject to the passing of Resolution 1 above, in substitution for any existing authorities, the Directors be and are hereby empowered, pursuant to section 570 of the Companies Act to allot Ordinary Shares for cash pursuant to the authority referred to in Resolution 1 above as if section 561 of the Companies Act did not apply to any such allotment, provided that this authority shall expire immediately following Initial Admission (as defined in the Circular), save that the Company may, at any time prior to the expiry of such power, make an offer or enter into an agreement which would or might require Ordinary Shares to be allotted after the expiry of such power, and the Directors may allot Ordinary Shares in pursuance of such an offer or agreement as if such power had not expired.</w:t>
      </w:r>
    </w:p>
    <w:p w:rsidR="00CA6E1A" w:rsidRPr="00CA6E1A" w:rsidRDefault="00CA6E1A" w:rsidP="00CA6E1A">
      <w:pPr>
        <w:pStyle w:val="SHTabNum"/>
        <w:rPr>
          <w:rFonts w:ascii="Arial" w:hAnsi="Arial" w:cs="Arial"/>
          <w:sz w:val="22"/>
          <w:szCs w:val="22"/>
        </w:rPr>
      </w:pPr>
      <w:r w:rsidRPr="00CA6E1A">
        <w:rPr>
          <w:rFonts w:ascii="Arial" w:hAnsi="Arial" w:cs="Arial"/>
          <w:b/>
          <w:sz w:val="22"/>
          <w:szCs w:val="22"/>
        </w:rPr>
        <w:t>THAT</w:t>
      </w:r>
      <w:r w:rsidRPr="00CA6E1A">
        <w:rPr>
          <w:rFonts w:ascii="Arial" w:hAnsi="Arial" w:cs="Arial"/>
          <w:sz w:val="22"/>
          <w:szCs w:val="22"/>
        </w:rPr>
        <w:t>, subject to the passing of Resolution 2 above, in addition to the authority granted by Resolution 3 above, the Directors be and are hereby empowered, pursuant to sections 570 to 573 of the Companies Act to allot Ordinary Shares for cash and to sell Ordinary Shares from treasury for cash pursuant to the authority referred to in Resolution 2 above as if section 561 of the Companies Act did not apply to any such allotment or sale, provided that this authority shall expire at the conclusion of the annual general meeting of the Company to be held in 2021 (unless previously revoked or varied by the Company in general meeting), save that the Company may, at any time prior to the expiry of such power, make an offer or enter into an agreement which would or might require Ordinary Shares to be allotted or sold from treasury after the expiry of such power, and the Directors may allot Ordinary Shares or sell Ordinary Shares from treasury in pursuance of such an offer or agreement as if such power had not expired.</w:t>
      </w:r>
    </w:p>
    <w:p w:rsidR="00CA6E1A" w:rsidRPr="00CA6E1A" w:rsidRDefault="00CA6E1A" w:rsidP="00CA6E1A">
      <w:pPr>
        <w:pStyle w:val="SHTabNum"/>
        <w:keepNext/>
        <w:numPr>
          <w:ilvl w:val="0"/>
          <w:numId w:val="0"/>
        </w:numPr>
        <w:ind w:left="851"/>
        <w:rPr>
          <w:rFonts w:ascii="Arial" w:hAnsi="Arial" w:cs="Arial"/>
          <w:sz w:val="22"/>
          <w:szCs w:val="22"/>
        </w:rPr>
      </w:pPr>
    </w:p>
    <w:p w:rsidR="00CA6E1A" w:rsidRPr="00CA6E1A" w:rsidRDefault="00CA6E1A" w:rsidP="00CA6E1A">
      <w:pPr>
        <w:pStyle w:val="SHTabNum"/>
        <w:numPr>
          <w:ilvl w:val="0"/>
          <w:numId w:val="0"/>
        </w:numPr>
        <w:ind w:left="851"/>
        <w:rPr>
          <w:rFonts w:ascii="Arial" w:hAnsi="Arial" w:cs="Arial"/>
          <w:sz w:val="22"/>
          <w:szCs w:val="22"/>
          <w:highlight w:val="yellow"/>
        </w:rPr>
      </w:pPr>
    </w:p>
    <w:bookmarkEnd w:id="0"/>
    <w:p w:rsidR="00D364C9" w:rsidRPr="00D364C9" w:rsidRDefault="00D364C9">
      <w:pPr>
        <w:pStyle w:val="XExecution"/>
        <w:rPr>
          <w:rFonts w:ascii="Arial" w:hAnsi="Arial" w:cs="Arial"/>
        </w:rPr>
      </w:pPr>
    </w:p>
    <w:p w:rsidR="00D5118C" w:rsidRDefault="00087E64" w:rsidP="00D5118C">
      <w:pPr>
        <w:pStyle w:val="NormalSpaced"/>
        <w:jc w:val="left"/>
      </w:pPr>
      <w:r w:rsidRPr="00A17395">
        <w:rPr>
          <w:rFonts w:ascii="Arial" w:hAnsi="Arial" w:cs="Arial"/>
        </w:rPr>
        <w:t>Signed</w:t>
      </w:r>
      <w:r w:rsidR="00D5118C">
        <w:rPr>
          <w:rFonts w:ascii="Arial" w:hAnsi="Arial" w:cs="Arial"/>
        </w:rPr>
        <w:t xml:space="preserve">: S </w:t>
      </w:r>
      <w:proofErr w:type="spellStart"/>
      <w:r w:rsidR="00D5118C">
        <w:rPr>
          <w:rFonts w:ascii="Arial" w:hAnsi="Arial" w:cs="Arial"/>
        </w:rPr>
        <w:t>Fadil</w:t>
      </w:r>
      <w:proofErr w:type="spellEnd"/>
      <w:r w:rsidR="00D5118C">
        <w:rPr>
          <w:rFonts w:ascii="Arial" w:hAnsi="Arial" w:cs="Arial"/>
        </w:rPr>
        <w:br/>
        <w:t xml:space="preserve">for and on behalf of </w:t>
      </w:r>
      <w:r w:rsidR="00D5118C">
        <w:rPr>
          <w:rFonts w:ascii="Arial" w:hAnsi="Arial" w:cs="Arial"/>
        </w:rPr>
        <w:br/>
        <w:t>JTC (UK) Limited</w:t>
      </w:r>
    </w:p>
    <w:p w:rsidR="007303CF" w:rsidRPr="00A17395" w:rsidRDefault="00506680">
      <w:pPr>
        <w:pStyle w:val="NormalSpaced"/>
        <w:rPr>
          <w:rFonts w:ascii="Arial" w:hAnsi="Arial" w:cs="Arial"/>
        </w:rPr>
      </w:pPr>
      <w:bookmarkStart w:id="1" w:name="_GoBack"/>
      <w:bookmarkEnd w:id="1"/>
      <w:r w:rsidRPr="00A17395">
        <w:rPr>
          <w:rFonts w:ascii="Arial" w:hAnsi="Arial" w:cs="Arial"/>
        </w:rPr>
        <w:t>Company S</w:t>
      </w:r>
      <w:r w:rsidR="00D364C9" w:rsidRPr="00A17395">
        <w:rPr>
          <w:rFonts w:ascii="Arial" w:hAnsi="Arial" w:cs="Arial"/>
        </w:rPr>
        <w:t>ecretary</w:t>
      </w:r>
    </w:p>
    <w:p w:rsidR="00A17395" w:rsidRPr="00A17395" w:rsidRDefault="00A17395" w:rsidP="00A17395">
      <w:r w:rsidRPr="00A17395">
        <w:rPr>
          <w:rFonts w:ascii="Arial" w:hAnsi="Arial" w:cs="Arial"/>
        </w:rPr>
        <w:t>Dated: 7 December 2020</w:t>
      </w:r>
    </w:p>
    <w:sectPr w:rsidR="00A17395" w:rsidRPr="00A17395" w:rsidSect="007303CF">
      <w:headerReference w:type="default" r:id="rId7"/>
      <w:footerReference w:type="default" r:id="rId8"/>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C43" w:rsidRDefault="00882C43">
      <w:r>
        <w:separator/>
      </w:r>
    </w:p>
  </w:endnote>
  <w:endnote w:type="continuationSeparator" w:id="0">
    <w:p w:rsidR="00882C43" w:rsidRDefault="0088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CF" w:rsidRDefault="007303CF">
    <w:pPr>
      <w:pStyle w:val="Footer"/>
      <w:jc w:val="center"/>
    </w:pPr>
    <w:r>
      <w:fldChar w:fldCharType="begin"/>
    </w:r>
    <w:r>
      <w:instrText xml:space="preserve"> PAGE \* MERGEFORMAT </w:instrText>
    </w:r>
    <w:r>
      <w:fldChar w:fldCharType="separate"/>
    </w:r>
    <w:r w:rsidR="00D5118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C43" w:rsidRDefault="00882C43">
      <w:r>
        <w:separator/>
      </w:r>
    </w:p>
  </w:footnote>
  <w:footnote w:type="continuationSeparator" w:id="0">
    <w:p w:rsidR="00882C43" w:rsidRDefault="00882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E1A" w:rsidRPr="00CA6E1A" w:rsidRDefault="00CA6E1A" w:rsidP="00CA6E1A">
    <w:pPr>
      <w:pStyle w:val="HeadingTitle"/>
      <w:rPr>
        <w:rFonts w:ascii="Arial" w:hAnsi="Arial" w:cs="Arial"/>
        <w:b w:val="0"/>
        <w:sz w:val="20"/>
      </w:rPr>
    </w:pPr>
    <w:r w:rsidRPr="00CA6E1A">
      <w:rPr>
        <w:rFonts w:ascii="Arial" w:hAnsi="Arial" w:cs="Arial"/>
        <w:b w:val="0"/>
        <w:sz w:val="20"/>
      </w:rPr>
      <w:t>Company number 11160422</w:t>
    </w:r>
  </w:p>
  <w:p w:rsidR="00CA6E1A" w:rsidRDefault="00CA6E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3612DE2"/>
    <w:multiLevelType w:val="hybridMultilevel"/>
    <w:tmpl w:val="0CD2413A"/>
    <w:lvl w:ilvl="0" w:tplc="B5C0FA82">
      <w:start w:val="1"/>
      <w:numFmt w:val="lowerRoman"/>
      <w:lvlText w:val="%1)"/>
      <w:lvlJc w:val="left"/>
      <w:pPr>
        <w:ind w:left="1500" w:hanging="720"/>
      </w:pPr>
      <w:rPr>
        <w:rFonts w:hint="default"/>
      </w:rPr>
    </w:lvl>
    <w:lvl w:ilvl="1" w:tplc="08090019">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15:restartNumberingAfterBreak="0">
    <w:nsid w:val="196F6CFA"/>
    <w:multiLevelType w:val="hybridMultilevel"/>
    <w:tmpl w:val="A8F091D6"/>
    <w:lvl w:ilvl="0" w:tplc="44061FF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2424F0"/>
    <w:multiLevelType w:val="hybridMultilevel"/>
    <w:tmpl w:val="CBF2BB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700993"/>
    <w:multiLevelType w:val="hybridMultilevel"/>
    <w:tmpl w:val="882EDBCE"/>
    <w:lvl w:ilvl="0" w:tplc="21CE6232">
      <w:start w:val="1"/>
      <w:numFmt w:val="lowerRoman"/>
      <w:lvlText w:val="%1)"/>
      <w:lvlJc w:val="left"/>
      <w:pPr>
        <w:ind w:left="1288" w:hanging="720"/>
      </w:pPr>
      <w:rPr>
        <w:rFonts w:ascii="Arial" w:hAnsi="Arial" w:cs="Arial"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2A13592C"/>
    <w:multiLevelType w:val="multilevel"/>
    <w:tmpl w:val="3BEC342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4" w15:restartNumberingAfterBreak="0">
    <w:nsid w:val="37B9712B"/>
    <w:multiLevelType w:val="hybridMultilevel"/>
    <w:tmpl w:val="3F5638E2"/>
    <w:name w:val="SH TabNum"/>
    <w:lvl w:ilvl="0" w:tplc="B166148A">
      <w:start w:val="1"/>
      <w:numFmt w:val="decimal"/>
      <w:pStyle w:val="SHTabNum"/>
      <w:lvlText w:val="%1"/>
      <w:lvlJc w:val="left"/>
      <w:pPr>
        <w:ind w:left="850" w:hanging="85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A724F8"/>
    <w:multiLevelType w:val="hybridMultilevel"/>
    <w:tmpl w:val="C47A01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DE5DA8"/>
    <w:multiLevelType w:val="hybridMultilevel"/>
    <w:tmpl w:val="6A78E82A"/>
    <w:lvl w:ilvl="0" w:tplc="C15090EE">
      <w:start w:val="1"/>
      <w:numFmt w:val="decimal"/>
      <w:lvlText w:val="%1."/>
      <w:lvlJc w:val="left"/>
      <w:pPr>
        <w:ind w:left="720" w:hanging="360"/>
      </w:pPr>
      <w:rPr>
        <w:rFonts w:ascii="HelveticaNeueLT-Bold" w:hAnsi="HelveticaNeueLT-Bold" w:cs="HelveticaNeueLT-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0"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861A2"/>
    <w:multiLevelType w:val="multilevel"/>
    <w:tmpl w:val="50F897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ascii="Arial" w:hAnsi="Arial" w:cs="Aria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712BA0"/>
    <w:multiLevelType w:val="hybridMultilevel"/>
    <w:tmpl w:val="0FE40602"/>
    <w:lvl w:ilvl="0" w:tplc="B820487A">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786B6486"/>
    <w:multiLevelType w:val="hybridMultilevel"/>
    <w:tmpl w:val="D492792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05EE6"/>
    <w:multiLevelType w:val="hybridMultilevel"/>
    <w:tmpl w:val="5F4C51D4"/>
    <w:lvl w:ilvl="0" w:tplc="C15090EE">
      <w:start w:val="7"/>
      <w:numFmt w:val="decimal"/>
      <w:lvlText w:val="%1."/>
      <w:lvlJc w:val="left"/>
      <w:pPr>
        <w:ind w:left="720" w:hanging="360"/>
      </w:pPr>
      <w:rPr>
        <w:rFonts w:ascii="HelveticaNeueLT-Bold" w:hAnsi="HelveticaNeueLT-Bold" w:cs="HelveticaNeueLT-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22"/>
  </w:num>
  <w:num w:numId="4">
    <w:abstractNumId w:val="27"/>
  </w:num>
  <w:num w:numId="5">
    <w:abstractNumId w:val="18"/>
  </w:num>
  <w:num w:numId="6">
    <w:abstractNumId w:val="13"/>
  </w:num>
  <w:num w:numId="7">
    <w:abstractNumId w:val="2"/>
  </w:num>
  <w:num w:numId="8">
    <w:abstractNumId w:val="20"/>
  </w:num>
  <w:num w:numId="9">
    <w:abstractNumId w:val="7"/>
  </w:num>
  <w:num w:numId="10">
    <w:abstractNumId w:val="19"/>
  </w:num>
  <w:num w:numId="11">
    <w:abstractNumId w:val="6"/>
  </w:num>
  <w:num w:numId="12">
    <w:abstractNumId w:val="16"/>
  </w:num>
  <w:num w:numId="13">
    <w:abstractNumId w:val="11"/>
  </w:num>
  <w:num w:numId="14">
    <w:abstractNumId w:val="30"/>
  </w:num>
  <w:num w:numId="15">
    <w:abstractNumId w:val="12"/>
  </w:num>
  <w:num w:numId="16">
    <w:abstractNumId w:val="1"/>
  </w:num>
  <w:num w:numId="17">
    <w:abstractNumId w:val="23"/>
  </w:num>
  <w:num w:numId="18">
    <w:abstractNumId w:val="21"/>
  </w:num>
  <w:num w:numId="19">
    <w:abstractNumId w:val="10"/>
  </w:num>
  <w:num w:numId="20">
    <w:abstractNumId w:val="15"/>
  </w:num>
  <w:num w:numId="21">
    <w:abstractNumId w:val="25"/>
  </w:num>
  <w:num w:numId="22">
    <w:abstractNumId w:val="2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
  </w:num>
  <w:num w:numId="26">
    <w:abstractNumId w:val="9"/>
  </w:num>
  <w:num w:numId="27">
    <w:abstractNumId w:val="28"/>
  </w:num>
  <w:num w:numId="28">
    <w:abstractNumId w:val="8"/>
  </w:num>
  <w:num w:numId="29">
    <w:abstractNumId w:val="17"/>
  </w:num>
  <w:num w:numId="30">
    <w:abstractNumId w:val="29"/>
  </w:num>
  <w:num w:numId="3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3CF"/>
    <w:rsid w:val="000025A7"/>
    <w:rsid w:val="00087E64"/>
    <w:rsid w:val="0011730F"/>
    <w:rsid w:val="00255DD7"/>
    <w:rsid w:val="0029455C"/>
    <w:rsid w:val="00367F01"/>
    <w:rsid w:val="003C5DEB"/>
    <w:rsid w:val="00506680"/>
    <w:rsid w:val="007303CF"/>
    <w:rsid w:val="00875639"/>
    <w:rsid w:val="00882C43"/>
    <w:rsid w:val="009E1879"/>
    <w:rsid w:val="00A17395"/>
    <w:rsid w:val="00C37DEA"/>
    <w:rsid w:val="00CA6E1A"/>
    <w:rsid w:val="00D364C9"/>
    <w:rsid w:val="00D5118C"/>
    <w:rsid w:val="00FB7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C100B-934B-4B28-BD25-3B76AC4E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customStyle="1" w:styleId="TitleClause">
    <w:name w:val="Title Clause"/>
    <w:basedOn w:val="Normal"/>
    <w:rsid w:val="00FB7575"/>
    <w:pPr>
      <w:keepNext/>
      <w:numPr>
        <w:numId w:val="23"/>
      </w:numPr>
      <w:spacing w:before="240" w:after="240"/>
      <w:outlineLvl w:val="0"/>
    </w:pPr>
    <w:rPr>
      <w:rFonts w:ascii="Arial" w:hAnsi="Arial"/>
      <w:b/>
      <w:color w:val="000000"/>
      <w:kern w:val="28"/>
    </w:rPr>
  </w:style>
  <w:style w:type="paragraph" w:customStyle="1" w:styleId="Untitledsubclause1">
    <w:name w:val="Untitled subclause 1"/>
    <w:basedOn w:val="Normal"/>
    <w:rsid w:val="00FB7575"/>
    <w:pPr>
      <w:numPr>
        <w:ilvl w:val="1"/>
        <w:numId w:val="23"/>
      </w:numPr>
      <w:spacing w:before="280" w:after="120"/>
      <w:outlineLvl w:val="1"/>
    </w:pPr>
    <w:rPr>
      <w:rFonts w:ascii="Arial" w:hAnsi="Arial"/>
      <w:color w:val="000000"/>
    </w:rPr>
  </w:style>
  <w:style w:type="paragraph" w:customStyle="1" w:styleId="Untitledsubclause2">
    <w:name w:val="Untitled subclause 2"/>
    <w:basedOn w:val="Normal"/>
    <w:rsid w:val="00FB7575"/>
    <w:pPr>
      <w:numPr>
        <w:ilvl w:val="2"/>
        <w:numId w:val="23"/>
      </w:numPr>
      <w:spacing w:after="120"/>
      <w:outlineLvl w:val="2"/>
    </w:pPr>
    <w:rPr>
      <w:rFonts w:ascii="Arial" w:hAnsi="Arial"/>
      <w:color w:val="000000"/>
    </w:rPr>
  </w:style>
  <w:style w:type="paragraph" w:customStyle="1" w:styleId="Untitledsubclause3">
    <w:name w:val="Untitled subclause 3"/>
    <w:basedOn w:val="Normal"/>
    <w:rsid w:val="00FB7575"/>
    <w:pPr>
      <w:numPr>
        <w:ilvl w:val="3"/>
        <w:numId w:val="23"/>
      </w:numPr>
      <w:tabs>
        <w:tab w:val="left" w:pos="2261"/>
      </w:tabs>
      <w:spacing w:after="120"/>
      <w:outlineLvl w:val="3"/>
    </w:pPr>
    <w:rPr>
      <w:rFonts w:ascii="Arial" w:hAnsi="Arial"/>
      <w:color w:val="000000"/>
    </w:rPr>
  </w:style>
  <w:style w:type="paragraph" w:customStyle="1" w:styleId="Untitledsubclause4">
    <w:name w:val="Untitled subclause 4"/>
    <w:basedOn w:val="Normal"/>
    <w:rsid w:val="00FB7575"/>
    <w:pPr>
      <w:numPr>
        <w:ilvl w:val="4"/>
        <w:numId w:val="23"/>
      </w:numPr>
      <w:spacing w:after="120"/>
      <w:outlineLvl w:val="4"/>
    </w:pPr>
    <w:rPr>
      <w:rFonts w:ascii="Arial" w:hAnsi="Arial"/>
      <w:color w:val="000000"/>
    </w:rPr>
  </w:style>
  <w:style w:type="paragraph" w:styleId="ListParagraph">
    <w:name w:val="List Paragraph"/>
    <w:basedOn w:val="Normal"/>
    <w:uiPriority w:val="34"/>
    <w:qFormat/>
    <w:rsid w:val="0011730F"/>
    <w:pPr>
      <w:ind w:left="720"/>
    </w:pPr>
  </w:style>
  <w:style w:type="paragraph" w:customStyle="1" w:styleId="SHNormal">
    <w:name w:val="SH Normal"/>
    <w:link w:val="SHNormalChar"/>
    <w:unhideWhenUsed/>
    <w:qFormat/>
    <w:rsid w:val="00CA6E1A"/>
    <w:pPr>
      <w:spacing w:after="200" w:line="280" w:lineRule="atLeast"/>
      <w:jc w:val="both"/>
    </w:pPr>
    <w:rPr>
      <w:rFonts w:asciiTheme="minorHAnsi" w:eastAsiaTheme="minorHAnsi" w:hAnsiTheme="minorHAnsi" w:cstheme="minorBidi"/>
      <w:sz w:val="19"/>
      <w:szCs w:val="19"/>
      <w:lang w:eastAsia="en-US"/>
    </w:rPr>
  </w:style>
  <w:style w:type="paragraph" w:customStyle="1" w:styleId="SHTabNum">
    <w:name w:val="SH TabNum"/>
    <w:basedOn w:val="Normal"/>
    <w:uiPriority w:val="41"/>
    <w:unhideWhenUsed/>
    <w:qFormat/>
    <w:rsid w:val="00CA6E1A"/>
    <w:pPr>
      <w:numPr>
        <w:numId w:val="31"/>
      </w:numPr>
      <w:spacing w:before="100" w:after="100" w:line="280" w:lineRule="atLeast"/>
      <w:ind w:left="851" w:hanging="851"/>
    </w:pPr>
    <w:rPr>
      <w:rFonts w:asciiTheme="minorHAnsi" w:eastAsiaTheme="minorHAnsi" w:hAnsiTheme="minorHAnsi" w:cstheme="minorBidi"/>
      <w:sz w:val="19"/>
      <w:szCs w:val="19"/>
    </w:rPr>
  </w:style>
  <w:style w:type="character" w:customStyle="1" w:styleId="SHNormalChar">
    <w:name w:val="SH Normal Char"/>
    <w:basedOn w:val="DefaultParagraphFont"/>
    <w:link w:val="SHNormal"/>
    <w:rsid w:val="00CA6E1A"/>
    <w:rPr>
      <w:rFonts w:asciiTheme="minorHAnsi" w:eastAsiaTheme="minorHAnsi" w:hAnsiTheme="minorHAnsi" w:cstheme="minorBid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F7D9F2F8</Template>
  <TotalTime>6</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Skeleton print of resolutions passed at a general meeting (including an AGM)</vt:lpstr>
    </vt:vector>
  </TitlesOfParts>
  <Company>Practical Law Company Ltd</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Skeleton print of resolutions passed at a general meeting (including an AGM)</dc:title>
  <dc:subject/>
  <dc:creator>Practical Law Company</dc:creator>
  <cp:keywords/>
  <cp:lastModifiedBy>Fadil</cp:lastModifiedBy>
  <cp:revision>5</cp:revision>
  <cp:lastPrinted>2020-12-07T10:54:00Z</cp:lastPrinted>
  <dcterms:created xsi:type="dcterms:W3CDTF">2020-12-02T20:10:00Z</dcterms:created>
  <dcterms:modified xsi:type="dcterms:W3CDTF">2020-12-07T10:56:00Z</dcterms:modified>
</cp:coreProperties>
</file>