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9C204" w14:textId="77777777" w:rsidR="000D646A" w:rsidRPr="00736770" w:rsidRDefault="00220E34" w:rsidP="001F4A36">
      <w:pPr>
        <w:widowControl w:val="0"/>
        <w:autoSpaceDE w:val="0"/>
        <w:autoSpaceDN w:val="0"/>
        <w:adjustRightInd w:val="0"/>
        <w:jc w:val="center"/>
        <w:rPr>
          <w:rFonts w:asciiTheme="minorHAnsi" w:hAnsiTheme="minorHAnsi" w:cstheme="minorHAnsi"/>
          <w:b/>
        </w:rPr>
      </w:pPr>
      <w:r w:rsidRPr="00736770">
        <w:rPr>
          <w:rFonts w:asciiTheme="minorHAnsi" w:hAnsiTheme="minorHAnsi" w:cstheme="minorHAnsi"/>
          <w:b/>
        </w:rPr>
        <w:t>PRESS RELEASE</w:t>
      </w:r>
    </w:p>
    <w:p w14:paraId="1C24C0DD" w14:textId="77777777" w:rsidR="00220E34" w:rsidRPr="00736770" w:rsidRDefault="00220E34" w:rsidP="001F4A36">
      <w:pPr>
        <w:widowControl w:val="0"/>
        <w:autoSpaceDE w:val="0"/>
        <w:autoSpaceDN w:val="0"/>
        <w:adjustRightInd w:val="0"/>
        <w:rPr>
          <w:rFonts w:asciiTheme="minorHAnsi" w:hAnsiTheme="minorHAnsi" w:cstheme="minorHAnsi"/>
        </w:rPr>
      </w:pPr>
    </w:p>
    <w:p w14:paraId="4907949C" w14:textId="77777777" w:rsidR="00220E34" w:rsidRPr="00736770" w:rsidRDefault="00220E34" w:rsidP="001F4A36">
      <w:pPr>
        <w:widowControl w:val="0"/>
        <w:autoSpaceDE w:val="0"/>
        <w:autoSpaceDN w:val="0"/>
        <w:adjustRightInd w:val="0"/>
        <w:rPr>
          <w:rFonts w:asciiTheme="minorHAnsi" w:hAnsiTheme="minorHAnsi" w:cstheme="minorHAnsi"/>
        </w:rPr>
      </w:pPr>
    </w:p>
    <w:p w14:paraId="42DCF299" w14:textId="3AAD730B" w:rsidR="000D646A" w:rsidRPr="00736770" w:rsidRDefault="00C229B7" w:rsidP="001F4A36">
      <w:pPr>
        <w:widowControl w:val="0"/>
        <w:autoSpaceDE w:val="0"/>
        <w:autoSpaceDN w:val="0"/>
        <w:adjustRightInd w:val="0"/>
        <w:rPr>
          <w:rFonts w:asciiTheme="minorHAnsi" w:hAnsiTheme="minorHAnsi" w:cstheme="minorHAnsi"/>
        </w:rPr>
      </w:pPr>
      <w:r>
        <w:rPr>
          <w:rFonts w:asciiTheme="minorHAnsi" w:hAnsiTheme="minorHAnsi" w:cstheme="minorHAnsi"/>
        </w:rPr>
        <w:t>30</w:t>
      </w:r>
      <w:r>
        <w:rPr>
          <w:rFonts w:asciiTheme="minorHAnsi" w:hAnsiTheme="minorHAnsi" w:cstheme="minorHAnsi"/>
        </w:rPr>
        <w:t xml:space="preserve"> </w:t>
      </w:r>
      <w:r w:rsidR="006F4C62">
        <w:rPr>
          <w:rFonts w:asciiTheme="minorHAnsi" w:hAnsiTheme="minorHAnsi" w:cstheme="minorHAnsi"/>
        </w:rPr>
        <w:t>September 202</w:t>
      </w:r>
      <w:r w:rsidR="00763235">
        <w:rPr>
          <w:rFonts w:asciiTheme="minorHAnsi" w:hAnsiTheme="minorHAnsi" w:cstheme="minorHAnsi"/>
        </w:rPr>
        <w:t>1</w:t>
      </w:r>
    </w:p>
    <w:p w14:paraId="3153ADD3" w14:textId="77777777" w:rsidR="00DF6B2E" w:rsidRPr="00736770" w:rsidRDefault="00DF6B2E" w:rsidP="001F4A36">
      <w:pPr>
        <w:widowControl w:val="0"/>
        <w:autoSpaceDE w:val="0"/>
        <w:autoSpaceDN w:val="0"/>
        <w:adjustRightInd w:val="0"/>
        <w:rPr>
          <w:rFonts w:asciiTheme="minorHAnsi" w:hAnsiTheme="minorHAnsi" w:cstheme="minorHAnsi"/>
        </w:rPr>
      </w:pPr>
    </w:p>
    <w:p w14:paraId="7240541C" w14:textId="77777777" w:rsidR="00DF6B2E" w:rsidRPr="00736770" w:rsidRDefault="00FA4474" w:rsidP="001F4A36">
      <w:pPr>
        <w:widowControl w:val="0"/>
        <w:autoSpaceDE w:val="0"/>
        <w:autoSpaceDN w:val="0"/>
        <w:adjustRightInd w:val="0"/>
        <w:spacing w:before="120" w:after="120"/>
        <w:jc w:val="center"/>
        <w:rPr>
          <w:rFonts w:asciiTheme="minorHAnsi" w:hAnsiTheme="minorHAnsi" w:cstheme="minorHAnsi"/>
          <w:b/>
        </w:rPr>
      </w:pPr>
      <w:r w:rsidRPr="00736770">
        <w:rPr>
          <w:rFonts w:asciiTheme="minorHAnsi" w:hAnsiTheme="minorHAnsi" w:cstheme="minorHAnsi"/>
          <w:b/>
        </w:rPr>
        <w:t xml:space="preserve">KAVANGO </w:t>
      </w:r>
      <w:r w:rsidR="00220E34" w:rsidRPr="00736770">
        <w:rPr>
          <w:rFonts w:asciiTheme="minorHAnsi" w:hAnsiTheme="minorHAnsi" w:cstheme="minorHAnsi"/>
          <w:b/>
        </w:rPr>
        <w:t>RESOURCES PLC</w:t>
      </w:r>
      <w:r w:rsidR="00DF6B2E" w:rsidRPr="00736770">
        <w:rPr>
          <w:rFonts w:asciiTheme="minorHAnsi" w:hAnsiTheme="minorHAnsi" w:cstheme="minorHAnsi"/>
          <w:b/>
        </w:rPr>
        <w:t xml:space="preserve"> (“</w:t>
      </w:r>
      <w:r w:rsidR="0065402D" w:rsidRPr="00736770">
        <w:rPr>
          <w:rFonts w:asciiTheme="minorHAnsi" w:hAnsiTheme="minorHAnsi" w:cstheme="minorHAnsi"/>
          <w:b/>
        </w:rPr>
        <w:t>KAVANGO</w:t>
      </w:r>
      <w:r w:rsidR="00DF6B2E" w:rsidRPr="00736770">
        <w:rPr>
          <w:rFonts w:asciiTheme="minorHAnsi" w:hAnsiTheme="minorHAnsi" w:cstheme="minorHAnsi"/>
          <w:b/>
        </w:rPr>
        <w:t>” OR “THE COMPANY”)</w:t>
      </w:r>
    </w:p>
    <w:p w14:paraId="28E7BBEC" w14:textId="77777777" w:rsidR="00FA5E3F" w:rsidRPr="00736770" w:rsidRDefault="00FA5E3F" w:rsidP="00FA5E3F">
      <w:pPr>
        <w:widowControl w:val="0"/>
        <w:autoSpaceDE w:val="0"/>
        <w:autoSpaceDN w:val="0"/>
        <w:adjustRightInd w:val="0"/>
        <w:spacing w:before="120" w:after="120"/>
        <w:jc w:val="center"/>
        <w:rPr>
          <w:rFonts w:asciiTheme="minorHAnsi" w:hAnsiTheme="minorHAnsi" w:cstheme="minorHAnsi"/>
          <w:b/>
        </w:rPr>
      </w:pPr>
      <w:r w:rsidRPr="00736770">
        <w:rPr>
          <w:rFonts w:asciiTheme="minorHAnsi" w:hAnsiTheme="minorHAnsi" w:cstheme="minorHAnsi"/>
          <w:b/>
        </w:rPr>
        <w:t>Interim Results</w:t>
      </w:r>
    </w:p>
    <w:p w14:paraId="5D21090D" w14:textId="0AB9F101" w:rsidR="00220784" w:rsidRPr="00736770" w:rsidRDefault="006D4116" w:rsidP="006D4116">
      <w:pPr>
        <w:shd w:val="clear" w:color="auto" w:fill="FFFFFF"/>
        <w:jc w:val="both"/>
        <w:rPr>
          <w:rFonts w:asciiTheme="minorHAnsi" w:eastAsia="Times New Roman" w:hAnsiTheme="minorHAnsi" w:cstheme="minorHAnsi"/>
          <w:color w:val="000000"/>
          <w:lang w:val="en-US" w:eastAsia="en-US"/>
        </w:rPr>
      </w:pPr>
      <w:r w:rsidRPr="00736770">
        <w:rPr>
          <w:rFonts w:asciiTheme="minorHAnsi" w:eastAsia="Times New Roman" w:hAnsiTheme="minorHAnsi" w:cstheme="minorHAnsi"/>
          <w:color w:val="000000"/>
          <w:lang w:val="en-US" w:eastAsia="en-US"/>
        </w:rPr>
        <w:t>Kavango Resources plc, an</w:t>
      </w:r>
      <w:r w:rsidR="00220784" w:rsidRPr="00736770">
        <w:rPr>
          <w:rFonts w:asciiTheme="minorHAnsi" w:eastAsia="Times New Roman" w:hAnsiTheme="minorHAnsi" w:cstheme="minorHAnsi"/>
          <w:color w:val="000000"/>
          <w:lang w:val="en-US" w:eastAsia="en-US"/>
        </w:rPr>
        <w:t xml:space="preserve"> exploration company targeting the discovery of world class mineral deposits in Botswana, is pleased to announce its unaudited financial results for the six months ended 30</w:t>
      </w:r>
      <w:r w:rsidR="00DF55BC">
        <w:rPr>
          <w:rFonts w:asciiTheme="minorHAnsi" w:eastAsia="Times New Roman" w:hAnsiTheme="minorHAnsi" w:cstheme="minorHAnsi"/>
          <w:color w:val="000000"/>
          <w:lang w:val="en-US" w:eastAsia="en-US"/>
        </w:rPr>
        <w:t xml:space="preserve"> </w:t>
      </w:r>
      <w:r w:rsidR="00220784" w:rsidRPr="00736770">
        <w:rPr>
          <w:rFonts w:asciiTheme="minorHAnsi" w:eastAsia="Times New Roman" w:hAnsiTheme="minorHAnsi" w:cstheme="minorHAnsi"/>
          <w:color w:val="000000"/>
          <w:lang w:val="en-US" w:eastAsia="en-US"/>
        </w:rPr>
        <w:t>June 20</w:t>
      </w:r>
      <w:r w:rsidR="006F4C62">
        <w:rPr>
          <w:rFonts w:asciiTheme="minorHAnsi" w:eastAsia="Times New Roman" w:hAnsiTheme="minorHAnsi" w:cstheme="minorHAnsi"/>
          <w:color w:val="000000"/>
          <w:lang w:val="en-US" w:eastAsia="en-US"/>
        </w:rPr>
        <w:t>2</w:t>
      </w:r>
      <w:r w:rsidR="00763235">
        <w:rPr>
          <w:rFonts w:asciiTheme="minorHAnsi" w:eastAsia="Times New Roman" w:hAnsiTheme="minorHAnsi" w:cstheme="minorHAnsi"/>
          <w:color w:val="000000"/>
          <w:lang w:val="en-US" w:eastAsia="en-US"/>
        </w:rPr>
        <w:t>1</w:t>
      </w:r>
      <w:r w:rsidRPr="00736770">
        <w:rPr>
          <w:rFonts w:asciiTheme="minorHAnsi" w:eastAsia="Times New Roman" w:hAnsiTheme="minorHAnsi" w:cstheme="minorHAnsi"/>
          <w:color w:val="000000"/>
          <w:lang w:val="en-US" w:eastAsia="en-US"/>
        </w:rPr>
        <w:t>.</w:t>
      </w:r>
      <w:r w:rsidR="00220784" w:rsidRPr="00736770">
        <w:rPr>
          <w:rFonts w:asciiTheme="minorHAnsi" w:eastAsia="Times New Roman" w:hAnsiTheme="minorHAnsi" w:cstheme="minorHAnsi"/>
          <w:color w:val="000000"/>
          <w:lang w:val="en-US" w:eastAsia="en-US"/>
        </w:rPr>
        <w:t xml:space="preserve"> </w:t>
      </w:r>
    </w:p>
    <w:p w14:paraId="57651A07" w14:textId="77777777" w:rsidR="006D4116" w:rsidRPr="00736770" w:rsidRDefault="006D4116" w:rsidP="006D4116">
      <w:pPr>
        <w:shd w:val="clear" w:color="auto" w:fill="FFFFFF"/>
        <w:jc w:val="both"/>
        <w:rPr>
          <w:rFonts w:asciiTheme="minorHAnsi" w:eastAsia="Times New Roman" w:hAnsiTheme="minorHAnsi" w:cstheme="minorHAnsi"/>
          <w:color w:val="000000"/>
          <w:lang w:val="en-US" w:eastAsia="en-US"/>
        </w:rPr>
      </w:pPr>
    </w:p>
    <w:p w14:paraId="29AB6495" w14:textId="4A96D575" w:rsidR="00220784" w:rsidRPr="00736770" w:rsidRDefault="00C13EFB" w:rsidP="003204E0">
      <w:pPr>
        <w:shd w:val="clear" w:color="auto" w:fill="FFFFFF"/>
        <w:jc w:val="both"/>
        <w:rPr>
          <w:rFonts w:asciiTheme="minorHAnsi" w:eastAsia="Times New Roman" w:hAnsiTheme="minorHAnsi" w:cstheme="minorHAnsi"/>
          <w:b/>
          <w:color w:val="000000"/>
          <w:lang w:val="en-US" w:eastAsia="en-US"/>
        </w:rPr>
      </w:pPr>
      <w:r>
        <w:rPr>
          <w:rFonts w:asciiTheme="minorHAnsi" w:eastAsia="Times New Roman" w:hAnsiTheme="minorHAnsi" w:cstheme="minorHAnsi"/>
          <w:b/>
          <w:color w:val="000000"/>
          <w:lang w:val="en-US" w:eastAsia="en-US"/>
        </w:rPr>
        <w:t>SUMMARY</w:t>
      </w:r>
    </w:p>
    <w:p w14:paraId="77837EE1" w14:textId="2B2339A6" w:rsidR="003F4574" w:rsidRDefault="003B3E8C" w:rsidP="003204E0">
      <w:pPr>
        <w:pStyle w:val="ListParagraph"/>
        <w:widowControl w:val="0"/>
        <w:numPr>
          <w:ilvl w:val="0"/>
          <w:numId w:val="44"/>
        </w:numPr>
        <w:autoSpaceDE w:val="0"/>
        <w:autoSpaceDN w:val="0"/>
        <w:adjustRightInd w:val="0"/>
        <w:spacing w:before="120" w:after="120"/>
        <w:ind w:hanging="229"/>
        <w:jc w:val="both"/>
        <w:rPr>
          <w:rFonts w:asciiTheme="minorHAnsi" w:hAnsiTheme="minorHAnsi" w:cstheme="minorHAnsi"/>
        </w:rPr>
      </w:pPr>
      <w:r>
        <w:rPr>
          <w:rFonts w:asciiTheme="minorHAnsi" w:hAnsiTheme="minorHAnsi" w:cstheme="minorHAnsi"/>
        </w:rPr>
        <w:t xml:space="preserve">Issue of </w:t>
      </w:r>
      <w:r w:rsidR="00711721">
        <w:rPr>
          <w:rFonts w:asciiTheme="minorHAnsi" w:hAnsiTheme="minorHAnsi" w:cstheme="minorHAnsi"/>
        </w:rPr>
        <w:t>69,776,784</w:t>
      </w:r>
      <w:r>
        <w:rPr>
          <w:rFonts w:asciiTheme="minorHAnsi" w:hAnsiTheme="minorHAnsi" w:cstheme="minorHAnsi"/>
        </w:rPr>
        <w:t xml:space="preserve"> ordinary shares</w:t>
      </w:r>
      <w:r w:rsidR="000035CD">
        <w:rPr>
          <w:rFonts w:asciiTheme="minorHAnsi" w:hAnsiTheme="minorHAnsi" w:cstheme="minorHAnsi"/>
        </w:rPr>
        <w:t xml:space="preserve"> (Note 5)</w:t>
      </w:r>
    </w:p>
    <w:p w14:paraId="4EC16D80" w14:textId="0167682E" w:rsidR="003204E0" w:rsidRPr="001A0D90" w:rsidRDefault="001A0D90" w:rsidP="001A0D90">
      <w:pPr>
        <w:pStyle w:val="ListParagraph"/>
        <w:widowControl w:val="0"/>
        <w:numPr>
          <w:ilvl w:val="0"/>
          <w:numId w:val="44"/>
        </w:numPr>
        <w:autoSpaceDE w:val="0"/>
        <w:autoSpaceDN w:val="0"/>
        <w:adjustRightInd w:val="0"/>
        <w:spacing w:before="120" w:after="120"/>
        <w:ind w:hanging="229"/>
        <w:jc w:val="both"/>
        <w:rPr>
          <w:rFonts w:asciiTheme="minorHAnsi" w:hAnsiTheme="minorHAnsi" w:cstheme="minorHAnsi"/>
        </w:rPr>
      </w:pPr>
      <w:r>
        <w:rPr>
          <w:rFonts w:asciiTheme="minorHAnsi" w:hAnsiTheme="minorHAnsi" w:cstheme="minorHAnsi"/>
        </w:rPr>
        <w:t>Expenditure in Botswana on exploration of US$</w:t>
      </w:r>
      <w:r w:rsidR="00785DA6">
        <w:rPr>
          <w:rFonts w:asciiTheme="minorHAnsi" w:hAnsiTheme="minorHAnsi" w:cstheme="minorHAnsi"/>
        </w:rPr>
        <w:t>512</w:t>
      </w:r>
      <w:r w:rsidR="00176226">
        <w:rPr>
          <w:rFonts w:asciiTheme="minorHAnsi" w:hAnsiTheme="minorHAnsi" w:cstheme="minorHAnsi"/>
        </w:rPr>
        <w:t>,000</w:t>
      </w:r>
      <w:r w:rsidR="000035CD">
        <w:rPr>
          <w:rFonts w:asciiTheme="minorHAnsi" w:hAnsiTheme="minorHAnsi" w:cstheme="minorHAnsi"/>
        </w:rPr>
        <w:t xml:space="preserve"> (Note 4)</w:t>
      </w:r>
    </w:p>
    <w:p w14:paraId="0AA77D7F" w14:textId="77145C23" w:rsidR="004C0025" w:rsidRPr="00851B3A" w:rsidRDefault="00204A00" w:rsidP="00851B3A">
      <w:pPr>
        <w:pStyle w:val="ListParagraph"/>
        <w:widowControl w:val="0"/>
        <w:numPr>
          <w:ilvl w:val="0"/>
          <w:numId w:val="44"/>
        </w:numPr>
        <w:autoSpaceDE w:val="0"/>
        <w:autoSpaceDN w:val="0"/>
        <w:adjustRightInd w:val="0"/>
        <w:spacing w:before="120" w:after="120"/>
        <w:ind w:hanging="229"/>
        <w:jc w:val="both"/>
        <w:rPr>
          <w:rFonts w:asciiTheme="minorHAnsi" w:hAnsiTheme="minorHAnsi" w:cstheme="minorHAnsi"/>
        </w:rPr>
      </w:pPr>
      <w:r w:rsidRPr="00736770">
        <w:rPr>
          <w:rFonts w:asciiTheme="minorHAnsi" w:hAnsiTheme="minorHAnsi" w:cstheme="minorHAnsi"/>
        </w:rPr>
        <w:t>Operating loss of US$</w:t>
      </w:r>
      <w:r w:rsidR="00711721">
        <w:rPr>
          <w:rFonts w:asciiTheme="minorHAnsi" w:hAnsiTheme="minorHAnsi" w:cstheme="minorHAnsi"/>
        </w:rPr>
        <w:t>776</w:t>
      </w:r>
      <w:r w:rsidRPr="00736770">
        <w:rPr>
          <w:rFonts w:asciiTheme="minorHAnsi" w:hAnsiTheme="minorHAnsi" w:cstheme="minorHAnsi"/>
        </w:rPr>
        <w:t>,000</w:t>
      </w:r>
      <w:r w:rsidR="000035CD">
        <w:rPr>
          <w:rFonts w:asciiTheme="minorHAnsi" w:hAnsiTheme="minorHAnsi" w:cstheme="minorHAnsi"/>
        </w:rPr>
        <w:t xml:space="preserve"> (2020 – US$254,000)</w:t>
      </w:r>
    </w:p>
    <w:p w14:paraId="09A73E8E" w14:textId="77777777" w:rsidR="003204E0" w:rsidRPr="00736770" w:rsidRDefault="003204E0" w:rsidP="003204E0">
      <w:pPr>
        <w:pStyle w:val="ListParagraph"/>
        <w:widowControl w:val="0"/>
        <w:autoSpaceDE w:val="0"/>
        <w:autoSpaceDN w:val="0"/>
        <w:adjustRightInd w:val="0"/>
        <w:spacing w:before="120" w:after="120"/>
        <w:jc w:val="both"/>
        <w:rPr>
          <w:rFonts w:asciiTheme="minorHAnsi" w:hAnsiTheme="minorHAnsi" w:cstheme="minorHAnsi"/>
        </w:rPr>
      </w:pPr>
    </w:p>
    <w:p w14:paraId="56861913" w14:textId="77777777" w:rsidR="00FA5E3F" w:rsidRPr="00736770" w:rsidRDefault="00FA5E3F" w:rsidP="00220784">
      <w:pPr>
        <w:widowControl w:val="0"/>
        <w:autoSpaceDE w:val="0"/>
        <w:autoSpaceDN w:val="0"/>
        <w:adjustRightInd w:val="0"/>
        <w:spacing w:before="120" w:after="120"/>
        <w:jc w:val="both"/>
        <w:rPr>
          <w:rFonts w:asciiTheme="minorHAnsi" w:hAnsiTheme="minorHAnsi" w:cstheme="minorHAnsi"/>
        </w:rPr>
      </w:pPr>
      <w:r w:rsidRPr="00736770">
        <w:rPr>
          <w:rFonts w:asciiTheme="minorHAnsi" w:hAnsiTheme="minorHAnsi" w:cstheme="minorHAnsi"/>
        </w:rPr>
        <w:t>The Chairman’s Statement and Interim Results are set out in the following pages.</w:t>
      </w:r>
    </w:p>
    <w:p w14:paraId="772A14D4" w14:textId="77777777" w:rsidR="006B7477" w:rsidRDefault="006B7477" w:rsidP="006B7477">
      <w:pPr>
        <w:pStyle w:val="de"/>
        <w:spacing w:before="0" w:beforeAutospacing="0"/>
        <w:jc w:val="both"/>
        <w:rPr>
          <w:rFonts w:asciiTheme="minorHAnsi" w:hAnsiTheme="minorHAnsi" w:cstheme="minorHAnsi"/>
          <w:b/>
          <w:bCs/>
          <w:color w:val="000000"/>
        </w:rPr>
      </w:pPr>
    </w:p>
    <w:p w14:paraId="1AE750A7" w14:textId="3387ADFA" w:rsidR="00386240" w:rsidRPr="00736770" w:rsidRDefault="00386240" w:rsidP="00C83B20">
      <w:pPr>
        <w:pStyle w:val="de"/>
        <w:spacing w:before="0" w:beforeAutospacing="0"/>
        <w:jc w:val="both"/>
        <w:rPr>
          <w:rFonts w:asciiTheme="minorHAnsi" w:hAnsiTheme="minorHAnsi" w:cstheme="minorHAnsi"/>
          <w:b/>
          <w:bCs/>
          <w:color w:val="000000"/>
        </w:rPr>
      </w:pPr>
      <w:r w:rsidRPr="00736770">
        <w:rPr>
          <w:rFonts w:asciiTheme="minorHAnsi" w:hAnsiTheme="minorHAnsi" w:cstheme="minorHAnsi"/>
          <w:b/>
          <w:bCs/>
          <w:color w:val="000000"/>
        </w:rPr>
        <w:t>Contacts</w:t>
      </w:r>
      <w:r w:rsidR="00A20AAD">
        <w:rPr>
          <w:rFonts w:asciiTheme="minorHAnsi" w:hAnsiTheme="minorHAnsi" w:cstheme="minorHAnsi"/>
          <w:b/>
          <w:bCs/>
          <w:color w:val="000000"/>
        </w:rPr>
        <w:t xml:space="preserve"> </w:t>
      </w:r>
    </w:p>
    <w:tbl>
      <w:tblPr>
        <w:tblW w:w="9492" w:type="dxa"/>
        <w:tblInd w:w="-15" w:type="dxa"/>
        <w:shd w:val="clear" w:color="auto" w:fill="FFFFFF"/>
        <w:tblCellMar>
          <w:left w:w="0" w:type="dxa"/>
          <w:right w:w="0" w:type="dxa"/>
        </w:tblCellMar>
        <w:tblLook w:val="04A0" w:firstRow="1" w:lastRow="0" w:firstColumn="1" w:lastColumn="0" w:noHBand="0" w:noVBand="1"/>
      </w:tblPr>
      <w:tblGrid>
        <w:gridCol w:w="5865"/>
        <w:gridCol w:w="3627"/>
      </w:tblGrid>
      <w:tr w:rsidR="003F4574" w:rsidRPr="00736770" w14:paraId="65654934" w14:textId="77777777" w:rsidTr="003F4574">
        <w:trPr>
          <w:trHeight w:val="238"/>
        </w:trPr>
        <w:tc>
          <w:tcPr>
            <w:tcW w:w="5865" w:type="dxa"/>
            <w:shd w:val="clear" w:color="auto" w:fill="FFFFFF"/>
            <w:tcMar>
              <w:top w:w="15" w:type="dxa"/>
              <w:left w:w="15" w:type="dxa"/>
              <w:bottom w:w="15" w:type="dxa"/>
              <w:right w:w="15" w:type="dxa"/>
            </w:tcMar>
            <w:vAlign w:val="center"/>
            <w:hideMark/>
          </w:tcPr>
          <w:p w14:paraId="370DE3FF" w14:textId="77777777" w:rsidR="003F4574" w:rsidRPr="00736770" w:rsidRDefault="003F4574" w:rsidP="00220784">
            <w:pPr>
              <w:jc w:val="both"/>
              <w:rPr>
                <w:rFonts w:asciiTheme="minorHAnsi" w:eastAsia="Times New Roman" w:hAnsiTheme="minorHAnsi" w:cstheme="minorHAnsi"/>
                <w:b/>
                <w:bCs/>
                <w:color w:val="000000"/>
                <w:lang w:val="en-US" w:eastAsia="en-US"/>
              </w:rPr>
            </w:pPr>
            <w:r w:rsidRPr="00736770">
              <w:rPr>
                <w:rFonts w:asciiTheme="minorHAnsi" w:eastAsia="Times New Roman" w:hAnsiTheme="minorHAnsi" w:cstheme="minorHAnsi"/>
                <w:b/>
                <w:bCs/>
                <w:color w:val="000000"/>
                <w:lang w:val="en-US" w:eastAsia="en-US"/>
              </w:rPr>
              <w:t>Kavango Resources plc</w:t>
            </w:r>
          </w:p>
        </w:tc>
        <w:tc>
          <w:tcPr>
            <w:tcW w:w="3627" w:type="dxa"/>
            <w:shd w:val="clear" w:color="auto" w:fill="FFFFFF"/>
            <w:tcMar>
              <w:top w:w="15" w:type="dxa"/>
              <w:left w:w="15" w:type="dxa"/>
              <w:bottom w:w="15" w:type="dxa"/>
              <w:right w:w="15" w:type="dxa"/>
            </w:tcMar>
            <w:vAlign w:val="center"/>
            <w:hideMark/>
          </w:tcPr>
          <w:p w14:paraId="2AF0727F" w14:textId="77777777" w:rsidR="003F4574" w:rsidRPr="00736770" w:rsidRDefault="003F4574" w:rsidP="00220784">
            <w:pPr>
              <w:jc w:val="both"/>
              <w:rPr>
                <w:rFonts w:asciiTheme="minorHAnsi" w:eastAsia="Times New Roman" w:hAnsiTheme="minorHAnsi" w:cstheme="minorHAnsi"/>
                <w:color w:val="000000"/>
                <w:lang w:val="en-US" w:eastAsia="en-US"/>
              </w:rPr>
            </w:pPr>
          </w:p>
        </w:tc>
      </w:tr>
      <w:tr w:rsidR="003F4574" w:rsidRPr="00736770" w14:paraId="51896FFB" w14:textId="77777777" w:rsidTr="003F4574">
        <w:trPr>
          <w:trHeight w:val="253"/>
        </w:trPr>
        <w:tc>
          <w:tcPr>
            <w:tcW w:w="5865" w:type="dxa"/>
            <w:shd w:val="clear" w:color="auto" w:fill="FFFFFF"/>
            <w:tcMar>
              <w:top w:w="15" w:type="dxa"/>
              <w:left w:w="15" w:type="dxa"/>
              <w:bottom w:w="15" w:type="dxa"/>
              <w:right w:w="15" w:type="dxa"/>
            </w:tcMar>
            <w:vAlign w:val="center"/>
            <w:hideMark/>
          </w:tcPr>
          <w:p w14:paraId="79B62C46" w14:textId="1A4B534A" w:rsidR="003F4574" w:rsidRPr="00736770" w:rsidRDefault="00697D40" w:rsidP="00220784">
            <w:pPr>
              <w:jc w:val="both"/>
              <w:rPr>
                <w:rFonts w:asciiTheme="minorHAnsi" w:eastAsia="Times New Roman" w:hAnsiTheme="minorHAnsi" w:cstheme="minorHAnsi"/>
                <w:color w:val="000000"/>
                <w:lang w:val="en-US" w:eastAsia="en-US"/>
              </w:rPr>
            </w:pPr>
            <w:r>
              <w:rPr>
                <w:rFonts w:asciiTheme="minorHAnsi" w:eastAsia="Times New Roman" w:hAnsiTheme="minorHAnsi" w:cstheme="minorHAnsi"/>
                <w:color w:val="000000"/>
                <w:lang w:val="en-US" w:eastAsia="en-US"/>
              </w:rPr>
              <w:t>Ben Turney</w:t>
            </w:r>
          </w:p>
        </w:tc>
        <w:tc>
          <w:tcPr>
            <w:tcW w:w="3627" w:type="dxa"/>
            <w:shd w:val="clear" w:color="auto" w:fill="FFFFFF"/>
            <w:tcMar>
              <w:top w:w="15" w:type="dxa"/>
              <w:left w:w="15" w:type="dxa"/>
              <w:bottom w:w="15" w:type="dxa"/>
              <w:right w:w="15" w:type="dxa"/>
            </w:tcMar>
            <w:vAlign w:val="center"/>
            <w:hideMark/>
          </w:tcPr>
          <w:p w14:paraId="5CCD7835" w14:textId="0BE1F5EE" w:rsidR="003F4574" w:rsidRPr="00736770" w:rsidRDefault="003F4574" w:rsidP="00711721">
            <w:pPr>
              <w:jc w:val="right"/>
              <w:rPr>
                <w:rFonts w:asciiTheme="minorHAnsi" w:eastAsia="Times New Roman" w:hAnsiTheme="minorHAnsi" w:cstheme="minorHAnsi"/>
                <w:color w:val="000000"/>
                <w:lang w:val="en-US" w:eastAsia="en-US"/>
              </w:rPr>
            </w:pPr>
            <w:r w:rsidRPr="00736770">
              <w:rPr>
                <w:rFonts w:asciiTheme="minorHAnsi" w:eastAsia="Times New Roman" w:hAnsiTheme="minorHAnsi" w:cstheme="minorHAnsi"/>
                <w:color w:val="000000"/>
                <w:lang w:val="en-US" w:eastAsia="en-US"/>
              </w:rPr>
              <w:t>+4</w:t>
            </w:r>
            <w:r w:rsidR="00697D40">
              <w:rPr>
                <w:rFonts w:asciiTheme="minorHAnsi" w:eastAsia="Times New Roman" w:hAnsiTheme="minorHAnsi" w:cstheme="minorHAnsi"/>
                <w:color w:val="000000"/>
                <w:lang w:val="en-US" w:eastAsia="en-US"/>
              </w:rPr>
              <w:t>6</w:t>
            </w:r>
            <w:r w:rsidRPr="00736770">
              <w:rPr>
                <w:rFonts w:asciiTheme="minorHAnsi" w:eastAsia="Times New Roman" w:hAnsiTheme="minorHAnsi" w:cstheme="minorHAnsi"/>
                <w:color w:val="000000"/>
                <w:lang w:val="en-US" w:eastAsia="en-US"/>
              </w:rPr>
              <w:t xml:space="preserve"> </w:t>
            </w:r>
            <w:r w:rsidR="00697D40">
              <w:rPr>
                <w:rFonts w:asciiTheme="minorHAnsi" w:eastAsia="Times New Roman" w:hAnsiTheme="minorHAnsi" w:cstheme="minorHAnsi"/>
                <w:color w:val="000000"/>
                <w:lang w:val="en-US" w:eastAsia="en-US"/>
              </w:rPr>
              <w:t>7697 406 06</w:t>
            </w:r>
          </w:p>
        </w:tc>
      </w:tr>
      <w:tr w:rsidR="003F4574" w:rsidRPr="00736770" w14:paraId="4754CDF2" w14:textId="77777777" w:rsidTr="003F4574">
        <w:trPr>
          <w:trHeight w:val="238"/>
        </w:trPr>
        <w:tc>
          <w:tcPr>
            <w:tcW w:w="5865" w:type="dxa"/>
            <w:shd w:val="clear" w:color="auto" w:fill="FFFFFF"/>
            <w:tcMar>
              <w:top w:w="15" w:type="dxa"/>
              <w:left w:w="15" w:type="dxa"/>
              <w:bottom w:w="15" w:type="dxa"/>
              <w:right w:w="15" w:type="dxa"/>
            </w:tcMar>
            <w:vAlign w:val="center"/>
            <w:hideMark/>
          </w:tcPr>
          <w:p w14:paraId="2099CB26" w14:textId="7198D591" w:rsidR="003F4574" w:rsidRPr="00736770" w:rsidRDefault="00C83B20" w:rsidP="00220784">
            <w:pPr>
              <w:jc w:val="both"/>
              <w:rPr>
                <w:rFonts w:asciiTheme="minorHAnsi" w:eastAsia="Times New Roman" w:hAnsiTheme="minorHAnsi" w:cstheme="minorHAnsi"/>
                <w:color w:val="000000"/>
                <w:lang w:val="en-US" w:eastAsia="en-US"/>
              </w:rPr>
            </w:pPr>
            <w:hyperlink r:id="rId8" w:history="1">
              <w:r w:rsidR="00697D40" w:rsidRPr="00FF2D6D">
                <w:rPr>
                  <w:rStyle w:val="Hyperlink"/>
                  <w:rFonts w:asciiTheme="minorHAnsi" w:eastAsia="Times New Roman" w:hAnsiTheme="minorHAnsi" w:cstheme="minorHAnsi"/>
                  <w:lang w:val="en-US" w:eastAsia="en-US"/>
                </w:rPr>
                <w:t>bturney@kavangoresources.com</w:t>
              </w:r>
            </w:hyperlink>
            <w:r w:rsidR="003F4574" w:rsidRPr="00736770">
              <w:rPr>
                <w:rFonts w:asciiTheme="minorHAnsi" w:eastAsia="Times New Roman" w:hAnsiTheme="minorHAnsi" w:cstheme="minorHAnsi"/>
                <w:color w:val="000000"/>
                <w:lang w:val="en-US" w:eastAsia="en-US"/>
              </w:rPr>
              <w:t> </w:t>
            </w:r>
          </w:p>
        </w:tc>
        <w:tc>
          <w:tcPr>
            <w:tcW w:w="3627" w:type="dxa"/>
            <w:shd w:val="clear" w:color="auto" w:fill="FFFFFF"/>
            <w:tcMar>
              <w:top w:w="15" w:type="dxa"/>
              <w:left w:w="15" w:type="dxa"/>
              <w:bottom w:w="15" w:type="dxa"/>
              <w:right w:w="15" w:type="dxa"/>
            </w:tcMar>
            <w:vAlign w:val="center"/>
            <w:hideMark/>
          </w:tcPr>
          <w:p w14:paraId="471337E9" w14:textId="77777777" w:rsidR="003F4574" w:rsidRPr="00736770" w:rsidRDefault="003F4574" w:rsidP="00711721">
            <w:pPr>
              <w:jc w:val="right"/>
              <w:rPr>
                <w:rFonts w:asciiTheme="minorHAnsi" w:eastAsia="Times New Roman" w:hAnsiTheme="minorHAnsi" w:cstheme="minorHAnsi"/>
                <w:color w:val="000000"/>
                <w:lang w:val="en-US" w:eastAsia="en-US"/>
              </w:rPr>
            </w:pPr>
            <w:r w:rsidRPr="00736770">
              <w:rPr>
                <w:rFonts w:asciiTheme="minorHAnsi" w:eastAsia="Times New Roman" w:hAnsiTheme="minorHAnsi" w:cstheme="minorHAnsi"/>
                <w:color w:val="000000"/>
                <w:lang w:val="en-US" w:eastAsia="en-US"/>
              </w:rPr>
              <w:t> </w:t>
            </w:r>
          </w:p>
        </w:tc>
      </w:tr>
      <w:tr w:rsidR="003F4574" w:rsidRPr="00736770" w14:paraId="102A5029" w14:textId="77777777" w:rsidTr="003F4574">
        <w:trPr>
          <w:trHeight w:val="238"/>
        </w:trPr>
        <w:tc>
          <w:tcPr>
            <w:tcW w:w="5865" w:type="dxa"/>
            <w:shd w:val="clear" w:color="auto" w:fill="FFFFFF"/>
            <w:tcMar>
              <w:top w:w="15" w:type="dxa"/>
              <w:left w:w="15" w:type="dxa"/>
              <w:bottom w:w="15" w:type="dxa"/>
              <w:right w:w="15" w:type="dxa"/>
            </w:tcMar>
            <w:vAlign w:val="center"/>
            <w:hideMark/>
          </w:tcPr>
          <w:p w14:paraId="1B6D90C3" w14:textId="77777777" w:rsidR="003F4574" w:rsidRPr="00736770" w:rsidRDefault="003F4574" w:rsidP="00220784">
            <w:pPr>
              <w:jc w:val="both"/>
              <w:rPr>
                <w:rFonts w:asciiTheme="minorHAnsi" w:eastAsia="Times New Roman" w:hAnsiTheme="minorHAnsi" w:cstheme="minorHAnsi"/>
                <w:color w:val="000000"/>
                <w:lang w:val="en-US" w:eastAsia="en-US"/>
              </w:rPr>
            </w:pPr>
            <w:r w:rsidRPr="00736770">
              <w:rPr>
                <w:rFonts w:asciiTheme="minorHAnsi" w:eastAsia="Times New Roman" w:hAnsiTheme="minorHAnsi" w:cstheme="minorHAnsi"/>
                <w:color w:val="000000"/>
                <w:lang w:val="en-US" w:eastAsia="en-US"/>
              </w:rPr>
              <w:t> </w:t>
            </w:r>
          </w:p>
        </w:tc>
        <w:tc>
          <w:tcPr>
            <w:tcW w:w="3627" w:type="dxa"/>
            <w:shd w:val="clear" w:color="auto" w:fill="FFFFFF"/>
            <w:tcMar>
              <w:top w:w="15" w:type="dxa"/>
              <w:left w:w="15" w:type="dxa"/>
              <w:bottom w:w="15" w:type="dxa"/>
              <w:right w:w="15" w:type="dxa"/>
            </w:tcMar>
            <w:vAlign w:val="center"/>
            <w:hideMark/>
          </w:tcPr>
          <w:p w14:paraId="55574621" w14:textId="77777777" w:rsidR="003F4574" w:rsidRPr="00736770" w:rsidRDefault="003F4574" w:rsidP="00711721">
            <w:pPr>
              <w:jc w:val="right"/>
              <w:rPr>
                <w:rFonts w:asciiTheme="minorHAnsi" w:eastAsia="Times New Roman" w:hAnsiTheme="minorHAnsi" w:cstheme="minorHAnsi"/>
                <w:color w:val="000000"/>
                <w:lang w:val="en-US" w:eastAsia="en-US"/>
              </w:rPr>
            </w:pPr>
            <w:r w:rsidRPr="00736770">
              <w:rPr>
                <w:rFonts w:asciiTheme="minorHAnsi" w:eastAsia="Times New Roman" w:hAnsiTheme="minorHAnsi" w:cstheme="minorHAnsi"/>
                <w:color w:val="000000"/>
                <w:lang w:val="en-US" w:eastAsia="en-US"/>
              </w:rPr>
              <w:t> </w:t>
            </w:r>
          </w:p>
        </w:tc>
      </w:tr>
      <w:tr w:rsidR="00697D40" w:rsidRPr="00736770" w14:paraId="0E404C48" w14:textId="77777777" w:rsidTr="003F4574">
        <w:trPr>
          <w:trHeight w:val="238"/>
        </w:trPr>
        <w:tc>
          <w:tcPr>
            <w:tcW w:w="5865" w:type="dxa"/>
            <w:shd w:val="clear" w:color="auto" w:fill="FFFFFF"/>
            <w:tcMar>
              <w:top w:w="15" w:type="dxa"/>
              <w:left w:w="15" w:type="dxa"/>
              <w:bottom w:w="15" w:type="dxa"/>
              <w:right w:w="15" w:type="dxa"/>
            </w:tcMar>
            <w:vAlign w:val="center"/>
          </w:tcPr>
          <w:p w14:paraId="722CE6EC" w14:textId="6979BA67" w:rsidR="00697D40" w:rsidRPr="00C052E8" w:rsidRDefault="00697D40" w:rsidP="00220784">
            <w:pPr>
              <w:jc w:val="both"/>
              <w:rPr>
                <w:rFonts w:asciiTheme="minorHAnsi" w:eastAsia="Times New Roman" w:hAnsiTheme="minorHAnsi" w:cstheme="minorHAnsi"/>
                <w:b/>
                <w:bCs/>
                <w:color w:val="000000"/>
                <w:lang w:val="en-US" w:eastAsia="en-US"/>
              </w:rPr>
            </w:pPr>
            <w:r w:rsidRPr="00C052E8">
              <w:rPr>
                <w:rFonts w:asciiTheme="minorHAnsi" w:eastAsia="Times New Roman" w:hAnsiTheme="minorHAnsi" w:cstheme="minorHAnsi"/>
                <w:b/>
                <w:bCs/>
                <w:color w:val="000000"/>
                <w:lang w:val="en-US" w:eastAsia="en-US"/>
              </w:rPr>
              <w:t xml:space="preserve">First Equity </w:t>
            </w:r>
          </w:p>
        </w:tc>
        <w:tc>
          <w:tcPr>
            <w:tcW w:w="3627" w:type="dxa"/>
            <w:shd w:val="clear" w:color="auto" w:fill="FFFFFF"/>
            <w:tcMar>
              <w:top w:w="15" w:type="dxa"/>
              <w:left w:w="15" w:type="dxa"/>
              <w:bottom w:w="15" w:type="dxa"/>
              <w:right w:w="15" w:type="dxa"/>
            </w:tcMar>
            <w:vAlign w:val="center"/>
          </w:tcPr>
          <w:p w14:paraId="3FA3E977" w14:textId="77777777" w:rsidR="00697D40" w:rsidRPr="00736770" w:rsidRDefault="00697D40" w:rsidP="00711721">
            <w:pPr>
              <w:jc w:val="right"/>
              <w:rPr>
                <w:rFonts w:asciiTheme="minorHAnsi" w:eastAsia="Times New Roman" w:hAnsiTheme="minorHAnsi" w:cstheme="minorHAnsi"/>
                <w:color w:val="000000"/>
                <w:lang w:val="en-US" w:eastAsia="en-US"/>
              </w:rPr>
            </w:pPr>
          </w:p>
        </w:tc>
      </w:tr>
      <w:tr w:rsidR="00697D40" w:rsidRPr="00736770" w14:paraId="3E28A68B" w14:textId="77777777" w:rsidTr="003F4574">
        <w:trPr>
          <w:trHeight w:val="238"/>
        </w:trPr>
        <w:tc>
          <w:tcPr>
            <w:tcW w:w="5865" w:type="dxa"/>
            <w:shd w:val="clear" w:color="auto" w:fill="FFFFFF"/>
            <w:tcMar>
              <w:top w:w="15" w:type="dxa"/>
              <w:left w:w="15" w:type="dxa"/>
              <w:bottom w:w="15" w:type="dxa"/>
              <w:right w:w="15" w:type="dxa"/>
            </w:tcMar>
            <w:vAlign w:val="center"/>
          </w:tcPr>
          <w:p w14:paraId="1D55C4ED" w14:textId="4CAB52B4" w:rsidR="00697D40" w:rsidRPr="00736770" w:rsidRDefault="00C052E8" w:rsidP="00220784">
            <w:pPr>
              <w:jc w:val="both"/>
              <w:rPr>
                <w:rFonts w:asciiTheme="minorHAnsi" w:eastAsia="Times New Roman" w:hAnsiTheme="minorHAnsi" w:cstheme="minorHAnsi"/>
                <w:color w:val="000000"/>
                <w:lang w:val="en-US" w:eastAsia="en-US"/>
              </w:rPr>
            </w:pPr>
            <w:r>
              <w:rPr>
                <w:rFonts w:asciiTheme="minorHAnsi" w:eastAsia="Times New Roman" w:hAnsiTheme="minorHAnsi" w:cstheme="minorHAnsi"/>
                <w:color w:val="000000"/>
                <w:lang w:val="en-US" w:eastAsia="en-US"/>
              </w:rPr>
              <w:t xml:space="preserve">Jason Robertson </w:t>
            </w:r>
          </w:p>
        </w:tc>
        <w:tc>
          <w:tcPr>
            <w:tcW w:w="3627" w:type="dxa"/>
            <w:shd w:val="clear" w:color="auto" w:fill="FFFFFF"/>
            <w:tcMar>
              <w:top w:w="15" w:type="dxa"/>
              <w:left w:w="15" w:type="dxa"/>
              <w:bottom w:w="15" w:type="dxa"/>
              <w:right w:w="15" w:type="dxa"/>
            </w:tcMar>
            <w:vAlign w:val="center"/>
          </w:tcPr>
          <w:p w14:paraId="7E708844" w14:textId="051AF1F3" w:rsidR="00697D40" w:rsidRPr="00736770" w:rsidRDefault="00C052E8" w:rsidP="00711721">
            <w:pPr>
              <w:jc w:val="right"/>
              <w:rPr>
                <w:rFonts w:asciiTheme="minorHAnsi" w:eastAsia="Times New Roman" w:hAnsiTheme="minorHAnsi" w:cstheme="minorHAnsi"/>
                <w:color w:val="000000"/>
                <w:lang w:val="en-US" w:eastAsia="en-US"/>
              </w:rPr>
            </w:pPr>
            <w:r>
              <w:rPr>
                <w:rFonts w:asciiTheme="minorHAnsi" w:eastAsia="Times New Roman" w:hAnsiTheme="minorHAnsi" w:cstheme="minorHAnsi"/>
                <w:color w:val="000000"/>
                <w:lang w:val="en-US" w:eastAsia="en-US"/>
              </w:rPr>
              <w:t>+44 207 374 2212</w:t>
            </w:r>
          </w:p>
        </w:tc>
      </w:tr>
      <w:tr w:rsidR="00711721" w:rsidRPr="00736770" w14:paraId="2A27482D" w14:textId="77777777" w:rsidTr="003F4574">
        <w:trPr>
          <w:trHeight w:val="238"/>
        </w:trPr>
        <w:tc>
          <w:tcPr>
            <w:tcW w:w="5865" w:type="dxa"/>
            <w:shd w:val="clear" w:color="auto" w:fill="FFFFFF"/>
            <w:tcMar>
              <w:top w:w="15" w:type="dxa"/>
              <w:left w:w="15" w:type="dxa"/>
              <w:bottom w:w="15" w:type="dxa"/>
              <w:right w:w="15" w:type="dxa"/>
            </w:tcMar>
            <w:vAlign w:val="center"/>
          </w:tcPr>
          <w:p w14:paraId="4FFB032B" w14:textId="77777777" w:rsidR="00711721" w:rsidRPr="00736770" w:rsidRDefault="00711721" w:rsidP="00220784">
            <w:pPr>
              <w:jc w:val="both"/>
              <w:rPr>
                <w:rFonts w:asciiTheme="minorHAnsi" w:eastAsia="Times New Roman" w:hAnsiTheme="minorHAnsi" w:cstheme="minorHAnsi"/>
                <w:color w:val="000000"/>
                <w:lang w:val="en-US" w:eastAsia="en-US"/>
              </w:rPr>
            </w:pPr>
          </w:p>
        </w:tc>
        <w:tc>
          <w:tcPr>
            <w:tcW w:w="3627" w:type="dxa"/>
            <w:shd w:val="clear" w:color="auto" w:fill="FFFFFF"/>
            <w:tcMar>
              <w:top w:w="15" w:type="dxa"/>
              <w:left w:w="15" w:type="dxa"/>
              <w:bottom w:w="15" w:type="dxa"/>
              <w:right w:w="15" w:type="dxa"/>
            </w:tcMar>
            <w:vAlign w:val="center"/>
          </w:tcPr>
          <w:p w14:paraId="6BB56D19" w14:textId="77777777" w:rsidR="00711721" w:rsidRPr="00736770" w:rsidRDefault="00711721" w:rsidP="00711721">
            <w:pPr>
              <w:jc w:val="right"/>
              <w:rPr>
                <w:rFonts w:asciiTheme="minorHAnsi" w:eastAsia="Times New Roman" w:hAnsiTheme="minorHAnsi" w:cstheme="minorHAnsi"/>
                <w:color w:val="000000"/>
                <w:lang w:val="en-US" w:eastAsia="en-US"/>
              </w:rPr>
            </w:pPr>
          </w:p>
        </w:tc>
      </w:tr>
      <w:tr w:rsidR="00711721" w:rsidRPr="00736770" w14:paraId="335B36F5" w14:textId="77777777" w:rsidTr="003F4574">
        <w:trPr>
          <w:trHeight w:val="238"/>
        </w:trPr>
        <w:tc>
          <w:tcPr>
            <w:tcW w:w="5865" w:type="dxa"/>
            <w:shd w:val="clear" w:color="auto" w:fill="FFFFFF"/>
            <w:tcMar>
              <w:top w:w="15" w:type="dxa"/>
              <w:left w:w="15" w:type="dxa"/>
              <w:bottom w:w="15" w:type="dxa"/>
              <w:right w:w="15" w:type="dxa"/>
            </w:tcMar>
            <w:vAlign w:val="center"/>
          </w:tcPr>
          <w:p w14:paraId="1E21A3A8" w14:textId="6D523CA2" w:rsidR="00711721" w:rsidRPr="00711721" w:rsidRDefault="00711721" w:rsidP="00220784">
            <w:pPr>
              <w:jc w:val="both"/>
              <w:rPr>
                <w:rFonts w:asciiTheme="minorHAnsi" w:eastAsia="Times New Roman" w:hAnsiTheme="minorHAnsi" w:cstheme="minorHAnsi"/>
                <w:b/>
                <w:bCs/>
                <w:color w:val="000000"/>
                <w:lang w:val="en-US" w:eastAsia="en-US"/>
              </w:rPr>
            </w:pPr>
            <w:r w:rsidRPr="00711721">
              <w:rPr>
                <w:rFonts w:asciiTheme="minorHAnsi" w:eastAsia="Times New Roman" w:hAnsiTheme="minorHAnsi" w:cstheme="minorHAnsi"/>
                <w:b/>
                <w:bCs/>
                <w:color w:val="000000"/>
                <w:lang w:val="en-US" w:eastAsia="en-US"/>
              </w:rPr>
              <w:t>SI Capital Limited (Broker)</w:t>
            </w:r>
          </w:p>
        </w:tc>
        <w:tc>
          <w:tcPr>
            <w:tcW w:w="3627" w:type="dxa"/>
            <w:shd w:val="clear" w:color="auto" w:fill="FFFFFF"/>
            <w:tcMar>
              <w:top w:w="15" w:type="dxa"/>
              <w:left w:w="15" w:type="dxa"/>
              <w:bottom w:w="15" w:type="dxa"/>
              <w:right w:w="15" w:type="dxa"/>
            </w:tcMar>
            <w:vAlign w:val="center"/>
          </w:tcPr>
          <w:p w14:paraId="0B902153" w14:textId="77777777" w:rsidR="00711721" w:rsidRPr="00736770" w:rsidRDefault="00711721" w:rsidP="00711721">
            <w:pPr>
              <w:jc w:val="right"/>
              <w:rPr>
                <w:rFonts w:asciiTheme="minorHAnsi" w:eastAsia="Times New Roman" w:hAnsiTheme="minorHAnsi" w:cstheme="minorHAnsi"/>
                <w:color w:val="000000"/>
                <w:lang w:val="en-US" w:eastAsia="en-US"/>
              </w:rPr>
            </w:pPr>
          </w:p>
        </w:tc>
      </w:tr>
      <w:tr w:rsidR="00711721" w:rsidRPr="00736770" w14:paraId="02069BBD" w14:textId="77777777" w:rsidTr="003F4574">
        <w:trPr>
          <w:trHeight w:val="238"/>
        </w:trPr>
        <w:tc>
          <w:tcPr>
            <w:tcW w:w="5865" w:type="dxa"/>
            <w:shd w:val="clear" w:color="auto" w:fill="FFFFFF"/>
            <w:tcMar>
              <w:top w:w="15" w:type="dxa"/>
              <w:left w:w="15" w:type="dxa"/>
              <w:bottom w:w="15" w:type="dxa"/>
              <w:right w:w="15" w:type="dxa"/>
            </w:tcMar>
            <w:vAlign w:val="center"/>
          </w:tcPr>
          <w:p w14:paraId="53CFE1DF" w14:textId="25326C25" w:rsidR="00711721" w:rsidRPr="00736770" w:rsidRDefault="00711721" w:rsidP="00220784">
            <w:pPr>
              <w:jc w:val="both"/>
              <w:rPr>
                <w:rFonts w:asciiTheme="minorHAnsi" w:eastAsia="Times New Roman" w:hAnsiTheme="minorHAnsi" w:cstheme="minorHAnsi"/>
                <w:color w:val="000000"/>
                <w:lang w:val="en-US" w:eastAsia="en-US"/>
              </w:rPr>
            </w:pPr>
            <w:r>
              <w:rPr>
                <w:rFonts w:asciiTheme="minorHAnsi" w:eastAsia="Times New Roman" w:hAnsiTheme="minorHAnsi" w:cstheme="minorHAnsi"/>
                <w:color w:val="000000"/>
                <w:lang w:val="en-US" w:eastAsia="en-US"/>
              </w:rPr>
              <w:t>Nick Emerson/Alan Gunn</w:t>
            </w:r>
          </w:p>
        </w:tc>
        <w:tc>
          <w:tcPr>
            <w:tcW w:w="3627" w:type="dxa"/>
            <w:shd w:val="clear" w:color="auto" w:fill="FFFFFF"/>
            <w:tcMar>
              <w:top w:w="15" w:type="dxa"/>
              <w:left w:w="15" w:type="dxa"/>
              <w:bottom w:w="15" w:type="dxa"/>
              <w:right w:w="15" w:type="dxa"/>
            </w:tcMar>
            <w:vAlign w:val="center"/>
          </w:tcPr>
          <w:p w14:paraId="6919134F" w14:textId="532E7636" w:rsidR="00711721" w:rsidRPr="00736770" w:rsidRDefault="00711721" w:rsidP="00711721">
            <w:pPr>
              <w:jc w:val="right"/>
              <w:rPr>
                <w:rFonts w:asciiTheme="minorHAnsi" w:eastAsia="Times New Roman" w:hAnsiTheme="minorHAnsi" w:cstheme="minorHAnsi"/>
                <w:color w:val="000000"/>
                <w:lang w:val="en-US" w:eastAsia="en-US"/>
              </w:rPr>
            </w:pPr>
            <w:r>
              <w:rPr>
                <w:rFonts w:asciiTheme="minorHAnsi" w:eastAsia="Times New Roman" w:hAnsiTheme="minorHAnsi" w:cstheme="minorHAnsi"/>
                <w:color w:val="000000"/>
                <w:lang w:val="en-US" w:eastAsia="en-US"/>
              </w:rPr>
              <w:t>+44 1483 413500</w:t>
            </w:r>
          </w:p>
        </w:tc>
      </w:tr>
    </w:tbl>
    <w:p w14:paraId="737EA2E1" w14:textId="7C4986A2" w:rsidR="003F4574" w:rsidRDefault="003F4574" w:rsidP="00220784">
      <w:pPr>
        <w:shd w:val="clear" w:color="auto" w:fill="FFFFFF"/>
        <w:jc w:val="both"/>
        <w:rPr>
          <w:rFonts w:asciiTheme="minorHAnsi" w:eastAsia="Times New Roman" w:hAnsiTheme="minorHAnsi" w:cstheme="minorHAnsi"/>
          <w:color w:val="000000"/>
          <w:lang w:val="en-US" w:eastAsia="en-US"/>
        </w:rPr>
      </w:pPr>
      <w:r w:rsidRPr="00736770">
        <w:rPr>
          <w:rFonts w:asciiTheme="minorHAnsi" w:eastAsia="Times New Roman" w:hAnsiTheme="minorHAnsi" w:cstheme="minorHAnsi"/>
          <w:color w:val="000000"/>
          <w:lang w:val="en-US" w:eastAsia="en-US"/>
        </w:rPr>
        <w:t> </w:t>
      </w:r>
    </w:p>
    <w:p w14:paraId="3020BBDF" w14:textId="657A89E6" w:rsidR="0043546B" w:rsidRPr="00736770" w:rsidRDefault="00994E07" w:rsidP="00851B3A">
      <w:pPr>
        <w:shd w:val="clear" w:color="auto" w:fill="FFFFFF"/>
        <w:jc w:val="both"/>
        <w:rPr>
          <w:rFonts w:asciiTheme="minorHAnsi" w:hAnsiTheme="minorHAnsi" w:cstheme="minorHAnsi"/>
          <w:b/>
        </w:rPr>
      </w:pPr>
      <w:r>
        <w:rPr>
          <w:rFonts w:asciiTheme="minorHAnsi" w:hAnsiTheme="minorHAnsi" w:cstheme="minorHAnsi"/>
          <w:b/>
        </w:rPr>
        <w:t xml:space="preserve">INTERIM MANAGEMENT REPORT 30 JUNE </w:t>
      </w:r>
      <w:r w:rsidR="009F22E2">
        <w:rPr>
          <w:rFonts w:asciiTheme="minorHAnsi" w:hAnsiTheme="minorHAnsi" w:cstheme="minorHAnsi"/>
          <w:b/>
        </w:rPr>
        <w:t>202</w:t>
      </w:r>
      <w:r w:rsidR="00763235">
        <w:rPr>
          <w:rFonts w:asciiTheme="minorHAnsi" w:hAnsiTheme="minorHAnsi" w:cstheme="minorHAnsi"/>
          <w:b/>
        </w:rPr>
        <w:t>1</w:t>
      </w:r>
    </w:p>
    <w:p w14:paraId="72D41F2B" w14:textId="77777777" w:rsidR="0043546B" w:rsidRPr="00736770" w:rsidRDefault="0043546B" w:rsidP="00220784">
      <w:pPr>
        <w:jc w:val="both"/>
        <w:rPr>
          <w:rFonts w:asciiTheme="minorHAnsi" w:hAnsiTheme="minorHAnsi" w:cstheme="minorHAnsi"/>
        </w:rPr>
      </w:pPr>
    </w:p>
    <w:p w14:paraId="58EA9523" w14:textId="2DE33185" w:rsidR="000605AA" w:rsidRDefault="000605AA" w:rsidP="00C83B20">
      <w:pPr>
        <w:spacing w:after="120"/>
        <w:jc w:val="both"/>
        <w:rPr>
          <w:rFonts w:asciiTheme="minorHAnsi" w:hAnsiTheme="minorHAnsi" w:cstheme="minorHAnsi"/>
        </w:rPr>
      </w:pPr>
      <w:r>
        <w:rPr>
          <w:rFonts w:asciiTheme="minorHAnsi" w:hAnsiTheme="minorHAnsi" w:cstheme="minorHAnsi"/>
        </w:rPr>
        <w:t xml:space="preserve">We’ve taken great strides during the first half of 2021 to realise our ambition of becoming one of Botswana’s leading minerals exploration companies. </w:t>
      </w:r>
    </w:p>
    <w:p w14:paraId="3A684EFC" w14:textId="234007F7" w:rsidR="000605AA" w:rsidRDefault="000605AA" w:rsidP="00C83B20">
      <w:pPr>
        <w:spacing w:after="120"/>
        <w:jc w:val="both"/>
        <w:rPr>
          <w:rFonts w:asciiTheme="minorHAnsi" w:hAnsiTheme="minorHAnsi" w:cstheme="minorHAnsi"/>
        </w:rPr>
      </w:pPr>
      <w:r>
        <w:rPr>
          <w:rFonts w:asciiTheme="minorHAnsi" w:hAnsiTheme="minorHAnsi" w:cstheme="minorHAnsi"/>
        </w:rPr>
        <w:t xml:space="preserve">Having raised £2million in a placing in November 2020 through our joint brokers, First Equity Ltd and SI Capital Ltd, Kavango entered 2021 in good financial shape. </w:t>
      </w:r>
    </w:p>
    <w:p w14:paraId="4EAAE945" w14:textId="4D65FF67" w:rsidR="000605AA" w:rsidRDefault="000605AA" w:rsidP="00C83B20">
      <w:pPr>
        <w:spacing w:after="120"/>
        <w:jc w:val="both"/>
        <w:rPr>
          <w:rFonts w:asciiTheme="minorHAnsi" w:hAnsiTheme="minorHAnsi" w:cstheme="minorHAnsi"/>
        </w:rPr>
      </w:pPr>
      <w:r>
        <w:rPr>
          <w:rFonts w:asciiTheme="minorHAnsi" w:hAnsiTheme="minorHAnsi" w:cstheme="minorHAnsi"/>
        </w:rPr>
        <w:t xml:space="preserve">On 11 January 2021, I joined the board as Non-Executive Chairman together with Ben Turney, who joined as Executive Director. Ben subsequently became CEO on 22 June 2021. I would like to thank our former CEO Michael Foster for the role he played in bringing Kavango to market. Michael remains as a </w:t>
      </w:r>
      <w:r w:rsidR="00D02BA7">
        <w:rPr>
          <w:rFonts w:asciiTheme="minorHAnsi" w:hAnsiTheme="minorHAnsi" w:cstheme="minorHAnsi"/>
        </w:rPr>
        <w:t>N</w:t>
      </w:r>
      <w:r>
        <w:rPr>
          <w:rFonts w:asciiTheme="minorHAnsi" w:hAnsiTheme="minorHAnsi" w:cstheme="minorHAnsi"/>
        </w:rPr>
        <w:t>on-</w:t>
      </w:r>
      <w:r w:rsidR="00D02BA7">
        <w:rPr>
          <w:rFonts w:asciiTheme="minorHAnsi" w:hAnsiTheme="minorHAnsi" w:cstheme="minorHAnsi"/>
        </w:rPr>
        <w:t>E</w:t>
      </w:r>
      <w:r>
        <w:rPr>
          <w:rFonts w:asciiTheme="minorHAnsi" w:hAnsiTheme="minorHAnsi" w:cstheme="minorHAnsi"/>
        </w:rPr>
        <w:t xml:space="preserve">xecutive </w:t>
      </w:r>
      <w:r w:rsidR="00D02BA7">
        <w:rPr>
          <w:rFonts w:asciiTheme="minorHAnsi" w:hAnsiTheme="minorHAnsi" w:cstheme="minorHAnsi"/>
        </w:rPr>
        <w:t>D</w:t>
      </w:r>
      <w:r>
        <w:rPr>
          <w:rFonts w:asciiTheme="minorHAnsi" w:hAnsiTheme="minorHAnsi" w:cstheme="minorHAnsi"/>
        </w:rPr>
        <w:t xml:space="preserve">irector. </w:t>
      </w:r>
    </w:p>
    <w:p w14:paraId="0DC3E019" w14:textId="77777777" w:rsidR="000605AA" w:rsidRDefault="000605AA" w:rsidP="00C83B20">
      <w:pPr>
        <w:spacing w:after="120"/>
        <w:jc w:val="both"/>
        <w:rPr>
          <w:rFonts w:asciiTheme="minorHAnsi" w:hAnsiTheme="minorHAnsi" w:cstheme="minorHAnsi"/>
        </w:rPr>
      </w:pPr>
      <w:r>
        <w:rPr>
          <w:rFonts w:asciiTheme="minorHAnsi" w:hAnsiTheme="minorHAnsi" w:cstheme="minorHAnsi"/>
        </w:rPr>
        <w:t xml:space="preserve">I am pleased to report that Ben and I have quickly developed an effective working relationship. I have been impressed at the dynamic leadership he has injected into the business at all levels, from building strong commercial relationships and raising money to coordinating our investor relations, </w:t>
      </w:r>
      <w:r>
        <w:rPr>
          <w:rFonts w:asciiTheme="minorHAnsi" w:hAnsiTheme="minorHAnsi" w:cstheme="minorHAnsi"/>
        </w:rPr>
        <w:lastRenderedPageBreak/>
        <w:t xml:space="preserve">improving our </w:t>
      </w:r>
      <w:proofErr w:type="gramStart"/>
      <w:r>
        <w:rPr>
          <w:rFonts w:asciiTheme="minorHAnsi" w:hAnsiTheme="minorHAnsi" w:cstheme="minorHAnsi"/>
        </w:rPr>
        <w:t>operations</w:t>
      </w:r>
      <w:proofErr w:type="gramEnd"/>
      <w:r>
        <w:rPr>
          <w:rFonts w:asciiTheme="minorHAnsi" w:hAnsiTheme="minorHAnsi" w:cstheme="minorHAnsi"/>
        </w:rPr>
        <w:t xml:space="preserve"> and recruiting key personnel. Based on our experience so far, I believe that we have complementary skills that bring the right balance to </w:t>
      </w:r>
      <w:proofErr w:type="spellStart"/>
      <w:r>
        <w:rPr>
          <w:rFonts w:asciiTheme="minorHAnsi" w:hAnsiTheme="minorHAnsi" w:cstheme="minorHAnsi"/>
        </w:rPr>
        <w:t>Kavango’s</w:t>
      </w:r>
      <w:proofErr w:type="spellEnd"/>
      <w:r>
        <w:rPr>
          <w:rFonts w:asciiTheme="minorHAnsi" w:hAnsiTheme="minorHAnsi" w:cstheme="minorHAnsi"/>
        </w:rPr>
        <w:t xml:space="preserve"> board. </w:t>
      </w:r>
    </w:p>
    <w:p w14:paraId="2E78E55E" w14:textId="77777777" w:rsidR="000605AA" w:rsidRDefault="000605AA" w:rsidP="00C83B20">
      <w:pPr>
        <w:spacing w:after="120"/>
        <w:jc w:val="both"/>
        <w:rPr>
          <w:rFonts w:asciiTheme="minorHAnsi" w:hAnsiTheme="minorHAnsi" w:cstheme="minorHAnsi"/>
        </w:rPr>
      </w:pPr>
      <w:r>
        <w:rPr>
          <w:rFonts w:asciiTheme="minorHAnsi" w:hAnsiTheme="minorHAnsi" w:cstheme="minorHAnsi"/>
        </w:rPr>
        <w:t xml:space="preserve">The first six months of 2021 have essentially been a period of transition for the Company, as it moves from its start-up phase to a fully operational enterprise, and while there have inevitably been growing pains, I am confident (particularly following recent senior appointments in Botswana after the period end, as announced on 22 September 2021) we are continuing to build the right leadership team in place to maximise </w:t>
      </w:r>
      <w:proofErr w:type="spellStart"/>
      <w:r>
        <w:rPr>
          <w:rFonts w:asciiTheme="minorHAnsi" w:hAnsiTheme="minorHAnsi" w:cstheme="minorHAnsi"/>
        </w:rPr>
        <w:t>Kavango’s</w:t>
      </w:r>
      <w:proofErr w:type="spellEnd"/>
      <w:r>
        <w:rPr>
          <w:rFonts w:asciiTheme="minorHAnsi" w:hAnsiTheme="minorHAnsi" w:cstheme="minorHAnsi"/>
        </w:rPr>
        <w:t xml:space="preserve"> chances of future success. We continue to look to identify the right individuals, at all levels of the group, who can help us grow the group, deliver value to our </w:t>
      </w:r>
      <w:proofErr w:type="gramStart"/>
      <w:r>
        <w:rPr>
          <w:rFonts w:asciiTheme="minorHAnsi" w:hAnsiTheme="minorHAnsi" w:cstheme="minorHAnsi"/>
        </w:rPr>
        <w:t>shareholders</w:t>
      </w:r>
      <w:proofErr w:type="gramEnd"/>
      <w:r>
        <w:rPr>
          <w:rFonts w:asciiTheme="minorHAnsi" w:hAnsiTheme="minorHAnsi" w:cstheme="minorHAnsi"/>
        </w:rPr>
        <w:t xml:space="preserve"> and play a positive and responsible role in the wider communities in which we operate.</w:t>
      </w:r>
    </w:p>
    <w:p w14:paraId="6F040928" w14:textId="77777777" w:rsidR="000605AA" w:rsidRDefault="000605AA" w:rsidP="00C83B20">
      <w:pPr>
        <w:spacing w:after="120"/>
        <w:jc w:val="both"/>
        <w:rPr>
          <w:rFonts w:asciiTheme="minorHAnsi" w:hAnsiTheme="minorHAnsi" w:cstheme="minorHAnsi"/>
        </w:rPr>
      </w:pPr>
      <w:r>
        <w:rPr>
          <w:rFonts w:asciiTheme="minorHAnsi" w:hAnsiTheme="minorHAnsi" w:cstheme="minorHAnsi"/>
        </w:rPr>
        <w:t xml:space="preserve">Before reviewing our operations, I would also like to take the opportunity to thank Mike Moles and Hillary Gumbo for all they have done for Kavango. As the Company’s co-founders, it was their original vision that brought us all here. Their technical expertise and knowledge are a significant boon to Kavango. In a long overdue move, Hillary joined the Kavango board on 28 May. </w:t>
      </w:r>
    </w:p>
    <w:p w14:paraId="08E044B6" w14:textId="77777777" w:rsidR="000605AA" w:rsidRDefault="000605AA" w:rsidP="00C83B20">
      <w:pPr>
        <w:spacing w:after="120"/>
        <w:jc w:val="both"/>
        <w:rPr>
          <w:rFonts w:asciiTheme="minorHAnsi" w:hAnsiTheme="minorHAnsi" w:cstheme="minorHAnsi"/>
        </w:rPr>
      </w:pPr>
      <w:r>
        <w:rPr>
          <w:rFonts w:asciiTheme="minorHAnsi" w:hAnsiTheme="minorHAnsi" w:cstheme="minorHAnsi"/>
        </w:rPr>
        <w:t>Operationally, Kavango has accelerated exploration across all three of its project areas.</w:t>
      </w:r>
    </w:p>
    <w:p w14:paraId="1EB8B34A" w14:textId="0DE90170" w:rsidR="000605AA" w:rsidRDefault="000605AA" w:rsidP="00C83B20">
      <w:pPr>
        <w:spacing w:after="120"/>
        <w:jc w:val="both"/>
        <w:rPr>
          <w:rFonts w:asciiTheme="minorHAnsi" w:hAnsiTheme="minorHAnsi" w:cstheme="minorHAnsi"/>
        </w:rPr>
      </w:pPr>
      <w:r>
        <w:rPr>
          <w:rFonts w:asciiTheme="minorHAnsi" w:hAnsiTheme="minorHAnsi" w:cstheme="minorHAnsi"/>
        </w:rPr>
        <w:t xml:space="preserve">In the Kalahari Suture Zone (“KSZ”), we are pioneering the deployment of modern remote sensing technology in our search for large-scale copper, </w:t>
      </w:r>
      <w:proofErr w:type="gramStart"/>
      <w:r>
        <w:rPr>
          <w:rFonts w:asciiTheme="minorHAnsi" w:hAnsiTheme="minorHAnsi" w:cstheme="minorHAnsi"/>
        </w:rPr>
        <w:t>nickel</w:t>
      </w:r>
      <w:proofErr w:type="gramEnd"/>
      <w:r>
        <w:rPr>
          <w:rFonts w:asciiTheme="minorHAnsi" w:hAnsiTheme="minorHAnsi" w:cstheme="minorHAnsi"/>
        </w:rPr>
        <w:t xml:space="preserve"> and platinum group element deposits. Specifically, we have sought to develop a geophysics-led exploration method that combines Airborne Electromagnetic (“AEM”) surveys, with ground-based Time Domain Electromagnetic (“TDEM”) surveys and other surveying methods. The goal was to identify priority targets, which we could then test with drilling to </w:t>
      </w:r>
      <w:bookmarkStart w:id="0" w:name="_Hlk83716520"/>
      <w:r>
        <w:rPr>
          <w:rFonts w:asciiTheme="minorHAnsi" w:hAnsiTheme="minorHAnsi" w:cstheme="minorHAnsi"/>
        </w:rPr>
        <w:t xml:space="preserve">attempt to confirm the KSZ’s potential as a system to host large-scale nickel, </w:t>
      </w:r>
      <w:proofErr w:type="gramStart"/>
      <w:r>
        <w:rPr>
          <w:rFonts w:asciiTheme="minorHAnsi" w:hAnsiTheme="minorHAnsi" w:cstheme="minorHAnsi"/>
        </w:rPr>
        <w:t>copper</w:t>
      </w:r>
      <w:proofErr w:type="gramEnd"/>
      <w:r>
        <w:rPr>
          <w:rFonts w:asciiTheme="minorHAnsi" w:hAnsiTheme="minorHAnsi" w:cstheme="minorHAnsi"/>
        </w:rPr>
        <w:t xml:space="preserve"> and platinum group element deposits</w:t>
      </w:r>
      <w:bookmarkEnd w:id="0"/>
      <w:r>
        <w:rPr>
          <w:rFonts w:asciiTheme="minorHAnsi" w:hAnsiTheme="minorHAnsi" w:cstheme="minorHAnsi"/>
        </w:rPr>
        <w:t xml:space="preserve">. </w:t>
      </w:r>
    </w:p>
    <w:p w14:paraId="2EC2E810" w14:textId="202EACB5" w:rsidR="000605AA" w:rsidRDefault="000605AA" w:rsidP="00C83B20">
      <w:pPr>
        <w:spacing w:after="120"/>
        <w:jc w:val="both"/>
        <w:rPr>
          <w:rFonts w:asciiTheme="minorHAnsi" w:hAnsiTheme="minorHAnsi" w:cstheme="minorHAnsi"/>
        </w:rPr>
      </w:pPr>
      <w:r>
        <w:rPr>
          <w:rFonts w:asciiTheme="minorHAnsi" w:hAnsiTheme="minorHAnsi" w:cstheme="minorHAnsi"/>
        </w:rPr>
        <w:t xml:space="preserve">To this end, on 20 April 2021, we secured a strategic partnership with Spectral Geophysics (“Spectral”), one of southern Africa’s leading experts in the deployment of geophysical surveying. Cas Lotter, </w:t>
      </w:r>
      <w:proofErr w:type="spellStart"/>
      <w:r>
        <w:rPr>
          <w:rFonts w:asciiTheme="minorHAnsi" w:hAnsiTheme="minorHAnsi" w:cstheme="minorHAnsi"/>
        </w:rPr>
        <w:t>Spectral’s</w:t>
      </w:r>
      <w:proofErr w:type="spellEnd"/>
      <w:r>
        <w:rPr>
          <w:rFonts w:asciiTheme="minorHAnsi" w:hAnsiTheme="minorHAnsi" w:cstheme="minorHAnsi"/>
        </w:rPr>
        <w:t xml:space="preserve"> CEO, has been an excellent partner to Kavango. We have benefitted a great deal both from the technology he can put into the field as well as the deep level of his experience and understanding of conducting exploration under the Kalahari Sands. We are looking forward to Cas and his team continuing to play a significant role in our work in the KSZ</w:t>
      </w:r>
      <w:r w:rsidR="00D02BA7">
        <w:rPr>
          <w:rFonts w:asciiTheme="minorHAnsi" w:hAnsiTheme="minorHAnsi" w:cstheme="minorHAnsi"/>
        </w:rPr>
        <w:t>.</w:t>
      </w:r>
    </w:p>
    <w:p w14:paraId="064D80E9" w14:textId="39A46509" w:rsidR="000605AA" w:rsidRDefault="000605AA" w:rsidP="00C83B20">
      <w:pPr>
        <w:spacing w:after="120"/>
        <w:jc w:val="both"/>
        <w:rPr>
          <w:rFonts w:asciiTheme="minorHAnsi" w:hAnsiTheme="minorHAnsi" w:cstheme="minorHAnsi"/>
        </w:rPr>
      </w:pPr>
      <w:r>
        <w:rPr>
          <w:rFonts w:asciiTheme="minorHAnsi" w:hAnsiTheme="minorHAnsi" w:cstheme="minorHAnsi"/>
        </w:rPr>
        <w:t xml:space="preserve">Following identification of the first TDEM targets, we moved quickly to organise our first drill campaign since 2019. We appointed </w:t>
      </w:r>
      <w:proofErr w:type="spellStart"/>
      <w:r>
        <w:rPr>
          <w:rFonts w:asciiTheme="minorHAnsi" w:hAnsiTheme="minorHAnsi" w:cstheme="minorHAnsi"/>
        </w:rPr>
        <w:t>Mindea</w:t>
      </w:r>
      <w:proofErr w:type="spellEnd"/>
      <w:r>
        <w:rPr>
          <w:rFonts w:asciiTheme="minorHAnsi" w:hAnsiTheme="minorHAnsi" w:cstheme="minorHAnsi"/>
        </w:rPr>
        <w:t xml:space="preserve"> Exploration and Drilling Services (Pty) (“</w:t>
      </w:r>
      <w:proofErr w:type="spellStart"/>
      <w:r>
        <w:rPr>
          <w:rFonts w:asciiTheme="minorHAnsi" w:hAnsiTheme="minorHAnsi" w:cstheme="minorHAnsi"/>
        </w:rPr>
        <w:t>Mindea</w:t>
      </w:r>
      <w:proofErr w:type="spellEnd"/>
      <w:r>
        <w:rPr>
          <w:rFonts w:asciiTheme="minorHAnsi" w:hAnsiTheme="minorHAnsi" w:cstheme="minorHAnsi"/>
        </w:rPr>
        <w:t xml:space="preserve">”), a company operated under the Botswana Citizen Economic Empowerment Policy, to conduct the drill campaign on </w:t>
      </w:r>
      <w:proofErr w:type="spellStart"/>
      <w:r>
        <w:rPr>
          <w:rFonts w:asciiTheme="minorHAnsi" w:hAnsiTheme="minorHAnsi" w:cstheme="minorHAnsi"/>
        </w:rPr>
        <w:t>Kavango’s</w:t>
      </w:r>
      <w:proofErr w:type="spellEnd"/>
      <w:r>
        <w:rPr>
          <w:rFonts w:asciiTheme="minorHAnsi" w:hAnsiTheme="minorHAnsi" w:cstheme="minorHAnsi"/>
        </w:rPr>
        <w:t xml:space="preserve"> behalf. </w:t>
      </w:r>
      <w:proofErr w:type="spellStart"/>
      <w:r>
        <w:rPr>
          <w:rFonts w:asciiTheme="minorHAnsi" w:hAnsiTheme="minorHAnsi" w:cstheme="minorHAnsi"/>
        </w:rPr>
        <w:t>Mindea</w:t>
      </w:r>
      <w:proofErr w:type="spellEnd"/>
      <w:r>
        <w:rPr>
          <w:rFonts w:asciiTheme="minorHAnsi" w:hAnsiTheme="minorHAnsi" w:cstheme="minorHAnsi"/>
        </w:rPr>
        <w:t xml:space="preserve"> was set up by Equity Drilling Limited, which remains a 49% shareholder in </w:t>
      </w:r>
      <w:proofErr w:type="spellStart"/>
      <w:r>
        <w:rPr>
          <w:rFonts w:asciiTheme="minorHAnsi" w:hAnsiTheme="minorHAnsi" w:cstheme="minorHAnsi"/>
        </w:rPr>
        <w:t>Mindea</w:t>
      </w:r>
      <w:proofErr w:type="spellEnd"/>
      <w:r>
        <w:rPr>
          <w:rFonts w:asciiTheme="minorHAnsi" w:hAnsiTheme="minorHAnsi" w:cstheme="minorHAnsi"/>
        </w:rPr>
        <w:t>. Ben has been developing a strong working relationship with Equity Drilling/</w:t>
      </w:r>
      <w:proofErr w:type="spellStart"/>
      <w:r>
        <w:rPr>
          <w:rFonts w:asciiTheme="minorHAnsi" w:hAnsiTheme="minorHAnsi" w:cstheme="minorHAnsi"/>
        </w:rPr>
        <w:t>Mindea</w:t>
      </w:r>
      <w:proofErr w:type="spellEnd"/>
      <w:r>
        <w:rPr>
          <w:rFonts w:asciiTheme="minorHAnsi" w:hAnsiTheme="minorHAnsi" w:cstheme="minorHAnsi"/>
        </w:rPr>
        <w:t xml:space="preserve"> and commercial discussions are ongoing about the establishment of a strategic drilling joint venture. </w:t>
      </w:r>
    </w:p>
    <w:p w14:paraId="66572EFA" w14:textId="77777777" w:rsidR="000605AA" w:rsidRDefault="000605AA" w:rsidP="00C83B20">
      <w:pPr>
        <w:spacing w:after="120"/>
        <w:jc w:val="both"/>
        <w:rPr>
          <w:rFonts w:asciiTheme="minorHAnsi" w:hAnsiTheme="minorHAnsi" w:cstheme="minorHAnsi"/>
        </w:rPr>
      </w:pPr>
      <w:r>
        <w:rPr>
          <w:rFonts w:asciiTheme="minorHAnsi" w:hAnsiTheme="minorHAnsi" w:cstheme="minorHAnsi"/>
        </w:rPr>
        <w:t xml:space="preserve">Drilling in the KSZ is a significant engineering challenge. </w:t>
      </w:r>
      <w:proofErr w:type="gramStart"/>
      <w:r>
        <w:rPr>
          <w:rFonts w:asciiTheme="minorHAnsi" w:hAnsiTheme="minorHAnsi" w:cstheme="minorHAnsi"/>
        </w:rPr>
        <w:t>A number of</w:t>
      </w:r>
      <w:proofErr w:type="gramEnd"/>
      <w:r>
        <w:rPr>
          <w:rFonts w:asciiTheme="minorHAnsi" w:hAnsiTheme="minorHAnsi" w:cstheme="minorHAnsi"/>
        </w:rPr>
        <w:t xml:space="preserve"> historic exploration holes were forced to stop early because of poor ground conditions. We have been extremely fortunate to have a partner as technically skilled as </w:t>
      </w:r>
      <w:proofErr w:type="spellStart"/>
      <w:r>
        <w:rPr>
          <w:rFonts w:asciiTheme="minorHAnsi" w:hAnsiTheme="minorHAnsi" w:cstheme="minorHAnsi"/>
        </w:rPr>
        <w:t>Mindea</w:t>
      </w:r>
      <w:proofErr w:type="spellEnd"/>
      <w:r>
        <w:rPr>
          <w:rFonts w:asciiTheme="minorHAnsi" w:hAnsiTheme="minorHAnsi" w:cstheme="minorHAnsi"/>
        </w:rPr>
        <w:t xml:space="preserve">/Equity Drilling. Maintaining a borehole’s integrity through Kalahari sands and loose sediments is difficult. The fact that, as of writing, Kavango has successfully drilled two deep holes into the KSZ is a major achievement for a company of our size, and we are pleased to acknowledge the expertise of </w:t>
      </w:r>
      <w:proofErr w:type="spellStart"/>
      <w:r>
        <w:rPr>
          <w:rFonts w:asciiTheme="minorHAnsi" w:hAnsiTheme="minorHAnsi" w:cstheme="minorHAnsi"/>
        </w:rPr>
        <w:t>Mindea</w:t>
      </w:r>
      <w:proofErr w:type="spellEnd"/>
      <w:r>
        <w:rPr>
          <w:rFonts w:asciiTheme="minorHAnsi" w:hAnsiTheme="minorHAnsi" w:cstheme="minorHAnsi"/>
        </w:rPr>
        <w:t xml:space="preserve">/Equity Drilling in this regard. </w:t>
      </w:r>
    </w:p>
    <w:p w14:paraId="39B21FD6" w14:textId="610E8B3E" w:rsidR="000605AA" w:rsidRDefault="000605AA" w:rsidP="00C83B20">
      <w:pPr>
        <w:spacing w:after="120"/>
        <w:jc w:val="both"/>
        <w:rPr>
          <w:rFonts w:asciiTheme="minorHAnsi" w:hAnsiTheme="minorHAnsi" w:cstheme="minorHAnsi"/>
        </w:rPr>
      </w:pPr>
      <w:r>
        <w:rPr>
          <w:rFonts w:asciiTheme="minorHAnsi" w:hAnsiTheme="minorHAnsi" w:cstheme="minorHAnsi"/>
        </w:rPr>
        <w:t xml:space="preserve">A great deal of testing remains to be done on the drill core, but we now expect the data gathered from our first two holes in the KSZ will guide our future exploration strategy in the region. Our geologists are particularly heartened by what they have seen in their visual inspections of core from the Proterozoic </w:t>
      </w:r>
      <w:proofErr w:type="spellStart"/>
      <w:r>
        <w:rPr>
          <w:rFonts w:asciiTheme="minorHAnsi" w:hAnsiTheme="minorHAnsi" w:cstheme="minorHAnsi"/>
        </w:rPr>
        <w:t>gabbros</w:t>
      </w:r>
      <w:proofErr w:type="spellEnd"/>
      <w:r>
        <w:rPr>
          <w:rFonts w:asciiTheme="minorHAnsi" w:hAnsiTheme="minorHAnsi" w:cstheme="minorHAnsi"/>
        </w:rPr>
        <w:t xml:space="preserve">. The prospectivity of the Proterozoic has long been recognised, but we intercepted it at what we believe are the shallowest depths ever encountered in the northern </w:t>
      </w:r>
      <w:r>
        <w:rPr>
          <w:rFonts w:asciiTheme="minorHAnsi" w:hAnsiTheme="minorHAnsi" w:cstheme="minorHAnsi"/>
        </w:rPr>
        <w:lastRenderedPageBreak/>
        <w:t>(</w:t>
      </w:r>
      <w:proofErr w:type="spellStart"/>
      <w:r>
        <w:rPr>
          <w:rFonts w:asciiTheme="minorHAnsi" w:hAnsiTheme="minorHAnsi" w:cstheme="minorHAnsi"/>
        </w:rPr>
        <w:t>Hukuntsi</w:t>
      </w:r>
      <w:proofErr w:type="spellEnd"/>
      <w:r>
        <w:rPr>
          <w:rFonts w:asciiTheme="minorHAnsi" w:hAnsiTheme="minorHAnsi" w:cstheme="minorHAnsi"/>
        </w:rPr>
        <w:t xml:space="preserve">) section. Now, with two distinct exploration horizons to go for (Karoo and Proterozoic), it feels like we may be making tangible progress in unlocking this region’s potential. </w:t>
      </w:r>
    </w:p>
    <w:p w14:paraId="017C279E" w14:textId="77777777" w:rsidR="000605AA" w:rsidRDefault="000605AA" w:rsidP="00C83B20">
      <w:pPr>
        <w:spacing w:after="120"/>
        <w:jc w:val="both"/>
        <w:rPr>
          <w:rFonts w:asciiTheme="minorHAnsi" w:hAnsiTheme="minorHAnsi" w:cstheme="minorHAnsi"/>
        </w:rPr>
      </w:pPr>
      <w:r>
        <w:rPr>
          <w:rFonts w:asciiTheme="minorHAnsi" w:hAnsiTheme="minorHAnsi" w:cstheme="minorHAnsi"/>
        </w:rPr>
        <w:t xml:space="preserve">Although much of our operational focus has been on the KSZ, we have also continued to make progress in the Kalahari Copper Belt (“KCB”). Here we have two Joint Ventures; one with Power Metal Resources PLC (LSE: POW) and one with Botswana-based LVR </w:t>
      </w:r>
      <w:proofErr w:type="spellStart"/>
      <w:r>
        <w:rPr>
          <w:rFonts w:asciiTheme="minorHAnsi" w:hAnsiTheme="minorHAnsi" w:cstheme="minorHAnsi"/>
        </w:rPr>
        <w:t>GeoExplorers</w:t>
      </w:r>
      <w:proofErr w:type="spellEnd"/>
      <w:r>
        <w:rPr>
          <w:rFonts w:asciiTheme="minorHAnsi" w:hAnsiTheme="minorHAnsi" w:cstheme="minorHAnsi"/>
        </w:rPr>
        <w:t xml:space="preserve"> (Pty) Ltd.</w:t>
      </w:r>
    </w:p>
    <w:p w14:paraId="130887D5" w14:textId="0600B067" w:rsidR="000605AA" w:rsidRDefault="000605AA" w:rsidP="00C83B20">
      <w:pPr>
        <w:spacing w:after="120"/>
        <w:jc w:val="both"/>
        <w:rPr>
          <w:rFonts w:asciiTheme="minorHAnsi" w:hAnsiTheme="minorHAnsi" w:cstheme="minorHAnsi"/>
        </w:rPr>
      </w:pPr>
      <w:r>
        <w:rPr>
          <w:rFonts w:asciiTheme="minorHAnsi" w:hAnsiTheme="minorHAnsi" w:cstheme="minorHAnsi"/>
        </w:rPr>
        <w:t xml:space="preserve">Unlike in the KSZ, where Kavango is pioneering modern exploration techniques, in the KCB the exploration model is much more tried and tested. </w:t>
      </w:r>
    </w:p>
    <w:p w14:paraId="494FA908" w14:textId="77777777" w:rsidR="000605AA" w:rsidRDefault="000605AA" w:rsidP="00C83B20">
      <w:pPr>
        <w:spacing w:after="120"/>
        <w:jc w:val="both"/>
        <w:rPr>
          <w:rFonts w:asciiTheme="minorHAnsi" w:hAnsiTheme="minorHAnsi" w:cstheme="minorHAnsi"/>
        </w:rPr>
      </w:pPr>
      <w:r>
        <w:rPr>
          <w:rFonts w:asciiTheme="minorHAnsi" w:hAnsiTheme="minorHAnsi" w:cstheme="minorHAnsi"/>
        </w:rPr>
        <w:t xml:space="preserve">In February we flew Airborne Electromagnetic (“AEM”) surveys over both JV target areas. AEM surveys have been one of the most successful exploration methods used in the KCB. We were pleased to report the results of these surveys in March and to have identified well-defined targets for further exploration, which were coincidental with the regional geology. </w:t>
      </w:r>
    </w:p>
    <w:p w14:paraId="10147528" w14:textId="77777777" w:rsidR="000605AA" w:rsidRDefault="000605AA" w:rsidP="00C83B20">
      <w:pPr>
        <w:spacing w:after="120"/>
        <w:jc w:val="both"/>
        <w:rPr>
          <w:rFonts w:asciiTheme="minorHAnsi" w:hAnsiTheme="minorHAnsi" w:cstheme="minorHAnsi"/>
        </w:rPr>
      </w:pPr>
      <w:r>
        <w:rPr>
          <w:rFonts w:asciiTheme="minorHAnsi" w:hAnsiTheme="minorHAnsi" w:cstheme="minorHAnsi"/>
        </w:rPr>
        <w:t xml:space="preserve">Also, in March we announced a significant increase to our land holding in the KCB in the Power Metal JV (which is called Kanye Resources), through the acquisition of 8 new prospecting licences (“PLs”). We completed the acquisition of these PLs in early August.  </w:t>
      </w:r>
    </w:p>
    <w:p w14:paraId="7BDF4835" w14:textId="335697B3" w:rsidR="000605AA" w:rsidRPr="000605AA" w:rsidRDefault="000605AA" w:rsidP="00C83B20">
      <w:pPr>
        <w:spacing w:after="120"/>
        <w:jc w:val="both"/>
        <w:rPr>
          <w:rFonts w:asciiTheme="minorHAnsi" w:hAnsiTheme="minorHAnsi"/>
          <w:strike/>
        </w:rPr>
      </w:pPr>
      <w:r>
        <w:rPr>
          <w:rFonts w:asciiTheme="minorHAnsi" w:hAnsiTheme="minorHAnsi" w:cstheme="minorHAnsi"/>
        </w:rPr>
        <w:t xml:space="preserve">Meanwhile, Kavango has continued work on the ground across its licence areas in the KCB. The Company has commissioned an independent evaluation programme of the company’s soil sampling surveys, with the aim of refining and maximising its methodology. </w:t>
      </w:r>
    </w:p>
    <w:p w14:paraId="3FE220CD" w14:textId="1C067AD5" w:rsidR="000605AA" w:rsidRDefault="000605AA" w:rsidP="00C83B20">
      <w:pPr>
        <w:spacing w:after="120"/>
        <w:jc w:val="both"/>
        <w:rPr>
          <w:rFonts w:asciiTheme="minorHAnsi" w:hAnsiTheme="minorHAnsi" w:cstheme="minorHAnsi"/>
        </w:rPr>
      </w:pPr>
      <w:r>
        <w:rPr>
          <w:rFonts w:asciiTheme="minorHAnsi" w:hAnsiTheme="minorHAnsi" w:cstheme="minorHAnsi"/>
        </w:rPr>
        <w:t>We are also currently waiting for the government approval of our KCB Environmental Management Plan, which is a prerequisite to be able to undertake drilling in the districts of Botswana that host our principal exploration prospects. We expect this should be awarded in early Q4 of this year.</w:t>
      </w:r>
    </w:p>
    <w:p w14:paraId="61112293" w14:textId="5BC12ABC" w:rsidR="000605AA" w:rsidRDefault="000605AA" w:rsidP="006B7477">
      <w:pPr>
        <w:jc w:val="both"/>
        <w:rPr>
          <w:rFonts w:asciiTheme="minorHAnsi" w:hAnsiTheme="minorHAnsi" w:cstheme="minorHAnsi"/>
        </w:rPr>
      </w:pPr>
      <w:r>
        <w:rPr>
          <w:rFonts w:asciiTheme="minorHAnsi" w:hAnsiTheme="minorHAnsi" w:cstheme="minorHAnsi"/>
        </w:rPr>
        <w:t xml:space="preserve">Finally, at our rare earth elements project at Ditau, which forms part of the Kanye Resources JV with POW, we have continued our exploration work. At the start of January, we initiated orientation work using geophysical and geochemical surveys, which culminated with an announcement in early July that we had identified </w:t>
      </w:r>
      <w:proofErr w:type="gramStart"/>
      <w:r>
        <w:rPr>
          <w:rFonts w:asciiTheme="minorHAnsi" w:hAnsiTheme="minorHAnsi" w:cstheme="minorHAnsi"/>
        </w:rPr>
        <w:t>a number of</w:t>
      </w:r>
      <w:proofErr w:type="gramEnd"/>
      <w:r>
        <w:rPr>
          <w:rFonts w:asciiTheme="minorHAnsi" w:hAnsiTheme="minorHAnsi" w:cstheme="minorHAnsi"/>
        </w:rPr>
        <w:t xml:space="preserve"> drill targets. Ditau is covered by our KSZ EMP, and we expect to undertake limited drilling here later in 2021. </w:t>
      </w:r>
    </w:p>
    <w:p w14:paraId="2B5A1881" w14:textId="77777777" w:rsidR="006B7477" w:rsidRPr="000605AA" w:rsidRDefault="006B7477" w:rsidP="00C83B20">
      <w:pPr>
        <w:jc w:val="both"/>
        <w:rPr>
          <w:rFonts w:asciiTheme="minorHAnsi" w:hAnsiTheme="minorHAnsi"/>
          <w:b/>
          <w:highlight w:val="yellow"/>
        </w:rPr>
      </w:pPr>
    </w:p>
    <w:p w14:paraId="46C5AC75" w14:textId="7DAD6D90" w:rsidR="008217C2" w:rsidRDefault="008217C2" w:rsidP="00204A00">
      <w:pPr>
        <w:rPr>
          <w:rFonts w:asciiTheme="minorHAnsi" w:hAnsiTheme="minorHAnsi" w:cstheme="minorHAnsi"/>
          <w:b/>
          <w:bCs/>
        </w:rPr>
      </w:pPr>
      <w:r w:rsidRPr="008217C2">
        <w:rPr>
          <w:rFonts w:asciiTheme="minorHAnsi" w:hAnsiTheme="minorHAnsi" w:cstheme="minorHAnsi"/>
          <w:b/>
          <w:bCs/>
        </w:rPr>
        <w:t>Responsibility Statement</w:t>
      </w:r>
    </w:p>
    <w:p w14:paraId="193298C4" w14:textId="0578D628" w:rsidR="00420F16" w:rsidRDefault="00420F16" w:rsidP="00204A00">
      <w:pPr>
        <w:rPr>
          <w:rFonts w:asciiTheme="minorHAnsi" w:hAnsiTheme="minorHAnsi" w:cstheme="minorHAnsi"/>
          <w:b/>
          <w:bCs/>
        </w:rPr>
      </w:pPr>
    </w:p>
    <w:p w14:paraId="07BC62F9" w14:textId="6662F926" w:rsidR="00420F16" w:rsidRDefault="00420F16" w:rsidP="00204A00">
      <w:pPr>
        <w:rPr>
          <w:rFonts w:asciiTheme="minorHAnsi" w:hAnsiTheme="minorHAnsi" w:cstheme="minorHAnsi"/>
        </w:rPr>
      </w:pPr>
      <w:r>
        <w:rPr>
          <w:rFonts w:asciiTheme="minorHAnsi" w:hAnsiTheme="minorHAnsi" w:cstheme="minorHAnsi"/>
        </w:rPr>
        <w:t>We confirm that to the best of our knowledge</w:t>
      </w:r>
      <w:r w:rsidR="00D76FF4">
        <w:rPr>
          <w:rFonts w:asciiTheme="minorHAnsi" w:hAnsiTheme="minorHAnsi" w:cstheme="minorHAnsi"/>
        </w:rPr>
        <w:t>:</w:t>
      </w:r>
    </w:p>
    <w:p w14:paraId="7DFD2248" w14:textId="7319318B" w:rsidR="00D76FF4" w:rsidRDefault="00D76FF4" w:rsidP="00204A00">
      <w:pPr>
        <w:rPr>
          <w:rFonts w:asciiTheme="minorHAnsi" w:hAnsiTheme="minorHAnsi" w:cstheme="minorHAnsi"/>
        </w:rPr>
      </w:pPr>
    </w:p>
    <w:p w14:paraId="288E9869" w14:textId="2D033F6E" w:rsidR="00D76FF4" w:rsidRDefault="00D76FF4" w:rsidP="00D76FF4">
      <w:pPr>
        <w:pStyle w:val="ListParagraph"/>
        <w:numPr>
          <w:ilvl w:val="0"/>
          <w:numId w:val="45"/>
        </w:numPr>
        <w:rPr>
          <w:rFonts w:asciiTheme="minorHAnsi" w:hAnsiTheme="minorHAnsi" w:cstheme="minorHAnsi"/>
        </w:rPr>
      </w:pPr>
      <w:r>
        <w:rPr>
          <w:rFonts w:asciiTheme="minorHAnsi" w:hAnsiTheme="minorHAnsi" w:cstheme="minorHAnsi"/>
        </w:rPr>
        <w:t xml:space="preserve">The Interim Report has been prepared in accordance with International </w:t>
      </w:r>
      <w:r w:rsidR="005F0E57">
        <w:rPr>
          <w:rFonts w:asciiTheme="minorHAnsi" w:hAnsiTheme="minorHAnsi" w:cstheme="minorHAnsi"/>
        </w:rPr>
        <w:t xml:space="preserve">Accounting Standards 34, Interim Financial Reporting, as </w:t>
      </w:r>
      <w:r w:rsidR="00785DA6">
        <w:rPr>
          <w:rFonts w:asciiTheme="minorHAnsi" w:hAnsiTheme="minorHAnsi" w:cstheme="minorHAnsi"/>
        </w:rPr>
        <w:t>endorsed for use in the United Kingdom</w:t>
      </w:r>
      <w:r w:rsidR="00622DC9">
        <w:rPr>
          <w:rFonts w:asciiTheme="minorHAnsi" w:hAnsiTheme="minorHAnsi" w:cstheme="minorHAnsi"/>
        </w:rPr>
        <w:t>;</w:t>
      </w:r>
    </w:p>
    <w:p w14:paraId="7C2504F7" w14:textId="292846C7" w:rsidR="00622DC9" w:rsidRDefault="00622DC9" w:rsidP="00D76FF4">
      <w:pPr>
        <w:pStyle w:val="ListParagraph"/>
        <w:numPr>
          <w:ilvl w:val="0"/>
          <w:numId w:val="45"/>
        </w:numPr>
        <w:rPr>
          <w:rFonts w:asciiTheme="minorHAnsi" w:hAnsiTheme="minorHAnsi" w:cstheme="minorHAnsi"/>
        </w:rPr>
      </w:pPr>
      <w:r>
        <w:rPr>
          <w:rFonts w:asciiTheme="minorHAnsi" w:hAnsiTheme="minorHAnsi" w:cstheme="minorHAnsi"/>
        </w:rPr>
        <w:t xml:space="preserve">Gives a true and fair value of the assets, liabilities, financial </w:t>
      </w:r>
      <w:proofErr w:type="gramStart"/>
      <w:r>
        <w:rPr>
          <w:rFonts w:asciiTheme="minorHAnsi" w:hAnsiTheme="minorHAnsi" w:cstheme="minorHAnsi"/>
        </w:rPr>
        <w:t>position</w:t>
      </w:r>
      <w:proofErr w:type="gramEnd"/>
      <w:r>
        <w:rPr>
          <w:rFonts w:asciiTheme="minorHAnsi" w:hAnsiTheme="minorHAnsi" w:cstheme="minorHAnsi"/>
        </w:rPr>
        <w:t xml:space="preserve"> and Loss of the Group;</w:t>
      </w:r>
    </w:p>
    <w:p w14:paraId="6C93C545" w14:textId="77777777" w:rsidR="00EF2F3C" w:rsidRDefault="0016618B" w:rsidP="00D76FF4">
      <w:pPr>
        <w:pStyle w:val="ListParagraph"/>
        <w:numPr>
          <w:ilvl w:val="0"/>
          <w:numId w:val="45"/>
        </w:numPr>
        <w:rPr>
          <w:rFonts w:asciiTheme="minorHAnsi" w:hAnsiTheme="minorHAnsi" w:cstheme="minorHAnsi"/>
        </w:rPr>
      </w:pPr>
      <w:r>
        <w:rPr>
          <w:rFonts w:asciiTheme="minorHAnsi" w:hAnsiTheme="minorHAnsi" w:cstheme="minorHAnsi"/>
        </w:rPr>
        <w:t xml:space="preserve">The Interim Report includes a fair review of the information required by </w:t>
      </w:r>
      <w:r w:rsidR="00916225">
        <w:rPr>
          <w:rFonts w:asciiTheme="minorHAnsi" w:hAnsiTheme="minorHAnsi" w:cstheme="minorHAnsi"/>
        </w:rPr>
        <w:t>DTR 4.2.7R of the Disclosure and Transparency Rules, being a</w:t>
      </w:r>
      <w:r w:rsidR="000F2EE9">
        <w:rPr>
          <w:rFonts w:asciiTheme="minorHAnsi" w:hAnsiTheme="minorHAnsi" w:cstheme="minorHAnsi"/>
        </w:rPr>
        <w:t xml:space="preserve">n indication of important events that have occurred during the first six months </w:t>
      </w:r>
      <w:r w:rsidR="004B1789">
        <w:rPr>
          <w:rFonts w:asciiTheme="minorHAnsi" w:hAnsiTheme="minorHAnsi" w:cstheme="minorHAnsi"/>
        </w:rPr>
        <w:t>of the financial year and their impact on the set of interim financial statements</w:t>
      </w:r>
      <w:r w:rsidR="00A23542">
        <w:rPr>
          <w:rFonts w:asciiTheme="minorHAnsi" w:hAnsiTheme="minorHAnsi" w:cstheme="minorHAnsi"/>
        </w:rPr>
        <w:t>; and a</w:t>
      </w:r>
      <w:r w:rsidR="008E5254">
        <w:rPr>
          <w:rFonts w:asciiTheme="minorHAnsi" w:hAnsiTheme="minorHAnsi" w:cstheme="minorHAnsi"/>
        </w:rPr>
        <w:t xml:space="preserve"> description of the principal risks and uncertainties </w:t>
      </w:r>
      <w:r w:rsidR="00DB7E6F">
        <w:rPr>
          <w:rFonts w:asciiTheme="minorHAnsi" w:hAnsiTheme="minorHAnsi" w:cstheme="minorHAnsi"/>
        </w:rPr>
        <w:t>for the remaining six months of the year and</w:t>
      </w:r>
    </w:p>
    <w:p w14:paraId="5EE6B3E7" w14:textId="64664E1D" w:rsidR="00A76AE0" w:rsidRDefault="00EF2F3C" w:rsidP="00D76FF4">
      <w:pPr>
        <w:pStyle w:val="ListParagraph"/>
        <w:numPr>
          <w:ilvl w:val="0"/>
          <w:numId w:val="45"/>
        </w:numPr>
        <w:rPr>
          <w:rFonts w:asciiTheme="minorHAnsi" w:hAnsiTheme="minorHAnsi" w:cstheme="minorHAnsi"/>
        </w:rPr>
      </w:pPr>
      <w:r>
        <w:rPr>
          <w:rFonts w:asciiTheme="minorHAnsi" w:hAnsiTheme="minorHAnsi" w:cstheme="minorHAnsi"/>
        </w:rPr>
        <w:t xml:space="preserve">The Interim Report includes </w:t>
      </w:r>
      <w:r w:rsidR="009A38BA">
        <w:rPr>
          <w:rFonts w:asciiTheme="minorHAnsi" w:hAnsiTheme="minorHAnsi" w:cstheme="minorHAnsi"/>
        </w:rPr>
        <w:t>a fair review of the information required by DTR 4.2.8R of the Disclosure and Transparency Rules</w:t>
      </w:r>
      <w:r w:rsidR="00455016">
        <w:rPr>
          <w:rFonts w:asciiTheme="minorHAnsi" w:hAnsiTheme="minorHAnsi" w:cstheme="minorHAnsi"/>
        </w:rPr>
        <w:t>,</w:t>
      </w:r>
      <w:r w:rsidR="00711721">
        <w:rPr>
          <w:rFonts w:asciiTheme="minorHAnsi" w:hAnsiTheme="minorHAnsi" w:cstheme="minorHAnsi"/>
        </w:rPr>
        <w:t xml:space="preserve"> </w:t>
      </w:r>
      <w:r w:rsidR="00455016">
        <w:rPr>
          <w:rFonts w:asciiTheme="minorHAnsi" w:hAnsiTheme="minorHAnsi" w:cstheme="minorHAnsi"/>
        </w:rPr>
        <w:t>being the information required on related party transactions.</w:t>
      </w:r>
    </w:p>
    <w:p w14:paraId="16A85E0C" w14:textId="77777777" w:rsidR="00A76AE0" w:rsidRDefault="00A76AE0" w:rsidP="00A76AE0">
      <w:pPr>
        <w:ind w:left="360"/>
        <w:rPr>
          <w:rFonts w:asciiTheme="minorHAnsi" w:hAnsiTheme="minorHAnsi" w:cstheme="minorHAnsi"/>
        </w:rPr>
      </w:pPr>
    </w:p>
    <w:p w14:paraId="09300335" w14:textId="40797122" w:rsidR="00622DC9" w:rsidRPr="00A76AE0" w:rsidRDefault="00A76AE0" w:rsidP="00711721">
      <w:pPr>
        <w:jc w:val="both"/>
        <w:rPr>
          <w:rFonts w:asciiTheme="minorHAnsi" w:hAnsiTheme="minorHAnsi" w:cstheme="minorHAnsi"/>
        </w:rPr>
      </w:pPr>
      <w:r>
        <w:rPr>
          <w:rFonts w:asciiTheme="minorHAnsi" w:hAnsiTheme="minorHAnsi" w:cstheme="minorHAnsi"/>
        </w:rPr>
        <w:t>The Interim Report was approved by the Board of Directors</w:t>
      </w:r>
      <w:r w:rsidR="00963DE8">
        <w:rPr>
          <w:rFonts w:asciiTheme="minorHAnsi" w:hAnsiTheme="minorHAnsi" w:cstheme="minorHAnsi"/>
        </w:rPr>
        <w:t xml:space="preserve"> and the above responsibility statement was signed on its behalf by</w:t>
      </w:r>
      <w:r w:rsidR="00A23542" w:rsidRPr="00A76AE0">
        <w:rPr>
          <w:rFonts w:asciiTheme="minorHAnsi" w:hAnsiTheme="minorHAnsi" w:cstheme="minorHAnsi"/>
        </w:rPr>
        <w:t xml:space="preserve"> </w:t>
      </w:r>
    </w:p>
    <w:p w14:paraId="4E5556D4" w14:textId="77777777" w:rsidR="008217C2" w:rsidRDefault="008217C2" w:rsidP="00204A00">
      <w:pPr>
        <w:rPr>
          <w:rFonts w:asciiTheme="minorHAnsi" w:hAnsiTheme="minorHAnsi" w:cstheme="minorHAnsi"/>
        </w:rPr>
      </w:pPr>
    </w:p>
    <w:p w14:paraId="69A75BA4" w14:textId="535106F7" w:rsidR="00EC35BC" w:rsidRPr="00736770" w:rsidRDefault="00EC35BC" w:rsidP="00EC35BC">
      <w:pPr>
        <w:jc w:val="both"/>
        <w:rPr>
          <w:rFonts w:asciiTheme="minorHAnsi" w:hAnsiTheme="minorHAnsi" w:cstheme="minorHAnsi"/>
        </w:rPr>
      </w:pPr>
      <w:r w:rsidRPr="00736770">
        <w:rPr>
          <w:rFonts w:asciiTheme="minorHAnsi" w:hAnsiTheme="minorHAnsi" w:cstheme="minorHAnsi"/>
        </w:rPr>
        <w:t>D</w:t>
      </w:r>
      <w:r w:rsidR="00711721">
        <w:rPr>
          <w:rFonts w:asciiTheme="minorHAnsi" w:hAnsiTheme="minorHAnsi" w:cstheme="minorHAnsi"/>
        </w:rPr>
        <w:t>avid Smith</w:t>
      </w:r>
      <w:r w:rsidR="00CE299D">
        <w:rPr>
          <w:rFonts w:asciiTheme="minorHAnsi" w:hAnsiTheme="minorHAnsi" w:cstheme="minorHAnsi"/>
        </w:rPr>
        <w:t xml:space="preserve">, </w:t>
      </w:r>
      <w:r w:rsidRPr="00736770">
        <w:rPr>
          <w:rFonts w:asciiTheme="minorHAnsi" w:hAnsiTheme="minorHAnsi" w:cstheme="minorHAnsi"/>
        </w:rPr>
        <w:t>Chairman</w:t>
      </w:r>
    </w:p>
    <w:p w14:paraId="6F3F121B" w14:textId="1B5B77B8" w:rsidR="00EC35BC" w:rsidRDefault="00C229B7" w:rsidP="00711721">
      <w:pPr>
        <w:jc w:val="both"/>
        <w:rPr>
          <w:rFonts w:asciiTheme="minorHAnsi" w:hAnsiTheme="minorHAnsi" w:cstheme="minorHAnsi"/>
        </w:rPr>
      </w:pPr>
      <w:r>
        <w:rPr>
          <w:rFonts w:asciiTheme="minorHAnsi" w:hAnsiTheme="minorHAnsi" w:cstheme="minorHAnsi"/>
        </w:rPr>
        <w:t>30</w:t>
      </w:r>
      <w:r>
        <w:rPr>
          <w:rFonts w:asciiTheme="minorHAnsi" w:hAnsiTheme="minorHAnsi" w:cstheme="minorHAnsi"/>
        </w:rPr>
        <w:t xml:space="preserve"> </w:t>
      </w:r>
      <w:r w:rsidR="00D965EB">
        <w:rPr>
          <w:rFonts w:asciiTheme="minorHAnsi" w:hAnsiTheme="minorHAnsi" w:cstheme="minorHAnsi"/>
        </w:rPr>
        <w:t xml:space="preserve">September </w:t>
      </w:r>
      <w:r w:rsidR="009F22E2">
        <w:rPr>
          <w:rFonts w:asciiTheme="minorHAnsi" w:hAnsiTheme="minorHAnsi" w:cstheme="minorHAnsi"/>
        </w:rPr>
        <w:t>202</w:t>
      </w:r>
      <w:r w:rsidR="00763235">
        <w:rPr>
          <w:rFonts w:asciiTheme="minorHAnsi" w:hAnsiTheme="minorHAnsi" w:cstheme="minorHAnsi"/>
        </w:rPr>
        <w:t>1</w:t>
      </w:r>
    </w:p>
    <w:p w14:paraId="45780DAE" w14:textId="62E06033" w:rsidR="008217C2" w:rsidRDefault="008217C2" w:rsidP="00204A00">
      <w:pPr>
        <w:rPr>
          <w:rFonts w:asciiTheme="minorHAnsi" w:hAnsiTheme="minorHAnsi" w:cstheme="minorHAnsi"/>
        </w:rPr>
      </w:pPr>
    </w:p>
    <w:p w14:paraId="3BFEDA61" w14:textId="2B5F179A" w:rsidR="00204A00" w:rsidRPr="00736770" w:rsidRDefault="00503F60" w:rsidP="00204A00">
      <w:pPr>
        <w:rPr>
          <w:rFonts w:asciiTheme="minorHAnsi" w:hAnsiTheme="minorHAnsi" w:cstheme="minorHAnsi"/>
        </w:rPr>
      </w:pPr>
      <w:r w:rsidRPr="00736770">
        <w:rPr>
          <w:rFonts w:asciiTheme="minorHAnsi" w:hAnsiTheme="minorHAnsi" w:cstheme="minorHAnsi"/>
        </w:rPr>
        <w:t>Forward looking statement</w:t>
      </w:r>
    </w:p>
    <w:p w14:paraId="3B0C936E" w14:textId="77777777" w:rsidR="00204A00" w:rsidRPr="00736770" w:rsidRDefault="00204A00" w:rsidP="00204A00">
      <w:pPr>
        <w:rPr>
          <w:rFonts w:asciiTheme="minorHAnsi" w:hAnsiTheme="minorHAnsi" w:cstheme="minorHAnsi"/>
        </w:rPr>
      </w:pPr>
    </w:p>
    <w:p w14:paraId="6C80B4C8" w14:textId="77777777" w:rsidR="004C0025" w:rsidRPr="00736770" w:rsidRDefault="00503F60" w:rsidP="003204E0">
      <w:pPr>
        <w:jc w:val="both"/>
        <w:rPr>
          <w:rFonts w:asciiTheme="minorHAnsi" w:hAnsiTheme="minorHAnsi" w:cstheme="minorHAnsi"/>
        </w:rPr>
      </w:pPr>
      <w:r w:rsidRPr="00736770">
        <w:rPr>
          <w:rFonts w:asciiTheme="minorHAnsi" w:hAnsiTheme="minorHAnsi" w:cstheme="minorHAnsi"/>
        </w:rPr>
        <w:t xml:space="preserve">Certain statements in this announcement, are, or may be deemed to be, forward looking statements. Forward looking statements are identified by their use of terms and phrases such as ‘‘believe’’, ‘‘could’’, “should” ‘‘envisage’’, ‘‘estimate’’, ‘‘intend’’, ‘‘may’’, ‘‘plan’’, ‘‘will’’ or the negative of those, variations or comparable expressions, including references to assumptions. These forward-looking statements are not based on historical facts but rather on the Directors’ current expectations and assumptions regarding the Company’s future growth, results of operations, performance, future capital and other expenditures (including the amount, nature and sources of funding thereof), competitive advantages, business prospects and opportunities. </w:t>
      </w:r>
    </w:p>
    <w:p w14:paraId="20A443FC" w14:textId="77777777" w:rsidR="004C0025" w:rsidRPr="00736770" w:rsidRDefault="004C0025" w:rsidP="003204E0">
      <w:pPr>
        <w:jc w:val="both"/>
        <w:rPr>
          <w:rFonts w:asciiTheme="minorHAnsi" w:hAnsiTheme="minorHAnsi" w:cstheme="minorHAnsi"/>
        </w:rPr>
      </w:pPr>
    </w:p>
    <w:p w14:paraId="0E519308" w14:textId="2F027C49" w:rsidR="00763235" w:rsidRDefault="00503F60" w:rsidP="00763235">
      <w:pPr>
        <w:jc w:val="both"/>
        <w:rPr>
          <w:rFonts w:asciiTheme="minorHAnsi" w:hAnsiTheme="minorHAnsi" w:cstheme="minorHAnsi"/>
        </w:rPr>
      </w:pPr>
      <w:r w:rsidRPr="00736770">
        <w:rPr>
          <w:rFonts w:asciiTheme="minorHAnsi" w:hAnsiTheme="minorHAnsi" w:cstheme="minorHAnsi"/>
        </w:rPr>
        <w:t>Such forward looking statements reflect the Directors’ current beliefs and assumptions and are based on information currently available to the Directors. A number of factors could cause actual results to differ materially from the results discussed in the forward-looking statements including risks associated with vulnerability to general economic and business conditions, competition, environmental and other regulatory changes, actions by governmental authorities, the availability of capital markets, reliance on key personnel, uninsured and underinsured losses and other factors, many of which are beyond the control of the Company. Although any forward-looking statements contained in this announcement are based upon what the Directors believe to be reasonable assumptions, the Company cannot assure investors that actual results will be consistent with such forward looking statements.</w:t>
      </w:r>
    </w:p>
    <w:p w14:paraId="0D66BAB7" w14:textId="3915A8D1" w:rsidR="00711721" w:rsidRDefault="00711721" w:rsidP="00763235">
      <w:pPr>
        <w:jc w:val="both"/>
        <w:rPr>
          <w:rFonts w:asciiTheme="minorHAnsi" w:hAnsiTheme="minorHAnsi" w:cstheme="minorHAnsi"/>
        </w:rPr>
      </w:pPr>
    </w:p>
    <w:p w14:paraId="0EFA2575" w14:textId="7DC1DFD9" w:rsidR="00711721" w:rsidRDefault="00711721" w:rsidP="00763235">
      <w:pPr>
        <w:jc w:val="both"/>
        <w:rPr>
          <w:rFonts w:asciiTheme="minorHAnsi" w:hAnsiTheme="minorHAnsi" w:cstheme="minorHAnsi"/>
        </w:rPr>
      </w:pPr>
    </w:p>
    <w:p w14:paraId="11B5748E" w14:textId="794534A3" w:rsidR="00851B3A" w:rsidRDefault="00851B3A" w:rsidP="00763235">
      <w:pPr>
        <w:jc w:val="both"/>
        <w:rPr>
          <w:rFonts w:asciiTheme="minorHAnsi" w:hAnsiTheme="minorHAnsi" w:cstheme="minorHAnsi"/>
        </w:rPr>
      </w:pPr>
    </w:p>
    <w:p w14:paraId="6F01553C" w14:textId="212FE119" w:rsidR="00851B3A" w:rsidRDefault="00851B3A" w:rsidP="00763235">
      <w:pPr>
        <w:jc w:val="both"/>
        <w:rPr>
          <w:rFonts w:asciiTheme="minorHAnsi" w:hAnsiTheme="minorHAnsi" w:cstheme="minorHAnsi"/>
        </w:rPr>
      </w:pPr>
    </w:p>
    <w:p w14:paraId="44DB5120" w14:textId="2CC418AF" w:rsidR="00851B3A" w:rsidRDefault="00851B3A" w:rsidP="00763235">
      <w:pPr>
        <w:jc w:val="both"/>
        <w:rPr>
          <w:rFonts w:asciiTheme="minorHAnsi" w:hAnsiTheme="minorHAnsi" w:cstheme="minorHAnsi"/>
        </w:rPr>
      </w:pPr>
    </w:p>
    <w:p w14:paraId="79F3C62A" w14:textId="18063C3C" w:rsidR="00851B3A" w:rsidRDefault="00851B3A" w:rsidP="00763235">
      <w:pPr>
        <w:jc w:val="both"/>
        <w:rPr>
          <w:rFonts w:asciiTheme="minorHAnsi" w:hAnsiTheme="minorHAnsi" w:cstheme="minorHAnsi"/>
        </w:rPr>
      </w:pPr>
    </w:p>
    <w:p w14:paraId="424190C1" w14:textId="53BF87F1" w:rsidR="00851B3A" w:rsidRDefault="00851B3A" w:rsidP="00763235">
      <w:pPr>
        <w:jc w:val="both"/>
        <w:rPr>
          <w:rFonts w:asciiTheme="minorHAnsi" w:hAnsiTheme="minorHAnsi" w:cstheme="minorHAnsi"/>
        </w:rPr>
      </w:pPr>
    </w:p>
    <w:p w14:paraId="75CF1113" w14:textId="23CEEEA7" w:rsidR="00CE299D" w:rsidRDefault="00CE299D" w:rsidP="00763235">
      <w:pPr>
        <w:jc w:val="both"/>
        <w:rPr>
          <w:rFonts w:asciiTheme="minorHAnsi" w:hAnsiTheme="minorHAnsi" w:cstheme="minorHAnsi"/>
        </w:rPr>
      </w:pPr>
    </w:p>
    <w:p w14:paraId="54A6541C" w14:textId="0BF58F0A" w:rsidR="00CE299D" w:rsidRDefault="00CE299D" w:rsidP="00763235">
      <w:pPr>
        <w:jc w:val="both"/>
        <w:rPr>
          <w:rFonts w:asciiTheme="minorHAnsi" w:hAnsiTheme="minorHAnsi" w:cstheme="minorHAnsi"/>
        </w:rPr>
      </w:pPr>
    </w:p>
    <w:p w14:paraId="667D3671" w14:textId="6C9E75A6" w:rsidR="00CE299D" w:rsidRDefault="00CE299D" w:rsidP="00763235">
      <w:pPr>
        <w:jc w:val="both"/>
        <w:rPr>
          <w:rFonts w:asciiTheme="minorHAnsi" w:hAnsiTheme="minorHAnsi" w:cstheme="minorHAnsi"/>
        </w:rPr>
      </w:pPr>
    </w:p>
    <w:p w14:paraId="16145107" w14:textId="2475266D" w:rsidR="00CE299D" w:rsidRDefault="00CE299D" w:rsidP="00763235">
      <w:pPr>
        <w:jc w:val="both"/>
        <w:rPr>
          <w:rFonts w:asciiTheme="minorHAnsi" w:hAnsiTheme="minorHAnsi" w:cstheme="minorHAnsi"/>
        </w:rPr>
      </w:pPr>
    </w:p>
    <w:p w14:paraId="3D4FF5DF" w14:textId="3F98306C" w:rsidR="00CE299D" w:rsidRDefault="00CE299D" w:rsidP="00763235">
      <w:pPr>
        <w:jc w:val="both"/>
        <w:rPr>
          <w:rFonts w:asciiTheme="minorHAnsi" w:hAnsiTheme="minorHAnsi" w:cstheme="minorHAnsi"/>
        </w:rPr>
      </w:pPr>
    </w:p>
    <w:p w14:paraId="4C8672DB" w14:textId="5CF10A4F" w:rsidR="00CE299D" w:rsidRDefault="00CE299D" w:rsidP="00763235">
      <w:pPr>
        <w:jc w:val="both"/>
        <w:rPr>
          <w:rFonts w:asciiTheme="minorHAnsi" w:hAnsiTheme="minorHAnsi" w:cstheme="minorHAnsi"/>
        </w:rPr>
      </w:pPr>
    </w:p>
    <w:p w14:paraId="26254EDE" w14:textId="004F7025" w:rsidR="00CE299D" w:rsidRDefault="00CE299D" w:rsidP="00763235">
      <w:pPr>
        <w:jc w:val="both"/>
        <w:rPr>
          <w:rFonts w:asciiTheme="minorHAnsi" w:hAnsiTheme="minorHAnsi" w:cstheme="minorHAnsi"/>
        </w:rPr>
      </w:pPr>
    </w:p>
    <w:p w14:paraId="028DF896" w14:textId="1B864E5D" w:rsidR="00CE299D" w:rsidRDefault="00CE299D" w:rsidP="00763235">
      <w:pPr>
        <w:jc w:val="both"/>
        <w:rPr>
          <w:rFonts w:asciiTheme="minorHAnsi" w:hAnsiTheme="minorHAnsi" w:cstheme="minorHAnsi"/>
        </w:rPr>
      </w:pPr>
    </w:p>
    <w:p w14:paraId="0A790CA9" w14:textId="60E75C8A" w:rsidR="00CE299D" w:rsidRDefault="00CE299D" w:rsidP="00763235">
      <w:pPr>
        <w:jc w:val="both"/>
        <w:rPr>
          <w:rFonts w:asciiTheme="minorHAnsi" w:hAnsiTheme="minorHAnsi" w:cstheme="minorHAnsi"/>
        </w:rPr>
      </w:pPr>
    </w:p>
    <w:p w14:paraId="26D5F19D" w14:textId="78A2DD29" w:rsidR="00CE299D" w:rsidRDefault="00CE299D" w:rsidP="00763235">
      <w:pPr>
        <w:jc w:val="both"/>
        <w:rPr>
          <w:rFonts w:asciiTheme="minorHAnsi" w:hAnsiTheme="minorHAnsi" w:cstheme="minorHAnsi"/>
        </w:rPr>
      </w:pPr>
    </w:p>
    <w:p w14:paraId="1B0B78E4" w14:textId="22297435" w:rsidR="00CE299D" w:rsidRDefault="00CE299D" w:rsidP="00763235">
      <w:pPr>
        <w:jc w:val="both"/>
        <w:rPr>
          <w:rFonts w:asciiTheme="minorHAnsi" w:hAnsiTheme="minorHAnsi" w:cstheme="minorHAnsi"/>
        </w:rPr>
      </w:pPr>
    </w:p>
    <w:p w14:paraId="2B5BE3A1" w14:textId="7F38712D" w:rsidR="00CE299D" w:rsidRDefault="00CE299D" w:rsidP="00763235">
      <w:pPr>
        <w:jc w:val="both"/>
        <w:rPr>
          <w:rFonts w:asciiTheme="minorHAnsi" w:hAnsiTheme="minorHAnsi" w:cstheme="minorHAnsi"/>
        </w:rPr>
      </w:pPr>
    </w:p>
    <w:p w14:paraId="335AB572" w14:textId="39EFB80C" w:rsidR="00CE299D" w:rsidRDefault="00CE299D" w:rsidP="00763235">
      <w:pPr>
        <w:jc w:val="both"/>
        <w:rPr>
          <w:rFonts w:asciiTheme="minorHAnsi" w:hAnsiTheme="minorHAnsi" w:cstheme="minorHAnsi"/>
        </w:rPr>
      </w:pPr>
    </w:p>
    <w:p w14:paraId="3C7471D6" w14:textId="5A3FF189" w:rsidR="00CE299D" w:rsidRDefault="00CE299D" w:rsidP="00763235">
      <w:pPr>
        <w:jc w:val="both"/>
        <w:rPr>
          <w:rFonts w:asciiTheme="minorHAnsi" w:hAnsiTheme="minorHAnsi" w:cstheme="minorHAnsi"/>
        </w:rPr>
      </w:pPr>
    </w:p>
    <w:p w14:paraId="622209F5" w14:textId="4EE4D924" w:rsidR="00CE299D" w:rsidRDefault="00CE299D" w:rsidP="00763235">
      <w:pPr>
        <w:jc w:val="both"/>
        <w:rPr>
          <w:rFonts w:asciiTheme="minorHAnsi" w:hAnsiTheme="minorHAnsi" w:cstheme="minorHAnsi"/>
        </w:rPr>
      </w:pPr>
    </w:p>
    <w:p w14:paraId="3C6B0B73" w14:textId="71A31EA7" w:rsidR="00CE299D" w:rsidRDefault="00CE299D" w:rsidP="00763235">
      <w:pPr>
        <w:jc w:val="both"/>
        <w:rPr>
          <w:rFonts w:asciiTheme="minorHAnsi" w:hAnsiTheme="minorHAnsi" w:cstheme="minorHAnsi"/>
        </w:rPr>
      </w:pPr>
    </w:p>
    <w:p w14:paraId="19DBF1BE" w14:textId="25D5D048" w:rsidR="00CE299D" w:rsidRDefault="00CE299D" w:rsidP="00763235">
      <w:pPr>
        <w:jc w:val="both"/>
        <w:rPr>
          <w:rFonts w:asciiTheme="minorHAnsi" w:hAnsiTheme="minorHAnsi" w:cstheme="minorHAnsi"/>
        </w:rPr>
      </w:pPr>
    </w:p>
    <w:p w14:paraId="16A40DDC" w14:textId="77777777" w:rsidR="00CE299D" w:rsidRDefault="00CE299D" w:rsidP="00763235">
      <w:pPr>
        <w:jc w:val="both"/>
        <w:rPr>
          <w:rFonts w:asciiTheme="minorHAnsi" w:hAnsiTheme="minorHAnsi" w:cstheme="minorHAnsi"/>
        </w:rPr>
      </w:pPr>
    </w:p>
    <w:p w14:paraId="6E925442" w14:textId="1AF342A6" w:rsidR="00DF6B2E" w:rsidRDefault="00DF6B2E" w:rsidP="008438CA">
      <w:pPr>
        <w:pStyle w:val="Heading1"/>
        <w:rPr>
          <w:rFonts w:ascii="Calibri" w:hAnsi="Calibri"/>
        </w:rPr>
      </w:pPr>
      <w:r w:rsidRPr="0077388B">
        <w:rPr>
          <w:rFonts w:ascii="Calibri" w:hAnsi="Calibri"/>
        </w:rPr>
        <w:lastRenderedPageBreak/>
        <w:t>CON</w:t>
      </w:r>
      <w:r w:rsidR="00077413">
        <w:rPr>
          <w:rFonts w:ascii="Calibri" w:hAnsi="Calibri"/>
        </w:rPr>
        <w:t>DENSED CON</w:t>
      </w:r>
      <w:r w:rsidRPr="0077388B">
        <w:rPr>
          <w:rFonts w:ascii="Calibri" w:hAnsi="Calibri"/>
        </w:rPr>
        <w:t>SOLIDATED INTERIM FINANCIAL STATEMENTS</w:t>
      </w:r>
    </w:p>
    <w:p w14:paraId="01509E45" w14:textId="0CD466E1" w:rsidR="00711721" w:rsidRDefault="00711721" w:rsidP="00711721">
      <w:pPr>
        <w:rPr>
          <w:lang w:eastAsia="en-US"/>
        </w:rPr>
      </w:pPr>
    </w:p>
    <w:p w14:paraId="4B7B86DA" w14:textId="5CF1389D" w:rsidR="00711721" w:rsidRPr="00711721" w:rsidRDefault="00711721" w:rsidP="00711721">
      <w:pPr>
        <w:rPr>
          <w:lang w:eastAsia="en-US"/>
        </w:rPr>
      </w:pPr>
      <w:r w:rsidRPr="003963B8">
        <w:rPr>
          <w:rFonts w:ascii="Calibri" w:hAnsi="Calibri"/>
          <w:b/>
          <w:bCs/>
        </w:rPr>
        <w:t>Group Statement of Comprehensive Income for the Interim Period Ended 30 June 20</w:t>
      </w:r>
      <w:r>
        <w:rPr>
          <w:rFonts w:ascii="Calibri" w:hAnsi="Calibri"/>
          <w:b/>
          <w:bCs/>
        </w:rPr>
        <w:t>21</w:t>
      </w:r>
    </w:p>
    <w:p w14:paraId="4C1C96EA" w14:textId="77777777" w:rsidR="004B756E" w:rsidRPr="004B756E" w:rsidRDefault="004B756E" w:rsidP="004B756E">
      <w:pPr>
        <w:rPr>
          <w:lang w:eastAsia="en-US"/>
        </w:rPr>
      </w:pPr>
    </w:p>
    <w:tbl>
      <w:tblPr>
        <w:tblW w:w="5000" w:type="pct"/>
        <w:tblLayout w:type="fixed"/>
        <w:tblLook w:val="04A0" w:firstRow="1" w:lastRow="0" w:firstColumn="1" w:lastColumn="0" w:noHBand="0" w:noVBand="1"/>
      </w:tblPr>
      <w:tblGrid>
        <w:gridCol w:w="4254"/>
        <w:gridCol w:w="717"/>
        <w:gridCol w:w="1556"/>
        <w:gridCol w:w="1556"/>
        <w:gridCol w:w="1556"/>
      </w:tblGrid>
      <w:tr w:rsidR="00711721" w:rsidRPr="0077388B" w14:paraId="38CFDBD5" w14:textId="35374E2D" w:rsidTr="00CC72FA">
        <w:trPr>
          <w:trHeight w:val="275"/>
        </w:trPr>
        <w:tc>
          <w:tcPr>
            <w:tcW w:w="2207" w:type="pct"/>
            <w:tcBorders>
              <w:top w:val="nil"/>
              <w:left w:val="nil"/>
              <w:bottom w:val="nil"/>
              <w:right w:val="nil"/>
            </w:tcBorders>
            <w:shd w:val="clear" w:color="auto" w:fill="auto"/>
            <w:noWrap/>
            <w:vAlign w:val="bottom"/>
            <w:hideMark/>
          </w:tcPr>
          <w:p w14:paraId="1B01A14F" w14:textId="77777777" w:rsidR="003E1B87" w:rsidRPr="0077388B" w:rsidRDefault="003E1B87" w:rsidP="003E1B87">
            <w:pPr>
              <w:jc w:val="center"/>
              <w:rPr>
                <w:rFonts w:ascii="Calibri" w:eastAsia="Times New Roman" w:hAnsi="Calibri" w:cs="Arial"/>
                <w:b/>
                <w:bCs/>
                <w:color w:val="000000"/>
                <w:sz w:val="20"/>
                <w:szCs w:val="18"/>
                <w:lang w:eastAsia="en-GB"/>
              </w:rPr>
            </w:pPr>
          </w:p>
        </w:tc>
        <w:tc>
          <w:tcPr>
            <w:tcW w:w="372" w:type="pct"/>
            <w:tcBorders>
              <w:top w:val="nil"/>
              <w:left w:val="nil"/>
              <w:bottom w:val="nil"/>
              <w:right w:val="nil"/>
            </w:tcBorders>
            <w:shd w:val="clear" w:color="auto" w:fill="auto"/>
            <w:noWrap/>
            <w:vAlign w:val="bottom"/>
            <w:hideMark/>
          </w:tcPr>
          <w:p w14:paraId="28962659" w14:textId="77777777" w:rsidR="003E1B87" w:rsidRPr="0077388B" w:rsidRDefault="003E1B87" w:rsidP="003E1B87">
            <w:pPr>
              <w:jc w:val="cente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Notes</w:t>
            </w:r>
          </w:p>
        </w:tc>
        <w:tc>
          <w:tcPr>
            <w:tcW w:w="807" w:type="pct"/>
            <w:tcBorders>
              <w:top w:val="nil"/>
              <w:left w:val="nil"/>
              <w:bottom w:val="nil"/>
              <w:right w:val="nil"/>
            </w:tcBorders>
            <w:shd w:val="clear" w:color="auto" w:fill="auto"/>
            <w:noWrap/>
            <w:vAlign w:val="center"/>
            <w:hideMark/>
          </w:tcPr>
          <w:p w14:paraId="2349E539" w14:textId="213CC562" w:rsidR="003E1B87" w:rsidRPr="0077388B" w:rsidRDefault="00711721" w:rsidP="00CC72FA">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 xml:space="preserve">Six months to June </w:t>
            </w:r>
            <w:r w:rsidR="003E1B87" w:rsidRPr="0077388B">
              <w:rPr>
                <w:rFonts w:ascii="Calibri" w:eastAsia="Times New Roman" w:hAnsi="Calibri" w:cs="Arial"/>
                <w:b/>
                <w:bCs/>
                <w:color w:val="000000"/>
                <w:sz w:val="20"/>
                <w:szCs w:val="18"/>
                <w:lang w:eastAsia="en-GB"/>
              </w:rPr>
              <w:t>20</w:t>
            </w:r>
            <w:r w:rsidR="000C15B2">
              <w:rPr>
                <w:rFonts w:ascii="Calibri" w:eastAsia="Times New Roman" w:hAnsi="Calibri" w:cs="Arial"/>
                <w:b/>
                <w:bCs/>
                <w:color w:val="000000"/>
                <w:sz w:val="20"/>
                <w:szCs w:val="18"/>
                <w:lang w:eastAsia="en-GB"/>
              </w:rPr>
              <w:t>2</w:t>
            </w:r>
            <w:r w:rsidR="00763235">
              <w:rPr>
                <w:rFonts w:ascii="Calibri" w:eastAsia="Times New Roman" w:hAnsi="Calibri" w:cs="Arial"/>
                <w:b/>
                <w:bCs/>
                <w:color w:val="000000"/>
                <w:sz w:val="20"/>
                <w:szCs w:val="18"/>
                <w:lang w:eastAsia="en-GB"/>
              </w:rPr>
              <w:t>1</w:t>
            </w:r>
          </w:p>
        </w:tc>
        <w:tc>
          <w:tcPr>
            <w:tcW w:w="807" w:type="pct"/>
            <w:tcBorders>
              <w:top w:val="nil"/>
              <w:left w:val="nil"/>
              <w:bottom w:val="nil"/>
              <w:right w:val="nil"/>
            </w:tcBorders>
            <w:shd w:val="clear" w:color="auto" w:fill="auto"/>
            <w:noWrap/>
            <w:vAlign w:val="center"/>
          </w:tcPr>
          <w:p w14:paraId="64EB7AB8" w14:textId="0388A3B1" w:rsidR="003E1B87" w:rsidRPr="0077388B" w:rsidRDefault="00711721" w:rsidP="00CC72FA">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 xml:space="preserve">Six months to June </w:t>
            </w:r>
            <w:r w:rsidR="003E1B87" w:rsidRPr="0077388B">
              <w:rPr>
                <w:rFonts w:ascii="Calibri" w:eastAsia="Times New Roman" w:hAnsi="Calibri" w:cs="Arial"/>
                <w:b/>
                <w:bCs/>
                <w:color w:val="000000"/>
                <w:sz w:val="20"/>
                <w:szCs w:val="18"/>
                <w:lang w:eastAsia="en-GB"/>
              </w:rPr>
              <w:t>20</w:t>
            </w:r>
            <w:r w:rsidR="00763235">
              <w:rPr>
                <w:rFonts w:ascii="Calibri" w:eastAsia="Times New Roman" w:hAnsi="Calibri" w:cs="Arial"/>
                <w:b/>
                <w:bCs/>
                <w:color w:val="000000"/>
                <w:sz w:val="20"/>
                <w:szCs w:val="18"/>
                <w:lang w:eastAsia="en-GB"/>
              </w:rPr>
              <w:t>20</w:t>
            </w:r>
          </w:p>
        </w:tc>
        <w:tc>
          <w:tcPr>
            <w:tcW w:w="807" w:type="pct"/>
            <w:tcBorders>
              <w:top w:val="nil"/>
              <w:left w:val="nil"/>
              <w:bottom w:val="nil"/>
              <w:right w:val="nil"/>
            </w:tcBorders>
            <w:vAlign w:val="center"/>
          </w:tcPr>
          <w:p w14:paraId="0C5DD883" w14:textId="779C8F88" w:rsidR="003E1B87" w:rsidRPr="0077388B" w:rsidRDefault="00711721" w:rsidP="00CC72FA">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 xml:space="preserve">Year ended December </w:t>
            </w:r>
            <w:r w:rsidR="003E1B87" w:rsidRPr="0077388B">
              <w:rPr>
                <w:rFonts w:ascii="Calibri" w:eastAsia="Times New Roman" w:hAnsi="Calibri" w:cs="Arial"/>
                <w:b/>
                <w:bCs/>
                <w:color w:val="000000"/>
                <w:sz w:val="20"/>
                <w:szCs w:val="18"/>
                <w:lang w:eastAsia="en-GB"/>
              </w:rPr>
              <w:t>20</w:t>
            </w:r>
            <w:r w:rsidR="00763235">
              <w:rPr>
                <w:rFonts w:ascii="Calibri" w:eastAsia="Times New Roman" w:hAnsi="Calibri" w:cs="Arial"/>
                <w:b/>
                <w:bCs/>
                <w:color w:val="000000"/>
                <w:sz w:val="20"/>
                <w:szCs w:val="18"/>
                <w:lang w:eastAsia="en-GB"/>
              </w:rPr>
              <w:t>20</w:t>
            </w:r>
          </w:p>
        </w:tc>
      </w:tr>
      <w:tr w:rsidR="00711721" w:rsidRPr="0077388B" w14:paraId="130DABA0" w14:textId="287C9C58" w:rsidTr="00CC72FA">
        <w:trPr>
          <w:trHeight w:val="275"/>
        </w:trPr>
        <w:tc>
          <w:tcPr>
            <w:tcW w:w="2207" w:type="pct"/>
            <w:tcBorders>
              <w:top w:val="nil"/>
              <w:left w:val="nil"/>
              <w:bottom w:val="nil"/>
              <w:right w:val="nil"/>
            </w:tcBorders>
            <w:shd w:val="clear" w:color="auto" w:fill="auto"/>
            <w:noWrap/>
            <w:vAlign w:val="bottom"/>
            <w:hideMark/>
          </w:tcPr>
          <w:p w14:paraId="19313EF1" w14:textId="77777777" w:rsidR="003E1B87" w:rsidRPr="0077388B" w:rsidRDefault="003E1B87" w:rsidP="003E1B87">
            <w:pPr>
              <w:jc w:val="center"/>
              <w:rPr>
                <w:rFonts w:ascii="Calibri" w:eastAsia="Times New Roman" w:hAnsi="Calibri" w:cs="Arial"/>
                <w:b/>
                <w:bCs/>
                <w:color w:val="000000"/>
                <w:sz w:val="20"/>
                <w:szCs w:val="18"/>
                <w:lang w:eastAsia="en-GB"/>
              </w:rPr>
            </w:pPr>
          </w:p>
        </w:tc>
        <w:tc>
          <w:tcPr>
            <w:tcW w:w="372" w:type="pct"/>
            <w:tcBorders>
              <w:top w:val="nil"/>
              <w:left w:val="nil"/>
              <w:bottom w:val="nil"/>
              <w:right w:val="nil"/>
            </w:tcBorders>
            <w:shd w:val="clear" w:color="auto" w:fill="auto"/>
            <w:noWrap/>
            <w:vAlign w:val="bottom"/>
            <w:hideMark/>
          </w:tcPr>
          <w:p w14:paraId="11485EBF" w14:textId="77777777" w:rsidR="003E1B87" w:rsidRPr="0077388B" w:rsidRDefault="003E1B87" w:rsidP="003E1B87">
            <w:pPr>
              <w:rPr>
                <w:rFonts w:ascii="Calibri" w:eastAsia="Times New Roman" w:hAnsi="Calibri"/>
                <w:sz w:val="20"/>
                <w:szCs w:val="20"/>
                <w:lang w:eastAsia="en-GB"/>
              </w:rPr>
            </w:pPr>
          </w:p>
        </w:tc>
        <w:tc>
          <w:tcPr>
            <w:tcW w:w="807" w:type="pct"/>
            <w:tcBorders>
              <w:top w:val="nil"/>
              <w:left w:val="nil"/>
              <w:bottom w:val="nil"/>
              <w:right w:val="nil"/>
            </w:tcBorders>
            <w:shd w:val="clear" w:color="auto" w:fill="auto"/>
            <w:noWrap/>
            <w:vAlign w:val="center"/>
            <w:hideMark/>
          </w:tcPr>
          <w:p w14:paraId="20678BE6" w14:textId="77777777" w:rsidR="003E1B87" w:rsidRPr="0077388B" w:rsidRDefault="003E1B87" w:rsidP="00CC72FA">
            <w:pPr>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(Unaudited)</w:t>
            </w:r>
          </w:p>
        </w:tc>
        <w:tc>
          <w:tcPr>
            <w:tcW w:w="807" w:type="pct"/>
            <w:tcBorders>
              <w:top w:val="nil"/>
              <w:left w:val="nil"/>
              <w:bottom w:val="nil"/>
              <w:right w:val="nil"/>
            </w:tcBorders>
            <w:shd w:val="clear" w:color="auto" w:fill="auto"/>
            <w:noWrap/>
            <w:vAlign w:val="center"/>
          </w:tcPr>
          <w:p w14:paraId="3F6EA71C" w14:textId="4F6F8BDF" w:rsidR="003E1B87" w:rsidRPr="0077388B" w:rsidRDefault="003E1B87" w:rsidP="00CC72FA">
            <w:pPr>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(Unaudited)</w:t>
            </w:r>
          </w:p>
        </w:tc>
        <w:tc>
          <w:tcPr>
            <w:tcW w:w="807" w:type="pct"/>
            <w:tcBorders>
              <w:top w:val="nil"/>
              <w:left w:val="nil"/>
              <w:bottom w:val="nil"/>
              <w:right w:val="nil"/>
            </w:tcBorders>
            <w:vAlign w:val="center"/>
          </w:tcPr>
          <w:p w14:paraId="69E327B7" w14:textId="1394DA80" w:rsidR="003E1B87" w:rsidRPr="0077388B" w:rsidRDefault="003E1B87" w:rsidP="00CC72FA">
            <w:pPr>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w:t>
            </w:r>
            <w:r w:rsidR="00025F63">
              <w:rPr>
                <w:rFonts w:ascii="Calibri" w:eastAsia="Times New Roman" w:hAnsi="Calibri" w:cs="Arial"/>
                <w:b/>
                <w:bCs/>
                <w:color w:val="000000"/>
                <w:sz w:val="20"/>
                <w:szCs w:val="18"/>
                <w:lang w:eastAsia="en-GB"/>
              </w:rPr>
              <w:t>Audited</w:t>
            </w:r>
            <w:r w:rsidRPr="0077388B">
              <w:rPr>
                <w:rFonts w:ascii="Calibri" w:eastAsia="Times New Roman" w:hAnsi="Calibri" w:cs="Arial"/>
                <w:b/>
                <w:bCs/>
                <w:color w:val="000000"/>
                <w:sz w:val="20"/>
                <w:szCs w:val="18"/>
                <w:lang w:eastAsia="en-GB"/>
              </w:rPr>
              <w:t>)</w:t>
            </w:r>
          </w:p>
        </w:tc>
      </w:tr>
      <w:tr w:rsidR="00711721" w:rsidRPr="0077388B" w14:paraId="3DC6DD14" w14:textId="7C198D77" w:rsidTr="00CC72FA">
        <w:trPr>
          <w:trHeight w:val="275"/>
        </w:trPr>
        <w:tc>
          <w:tcPr>
            <w:tcW w:w="2207" w:type="pct"/>
            <w:tcBorders>
              <w:top w:val="nil"/>
              <w:left w:val="nil"/>
              <w:bottom w:val="single" w:sz="4" w:space="0" w:color="auto"/>
              <w:right w:val="nil"/>
            </w:tcBorders>
            <w:shd w:val="clear" w:color="auto" w:fill="auto"/>
            <w:noWrap/>
            <w:vAlign w:val="bottom"/>
            <w:hideMark/>
          </w:tcPr>
          <w:p w14:paraId="0E7DD36C" w14:textId="77777777" w:rsidR="003E1B87" w:rsidRPr="0077388B" w:rsidRDefault="003E1B87" w:rsidP="003E1B87">
            <w:pPr>
              <w:jc w:val="center"/>
              <w:rPr>
                <w:rFonts w:ascii="Calibri" w:eastAsia="Times New Roman" w:hAnsi="Calibri" w:cs="Arial"/>
                <w:b/>
                <w:bCs/>
                <w:color w:val="000000"/>
                <w:sz w:val="20"/>
                <w:szCs w:val="18"/>
                <w:lang w:eastAsia="en-GB"/>
              </w:rPr>
            </w:pPr>
          </w:p>
        </w:tc>
        <w:tc>
          <w:tcPr>
            <w:tcW w:w="372" w:type="pct"/>
            <w:tcBorders>
              <w:top w:val="nil"/>
              <w:left w:val="nil"/>
              <w:bottom w:val="single" w:sz="4" w:space="0" w:color="auto"/>
              <w:right w:val="nil"/>
            </w:tcBorders>
            <w:shd w:val="clear" w:color="auto" w:fill="auto"/>
            <w:noWrap/>
            <w:vAlign w:val="bottom"/>
            <w:hideMark/>
          </w:tcPr>
          <w:p w14:paraId="0C2495DA" w14:textId="77777777" w:rsidR="003E1B87" w:rsidRPr="0077388B" w:rsidRDefault="003E1B87" w:rsidP="003E1B87">
            <w:pPr>
              <w:rPr>
                <w:rFonts w:ascii="Calibri" w:eastAsia="Times New Roman" w:hAnsi="Calibri"/>
                <w:sz w:val="20"/>
                <w:szCs w:val="20"/>
                <w:lang w:eastAsia="en-GB"/>
              </w:rPr>
            </w:pPr>
          </w:p>
        </w:tc>
        <w:tc>
          <w:tcPr>
            <w:tcW w:w="807" w:type="pct"/>
            <w:tcBorders>
              <w:top w:val="nil"/>
              <w:left w:val="nil"/>
              <w:bottom w:val="single" w:sz="4" w:space="0" w:color="auto"/>
              <w:right w:val="nil"/>
            </w:tcBorders>
            <w:shd w:val="clear" w:color="auto" w:fill="auto"/>
            <w:noWrap/>
            <w:vAlign w:val="center"/>
            <w:hideMark/>
          </w:tcPr>
          <w:p w14:paraId="729587D6" w14:textId="77777777" w:rsidR="003E1B87" w:rsidRPr="0077388B" w:rsidRDefault="003E1B87" w:rsidP="00CC72FA">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Pr="0077388B">
              <w:rPr>
                <w:rFonts w:ascii="Calibri" w:eastAsia="Times New Roman" w:hAnsi="Calibri" w:cs="Arial"/>
                <w:b/>
                <w:bCs/>
                <w:color w:val="000000"/>
                <w:sz w:val="20"/>
                <w:szCs w:val="18"/>
                <w:lang w:eastAsia="en-GB"/>
              </w:rPr>
              <w:t xml:space="preserve"> 000’s</w:t>
            </w:r>
          </w:p>
        </w:tc>
        <w:tc>
          <w:tcPr>
            <w:tcW w:w="807" w:type="pct"/>
            <w:tcBorders>
              <w:top w:val="nil"/>
              <w:left w:val="nil"/>
              <w:bottom w:val="single" w:sz="4" w:space="0" w:color="auto"/>
              <w:right w:val="nil"/>
            </w:tcBorders>
            <w:shd w:val="clear" w:color="auto" w:fill="auto"/>
            <w:noWrap/>
            <w:vAlign w:val="center"/>
          </w:tcPr>
          <w:p w14:paraId="6D890D0F" w14:textId="0555D457" w:rsidR="003E1B87" w:rsidRPr="0077388B" w:rsidRDefault="003E1B87" w:rsidP="00CC72FA">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Pr="0077388B">
              <w:rPr>
                <w:rFonts w:ascii="Calibri" w:eastAsia="Times New Roman" w:hAnsi="Calibri" w:cs="Arial"/>
                <w:b/>
                <w:bCs/>
                <w:color w:val="000000"/>
                <w:sz w:val="20"/>
                <w:szCs w:val="18"/>
                <w:lang w:eastAsia="en-GB"/>
              </w:rPr>
              <w:t xml:space="preserve"> 000’s</w:t>
            </w:r>
          </w:p>
        </w:tc>
        <w:tc>
          <w:tcPr>
            <w:tcW w:w="807" w:type="pct"/>
            <w:tcBorders>
              <w:top w:val="nil"/>
              <w:left w:val="nil"/>
              <w:bottom w:val="single" w:sz="4" w:space="0" w:color="auto"/>
              <w:right w:val="nil"/>
            </w:tcBorders>
            <w:vAlign w:val="center"/>
          </w:tcPr>
          <w:p w14:paraId="65AD2CA7" w14:textId="639DA983" w:rsidR="003E1B87" w:rsidRDefault="003E1B87" w:rsidP="00CC72FA">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Pr="0077388B">
              <w:rPr>
                <w:rFonts w:ascii="Calibri" w:eastAsia="Times New Roman" w:hAnsi="Calibri" w:cs="Arial"/>
                <w:b/>
                <w:bCs/>
                <w:color w:val="000000"/>
                <w:sz w:val="20"/>
                <w:szCs w:val="18"/>
                <w:lang w:eastAsia="en-GB"/>
              </w:rPr>
              <w:t xml:space="preserve"> 000’s</w:t>
            </w:r>
          </w:p>
        </w:tc>
      </w:tr>
      <w:tr w:rsidR="00711721" w:rsidRPr="0077388B" w14:paraId="22F4A99C" w14:textId="2E2257EB" w:rsidTr="00CC72FA">
        <w:trPr>
          <w:trHeight w:val="275"/>
        </w:trPr>
        <w:tc>
          <w:tcPr>
            <w:tcW w:w="2207" w:type="pct"/>
            <w:tcBorders>
              <w:top w:val="single" w:sz="4" w:space="0" w:color="auto"/>
              <w:left w:val="nil"/>
              <w:bottom w:val="nil"/>
              <w:right w:val="nil"/>
            </w:tcBorders>
            <w:shd w:val="clear" w:color="auto" w:fill="auto"/>
            <w:noWrap/>
            <w:vAlign w:val="center"/>
            <w:hideMark/>
          </w:tcPr>
          <w:p w14:paraId="69E75461" w14:textId="77777777" w:rsidR="003E1B87" w:rsidRPr="0077388B" w:rsidRDefault="003E1B87" w:rsidP="00711721">
            <w:pPr>
              <w:rPr>
                <w:rFonts w:ascii="Calibri" w:eastAsia="Times New Roman" w:hAnsi="Calibri" w:cs="Arial"/>
                <w:color w:val="000000"/>
                <w:sz w:val="20"/>
                <w:szCs w:val="18"/>
                <w:lang w:eastAsia="en-GB"/>
              </w:rPr>
            </w:pPr>
          </w:p>
        </w:tc>
        <w:tc>
          <w:tcPr>
            <w:tcW w:w="372" w:type="pct"/>
            <w:tcBorders>
              <w:top w:val="single" w:sz="4" w:space="0" w:color="auto"/>
              <w:left w:val="nil"/>
              <w:bottom w:val="nil"/>
              <w:right w:val="nil"/>
            </w:tcBorders>
            <w:shd w:val="clear" w:color="auto" w:fill="auto"/>
            <w:noWrap/>
            <w:vAlign w:val="bottom"/>
            <w:hideMark/>
          </w:tcPr>
          <w:p w14:paraId="6A9D02A6" w14:textId="77777777" w:rsidR="003E1B87" w:rsidRPr="0077388B" w:rsidRDefault="003E1B87" w:rsidP="003E1B87">
            <w:pPr>
              <w:rPr>
                <w:rFonts w:ascii="Calibri" w:eastAsia="Times New Roman" w:hAnsi="Calibri" w:cs="Arial"/>
                <w:color w:val="000000"/>
                <w:sz w:val="20"/>
                <w:szCs w:val="18"/>
                <w:lang w:eastAsia="en-GB"/>
              </w:rPr>
            </w:pPr>
          </w:p>
        </w:tc>
        <w:tc>
          <w:tcPr>
            <w:tcW w:w="807" w:type="pct"/>
            <w:tcBorders>
              <w:top w:val="single" w:sz="4" w:space="0" w:color="auto"/>
              <w:left w:val="nil"/>
              <w:bottom w:val="nil"/>
              <w:right w:val="nil"/>
            </w:tcBorders>
            <w:shd w:val="clear" w:color="auto" w:fill="auto"/>
            <w:noWrap/>
            <w:vAlign w:val="center"/>
            <w:hideMark/>
          </w:tcPr>
          <w:p w14:paraId="247B8C59" w14:textId="77777777" w:rsidR="003E1B87" w:rsidRPr="0077388B" w:rsidRDefault="003E1B87" w:rsidP="00711721">
            <w:pPr>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 xml:space="preserve"> </w:t>
            </w:r>
          </w:p>
        </w:tc>
        <w:tc>
          <w:tcPr>
            <w:tcW w:w="807" w:type="pct"/>
            <w:tcBorders>
              <w:top w:val="single" w:sz="4" w:space="0" w:color="auto"/>
              <w:left w:val="nil"/>
              <w:bottom w:val="nil"/>
              <w:right w:val="nil"/>
            </w:tcBorders>
            <w:shd w:val="clear" w:color="auto" w:fill="auto"/>
            <w:noWrap/>
            <w:vAlign w:val="center"/>
          </w:tcPr>
          <w:p w14:paraId="32C3F758" w14:textId="77777777" w:rsidR="003E1B87" w:rsidRPr="0077388B" w:rsidRDefault="003E1B87" w:rsidP="00711721">
            <w:pPr>
              <w:jc w:val="right"/>
              <w:rPr>
                <w:rFonts w:ascii="Calibri" w:eastAsia="Times New Roman" w:hAnsi="Calibri" w:cs="Arial"/>
                <w:color w:val="000000"/>
                <w:sz w:val="20"/>
                <w:szCs w:val="18"/>
                <w:lang w:eastAsia="en-GB"/>
              </w:rPr>
            </w:pPr>
          </w:p>
        </w:tc>
        <w:tc>
          <w:tcPr>
            <w:tcW w:w="807" w:type="pct"/>
            <w:tcBorders>
              <w:top w:val="single" w:sz="4" w:space="0" w:color="auto"/>
              <w:left w:val="nil"/>
              <w:bottom w:val="nil"/>
              <w:right w:val="nil"/>
            </w:tcBorders>
            <w:vAlign w:val="center"/>
          </w:tcPr>
          <w:p w14:paraId="2AC646CE" w14:textId="77777777" w:rsidR="003E1B87" w:rsidRPr="0077388B" w:rsidRDefault="003E1B87" w:rsidP="00711721">
            <w:pPr>
              <w:jc w:val="right"/>
              <w:rPr>
                <w:rFonts w:ascii="Calibri" w:eastAsia="Times New Roman" w:hAnsi="Calibri" w:cs="Arial"/>
                <w:color w:val="000000"/>
                <w:sz w:val="20"/>
                <w:szCs w:val="18"/>
                <w:lang w:eastAsia="en-GB"/>
              </w:rPr>
            </w:pPr>
          </w:p>
        </w:tc>
      </w:tr>
      <w:tr w:rsidR="00711721" w:rsidRPr="0077388B" w14:paraId="252F5925" w14:textId="19F1E8EA" w:rsidTr="00CC72FA">
        <w:trPr>
          <w:trHeight w:val="275"/>
        </w:trPr>
        <w:tc>
          <w:tcPr>
            <w:tcW w:w="2207" w:type="pct"/>
            <w:tcBorders>
              <w:top w:val="nil"/>
              <w:left w:val="nil"/>
              <w:bottom w:val="nil"/>
              <w:right w:val="nil"/>
            </w:tcBorders>
            <w:shd w:val="clear" w:color="auto" w:fill="auto"/>
            <w:noWrap/>
            <w:vAlign w:val="center"/>
            <w:hideMark/>
          </w:tcPr>
          <w:p w14:paraId="1F1B99D2" w14:textId="77777777" w:rsidR="00763235" w:rsidRPr="0077388B" w:rsidRDefault="00763235" w:rsidP="00711721">
            <w:pPr>
              <w:rPr>
                <w:rFonts w:ascii="Calibri" w:eastAsia="Times New Roman" w:hAnsi="Calibri" w:cs="Arial"/>
                <w:color w:val="000000"/>
                <w:sz w:val="20"/>
                <w:szCs w:val="18"/>
                <w:lang w:eastAsia="en-GB"/>
              </w:rPr>
            </w:pPr>
            <w:r w:rsidRPr="0077388B">
              <w:rPr>
                <w:rFonts w:ascii="Calibri" w:eastAsia="Times New Roman" w:hAnsi="Calibri" w:cs="Arial"/>
                <w:color w:val="000000"/>
                <w:sz w:val="20"/>
                <w:szCs w:val="18"/>
                <w:lang w:eastAsia="en-GB"/>
              </w:rPr>
              <w:t xml:space="preserve">Administrative expenses </w:t>
            </w:r>
          </w:p>
        </w:tc>
        <w:tc>
          <w:tcPr>
            <w:tcW w:w="372" w:type="pct"/>
            <w:tcBorders>
              <w:top w:val="nil"/>
              <w:left w:val="nil"/>
              <w:bottom w:val="nil"/>
              <w:right w:val="nil"/>
            </w:tcBorders>
            <w:shd w:val="clear" w:color="auto" w:fill="auto"/>
            <w:noWrap/>
            <w:vAlign w:val="bottom"/>
            <w:hideMark/>
          </w:tcPr>
          <w:p w14:paraId="00E8C018" w14:textId="77777777" w:rsidR="00763235" w:rsidRPr="0077388B" w:rsidRDefault="00763235" w:rsidP="00763235">
            <w:pPr>
              <w:rPr>
                <w:rFonts w:ascii="Calibri" w:eastAsia="Times New Roman" w:hAnsi="Calibri" w:cs="Arial"/>
                <w:color w:val="000000"/>
                <w:sz w:val="20"/>
                <w:szCs w:val="18"/>
                <w:lang w:eastAsia="en-GB"/>
              </w:rPr>
            </w:pPr>
          </w:p>
        </w:tc>
        <w:tc>
          <w:tcPr>
            <w:tcW w:w="807" w:type="pct"/>
            <w:tcBorders>
              <w:top w:val="nil"/>
              <w:left w:val="nil"/>
              <w:bottom w:val="nil"/>
              <w:right w:val="nil"/>
            </w:tcBorders>
            <w:shd w:val="clear" w:color="auto" w:fill="auto"/>
            <w:noWrap/>
            <w:vAlign w:val="center"/>
          </w:tcPr>
          <w:p w14:paraId="7C1E1209" w14:textId="202E91F0" w:rsidR="00763235" w:rsidRPr="0077388B" w:rsidRDefault="001A2161" w:rsidP="00711721">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(776)</w:t>
            </w:r>
          </w:p>
        </w:tc>
        <w:tc>
          <w:tcPr>
            <w:tcW w:w="807" w:type="pct"/>
            <w:tcBorders>
              <w:top w:val="nil"/>
              <w:left w:val="nil"/>
              <w:bottom w:val="nil"/>
              <w:right w:val="nil"/>
            </w:tcBorders>
            <w:shd w:val="clear" w:color="auto" w:fill="auto"/>
            <w:noWrap/>
            <w:vAlign w:val="center"/>
          </w:tcPr>
          <w:p w14:paraId="28A6E1C0" w14:textId="119ADB08" w:rsidR="00763235" w:rsidRPr="002E4743" w:rsidRDefault="00763235" w:rsidP="00711721">
            <w:pPr>
              <w:jc w:val="right"/>
              <w:rPr>
                <w:rFonts w:ascii="Calibri" w:eastAsia="Times New Roman" w:hAnsi="Calibri" w:cs="Arial"/>
                <w:b/>
                <w:color w:val="000000"/>
                <w:sz w:val="20"/>
                <w:szCs w:val="18"/>
                <w:lang w:eastAsia="en-GB"/>
              </w:rPr>
            </w:pPr>
            <w:r>
              <w:rPr>
                <w:rFonts w:ascii="Calibri" w:eastAsia="Times New Roman" w:hAnsi="Calibri" w:cs="Arial"/>
                <w:b/>
                <w:bCs/>
                <w:color w:val="000000"/>
                <w:sz w:val="20"/>
                <w:szCs w:val="18"/>
                <w:lang w:eastAsia="en-GB"/>
              </w:rPr>
              <w:t>(2</w:t>
            </w:r>
            <w:r w:rsidR="001A2161">
              <w:rPr>
                <w:rFonts w:ascii="Calibri" w:eastAsia="Times New Roman" w:hAnsi="Calibri" w:cs="Arial"/>
                <w:b/>
                <w:bCs/>
                <w:color w:val="000000"/>
                <w:sz w:val="20"/>
                <w:szCs w:val="18"/>
                <w:lang w:eastAsia="en-GB"/>
              </w:rPr>
              <w:t>54</w:t>
            </w:r>
            <w:r>
              <w:rPr>
                <w:rFonts w:ascii="Calibri" w:eastAsia="Times New Roman" w:hAnsi="Calibri" w:cs="Arial"/>
                <w:b/>
                <w:bCs/>
                <w:color w:val="000000"/>
                <w:sz w:val="20"/>
                <w:szCs w:val="18"/>
                <w:lang w:eastAsia="en-GB"/>
              </w:rPr>
              <w:t>)</w:t>
            </w:r>
          </w:p>
        </w:tc>
        <w:tc>
          <w:tcPr>
            <w:tcW w:w="807" w:type="pct"/>
            <w:tcBorders>
              <w:top w:val="nil"/>
              <w:left w:val="nil"/>
              <w:bottom w:val="nil"/>
              <w:right w:val="nil"/>
            </w:tcBorders>
            <w:vAlign w:val="center"/>
          </w:tcPr>
          <w:p w14:paraId="26DF019A" w14:textId="202BC11F" w:rsidR="00763235" w:rsidRDefault="001A2161" w:rsidP="00711721">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(605)</w:t>
            </w:r>
          </w:p>
        </w:tc>
      </w:tr>
      <w:tr w:rsidR="00711721" w:rsidRPr="0077388B" w14:paraId="56281ACD" w14:textId="77777777" w:rsidTr="00CC72FA">
        <w:trPr>
          <w:trHeight w:val="275"/>
        </w:trPr>
        <w:tc>
          <w:tcPr>
            <w:tcW w:w="2207" w:type="pct"/>
            <w:tcBorders>
              <w:top w:val="nil"/>
              <w:left w:val="nil"/>
              <w:bottom w:val="nil"/>
              <w:right w:val="nil"/>
            </w:tcBorders>
            <w:shd w:val="clear" w:color="auto" w:fill="auto"/>
            <w:noWrap/>
            <w:vAlign w:val="center"/>
          </w:tcPr>
          <w:p w14:paraId="73902364" w14:textId="6F63C128" w:rsidR="001A2161" w:rsidRPr="0077388B" w:rsidRDefault="001A2161" w:rsidP="00711721">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Prospectus costs</w:t>
            </w:r>
          </w:p>
        </w:tc>
        <w:tc>
          <w:tcPr>
            <w:tcW w:w="372" w:type="pct"/>
            <w:tcBorders>
              <w:top w:val="nil"/>
              <w:left w:val="nil"/>
              <w:bottom w:val="nil"/>
              <w:right w:val="nil"/>
            </w:tcBorders>
            <w:shd w:val="clear" w:color="auto" w:fill="auto"/>
            <w:noWrap/>
            <w:vAlign w:val="bottom"/>
          </w:tcPr>
          <w:p w14:paraId="7BAAAFB5" w14:textId="77777777" w:rsidR="001A2161" w:rsidRPr="0077388B" w:rsidRDefault="001A2161" w:rsidP="00763235">
            <w:pPr>
              <w:rPr>
                <w:rFonts w:ascii="Calibri" w:eastAsia="Times New Roman" w:hAnsi="Calibri" w:cs="Arial"/>
                <w:color w:val="000000"/>
                <w:sz w:val="20"/>
                <w:szCs w:val="18"/>
                <w:lang w:eastAsia="en-GB"/>
              </w:rPr>
            </w:pPr>
          </w:p>
        </w:tc>
        <w:tc>
          <w:tcPr>
            <w:tcW w:w="807" w:type="pct"/>
            <w:tcBorders>
              <w:top w:val="nil"/>
              <w:left w:val="nil"/>
              <w:bottom w:val="nil"/>
              <w:right w:val="nil"/>
            </w:tcBorders>
            <w:shd w:val="clear" w:color="auto" w:fill="auto"/>
            <w:noWrap/>
            <w:vAlign w:val="center"/>
          </w:tcPr>
          <w:p w14:paraId="5E23A0AC" w14:textId="426B90E9" w:rsidR="001A2161" w:rsidRDefault="001A2161" w:rsidP="00711721">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807" w:type="pct"/>
            <w:tcBorders>
              <w:top w:val="nil"/>
              <w:left w:val="nil"/>
              <w:bottom w:val="nil"/>
              <w:right w:val="nil"/>
            </w:tcBorders>
            <w:shd w:val="clear" w:color="auto" w:fill="auto"/>
            <w:noWrap/>
            <w:vAlign w:val="center"/>
          </w:tcPr>
          <w:p w14:paraId="17D7D24F" w14:textId="12D2536E" w:rsidR="001A2161" w:rsidRDefault="001A2161" w:rsidP="00711721">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807" w:type="pct"/>
            <w:tcBorders>
              <w:top w:val="nil"/>
              <w:left w:val="nil"/>
              <w:bottom w:val="nil"/>
              <w:right w:val="nil"/>
            </w:tcBorders>
            <w:vAlign w:val="center"/>
          </w:tcPr>
          <w:p w14:paraId="4DABE2C9" w14:textId="0D95013E" w:rsidR="001A2161" w:rsidRDefault="001A2161" w:rsidP="00711721">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00467CDF">
              <w:rPr>
                <w:rFonts w:ascii="Calibri" w:eastAsia="Times New Roman" w:hAnsi="Calibri" w:cs="Arial"/>
                <w:b/>
                <w:bCs/>
                <w:color w:val="000000"/>
                <w:sz w:val="20"/>
                <w:szCs w:val="18"/>
                <w:lang w:eastAsia="en-GB"/>
              </w:rPr>
              <w:t>95</w:t>
            </w:r>
            <w:r>
              <w:rPr>
                <w:rFonts w:ascii="Calibri" w:eastAsia="Times New Roman" w:hAnsi="Calibri" w:cs="Arial"/>
                <w:b/>
                <w:bCs/>
                <w:color w:val="000000"/>
                <w:sz w:val="20"/>
                <w:szCs w:val="18"/>
                <w:lang w:eastAsia="en-GB"/>
              </w:rPr>
              <w:t>)</w:t>
            </w:r>
          </w:p>
        </w:tc>
      </w:tr>
      <w:tr w:rsidR="00711721" w:rsidRPr="0077388B" w14:paraId="6698748E" w14:textId="77777777" w:rsidTr="00CC72FA">
        <w:trPr>
          <w:trHeight w:val="275"/>
        </w:trPr>
        <w:tc>
          <w:tcPr>
            <w:tcW w:w="2207" w:type="pct"/>
            <w:tcBorders>
              <w:top w:val="nil"/>
              <w:left w:val="nil"/>
              <w:bottom w:val="nil"/>
              <w:right w:val="nil"/>
            </w:tcBorders>
            <w:shd w:val="clear" w:color="auto" w:fill="auto"/>
            <w:noWrap/>
            <w:vAlign w:val="center"/>
          </w:tcPr>
          <w:p w14:paraId="2C23517C" w14:textId="478B348B" w:rsidR="001A2161" w:rsidRPr="0077388B" w:rsidRDefault="001A2161" w:rsidP="00711721">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Other losses</w:t>
            </w:r>
          </w:p>
        </w:tc>
        <w:tc>
          <w:tcPr>
            <w:tcW w:w="372" w:type="pct"/>
            <w:tcBorders>
              <w:top w:val="nil"/>
              <w:left w:val="nil"/>
              <w:bottom w:val="nil"/>
              <w:right w:val="nil"/>
            </w:tcBorders>
            <w:shd w:val="clear" w:color="auto" w:fill="auto"/>
            <w:noWrap/>
            <w:vAlign w:val="bottom"/>
          </w:tcPr>
          <w:p w14:paraId="61F9CEFF" w14:textId="77777777" w:rsidR="001A2161" w:rsidRPr="0077388B" w:rsidRDefault="001A2161" w:rsidP="00763235">
            <w:pPr>
              <w:rPr>
                <w:rFonts w:ascii="Calibri" w:eastAsia="Times New Roman" w:hAnsi="Calibri" w:cs="Arial"/>
                <w:color w:val="000000"/>
                <w:sz w:val="20"/>
                <w:szCs w:val="18"/>
                <w:lang w:eastAsia="en-GB"/>
              </w:rPr>
            </w:pPr>
          </w:p>
        </w:tc>
        <w:tc>
          <w:tcPr>
            <w:tcW w:w="807" w:type="pct"/>
            <w:tcBorders>
              <w:top w:val="nil"/>
              <w:left w:val="nil"/>
              <w:bottom w:val="nil"/>
              <w:right w:val="nil"/>
            </w:tcBorders>
            <w:shd w:val="clear" w:color="auto" w:fill="auto"/>
            <w:noWrap/>
            <w:vAlign w:val="center"/>
          </w:tcPr>
          <w:p w14:paraId="4786FB61" w14:textId="33A3215F" w:rsidR="001A2161" w:rsidRDefault="001A2161" w:rsidP="00711721">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807" w:type="pct"/>
            <w:tcBorders>
              <w:top w:val="nil"/>
              <w:left w:val="nil"/>
              <w:bottom w:val="nil"/>
              <w:right w:val="nil"/>
            </w:tcBorders>
            <w:shd w:val="clear" w:color="auto" w:fill="auto"/>
            <w:noWrap/>
            <w:vAlign w:val="center"/>
          </w:tcPr>
          <w:p w14:paraId="2066A3EA" w14:textId="1444147A" w:rsidR="001A2161" w:rsidRDefault="001A2161" w:rsidP="00711721">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807" w:type="pct"/>
            <w:tcBorders>
              <w:top w:val="nil"/>
              <w:left w:val="nil"/>
              <w:bottom w:val="nil"/>
              <w:right w:val="nil"/>
            </w:tcBorders>
            <w:vAlign w:val="center"/>
          </w:tcPr>
          <w:p w14:paraId="1CAAFC29" w14:textId="1930C0E3" w:rsidR="001A2161" w:rsidRDefault="001A2161" w:rsidP="00711721">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(8)</w:t>
            </w:r>
          </w:p>
        </w:tc>
      </w:tr>
      <w:tr w:rsidR="00711721" w:rsidRPr="0077388B" w14:paraId="55758B1A" w14:textId="21C8C2B9" w:rsidTr="00CC72FA">
        <w:trPr>
          <w:trHeight w:val="275"/>
        </w:trPr>
        <w:tc>
          <w:tcPr>
            <w:tcW w:w="2207" w:type="pct"/>
            <w:tcBorders>
              <w:top w:val="nil"/>
              <w:left w:val="nil"/>
              <w:bottom w:val="nil"/>
              <w:right w:val="nil"/>
            </w:tcBorders>
            <w:shd w:val="clear" w:color="auto" w:fill="auto"/>
            <w:noWrap/>
            <w:vAlign w:val="center"/>
            <w:hideMark/>
          </w:tcPr>
          <w:p w14:paraId="247BA47A" w14:textId="77777777" w:rsidR="00763235" w:rsidRPr="0077388B" w:rsidRDefault="00763235" w:rsidP="00711721">
            <w:pPr>
              <w:rPr>
                <w:rFonts w:ascii="Calibri" w:eastAsia="Times New Roman" w:hAnsi="Calibri" w:cs="Arial"/>
                <w:color w:val="000000"/>
                <w:sz w:val="20"/>
                <w:szCs w:val="18"/>
                <w:lang w:eastAsia="en-GB"/>
              </w:rPr>
            </w:pPr>
          </w:p>
        </w:tc>
        <w:tc>
          <w:tcPr>
            <w:tcW w:w="372" w:type="pct"/>
            <w:tcBorders>
              <w:top w:val="nil"/>
              <w:left w:val="nil"/>
              <w:bottom w:val="nil"/>
              <w:right w:val="nil"/>
            </w:tcBorders>
            <w:shd w:val="clear" w:color="auto" w:fill="auto"/>
            <w:noWrap/>
            <w:vAlign w:val="bottom"/>
            <w:hideMark/>
          </w:tcPr>
          <w:p w14:paraId="3661B376" w14:textId="77777777" w:rsidR="00763235" w:rsidRPr="0077388B" w:rsidRDefault="00763235" w:rsidP="00763235">
            <w:pPr>
              <w:rPr>
                <w:rFonts w:ascii="Calibri" w:eastAsia="Times New Roman" w:hAnsi="Calibri" w:cs="Arial"/>
                <w:color w:val="000000"/>
                <w:sz w:val="20"/>
                <w:szCs w:val="18"/>
                <w:lang w:eastAsia="en-GB"/>
              </w:rPr>
            </w:pPr>
          </w:p>
        </w:tc>
        <w:tc>
          <w:tcPr>
            <w:tcW w:w="807" w:type="pct"/>
            <w:tcBorders>
              <w:top w:val="nil"/>
              <w:left w:val="nil"/>
              <w:bottom w:val="single" w:sz="4" w:space="0" w:color="auto"/>
              <w:right w:val="nil"/>
            </w:tcBorders>
            <w:shd w:val="clear" w:color="auto" w:fill="auto"/>
            <w:noWrap/>
            <w:vAlign w:val="center"/>
          </w:tcPr>
          <w:p w14:paraId="5D2E9938" w14:textId="77777777" w:rsidR="00763235" w:rsidRPr="0077388B" w:rsidRDefault="00763235" w:rsidP="00711721">
            <w:pPr>
              <w:jc w:val="right"/>
              <w:rPr>
                <w:rFonts w:ascii="Calibri" w:eastAsia="Times New Roman" w:hAnsi="Calibri" w:cs="Arial"/>
                <w:b/>
                <w:bCs/>
                <w:color w:val="000000"/>
                <w:sz w:val="20"/>
                <w:szCs w:val="18"/>
                <w:lang w:eastAsia="en-GB"/>
              </w:rPr>
            </w:pPr>
          </w:p>
        </w:tc>
        <w:tc>
          <w:tcPr>
            <w:tcW w:w="807" w:type="pct"/>
            <w:tcBorders>
              <w:top w:val="nil"/>
              <w:left w:val="nil"/>
              <w:bottom w:val="single" w:sz="4" w:space="0" w:color="auto"/>
              <w:right w:val="nil"/>
            </w:tcBorders>
            <w:shd w:val="clear" w:color="auto" w:fill="auto"/>
            <w:noWrap/>
            <w:vAlign w:val="center"/>
          </w:tcPr>
          <w:p w14:paraId="5FB8F400" w14:textId="77777777" w:rsidR="00763235" w:rsidRPr="002E4743" w:rsidRDefault="00763235" w:rsidP="00711721">
            <w:pPr>
              <w:jc w:val="right"/>
              <w:rPr>
                <w:rFonts w:ascii="Calibri" w:eastAsia="Times New Roman" w:hAnsi="Calibri" w:cs="Arial"/>
                <w:b/>
                <w:color w:val="000000"/>
                <w:sz w:val="20"/>
                <w:szCs w:val="18"/>
                <w:lang w:eastAsia="en-GB"/>
              </w:rPr>
            </w:pPr>
          </w:p>
        </w:tc>
        <w:tc>
          <w:tcPr>
            <w:tcW w:w="807" w:type="pct"/>
            <w:tcBorders>
              <w:top w:val="nil"/>
              <w:left w:val="nil"/>
              <w:bottom w:val="single" w:sz="4" w:space="0" w:color="auto"/>
              <w:right w:val="nil"/>
            </w:tcBorders>
            <w:vAlign w:val="center"/>
          </w:tcPr>
          <w:p w14:paraId="315813EE" w14:textId="77777777" w:rsidR="00763235" w:rsidRPr="002E4743" w:rsidRDefault="00763235" w:rsidP="00711721">
            <w:pPr>
              <w:jc w:val="right"/>
              <w:rPr>
                <w:rFonts w:ascii="Calibri" w:eastAsia="Times New Roman" w:hAnsi="Calibri" w:cs="Arial"/>
                <w:b/>
                <w:color w:val="000000"/>
                <w:sz w:val="20"/>
                <w:szCs w:val="18"/>
                <w:lang w:eastAsia="en-GB"/>
              </w:rPr>
            </w:pPr>
          </w:p>
        </w:tc>
      </w:tr>
      <w:tr w:rsidR="00711721" w:rsidRPr="0077388B" w14:paraId="7161B27D" w14:textId="74AD19C3" w:rsidTr="00CC72FA">
        <w:trPr>
          <w:trHeight w:val="275"/>
        </w:trPr>
        <w:tc>
          <w:tcPr>
            <w:tcW w:w="2207" w:type="pct"/>
            <w:tcBorders>
              <w:top w:val="nil"/>
              <w:left w:val="nil"/>
              <w:bottom w:val="nil"/>
              <w:right w:val="nil"/>
            </w:tcBorders>
            <w:shd w:val="clear" w:color="auto" w:fill="auto"/>
            <w:noWrap/>
            <w:vAlign w:val="center"/>
            <w:hideMark/>
          </w:tcPr>
          <w:p w14:paraId="19663BE4" w14:textId="77777777" w:rsidR="00763235" w:rsidRPr="0077388B" w:rsidRDefault="00763235" w:rsidP="00711721">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 xml:space="preserve">Operating loss </w:t>
            </w:r>
          </w:p>
        </w:tc>
        <w:tc>
          <w:tcPr>
            <w:tcW w:w="372" w:type="pct"/>
            <w:tcBorders>
              <w:top w:val="nil"/>
              <w:left w:val="nil"/>
              <w:bottom w:val="nil"/>
              <w:right w:val="nil"/>
            </w:tcBorders>
            <w:shd w:val="clear" w:color="auto" w:fill="auto"/>
            <w:noWrap/>
            <w:vAlign w:val="bottom"/>
            <w:hideMark/>
          </w:tcPr>
          <w:p w14:paraId="02144C55" w14:textId="77777777" w:rsidR="00763235" w:rsidRPr="0077388B" w:rsidRDefault="00763235" w:rsidP="00763235">
            <w:pPr>
              <w:rPr>
                <w:rFonts w:ascii="Calibri" w:eastAsia="Times New Roman" w:hAnsi="Calibri" w:cs="Arial"/>
                <w:b/>
                <w:bCs/>
                <w:color w:val="000000"/>
                <w:sz w:val="20"/>
                <w:szCs w:val="18"/>
                <w:lang w:eastAsia="en-GB"/>
              </w:rPr>
            </w:pPr>
          </w:p>
        </w:tc>
        <w:tc>
          <w:tcPr>
            <w:tcW w:w="807" w:type="pct"/>
            <w:tcBorders>
              <w:top w:val="single" w:sz="4" w:space="0" w:color="auto"/>
              <w:left w:val="nil"/>
              <w:bottom w:val="single" w:sz="4" w:space="0" w:color="auto"/>
              <w:right w:val="nil"/>
            </w:tcBorders>
            <w:shd w:val="clear" w:color="auto" w:fill="auto"/>
            <w:noWrap/>
            <w:vAlign w:val="center"/>
          </w:tcPr>
          <w:p w14:paraId="5FC11CB0" w14:textId="0BA63785" w:rsidR="00763235" w:rsidRPr="0077388B" w:rsidRDefault="001A2161" w:rsidP="00711721">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(776)</w:t>
            </w:r>
          </w:p>
        </w:tc>
        <w:tc>
          <w:tcPr>
            <w:tcW w:w="807" w:type="pct"/>
            <w:tcBorders>
              <w:top w:val="single" w:sz="4" w:space="0" w:color="auto"/>
              <w:left w:val="nil"/>
              <w:bottom w:val="single" w:sz="4" w:space="0" w:color="auto"/>
              <w:right w:val="nil"/>
            </w:tcBorders>
            <w:shd w:val="clear" w:color="auto" w:fill="auto"/>
            <w:noWrap/>
            <w:vAlign w:val="center"/>
          </w:tcPr>
          <w:p w14:paraId="0E76748B" w14:textId="458065F6" w:rsidR="00763235" w:rsidRPr="006F69F7" w:rsidRDefault="00763235" w:rsidP="00711721">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w:t>
            </w:r>
            <w:r w:rsidR="001A2161">
              <w:rPr>
                <w:rFonts w:ascii="Calibri" w:eastAsia="Times New Roman" w:hAnsi="Calibri" w:cs="Arial"/>
                <w:b/>
                <w:bCs/>
                <w:color w:val="000000"/>
                <w:sz w:val="20"/>
                <w:szCs w:val="18"/>
                <w:lang w:eastAsia="en-GB"/>
              </w:rPr>
              <w:t>54</w:t>
            </w:r>
            <w:r>
              <w:rPr>
                <w:rFonts w:ascii="Calibri" w:eastAsia="Times New Roman" w:hAnsi="Calibri" w:cs="Arial"/>
                <w:b/>
                <w:bCs/>
                <w:color w:val="000000"/>
                <w:sz w:val="20"/>
                <w:szCs w:val="18"/>
                <w:lang w:eastAsia="en-GB"/>
              </w:rPr>
              <w:t>)</w:t>
            </w:r>
          </w:p>
        </w:tc>
        <w:tc>
          <w:tcPr>
            <w:tcW w:w="807" w:type="pct"/>
            <w:tcBorders>
              <w:top w:val="single" w:sz="4" w:space="0" w:color="auto"/>
              <w:left w:val="nil"/>
              <w:bottom w:val="single" w:sz="4" w:space="0" w:color="auto"/>
              <w:right w:val="nil"/>
            </w:tcBorders>
            <w:vAlign w:val="center"/>
          </w:tcPr>
          <w:p w14:paraId="1E2B356B" w14:textId="0E1EEAD1" w:rsidR="00763235" w:rsidRDefault="001A2161" w:rsidP="00711721">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(708)</w:t>
            </w:r>
          </w:p>
        </w:tc>
      </w:tr>
      <w:tr w:rsidR="00711721" w:rsidRPr="0077388B" w14:paraId="495E1396" w14:textId="48E03448" w:rsidTr="00CC72FA">
        <w:trPr>
          <w:trHeight w:val="275"/>
        </w:trPr>
        <w:tc>
          <w:tcPr>
            <w:tcW w:w="2207" w:type="pct"/>
            <w:tcBorders>
              <w:top w:val="nil"/>
              <w:left w:val="nil"/>
              <w:bottom w:val="nil"/>
              <w:right w:val="nil"/>
            </w:tcBorders>
            <w:shd w:val="clear" w:color="auto" w:fill="auto"/>
            <w:noWrap/>
            <w:vAlign w:val="center"/>
            <w:hideMark/>
          </w:tcPr>
          <w:p w14:paraId="4C0955E1" w14:textId="77777777" w:rsidR="00763235" w:rsidRPr="0077388B" w:rsidRDefault="00763235" w:rsidP="00711721">
            <w:pPr>
              <w:rPr>
                <w:rFonts w:ascii="Calibri" w:eastAsia="Times New Roman" w:hAnsi="Calibri" w:cs="Arial"/>
                <w:color w:val="000000"/>
                <w:sz w:val="20"/>
                <w:szCs w:val="18"/>
                <w:lang w:eastAsia="en-GB"/>
              </w:rPr>
            </w:pPr>
          </w:p>
        </w:tc>
        <w:tc>
          <w:tcPr>
            <w:tcW w:w="372" w:type="pct"/>
            <w:tcBorders>
              <w:top w:val="nil"/>
              <w:left w:val="nil"/>
              <w:bottom w:val="nil"/>
              <w:right w:val="nil"/>
            </w:tcBorders>
            <w:shd w:val="clear" w:color="auto" w:fill="auto"/>
            <w:noWrap/>
            <w:vAlign w:val="bottom"/>
            <w:hideMark/>
          </w:tcPr>
          <w:p w14:paraId="1D3064F1" w14:textId="77777777" w:rsidR="00763235" w:rsidRPr="0077388B" w:rsidRDefault="00763235" w:rsidP="00763235">
            <w:pPr>
              <w:rPr>
                <w:rFonts w:ascii="Calibri" w:eastAsia="Times New Roman" w:hAnsi="Calibri"/>
                <w:sz w:val="20"/>
                <w:szCs w:val="20"/>
                <w:lang w:eastAsia="en-GB"/>
              </w:rPr>
            </w:pPr>
          </w:p>
        </w:tc>
        <w:tc>
          <w:tcPr>
            <w:tcW w:w="807" w:type="pct"/>
            <w:tcBorders>
              <w:top w:val="single" w:sz="4" w:space="0" w:color="auto"/>
              <w:left w:val="nil"/>
              <w:right w:val="nil"/>
            </w:tcBorders>
            <w:shd w:val="clear" w:color="auto" w:fill="auto"/>
            <w:noWrap/>
            <w:vAlign w:val="center"/>
          </w:tcPr>
          <w:p w14:paraId="649D40F9" w14:textId="77777777" w:rsidR="00763235" w:rsidRPr="0077388B" w:rsidRDefault="00763235" w:rsidP="00711721">
            <w:pPr>
              <w:jc w:val="right"/>
              <w:rPr>
                <w:rFonts w:ascii="Calibri" w:eastAsia="Times New Roman" w:hAnsi="Calibri"/>
                <w:sz w:val="20"/>
                <w:szCs w:val="20"/>
                <w:lang w:eastAsia="en-GB"/>
              </w:rPr>
            </w:pPr>
          </w:p>
        </w:tc>
        <w:tc>
          <w:tcPr>
            <w:tcW w:w="807" w:type="pct"/>
            <w:tcBorders>
              <w:top w:val="single" w:sz="4" w:space="0" w:color="auto"/>
              <w:left w:val="nil"/>
              <w:right w:val="nil"/>
            </w:tcBorders>
            <w:shd w:val="clear" w:color="auto" w:fill="auto"/>
            <w:noWrap/>
            <w:vAlign w:val="center"/>
          </w:tcPr>
          <w:p w14:paraId="7FD27EF9" w14:textId="77777777" w:rsidR="00763235" w:rsidRPr="002E4743" w:rsidRDefault="00763235" w:rsidP="00711721">
            <w:pPr>
              <w:jc w:val="right"/>
              <w:rPr>
                <w:rFonts w:ascii="Calibri" w:eastAsia="Times New Roman" w:hAnsi="Calibri"/>
                <w:b/>
                <w:sz w:val="20"/>
                <w:szCs w:val="20"/>
                <w:lang w:eastAsia="en-GB"/>
              </w:rPr>
            </w:pPr>
          </w:p>
        </w:tc>
        <w:tc>
          <w:tcPr>
            <w:tcW w:w="807" w:type="pct"/>
            <w:tcBorders>
              <w:top w:val="single" w:sz="4" w:space="0" w:color="auto"/>
              <w:left w:val="nil"/>
              <w:right w:val="nil"/>
            </w:tcBorders>
            <w:vAlign w:val="center"/>
          </w:tcPr>
          <w:p w14:paraId="5ACAA221" w14:textId="77777777" w:rsidR="00763235" w:rsidRPr="002E4743" w:rsidRDefault="00763235" w:rsidP="00711721">
            <w:pPr>
              <w:jc w:val="right"/>
              <w:rPr>
                <w:rFonts w:ascii="Calibri" w:eastAsia="Times New Roman" w:hAnsi="Calibri"/>
                <w:b/>
                <w:sz w:val="20"/>
                <w:szCs w:val="20"/>
                <w:lang w:eastAsia="en-GB"/>
              </w:rPr>
            </w:pPr>
          </w:p>
        </w:tc>
      </w:tr>
      <w:tr w:rsidR="00711721" w:rsidRPr="0077388B" w14:paraId="26DCE2E8" w14:textId="00736749" w:rsidTr="00CC72FA">
        <w:trPr>
          <w:trHeight w:val="275"/>
        </w:trPr>
        <w:tc>
          <w:tcPr>
            <w:tcW w:w="2207" w:type="pct"/>
            <w:tcBorders>
              <w:top w:val="nil"/>
              <w:left w:val="nil"/>
              <w:bottom w:val="nil"/>
              <w:right w:val="nil"/>
            </w:tcBorders>
            <w:shd w:val="clear" w:color="auto" w:fill="auto"/>
            <w:noWrap/>
            <w:vAlign w:val="center"/>
          </w:tcPr>
          <w:p w14:paraId="39224885" w14:textId="6B6A6FBC" w:rsidR="00763235" w:rsidRPr="006F69F7" w:rsidRDefault="006F69F7" w:rsidP="00711721">
            <w:pPr>
              <w:rPr>
                <w:rFonts w:ascii="Calibri" w:eastAsia="Times New Roman" w:hAnsi="Calibri" w:cs="Arial"/>
                <w:b/>
                <w:bCs/>
                <w:color w:val="000000"/>
                <w:sz w:val="20"/>
                <w:szCs w:val="18"/>
                <w:lang w:eastAsia="en-GB"/>
              </w:rPr>
            </w:pPr>
            <w:r w:rsidRPr="006F69F7">
              <w:rPr>
                <w:rFonts w:ascii="Calibri" w:eastAsia="Times New Roman" w:hAnsi="Calibri" w:cs="Arial"/>
                <w:b/>
                <w:bCs/>
                <w:color w:val="000000"/>
                <w:sz w:val="20"/>
                <w:szCs w:val="18"/>
                <w:lang w:eastAsia="en-GB"/>
              </w:rPr>
              <w:t>Net finance costs</w:t>
            </w:r>
          </w:p>
        </w:tc>
        <w:tc>
          <w:tcPr>
            <w:tcW w:w="372" w:type="pct"/>
            <w:tcBorders>
              <w:top w:val="nil"/>
              <w:left w:val="nil"/>
              <w:bottom w:val="nil"/>
              <w:right w:val="nil"/>
            </w:tcBorders>
            <w:shd w:val="clear" w:color="auto" w:fill="auto"/>
            <w:noWrap/>
            <w:vAlign w:val="bottom"/>
          </w:tcPr>
          <w:p w14:paraId="7344E6C9" w14:textId="77777777" w:rsidR="00763235" w:rsidRPr="0077388B" w:rsidRDefault="00763235" w:rsidP="00763235">
            <w:pPr>
              <w:rPr>
                <w:rFonts w:ascii="Calibri" w:eastAsia="Times New Roman" w:hAnsi="Calibri" w:cs="Arial"/>
                <w:color w:val="000000"/>
                <w:sz w:val="20"/>
                <w:szCs w:val="18"/>
                <w:lang w:eastAsia="en-GB"/>
              </w:rPr>
            </w:pPr>
          </w:p>
        </w:tc>
        <w:tc>
          <w:tcPr>
            <w:tcW w:w="807" w:type="pct"/>
            <w:tcBorders>
              <w:top w:val="nil"/>
              <w:left w:val="nil"/>
              <w:bottom w:val="single" w:sz="4" w:space="0" w:color="auto"/>
              <w:right w:val="nil"/>
            </w:tcBorders>
            <w:shd w:val="clear" w:color="auto" w:fill="auto"/>
            <w:noWrap/>
            <w:vAlign w:val="center"/>
          </w:tcPr>
          <w:p w14:paraId="3556B05F" w14:textId="1738081F" w:rsidR="00763235" w:rsidRPr="00290043" w:rsidRDefault="006F69F7" w:rsidP="00711721">
            <w:pPr>
              <w:pStyle w:val="ListParagraph"/>
              <w:ind w:left="40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807" w:type="pct"/>
            <w:tcBorders>
              <w:top w:val="nil"/>
              <w:left w:val="nil"/>
              <w:bottom w:val="single" w:sz="4" w:space="0" w:color="auto"/>
              <w:right w:val="nil"/>
            </w:tcBorders>
            <w:shd w:val="clear" w:color="auto" w:fill="auto"/>
            <w:noWrap/>
            <w:vAlign w:val="center"/>
          </w:tcPr>
          <w:p w14:paraId="59B8F005" w14:textId="5B9C5AE3" w:rsidR="00763235" w:rsidRPr="002E4743" w:rsidRDefault="006F69F7" w:rsidP="00711721">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807" w:type="pct"/>
            <w:tcBorders>
              <w:top w:val="nil"/>
              <w:left w:val="nil"/>
              <w:bottom w:val="single" w:sz="4" w:space="0" w:color="auto"/>
              <w:right w:val="nil"/>
            </w:tcBorders>
            <w:vAlign w:val="center"/>
          </w:tcPr>
          <w:p w14:paraId="59219D87" w14:textId="18579733" w:rsidR="00763235" w:rsidRPr="002E4743" w:rsidRDefault="006F69F7" w:rsidP="00711721">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r>
      <w:tr w:rsidR="00711721" w:rsidRPr="0077388B" w14:paraId="2600B430" w14:textId="77777777" w:rsidTr="00CC72FA">
        <w:trPr>
          <w:trHeight w:val="275"/>
        </w:trPr>
        <w:tc>
          <w:tcPr>
            <w:tcW w:w="2207" w:type="pct"/>
            <w:tcBorders>
              <w:top w:val="nil"/>
              <w:left w:val="nil"/>
              <w:bottom w:val="nil"/>
              <w:right w:val="nil"/>
            </w:tcBorders>
            <w:shd w:val="clear" w:color="auto" w:fill="auto"/>
            <w:noWrap/>
            <w:vAlign w:val="center"/>
          </w:tcPr>
          <w:p w14:paraId="689DFBD5" w14:textId="77777777" w:rsidR="006F69F7" w:rsidRPr="006F69F7" w:rsidRDefault="006F69F7" w:rsidP="00711721">
            <w:pPr>
              <w:rPr>
                <w:rFonts w:ascii="Calibri" w:eastAsia="Times New Roman" w:hAnsi="Calibri" w:cs="Arial"/>
                <w:b/>
                <w:bCs/>
                <w:color w:val="000000"/>
                <w:sz w:val="20"/>
                <w:szCs w:val="18"/>
                <w:lang w:eastAsia="en-GB"/>
              </w:rPr>
            </w:pPr>
          </w:p>
        </w:tc>
        <w:tc>
          <w:tcPr>
            <w:tcW w:w="372" w:type="pct"/>
            <w:tcBorders>
              <w:top w:val="nil"/>
              <w:left w:val="nil"/>
              <w:bottom w:val="nil"/>
              <w:right w:val="nil"/>
            </w:tcBorders>
            <w:shd w:val="clear" w:color="auto" w:fill="auto"/>
            <w:noWrap/>
            <w:vAlign w:val="bottom"/>
          </w:tcPr>
          <w:p w14:paraId="0FD3150A" w14:textId="77777777" w:rsidR="006F69F7" w:rsidRPr="0077388B" w:rsidRDefault="006F69F7" w:rsidP="00763235">
            <w:pPr>
              <w:rPr>
                <w:rFonts w:ascii="Calibri" w:eastAsia="Times New Roman" w:hAnsi="Calibri" w:cs="Arial"/>
                <w:color w:val="000000"/>
                <w:sz w:val="20"/>
                <w:szCs w:val="18"/>
                <w:lang w:eastAsia="en-GB"/>
              </w:rPr>
            </w:pPr>
          </w:p>
        </w:tc>
        <w:tc>
          <w:tcPr>
            <w:tcW w:w="807" w:type="pct"/>
            <w:tcBorders>
              <w:top w:val="single" w:sz="4" w:space="0" w:color="auto"/>
              <w:left w:val="nil"/>
              <w:right w:val="nil"/>
            </w:tcBorders>
            <w:shd w:val="clear" w:color="auto" w:fill="auto"/>
            <w:noWrap/>
            <w:vAlign w:val="center"/>
          </w:tcPr>
          <w:p w14:paraId="2FDAE15F" w14:textId="77777777" w:rsidR="006F69F7" w:rsidRDefault="006F69F7" w:rsidP="00711721">
            <w:pPr>
              <w:pStyle w:val="ListParagraph"/>
              <w:ind w:left="400"/>
              <w:jc w:val="right"/>
              <w:rPr>
                <w:rFonts w:ascii="Calibri" w:eastAsia="Times New Roman" w:hAnsi="Calibri" w:cs="Arial"/>
                <w:b/>
                <w:bCs/>
                <w:color w:val="000000"/>
                <w:sz w:val="20"/>
                <w:szCs w:val="18"/>
                <w:lang w:eastAsia="en-GB"/>
              </w:rPr>
            </w:pPr>
          </w:p>
        </w:tc>
        <w:tc>
          <w:tcPr>
            <w:tcW w:w="807" w:type="pct"/>
            <w:tcBorders>
              <w:top w:val="single" w:sz="4" w:space="0" w:color="auto"/>
              <w:left w:val="nil"/>
              <w:right w:val="nil"/>
            </w:tcBorders>
            <w:shd w:val="clear" w:color="auto" w:fill="auto"/>
            <w:noWrap/>
            <w:vAlign w:val="center"/>
          </w:tcPr>
          <w:p w14:paraId="7B04D0F3" w14:textId="77777777" w:rsidR="006F69F7" w:rsidRDefault="006F69F7" w:rsidP="00711721">
            <w:pPr>
              <w:jc w:val="right"/>
              <w:rPr>
                <w:rFonts w:ascii="Calibri" w:eastAsia="Times New Roman" w:hAnsi="Calibri" w:cs="Arial"/>
                <w:b/>
                <w:color w:val="000000"/>
                <w:sz w:val="20"/>
                <w:szCs w:val="18"/>
                <w:lang w:eastAsia="en-GB"/>
              </w:rPr>
            </w:pPr>
          </w:p>
        </w:tc>
        <w:tc>
          <w:tcPr>
            <w:tcW w:w="807" w:type="pct"/>
            <w:tcBorders>
              <w:top w:val="single" w:sz="4" w:space="0" w:color="auto"/>
              <w:left w:val="nil"/>
              <w:right w:val="nil"/>
            </w:tcBorders>
            <w:vAlign w:val="center"/>
          </w:tcPr>
          <w:p w14:paraId="02D0F982" w14:textId="77777777" w:rsidR="006F69F7" w:rsidRDefault="006F69F7" w:rsidP="00711721">
            <w:pPr>
              <w:jc w:val="right"/>
              <w:rPr>
                <w:rFonts w:ascii="Calibri" w:eastAsia="Times New Roman" w:hAnsi="Calibri" w:cs="Arial"/>
                <w:b/>
                <w:color w:val="000000"/>
                <w:sz w:val="20"/>
                <w:szCs w:val="18"/>
                <w:lang w:eastAsia="en-GB"/>
              </w:rPr>
            </w:pPr>
          </w:p>
        </w:tc>
      </w:tr>
      <w:tr w:rsidR="00711721" w:rsidRPr="0077388B" w14:paraId="5BB95983" w14:textId="20033A98" w:rsidTr="00CC72FA">
        <w:trPr>
          <w:trHeight w:val="275"/>
        </w:trPr>
        <w:tc>
          <w:tcPr>
            <w:tcW w:w="2207" w:type="pct"/>
            <w:tcBorders>
              <w:top w:val="nil"/>
              <w:left w:val="nil"/>
              <w:bottom w:val="nil"/>
              <w:right w:val="nil"/>
            </w:tcBorders>
            <w:shd w:val="clear" w:color="auto" w:fill="auto"/>
            <w:noWrap/>
            <w:vAlign w:val="center"/>
            <w:hideMark/>
          </w:tcPr>
          <w:p w14:paraId="44454124" w14:textId="77777777" w:rsidR="00763235" w:rsidRPr="0077388B" w:rsidRDefault="00763235" w:rsidP="00711721">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Loss before tax</w:t>
            </w:r>
          </w:p>
        </w:tc>
        <w:tc>
          <w:tcPr>
            <w:tcW w:w="372" w:type="pct"/>
            <w:tcBorders>
              <w:top w:val="nil"/>
              <w:left w:val="nil"/>
              <w:bottom w:val="nil"/>
              <w:right w:val="nil"/>
            </w:tcBorders>
            <w:shd w:val="clear" w:color="auto" w:fill="auto"/>
            <w:noWrap/>
            <w:vAlign w:val="bottom"/>
            <w:hideMark/>
          </w:tcPr>
          <w:p w14:paraId="2FE0D9D2" w14:textId="77777777" w:rsidR="00763235" w:rsidRPr="0077388B" w:rsidRDefault="00763235" w:rsidP="00763235">
            <w:pPr>
              <w:rPr>
                <w:rFonts w:ascii="Calibri" w:eastAsia="Times New Roman" w:hAnsi="Calibri" w:cs="Arial"/>
                <w:b/>
                <w:bCs/>
                <w:color w:val="000000"/>
                <w:sz w:val="20"/>
                <w:szCs w:val="18"/>
                <w:lang w:eastAsia="en-GB"/>
              </w:rPr>
            </w:pPr>
          </w:p>
        </w:tc>
        <w:tc>
          <w:tcPr>
            <w:tcW w:w="807" w:type="pct"/>
            <w:tcBorders>
              <w:left w:val="nil"/>
              <w:bottom w:val="nil"/>
              <w:right w:val="nil"/>
            </w:tcBorders>
            <w:shd w:val="clear" w:color="auto" w:fill="auto"/>
            <w:noWrap/>
            <w:vAlign w:val="center"/>
          </w:tcPr>
          <w:p w14:paraId="60111BAA" w14:textId="495DFAD8" w:rsidR="00763235" w:rsidRPr="0077388B" w:rsidRDefault="001A2161" w:rsidP="00711721">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(776)</w:t>
            </w:r>
          </w:p>
        </w:tc>
        <w:tc>
          <w:tcPr>
            <w:tcW w:w="807" w:type="pct"/>
            <w:tcBorders>
              <w:left w:val="nil"/>
              <w:bottom w:val="nil"/>
              <w:right w:val="nil"/>
            </w:tcBorders>
            <w:shd w:val="clear" w:color="auto" w:fill="auto"/>
            <w:noWrap/>
            <w:vAlign w:val="center"/>
          </w:tcPr>
          <w:p w14:paraId="0B5F2273" w14:textId="39AC1C74" w:rsidR="00763235" w:rsidRPr="002E4743" w:rsidRDefault="00763235" w:rsidP="00711721">
            <w:pPr>
              <w:jc w:val="right"/>
              <w:rPr>
                <w:rFonts w:ascii="Calibri" w:eastAsia="Times New Roman" w:hAnsi="Calibri" w:cs="Arial"/>
                <w:b/>
                <w:color w:val="000000"/>
                <w:sz w:val="20"/>
                <w:szCs w:val="18"/>
                <w:lang w:eastAsia="en-GB"/>
              </w:rPr>
            </w:pPr>
            <w:r>
              <w:rPr>
                <w:rFonts w:ascii="Calibri" w:eastAsia="Times New Roman" w:hAnsi="Calibri" w:cs="Arial"/>
                <w:b/>
                <w:bCs/>
                <w:color w:val="000000"/>
                <w:sz w:val="20"/>
                <w:szCs w:val="18"/>
                <w:lang w:eastAsia="en-GB"/>
              </w:rPr>
              <w:t>(2</w:t>
            </w:r>
            <w:r w:rsidR="001A2161">
              <w:rPr>
                <w:rFonts w:ascii="Calibri" w:eastAsia="Times New Roman" w:hAnsi="Calibri" w:cs="Arial"/>
                <w:b/>
                <w:bCs/>
                <w:color w:val="000000"/>
                <w:sz w:val="20"/>
                <w:szCs w:val="18"/>
                <w:lang w:eastAsia="en-GB"/>
              </w:rPr>
              <w:t>54</w:t>
            </w:r>
            <w:r>
              <w:rPr>
                <w:rFonts w:ascii="Calibri" w:eastAsia="Times New Roman" w:hAnsi="Calibri" w:cs="Arial"/>
                <w:b/>
                <w:bCs/>
                <w:color w:val="000000"/>
                <w:sz w:val="20"/>
                <w:szCs w:val="18"/>
                <w:lang w:eastAsia="en-GB"/>
              </w:rPr>
              <w:t>)</w:t>
            </w:r>
          </w:p>
        </w:tc>
        <w:tc>
          <w:tcPr>
            <w:tcW w:w="807" w:type="pct"/>
            <w:tcBorders>
              <w:left w:val="nil"/>
              <w:bottom w:val="nil"/>
              <w:right w:val="nil"/>
            </w:tcBorders>
            <w:vAlign w:val="center"/>
          </w:tcPr>
          <w:p w14:paraId="3A461D83" w14:textId="1B31BB54" w:rsidR="00763235" w:rsidRDefault="001A2161" w:rsidP="00711721">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(708)</w:t>
            </w:r>
          </w:p>
        </w:tc>
      </w:tr>
      <w:tr w:rsidR="00711721" w:rsidRPr="0077388B" w14:paraId="601A0CA8" w14:textId="072AC733" w:rsidTr="00CC72FA">
        <w:trPr>
          <w:trHeight w:val="275"/>
        </w:trPr>
        <w:tc>
          <w:tcPr>
            <w:tcW w:w="2207" w:type="pct"/>
            <w:tcBorders>
              <w:top w:val="nil"/>
              <w:left w:val="nil"/>
              <w:bottom w:val="nil"/>
              <w:right w:val="nil"/>
            </w:tcBorders>
            <w:shd w:val="clear" w:color="auto" w:fill="auto"/>
            <w:noWrap/>
            <w:vAlign w:val="center"/>
            <w:hideMark/>
          </w:tcPr>
          <w:p w14:paraId="70ABD838" w14:textId="77777777" w:rsidR="00763235" w:rsidRPr="0077388B" w:rsidRDefault="00763235" w:rsidP="00711721">
            <w:pPr>
              <w:rPr>
                <w:rFonts w:ascii="Calibri" w:eastAsia="Times New Roman" w:hAnsi="Calibri" w:cs="Arial"/>
                <w:color w:val="000000"/>
                <w:sz w:val="20"/>
                <w:szCs w:val="18"/>
                <w:lang w:eastAsia="en-GB"/>
              </w:rPr>
            </w:pPr>
          </w:p>
        </w:tc>
        <w:tc>
          <w:tcPr>
            <w:tcW w:w="372" w:type="pct"/>
            <w:tcBorders>
              <w:top w:val="nil"/>
              <w:left w:val="nil"/>
              <w:bottom w:val="nil"/>
              <w:right w:val="nil"/>
            </w:tcBorders>
            <w:shd w:val="clear" w:color="auto" w:fill="auto"/>
            <w:noWrap/>
            <w:vAlign w:val="bottom"/>
            <w:hideMark/>
          </w:tcPr>
          <w:p w14:paraId="0B92D030" w14:textId="77777777" w:rsidR="00763235" w:rsidRPr="0077388B" w:rsidRDefault="00763235" w:rsidP="00763235">
            <w:pPr>
              <w:rPr>
                <w:rFonts w:ascii="Calibri" w:eastAsia="Times New Roman" w:hAnsi="Calibri"/>
                <w:sz w:val="20"/>
                <w:szCs w:val="20"/>
                <w:lang w:eastAsia="en-GB"/>
              </w:rPr>
            </w:pPr>
          </w:p>
        </w:tc>
        <w:tc>
          <w:tcPr>
            <w:tcW w:w="807" w:type="pct"/>
            <w:tcBorders>
              <w:top w:val="nil"/>
              <w:left w:val="nil"/>
              <w:bottom w:val="nil"/>
              <w:right w:val="nil"/>
            </w:tcBorders>
            <w:shd w:val="clear" w:color="auto" w:fill="auto"/>
            <w:noWrap/>
            <w:vAlign w:val="center"/>
          </w:tcPr>
          <w:p w14:paraId="1A496E06" w14:textId="77777777" w:rsidR="00763235" w:rsidRPr="0077388B" w:rsidRDefault="00763235" w:rsidP="00711721">
            <w:pPr>
              <w:jc w:val="right"/>
              <w:rPr>
                <w:rFonts w:ascii="Calibri" w:eastAsia="Times New Roman" w:hAnsi="Calibri"/>
                <w:sz w:val="20"/>
                <w:szCs w:val="20"/>
                <w:lang w:eastAsia="en-GB"/>
              </w:rPr>
            </w:pPr>
          </w:p>
        </w:tc>
        <w:tc>
          <w:tcPr>
            <w:tcW w:w="807" w:type="pct"/>
            <w:tcBorders>
              <w:top w:val="nil"/>
              <w:left w:val="nil"/>
              <w:bottom w:val="nil"/>
              <w:right w:val="nil"/>
            </w:tcBorders>
            <w:shd w:val="clear" w:color="auto" w:fill="auto"/>
            <w:noWrap/>
            <w:vAlign w:val="center"/>
          </w:tcPr>
          <w:p w14:paraId="0E0E9295" w14:textId="77777777" w:rsidR="00763235" w:rsidRPr="002E4743" w:rsidRDefault="00763235" w:rsidP="00711721">
            <w:pPr>
              <w:jc w:val="right"/>
              <w:rPr>
                <w:rFonts w:ascii="Calibri" w:eastAsia="Times New Roman" w:hAnsi="Calibri"/>
                <w:b/>
                <w:sz w:val="20"/>
                <w:szCs w:val="20"/>
                <w:lang w:eastAsia="en-GB"/>
              </w:rPr>
            </w:pPr>
          </w:p>
        </w:tc>
        <w:tc>
          <w:tcPr>
            <w:tcW w:w="807" w:type="pct"/>
            <w:tcBorders>
              <w:top w:val="nil"/>
              <w:left w:val="nil"/>
              <w:bottom w:val="nil"/>
              <w:right w:val="nil"/>
            </w:tcBorders>
            <w:vAlign w:val="center"/>
          </w:tcPr>
          <w:p w14:paraId="6EFB0922" w14:textId="77777777" w:rsidR="00763235" w:rsidRPr="002E4743" w:rsidRDefault="00763235" w:rsidP="00711721">
            <w:pPr>
              <w:jc w:val="right"/>
              <w:rPr>
                <w:rFonts w:ascii="Calibri" w:eastAsia="Times New Roman" w:hAnsi="Calibri"/>
                <w:b/>
                <w:sz w:val="20"/>
                <w:szCs w:val="20"/>
                <w:lang w:eastAsia="en-GB"/>
              </w:rPr>
            </w:pPr>
          </w:p>
        </w:tc>
      </w:tr>
      <w:tr w:rsidR="00711721" w:rsidRPr="0077388B" w14:paraId="2268D5AE" w14:textId="25866917" w:rsidTr="00CC72FA">
        <w:trPr>
          <w:trHeight w:val="275"/>
        </w:trPr>
        <w:tc>
          <w:tcPr>
            <w:tcW w:w="2207" w:type="pct"/>
            <w:tcBorders>
              <w:top w:val="nil"/>
              <w:left w:val="nil"/>
              <w:bottom w:val="nil"/>
              <w:right w:val="nil"/>
            </w:tcBorders>
            <w:shd w:val="clear" w:color="auto" w:fill="auto"/>
            <w:noWrap/>
            <w:vAlign w:val="center"/>
            <w:hideMark/>
          </w:tcPr>
          <w:p w14:paraId="62648184" w14:textId="77777777" w:rsidR="00763235" w:rsidRPr="0077388B" w:rsidRDefault="00763235" w:rsidP="00711721">
            <w:pPr>
              <w:rPr>
                <w:rFonts w:ascii="Calibri" w:eastAsia="Times New Roman" w:hAnsi="Calibri" w:cs="Arial"/>
                <w:color w:val="000000"/>
                <w:sz w:val="20"/>
                <w:szCs w:val="18"/>
                <w:lang w:eastAsia="en-GB"/>
              </w:rPr>
            </w:pPr>
            <w:r w:rsidRPr="0077388B">
              <w:rPr>
                <w:rFonts w:ascii="Calibri" w:eastAsia="Times New Roman" w:hAnsi="Calibri" w:cs="Arial"/>
                <w:color w:val="000000"/>
                <w:sz w:val="20"/>
                <w:szCs w:val="18"/>
                <w:lang w:eastAsia="en-GB"/>
              </w:rPr>
              <w:t xml:space="preserve">Income tax expense </w:t>
            </w:r>
          </w:p>
        </w:tc>
        <w:tc>
          <w:tcPr>
            <w:tcW w:w="372" w:type="pct"/>
            <w:tcBorders>
              <w:top w:val="nil"/>
              <w:left w:val="nil"/>
              <w:bottom w:val="nil"/>
              <w:right w:val="nil"/>
            </w:tcBorders>
            <w:shd w:val="clear" w:color="auto" w:fill="auto"/>
            <w:noWrap/>
            <w:vAlign w:val="bottom"/>
            <w:hideMark/>
          </w:tcPr>
          <w:p w14:paraId="44C981CA" w14:textId="77777777" w:rsidR="00763235" w:rsidRPr="0077388B" w:rsidRDefault="00763235" w:rsidP="00763235">
            <w:pPr>
              <w:rPr>
                <w:rFonts w:ascii="Calibri" w:eastAsia="Times New Roman" w:hAnsi="Calibri" w:cs="Arial"/>
                <w:color w:val="000000"/>
                <w:sz w:val="20"/>
                <w:szCs w:val="18"/>
                <w:lang w:eastAsia="en-GB"/>
              </w:rPr>
            </w:pPr>
          </w:p>
        </w:tc>
        <w:tc>
          <w:tcPr>
            <w:tcW w:w="807" w:type="pct"/>
            <w:tcBorders>
              <w:top w:val="nil"/>
              <w:left w:val="nil"/>
              <w:bottom w:val="nil"/>
              <w:right w:val="nil"/>
            </w:tcBorders>
            <w:shd w:val="clear" w:color="auto" w:fill="auto"/>
            <w:noWrap/>
            <w:vAlign w:val="center"/>
          </w:tcPr>
          <w:p w14:paraId="0184FE40" w14:textId="356D0AE8" w:rsidR="00763235" w:rsidRPr="0077388B" w:rsidRDefault="001A2161" w:rsidP="00711721">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807" w:type="pct"/>
            <w:tcBorders>
              <w:top w:val="nil"/>
              <w:left w:val="nil"/>
              <w:bottom w:val="nil"/>
              <w:right w:val="nil"/>
            </w:tcBorders>
            <w:shd w:val="clear" w:color="auto" w:fill="auto"/>
            <w:noWrap/>
            <w:vAlign w:val="center"/>
          </w:tcPr>
          <w:p w14:paraId="661A84E3" w14:textId="2BF73AB6" w:rsidR="00763235" w:rsidRPr="002E4743" w:rsidRDefault="00763235" w:rsidP="00711721">
            <w:pPr>
              <w:jc w:val="right"/>
              <w:rPr>
                <w:rFonts w:ascii="Calibri" w:eastAsia="Times New Roman" w:hAnsi="Calibri" w:cs="Arial"/>
                <w:b/>
                <w:color w:val="000000"/>
                <w:sz w:val="20"/>
                <w:szCs w:val="18"/>
                <w:lang w:eastAsia="en-GB"/>
              </w:rPr>
            </w:pPr>
            <w:r>
              <w:rPr>
                <w:rFonts w:ascii="Calibri" w:eastAsia="Times New Roman" w:hAnsi="Calibri" w:cs="Arial"/>
                <w:b/>
                <w:bCs/>
                <w:color w:val="000000"/>
                <w:sz w:val="20"/>
                <w:szCs w:val="18"/>
                <w:lang w:eastAsia="en-GB"/>
              </w:rPr>
              <w:t>-</w:t>
            </w:r>
            <w:r w:rsidRPr="0077388B">
              <w:rPr>
                <w:rFonts w:ascii="Calibri" w:eastAsia="Times New Roman" w:hAnsi="Calibri" w:cs="Arial"/>
                <w:b/>
                <w:bCs/>
                <w:color w:val="000000"/>
                <w:sz w:val="20"/>
                <w:szCs w:val="18"/>
                <w:lang w:eastAsia="en-GB"/>
              </w:rPr>
              <w:t xml:space="preserve"> </w:t>
            </w:r>
          </w:p>
        </w:tc>
        <w:tc>
          <w:tcPr>
            <w:tcW w:w="807" w:type="pct"/>
            <w:tcBorders>
              <w:top w:val="nil"/>
              <w:left w:val="nil"/>
              <w:bottom w:val="nil"/>
              <w:right w:val="nil"/>
            </w:tcBorders>
            <w:vAlign w:val="center"/>
          </w:tcPr>
          <w:p w14:paraId="4B861610" w14:textId="5DEC3E76" w:rsidR="00763235" w:rsidRDefault="001A2161" w:rsidP="00711721">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r>
      <w:tr w:rsidR="00711721" w:rsidRPr="0077388B" w14:paraId="21F66977" w14:textId="5EDA9BF2" w:rsidTr="00CC72FA">
        <w:trPr>
          <w:trHeight w:val="275"/>
        </w:trPr>
        <w:tc>
          <w:tcPr>
            <w:tcW w:w="2207" w:type="pct"/>
            <w:tcBorders>
              <w:top w:val="nil"/>
              <w:left w:val="nil"/>
              <w:bottom w:val="nil"/>
              <w:right w:val="nil"/>
            </w:tcBorders>
            <w:shd w:val="clear" w:color="auto" w:fill="auto"/>
            <w:noWrap/>
            <w:vAlign w:val="center"/>
            <w:hideMark/>
          </w:tcPr>
          <w:p w14:paraId="2ADA31A7" w14:textId="77777777" w:rsidR="00763235" w:rsidRPr="0077388B" w:rsidRDefault="00763235" w:rsidP="00711721">
            <w:pPr>
              <w:rPr>
                <w:rFonts w:ascii="Calibri" w:eastAsia="Times New Roman" w:hAnsi="Calibri" w:cs="Arial"/>
                <w:color w:val="000000"/>
                <w:sz w:val="20"/>
                <w:szCs w:val="18"/>
                <w:lang w:eastAsia="en-GB"/>
              </w:rPr>
            </w:pPr>
            <w:r w:rsidRPr="0077388B">
              <w:rPr>
                <w:rFonts w:ascii="Calibri" w:eastAsia="Times New Roman" w:hAnsi="Calibri" w:cs="Arial"/>
                <w:color w:val="000000"/>
                <w:sz w:val="20"/>
                <w:szCs w:val="18"/>
                <w:lang w:eastAsia="en-GB"/>
              </w:rPr>
              <w:t>Loss for the period from continuing operations</w:t>
            </w:r>
          </w:p>
        </w:tc>
        <w:tc>
          <w:tcPr>
            <w:tcW w:w="372" w:type="pct"/>
            <w:tcBorders>
              <w:top w:val="nil"/>
              <w:left w:val="nil"/>
              <w:bottom w:val="nil"/>
              <w:right w:val="nil"/>
            </w:tcBorders>
            <w:shd w:val="clear" w:color="auto" w:fill="auto"/>
            <w:noWrap/>
            <w:vAlign w:val="bottom"/>
            <w:hideMark/>
          </w:tcPr>
          <w:p w14:paraId="0FAFAB6A" w14:textId="77777777" w:rsidR="00763235" w:rsidRPr="0077388B" w:rsidRDefault="00763235" w:rsidP="00763235">
            <w:pPr>
              <w:jc w:val="center"/>
              <w:rPr>
                <w:rFonts w:ascii="Calibri" w:eastAsia="Times New Roman" w:hAnsi="Calibri" w:cs="Arial"/>
                <w:b/>
                <w:bCs/>
                <w:color w:val="000000"/>
                <w:sz w:val="20"/>
                <w:szCs w:val="18"/>
                <w:lang w:eastAsia="en-GB"/>
              </w:rPr>
            </w:pPr>
          </w:p>
        </w:tc>
        <w:tc>
          <w:tcPr>
            <w:tcW w:w="807" w:type="pct"/>
            <w:tcBorders>
              <w:top w:val="single" w:sz="4" w:space="0" w:color="auto"/>
              <w:left w:val="nil"/>
              <w:bottom w:val="single" w:sz="4" w:space="0" w:color="auto"/>
              <w:right w:val="nil"/>
            </w:tcBorders>
            <w:shd w:val="clear" w:color="auto" w:fill="auto"/>
            <w:noWrap/>
            <w:vAlign w:val="center"/>
          </w:tcPr>
          <w:p w14:paraId="614FA985" w14:textId="3AC49B65" w:rsidR="00763235" w:rsidRPr="0077388B" w:rsidRDefault="001A2161" w:rsidP="00711721">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(776)</w:t>
            </w:r>
          </w:p>
        </w:tc>
        <w:tc>
          <w:tcPr>
            <w:tcW w:w="807" w:type="pct"/>
            <w:tcBorders>
              <w:top w:val="single" w:sz="4" w:space="0" w:color="auto"/>
              <w:left w:val="nil"/>
              <w:bottom w:val="single" w:sz="4" w:space="0" w:color="auto"/>
              <w:right w:val="nil"/>
            </w:tcBorders>
            <w:shd w:val="clear" w:color="auto" w:fill="auto"/>
            <w:noWrap/>
            <w:vAlign w:val="center"/>
          </w:tcPr>
          <w:p w14:paraId="48272D01" w14:textId="0ACBC4C2" w:rsidR="00763235" w:rsidRPr="002E4743" w:rsidRDefault="00763235" w:rsidP="00711721">
            <w:pPr>
              <w:jc w:val="right"/>
              <w:rPr>
                <w:rFonts w:ascii="Calibri" w:eastAsia="Times New Roman" w:hAnsi="Calibri" w:cs="Arial"/>
                <w:b/>
                <w:color w:val="000000"/>
                <w:sz w:val="20"/>
                <w:szCs w:val="18"/>
                <w:lang w:eastAsia="en-GB"/>
              </w:rPr>
            </w:pPr>
            <w:r>
              <w:rPr>
                <w:rFonts w:ascii="Calibri" w:eastAsia="Times New Roman" w:hAnsi="Calibri" w:cs="Arial"/>
                <w:b/>
                <w:bCs/>
                <w:color w:val="000000"/>
                <w:sz w:val="20"/>
                <w:szCs w:val="18"/>
                <w:lang w:eastAsia="en-GB"/>
              </w:rPr>
              <w:t>(2</w:t>
            </w:r>
            <w:r w:rsidR="001A2161">
              <w:rPr>
                <w:rFonts w:ascii="Calibri" w:eastAsia="Times New Roman" w:hAnsi="Calibri" w:cs="Arial"/>
                <w:b/>
                <w:bCs/>
                <w:color w:val="000000"/>
                <w:sz w:val="20"/>
                <w:szCs w:val="18"/>
                <w:lang w:eastAsia="en-GB"/>
              </w:rPr>
              <w:t>54</w:t>
            </w:r>
            <w:r>
              <w:rPr>
                <w:rFonts w:ascii="Calibri" w:eastAsia="Times New Roman" w:hAnsi="Calibri" w:cs="Arial"/>
                <w:b/>
                <w:bCs/>
                <w:color w:val="000000"/>
                <w:sz w:val="20"/>
                <w:szCs w:val="18"/>
                <w:lang w:eastAsia="en-GB"/>
              </w:rPr>
              <w:t>)</w:t>
            </w:r>
          </w:p>
        </w:tc>
        <w:tc>
          <w:tcPr>
            <w:tcW w:w="807" w:type="pct"/>
            <w:tcBorders>
              <w:top w:val="single" w:sz="4" w:space="0" w:color="auto"/>
              <w:left w:val="nil"/>
              <w:bottom w:val="single" w:sz="4" w:space="0" w:color="auto"/>
              <w:right w:val="nil"/>
            </w:tcBorders>
            <w:vAlign w:val="center"/>
          </w:tcPr>
          <w:p w14:paraId="685B1828" w14:textId="2AB45453" w:rsidR="00763235" w:rsidRDefault="001A2161" w:rsidP="00711721">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(708)</w:t>
            </w:r>
          </w:p>
        </w:tc>
      </w:tr>
      <w:tr w:rsidR="00711721" w:rsidRPr="0077388B" w14:paraId="6BF850B6" w14:textId="4BBD9EA0" w:rsidTr="00CC72FA">
        <w:trPr>
          <w:trHeight w:val="275"/>
        </w:trPr>
        <w:tc>
          <w:tcPr>
            <w:tcW w:w="2207" w:type="pct"/>
            <w:tcBorders>
              <w:top w:val="nil"/>
              <w:left w:val="nil"/>
              <w:bottom w:val="nil"/>
              <w:right w:val="nil"/>
            </w:tcBorders>
            <w:shd w:val="clear" w:color="auto" w:fill="auto"/>
            <w:noWrap/>
            <w:vAlign w:val="center"/>
            <w:hideMark/>
          </w:tcPr>
          <w:p w14:paraId="0538B581" w14:textId="77777777" w:rsidR="00763235" w:rsidRPr="0077388B" w:rsidRDefault="00763235" w:rsidP="00711721">
            <w:pPr>
              <w:rPr>
                <w:rFonts w:ascii="Calibri" w:eastAsia="Times New Roman" w:hAnsi="Calibri" w:cs="Arial"/>
                <w:color w:val="000000"/>
                <w:sz w:val="20"/>
                <w:szCs w:val="18"/>
                <w:lang w:eastAsia="en-GB"/>
              </w:rPr>
            </w:pPr>
          </w:p>
        </w:tc>
        <w:tc>
          <w:tcPr>
            <w:tcW w:w="372" w:type="pct"/>
            <w:tcBorders>
              <w:top w:val="nil"/>
              <w:left w:val="nil"/>
              <w:bottom w:val="nil"/>
              <w:right w:val="nil"/>
            </w:tcBorders>
            <w:shd w:val="clear" w:color="auto" w:fill="auto"/>
            <w:noWrap/>
            <w:vAlign w:val="bottom"/>
            <w:hideMark/>
          </w:tcPr>
          <w:p w14:paraId="6B97BCF9" w14:textId="77777777" w:rsidR="00763235" w:rsidRPr="0077388B" w:rsidRDefault="00763235" w:rsidP="00763235">
            <w:pPr>
              <w:rPr>
                <w:rFonts w:ascii="Calibri" w:eastAsia="Times New Roman" w:hAnsi="Calibri"/>
                <w:sz w:val="20"/>
                <w:szCs w:val="20"/>
                <w:lang w:eastAsia="en-GB"/>
              </w:rPr>
            </w:pPr>
          </w:p>
        </w:tc>
        <w:tc>
          <w:tcPr>
            <w:tcW w:w="807" w:type="pct"/>
            <w:tcBorders>
              <w:top w:val="nil"/>
              <w:left w:val="nil"/>
              <w:bottom w:val="nil"/>
              <w:right w:val="nil"/>
            </w:tcBorders>
            <w:shd w:val="clear" w:color="auto" w:fill="auto"/>
            <w:noWrap/>
            <w:vAlign w:val="center"/>
          </w:tcPr>
          <w:p w14:paraId="3739959E" w14:textId="77777777" w:rsidR="00763235" w:rsidRPr="0077388B" w:rsidRDefault="00763235" w:rsidP="00711721">
            <w:pPr>
              <w:jc w:val="right"/>
              <w:rPr>
                <w:rFonts w:ascii="Calibri" w:eastAsia="Times New Roman" w:hAnsi="Calibri"/>
                <w:sz w:val="20"/>
                <w:szCs w:val="20"/>
                <w:lang w:eastAsia="en-GB"/>
              </w:rPr>
            </w:pPr>
          </w:p>
        </w:tc>
        <w:tc>
          <w:tcPr>
            <w:tcW w:w="807" w:type="pct"/>
            <w:tcBorders>
              <w:top w:val="nil"/>
              <w:left w:val="nil"/>
              <w:bottom w:val="nil"/>
              <w:right w:val="nil"/>
            </w:tcBorders>
            <w:shd w:val="clear" w:color="auto" w:fill="auto"/>
            <w:noWrap/>
            <w:vAlign w:val="center"/>
          </w:tcPr>
          <w:p w14:paraId="372D9D4C" w14:textId="77777777" w:rsidR="00763235" w:rsidRPr="002E4743" w:rsidRDefault="00763235" w:rsidP="00711721">
            <w:pPr>
              <w:jc w:val="right"/>
              <w:rPr>
                <w:rFonts w:ascii="Calibri" w:eastAsia="Times New Roman" w:hAnsi="Calibri"/>
                <w:b/>
                <w:sz w:val="20"/>
                <w:szCs w:val="20"/>
                <w:lang w:eastAsia="en-GB"/>
              </w:rPr>
            </w:pPr>
          </w:p>
        </w:tc>
        <w:tc>
          <w:tcPr>
            <w:tcW w:w="807" w:type="pct"/>
            <w:tcBorders>
              <w:top w:val="nil"/>
              <w:left w:val="nil"/>
              <w:bottom w:val="nil"/>
              <w:right w:val="nil"/>
            </w:tcBorders>
            <w:vAlign w:val="center"/>
          </w:tcPr>
          <w:p w14:paraId="57580621" w14:textId="77777777" w:rsidR="00763235" w:rsidRPr="002E4743" w:rsidRDefault="00763235" w:rsidP="00711721">
            <w:pPr>
              <w:jc w:val="right"/>
              <w:rPr>
                <w:rFonts w:ascii="Calibri" w:eastAsia="Times New Roman" w:hAnsi="Calibri"/>
                <w:b/>
                <w:sz w:val="20"/>
                <w:szCs w:val="20"/>
                <w:lang w:eastAsia="en-GB"/>
              </w:rPr>
            </w:pPr>
          </w:p>
        </w:tc>
      </w:tr>
      <w:tr w:rsidR="00711721" w:rsidRPr="0077388B" w14:paraId="7D21BFDA" w14:textId="48E3EDF3" w:rsidTr="00CC72FA">
        <w:trPr>
          <w:trHeight w:val="275"/>
        </w:trPr>
        <w:tc>
          <w:tcPr>
            <w:tcW w:w="2207" w:type="pct"/>
            <w:tcBorders>
              <w:top w:val="nil"/>
              <w:left w:val="nil"/>
              <w:bottom w:val="nil"/>
              <w:right w:val="nil"/>
            </w:tcBorders>
            <w:shd w:val="clear" w:color="auto" w:fill="auto"/>
            <w:noWrap/>
            <w:vAlign w:val="center"/>
            <w:hideMark/>
          </w:tcPr>
          <w:p w14:paraId="303D49BC" w14:textId="77777777" w:rsidR="00763235" w:rsidRPr="0077388B" w:rsidRDefault="00763235" w:rsidP="00711721">
            <w:pPr>
              <w:rPr>
                <w:rFonts w:ascii="Calibri" w:eastAsia="Times New Roman" w:hAnsi="Calibri"/>
                <w:sz w:val="20"/>
                <w:szCs w:val="20"/>
                <w:lang w:eastAsia="en-GB"/>
              </w:rPr>
            </w:pPr>
          </w:p>
        </w:tc>
        <w:tc>
          <w:tcPr>
            <w:tcW w:w="372" w:type="pct"/>
            <w:tcBorders>
              <w:top w:val="nil"/>
              <w:left w:val="nil"/>
              <w:bottom w:val="nil"/>
              <w:right w:val="nil"/>
            </w:tcBorders>
            <w:shd w:val="clear" w:color="auto" w:fill="auto"/>
            <w:noWrap/>
            <w:vAlign w:val="bottom"/>
            <w:hideMark/>
          </w:tcPr>
          <w:p w14:paraId="3A426F43" w14:textId="77777777" w:rsidR="00763235" w:rsidRPr="0077388B" w:rsidRDefault="00763235" w:rsidP="00763235">
            <w:pPr>
              <w:rPr>
                <w:rFonts w:ascii="Calibri" w:eastAsia="Times New Roman" w:hAnsi="Calibri"/>
                <w:sz w:val="20"/>
                <w:szCs w:val="20"/>
                <w:lang w:eastAsia="en-GB"/>
              </w:rPr>
            </w:pPr>
          </w:p>
        </w:tc>
        <w:tc>
          <w:tcPr>
            <w:tcW w:w="807" w:type="pct"/>
            <w:tcBorders>
              <w:top w:val="nil"/>
              <w:left w:val="nil"/>
              <w:bottom w:val="nil"/>
              <w:right w:val="nil"/>
            </w:tcBorders>
            <w:shd w:val="clear" w:color="auto" w:fill="auto"/>
            <w:noWrap/>
            <w:vAlign w:val="center"/>
          </w:tcPr>
          <w:p w14:paraId="21B33F80" w14:textId="77777777" w:rsidR="00763235" w:rsidRPr="0077388B" w:rsidRDefault="00763235" w:rsidP="00711721">
            <w:pPr>
              <w:jc w:val="right"/>
              <w:rPr>
                <w:rFonts w:ascii="Calibri" w:eastAsia="Times New Roman" w:hAnsi="Calibri"/>
                <w:sz w:val="20"/>
                <w:szCs w:val="20"/>
                <w:lang w:eastAsia="en-GB"/>
              </w:rPr>
            </w:pPr>
          </w:p>
        </w:tc>
        <w:tc>
          <w:tcPr>
            <w:tcW w:w="807" w:type="pct"/>
            <w:tcBorders>
              <w:top w:val="nil"/>
              <w:left w:val="nil"/>
              <w:bottom w:val="nil"/>
              <w:right w:val="nil"/>
            </w:tcBorders>
            <w:shd w:val="clear" w:color="auto" w:fill="auto"/>
            <w:noWrap/>
            <w:vAlign w:val="center"/>
          </w:tcPr>
          <w:p w14:paraId="7497C306" w14:textId="77777777" w:rsidR="00763235" w:rsidRPr="002E4743" w:rsidRDefault="00763235" w:rsidP="00711721">
            <w:pPr>
              <w:jc w:val="right"/>
              <w:rPr>
                <w:rFonts w:ascii="Calibri" w:eastAsia="Times New Roman" w:hAnsi="Calibri"/>
                <w:b/>
                <w:sz w:val="20"/>
                <w:szCs w:val="20"/>
                <w:lang w:eastAsia="en-GB"/>
              </w:rPr>
            </w:pPr>
          </w:p>
        </w:tc>
        <w:tc>
          <w:tcPr>
            <w:tcW w:w="807" w:type="pct"/>
            <w:tcBorders>
              <w:top w:val="nil"/>
              <w:left w:val="nil"/>
              <w:bottom w:val="nil"/>
              <w:right w:val="nil"/>
            </w:tcBorders>
            <w:vAlign w:val="center"/>
          </w:tcPr>
          <w:p w14:paraId="1F5B8B2C" w14:textId="77777777" w:rsidR="00763235" w:rsidRPr="002E4743" w:rsidRDefault="00763235" w:rsidP="00711721">
            <w:pPr>
              <w:jc w:val="right"/>
              <w:rPr>
                <w:rFonts w:ascii="Calibri" w:eastAsia="Times New Roman" w:hAnsi="Calibri"/>
                <w:b/>
                <w:sz w:val="20"/>
                <w:szCs w:val="20"/>
                <w:lang w:eastAsia="en-GB"/>
              </w:rPr>
            </w:pPr>
          </w:p>
        </w:tc>
      </w:tr>
      <w:tr w:rsidR="00711721" w:rsidRPr="0077388B" w14:paraId="6FC8F096" w14:textId="22084209" w:rsidTr="00CC72FA">
        <w:trPr>
          <w:trHeight w:val="275"/>
        </w:trPr>
        <w:tc>
          <w:tcPr>
            <w:tcW w:w="2207" w:type="pct"/>
            <w:tcBorders>
              <w:top w:val="nil"/>
              <w:left w:val="nil"/>
              <w:bottom w:val="nil"/>
              <w:right w:val="nil"/>
            </w:tcBorders>
            <w:shd w:val="clear" w:color="auto" w:fill="auto"/>
            <w:noWrap/>
            <w:vAlign w:val="center"/>
            <w:hideMark/>
          </w:tcPr>
          <w:p w14:paraId="12CA0602" w14:textId="3E1F1749" w:rsidR="00763235" w:rsidRPr="0077388B" w:rsidRDefault="00763235" w:rsidP="00711721">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Other comprehensive income</w:t>
            </w:r>
            <w:r w:rsidR="00320301">
              <w:rPr>
                <w:rFonts w:ascii="Calibri" w:eastAsia="Times New Roman" w:hAnsi="Calibri" w:cs="Arial"/>
                <w:b/>
                <w:bCs/>
                <w:color w:val="000000"/>
                <w:sz w:val="20"/>
                <w:szCs w:val="18"/>
                <w:lang w:eastAsia="en-GB"/>
              </w:rPr>
              <w:t xml:space="preserve"> / (expense)</w:t>
            </w:r>
          </w:p>
        </w:tc>
        <w:tc>
          <w:tcPr>
            <w:tcW w:w="372" w:type="pct"/>
            <w:tcBorders>
              <w:top w:val="nil"/>
              <w:left w:val="nil"/>
              <w:bottom w:val="nil"/>
              <w:right w:val="nil"/>
            </w:tcBorders>
            <w:shd w:val="clear" w:color="auto" w:fill="auto"/>
            <w:noWrap/>
            <w:vAlign w:val="bottom"/>
            <w:hideMark/>
          </w:tcPr>
          <w:p w14:paraId="6B553F49" w14:textId="77777777" w:rsidR="00763235" w:rsidRPr="0077388B" w:rsidRDefault="00763235" w:rsidP="00763235">
            <w:pPr>
              <w:rPr>
                <w:rFonts w:ascii="Calibri" w:eastAsia="Times New Roman" w:hAnsi="Calibri" w:cs="Arial"/>
                <w:b/>
                <w:bCs/>
                <w:color w:val="000000"/>
                <w:sz w:val="20"/>
                <w:szCs w:val="18"/>
                <w:lang w:eastAsia="en-GB"/>
              </w:rPr>
            </w:pPr>
          </w:p>
        </w:tc>
        <w:tc>
          <w:tcPr>
            <w:tcW w:w="807" w:type="pct"/>
            <w:tcBorders>
              <w:top w:val="nil"/>
              <w:left w:val="nil"/>
              <w:bottom w:val="nil"/>
              <w:right w:val="nil"/>
            </w:tcBorders>
            <w:shd w:val="clear" w:color="auto" w:fill="auto"/>
            <w:noWrap/>
            <w:vAlign w:val="center"/>
          </w:tcPr>
          <w:p w14:paraId="4069B514" w14:textId="77777777" w:rsidR="00763235" w:rsidRPr="0077388B" w:rsidRDefault="00763235" w:rsidP="00711721">
            <w:pPr>
              <w:jc w:val="right"/>
              <w:rPr>
                <w:rFonts w:ascii="Calibri" w:eastAsia="Times New Roman" w:hAnsi="Calibri"/>
                <w:sz w:val="20"/>
                <w:szCs w:val="20"/>
                <w:lang w:eastAsia="en-GB"/>
              </w:rPr>
            </w:pPr>
          </w:p>
        </w:tc>
        <w:tc>
          <w:tcPr>
            <w:tcW w:w="807" w:type="pct"/>
            <w:tcBorders>
              <w:top w:val="nil"/>
              <w:left w:val="nil"/>
              <w:bottom w:val="nil"/>
              <w:right w:val="nil"/>
            </w:tcBorders>
            <w:shd w:val="clear" w:color="auto" w:fill="auto"/>
            <w:noWrap/>
            <w:vAlign w:val="center"/>
          </w:tcPr>
          <w:p w14:paraId="325486ED" w14:textId="77777777" w:rsidR="00763235" w:rsidRPr="002E4743" w:rsidRDefault="00763235" w:rsidP="00711721">
            <w:pPr>
              <w:jc w:val="right"/>
              <w:rPr>
                <w:rFonts w:ascii="Calibri" w:eastAsia="Times New Roman" w:hAnsi="Calibri"/>
                <w:b/>
                <w:sz w:val="20"/>
                <w:szCs w:val="20"/>
                <w:lang w:eastAsia="en-GB"/>
              </w:rPr>
            </w:pPr>
          </w:p>
        </w:tc>
        <w:tc>
          <w:tcPr>
            <w:tcW w:w="807" w:type="pct"/>
            <w:tcBorders>
              <w:top w:val="nil"/>
              <w:left w:val="nil"/>
              <w:bottom w:val="nil"/>
              <w:right w:val="nil"/>
            </w:tcBorders>
            <w:vAlign w:val="center"/>
          </w:tcPr>
          <w:p w14:paraId="3AF7FD8D" w14:textId="77777777" w:rsidR="00763235" w:rsidRPr="002E4743" w:rsidRDefault="00763235" w:rsidP="00711721">
            <w:pPr>
              <w:jc w:val="right"/>
              <w:rPr>
                <w:rFonts w:ascii="Calibri" w:eastAsia="Times New Roman" w:hAnsi="Calibri"/>
                <w:b/>
                <w:sz w:val="20"/>
                <w:szCs w:val="20"/>
                <w:lang w:eastAsia="en-GB"/>
              </w:rPr>
            </w:pPr>
          </w:p>
        </w:tc>
      </w:tr>
      <w:tr w:rsidR="00711721" w:rsidRPr="0077388B" w14:paraId="55DF2D9E" w14:textId="16C58218" w:rsidTr="00CC72FA">
        <w:trPr>
          <w:trHeight w:val="275"/>
        </w:trPr>
        <w:tc>
          <w:tcPr>
            <w:tcW w:w="2207" w:type="pct"/>
            <w:tcBorders>
              <w:top w:val="nil"/>
              <w:left w:val="nil"/>
              <w:bottom w:val="nil"/>
              <w:right w:val="nil"/>
            </w:tcBorders>
            <w:shd w:val="clear" w:color="auto" w:fill="auto"/>
            <w:noWrap/>
            <w:vAlign w:val="center"/>
            <w:hideMark/>
          </w:tcPr>
          <w:p w14:paraId="0AC29711" w14:textId="77777777" w:rsidR="00763235" w:rsidRPr="0077388B" w:rsidRDefault="00763235" w:rsidP="00711721">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Items that may be reclassified subsequently to profit or loss:</w:t>
            </w:r>
          </w:p>
        </w:tc>
        <w:tc>
          <w:tcPr>
            <w:tcW w:w="372" w:type="pct"/>
            <w:tcBorders>
              <w:top w:val="nil"/>
              <w:left w:val="nil"/>
              <w:bottom w:val="nil"/>
              <w:right w:val="nil"/>
            </w:tcBorders>
            <w:shd w:val="clear" w:color="auto" w:fill="auto"/>
            <w:noWrap/>
            <w:vAlign w:val="bottom"/>
            <w:hideMark/>
          </w:tcPr>
          <w:p w14:paraId="662A224B" w14:textId="77777777" w:rsidR="00763235" w:rsidRPr="0077388B" w:rsidRDefault="00763235" w:rsidP="00763235">
            <w:pPr>
              <w:rPr>
                <w:rFonts w:ascii="Calibri" w:eastAsia="Times New Roman" w:hAnsi="Calibri" w:cs="Arial"/>
                <w:b/>
                <w:bCs/>
                <w:color w:val="000000"/>
                <w:sz w:val="20"/>
                <w:szCs w:val="18"/>
                <w:lang w:eastAsia="en-GB"/>
              </w:rPr>
            </w:pPr>
          </w:p>
        </w:tc>
        <w:tc>
          <w:tcPr>
            <w:tcW w:w="807" w:type="pct"/>
            <w:tcBorders>
              <w:top w:val="nil"/>
              <w:left w:val="nil"/>
              <w:bottom w:val="nil"/>
              <w:right w:val="nil"/>
            </w:tcBorders>
            <w:shd w:val="clear" w:color="auto" w:fill="auto"/>
            <w:noWrap/>
            <w:vAlign w:val="center"/>
          </w:tcPr>
          <w:p w14:paraId="79727D25" w14:textId="77777777" w:rsidR="00763235" w:rsidRPr="0077388B" w:rsidRDefault="00763235" w:rsidP="00711721">
            <w:pPr>
              <w:jc w:val="right"/>
              <w:rPr>
                <w:rFonts w:ascii="Calibri" w:eastAsia="Times New Roman" w:hAnsi="Calibri"/>
                <w:sz w:val="20"/>
                <w:szCs w:val="20"/>
                <w:lang w:eastAsia="en-GB"/>
              </w:rPr>
            </w:pPr>
          </w:p>
        </w:tc>
        <w:tc>
          <w:tcPr>
            <w:tcW w:w="807" w:type="pct"/>
            <w:tcBorders>
              <w:top w:val="nil"/>
              <w:left w:val="nil"/>
              <w:bottom w:val="nil"/>
              <w:right w:val="nil"/>
            </w:tcBorders>
            <w:shd w:val="clear" w:color="auto" w:fill="auto"/>
            <w:noWrap/>
            <w:vAlign w:val="center"/>
          </w:tcPr>
          <w:p w14:paraId="3837F5D8" w14:textId="77777777" w:rsidR="00763235" w:rsidRPr="002E4743" w:rsidRDefault="00763235" w:rsidP="00711721">
            <w:pPr>
              <w:jc w:val="right"/>
              <w:rPr>
                <w:rFonts w:ascii="Calibri" w:eastAsia="Times New Roman" w:hAnsi="Calibri"/>
                <w:b/>
                <w:sz w:val="20"/>
                <w:szCs w:val="20"/>
                <w:lang w:eastAsia="en-GB"/>
              </w:rPr>
            </w:pPr>
          </w:p>
        </w:tc>
        <w:tc>
          <w:tcPr>
            <w:tcW w:w="807" w:type="pct"/>
            <w:tcBorders>
              <w:top w:val="nil"/>
              <w:left w:val="nil"/>
              <w:bottom w:val="nil"/>
              <w:right w:val="nil"/>
            </w:tcBorders>
            <w:vAlign w:val="center"/>
          </w:tcPr>
          <w:p w14:paraId="28AEF9E6" w14:textId="77777777" w:rsidR="00763235" w:rsidRPr="002E4743" w:rsidRDefault="00763235" w:rsidP="00711721">
            <w:pPr>
              <w:jc w:val="right"/>
              <w:rPr>
                <w:rFonts w:ascii="Calibri" w:eastAsia="Times New Roman" w:hAnsi="Calibri"/>
                <w:b/>
                <w:sz w:val="20"/>
                <w:szCs w:val="20"/>
                <w:lang w:eastAsia="en-GB"/>
              </w:rPr>
            </w:pPr>
          </w:p>
        </w:tc>
      </w:tr>
      <w:tr w:rsidR="00711721" w:rsidRPr="0077388B" w14:paraId="1DC1ABA1" w14:textId="0AE7C2C1" w:rsidTr="00CC72FA">
        <w:trPr>
          <w:trHeight w:val="275"/>
        </w:trPr>
        <w:tc>
          <w:tcPr>
            <w:tcW w:w="2207" w:type="pct"/>
            <w:tcBorders>
              <w:top w:val="nil"/>
              <w:left w:val="nil"/>
              <w:bottom w:val="nil"/>
              <w:right w:val="nil"/>
            </w:tcBorders>
            <w:shd w:val="clear" w:color="auto" w:fill="auto"/>
            <w:noWrap/>
            <w:vAlign w:val="center"/>
            <w:hideMark/>
          </w:tcPr>
          <w:p w14:paraId="6DE5F18B" w14:textId="77777777" w:rsidR="00763235" w:rsidRPr="0077388B" w:rsidRDefault="00763235" w:rsidP="00711721">
            <w:pPr>
              <w:rPr>
                <w:rFonts w:ascii="Calibri" w:eastAsia="Times New Roman" w:hAnsi="Calibri" w:cs="Arial"/>
                <w:color w:val="000000"/>
                <w:sz w:val="20"/>
                <w:szCs w:val="18"/>
                <w:lang w:eastAsia="en-GB"/>
              </w:rPr>
            </w:pPr>
            <w:r w:rsidRPr="0077388B">
              <w:rPr>
                <w:rFonts w:ascii="Calibri" w:eastAsia="Times New Roman" w:hAnsi="Calibri" w:cs="Arial"/>
                <w:color w:val="000000"/>
                <w:sz w:val="20"/>
                <w:szCs w:val="18"/>
                <w:lang w:eastAsia="en-GB"/>
              </w:rPr>
              <w:t xml:space="preserve">Currency translation differences </w:t>
            </w:r>
          </w:p>
        </w:tc>
        <w:tc>
          <w:tcPr>
            <w:tcW w:w="372" w:type="pct"/>
            <w:tcBorders>
              <w:top w:val="nil"/>
              <w:left w:val="nil"/>
              <w:bottom w:val="nil"/>
              <w:right w:val="nil"/>
            </w:tcBorders>
            <w:shd w:val="clear" w:color="auto" w:fill="auto"/>
            <w:noWrap/>
            <w:vAlign w:val="bottom"/>
            <w:hideMark/>
          </w:tcPr>
          <w:p w14:paraId="297057F6" w14:textId="77777777" w:rsidR="00763235" w:rsidRPr="0077388B" w:rsidRDefault="00763235" w:rsidP="00763235">
            <w:pPr>
              <w:rPr>
                <w:rFonts w:ascii="Calibri" w:eastAsia="Times New Roman" w:hAnsi="Calibri" w:cs="Arial"/>
                <w:color w:val="000000"/>
                <w:sz w:val="20"/>
                <w:szCs w:val="18"/>
                <w:lang w:eastAsia="en-GB"/>
              </w:rPr>
            </w:pPr>
          </w:p>
        </w:tc>
        <w:tc>
          <w:tcPr>
            <w:tcW w:w="807" w:type="pct"/>
            <w:tcBorders>
              <w:top w:val="nil"/>
              <w:left w:val="nil"/>
              <w:bottom w:val="nil"/>
              <w:right w:val="nil"/>
            </w:tcBorders>
            <w:shd w:val="clear" w:color="auto" w:fill="auto"/>
            <w:noWrap/>
            <w:vAlign w:val="center"/>
          </w:tcPr>
          <w:p w14:paraId="55EB3296" w14:textId="2EC6D853" w:rsidR="00763235" w:rsidRPr="0077388B" w:rsidRDefault="00210EFE" w:rsidP="00711721">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164</w:t>
            </w:r>
          </w:p>
        </w:tc>
        <w:tc>
          <w:tcPr>
            <w:tcW w:w="807" w:type="pct"/>
            <w:tcBorders>
              <w:top w:val="nil"/>
              <w:left w:val="nil"/>
              <w:bottom w:val="nil"/>
              <w:right w:val="nil"/>
            </w:tcBorders>
            <w:shd w:val="clear" w:color="auto" w:fill="auto"/>
            <w:noWrap/>
            <w:vAlign w:val="center"/>
          </w:tcPr>
          <w:p w14:paraId="3B008380" w14:textId="37ADFFB0" w:rsidR="00763235" w:rsidRPr="002E4743" w:rsidRDefault="00763235" w:rsidP="00711721">
            <w:pPr>
              <w:jc w:val="right"/>
              <w:rPr>
                <w:rFonts w:ascii="Calibri" w:eastAsia="Times New Roman" w:hAnsi="Calibri" w:cs="Arial"/>
                <w:b/>
                <w:color w:val="000000"/>
                <w:sz w:val="20"/>
                <w:szCs w:val="18"/>
                <w:lang w:eastAsia="en-GB"/>
              </w:rPr>
            </w:pPr>
            <w:r>
              <w:rPr>
                <w:rFonts w:ascii="Calibri" w:eastAsia="Times New Roman" w:hAnsi="Calibri" w:cs="Arial"/>
                <w:b/>
                <w:bCs/>
                <w:color w:val="000000"/>
                <w:sz w:val="20"/>
                <w:szCs w:val="18"/>
                <w:lang w:eastAsia="en-GB"/>
              </w:rPr>
              <w:t>(</w:t>
            </w:r>
            <w:r w:rsidR="001A2161">
              <w:rPr>
                <w:rFonts w:ascii="Calibri" w:eastAsia="Times New Roman" w:hAnsi="Calibri" w:cs="Arial"/>
                <w:b/>
                <w:bCs/>
                <w:color w:val="000000"/>
                <w:sz w:val="20"/>
                <w:szCs w:val="18"/>
                <w:lang w:eastAsia="en-GB"/>
              </w:rPr>
              <w:t>351</w:t>
            </w:r>
            <w:r>
              <w:rPr>
                <w:rFonts w:ascii="Calibri" w:eastAsia="Times New Roman" w:hAnsi="Calibri" w:cs="Arial"/>
                <w:b/>
                <w:bCs/>
                <w:color w:val="000000"/>
                <w:sz w:val="20"/>
                <w:szCs w:val="18"/>
                <w:lang w:eastAsia="en-GB"/>
              </w:rPr>
              <w:t>)</w:t>
            </w:r>
          </w:p>
        </w:tc>
        <w:tc>
          <w:tcPr>
            <w:tcW w:w="807" w:type="pct"/>
            <w:tcBorders>
              <w:top w:val="nil"/>
              <w:left w:val="nil"/>
              <w:bottom w:val="nil"/>
              <w:right w:val="nil"/>
            </w:tcBorders>
            <w:vAlign w:val="center"/>
          </w:tcPr>
          <w:p w14:paraId="63F6CB7D" w14:textId="6AC3E07D" w:rsidR="00763235" w:rsidRDefault="00210EFE" w:rsidP="00711721">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r>
      <w:tr w:rsidR="00711721" w:rsidRPr="0077388B" w14:paraId="60453934" w14:textId="0F7502E0" w:rsidTr="00CC72FA">
        <w:trPr>
          <w:trHeight w:val="275"/>
        </w:trPr>
        <w:tc>
          <w:tcPr>
            <w:tcW w:w="2207" w:type="pct"/>
            <w:tcBorders>
              <w:top w:val="nil"/>
              <w:left w:val="nil"/>
              <w:bottom w:val="nil"/>
              <w:right w:val="nil"/>
            </w:tcBorders>
            <w:shd w:val="clear" w:color="auto" w:fill="auto"/>
            <w:noWrap/>
            <w:vAlign w:val="center"/>
            <w:hideMark/>
          </w:tcPr>
          <w:p w14:paraId="29E20912" w14:textId="7858D3C8" w:rsidR="00763235" w:rsidRPr="0077388B" w:rsidRDefault="00763235" w:rsidP="00711721">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Other comprehensive income</w:t>
            </w:r>
            <w:r w:rsidR="00320301">
              <w:rPr>
                <w:rFonts w:ascii="Calibri" w:eastAsia="Times New Roman" w:hAnsi="Calibri" w:cs="Arial"/>
                <w:b/>
                <w:bCs/>
                <w:color w:val="000000"/>
                <w:sz w:val="20"/>
                <w:szCs w:val="18"/>
                <w:lang w:eastAsia="en-GB"/>
              </w:rPr>
              <w:t xml:space="preserve"> / (expense)</w:t>
            </w:r>
            <w:r w:rsidRPr="0077388B">
              <w:rPr>
                <w:rFonts w:ascii="Calibri" w:eastAsia="Times New Roman" w:hAnsi="Calibri" w:cs="Arial"/>
                <w:b/>
                <w:bCs/>
                <w:color w:val="000000"/>
                <w:sz w:val="20"/>
                <w:szCs w:val="18"/>
                <w:lang w:eastAsia="en-GB"/>
              </w:rPr>
              <w:t xml:space="preserve"> for the period, net of tax</w:t>
            </w:r>
          </w:p>
        </w:tc>
        <w:tc>
          <w:tcPr>
            <w:tcW w:w="372" w:type="pct"/>
            <w:tcBorders>
              <w:top w:val="nil"/>
              <w:left w:val="nil"/>
              <w:bottom w:val="nil"/>
              <w:right w:val="nil"/>
            </w:tcBorders>
            <w:shd w:val="clear" w:color="auto" w:fill="auto"/>
            <w:noWrap/>
            <w:vAlign w:val="bottom"/>
            <w:hideMark/>
          </w:tcPr>
          <w:p w14:paraId="5F82B940" w14:textId="77777777" w:rsidR="00763235" w:rsidRPr="0077388B" w:rsidRDefault="00763235" w:rsidP="00763235">
            <w:pPr>
              <w:rPr>
                <w:rFonts w:ascii="Calibri" w:eastAsia="Times New Roman" w:hAnsi="Calibri" w:cs="Arial"/>
                <w:b/>
                <w:bCs/>
                <w:color w:val="000000"/>
                <w:sz w:val="20"/>
                <w:szCs w:val="18"/>
                <w:lang w:eastAsia="en-GB"/>
              </w:rPr>
            </w:pPr>
          </w:p>
        </w:tc>
        <w:tc>
          <w:tcPr>
            <w:tcW w:w="807" w:type="pct"/>
            <w:tcBorders>
              <w:top w:val="single" w:sz="4" w:space="0" w:color="auto"/>
              <w:left w:val="nil"/>
              <w:bottom w:val="single" w:sz="4" w:space="0" w:color="auto"/>
              <w:right w:val="nil"/>
            </w:tcBorders>
            <w:shd w:val="clear" w:color="auto" w:fill="auto"/>
            <w:noWrap/>
            <w:vAlign w:val="center"/>
          </w:tcPr>
          <w:p w14:paraId="3509B18E" w14:textId="3C74293C" w:rsidR="00763235" w:rsidRPr="0077388B" w:rsidRDefault="00210EFE" w:rsidP="00711721">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164</w:t>
            </w:r>
          </w:p>
        </w:tc>
        <w:tc>
          <w:tcPr>
            <w:tcW w:w="807" w:type="pct"/>
            <w:tcBorders>
              <w:top w:val="single" w:sz="4" w:space="0" w:color="auto"/>
              <w:left w:val="nil"/>
              <w:bottom w:val="single" w:sz="4" w:space="0" w:color="auto"/>
              <w:right w:val="nil"/>
            </w:tcBorders>
            <w:shd w:val="clear" w:color="auto" w:fill="auto"/>
            <w:noWrap/>
            <w:vAlign w:val="center"/>
          </w:tcPr>
          <w:p w14:paraId="4FED5E3D" w14:textId="5E6A6C25" w:rsidR="00763235" w:rsidRPr="002E4743" w:rsidRDefault="00763235" w:rsidP="00711721">
            <w:pPr>
              <w:jc w:val="right"/>
              <w:rPr>
                <w:rFonts w:ascii="Calibri" w:eastAsia="Times New Roman" w:hAnsi="Calibri" w:cs="Arial"/>
                <w:b/>
                <w:color w:val="000000"/>
                <w:sz w:val="20"/>
                <w:szCs w:val="18"/>
                <w:lang w:eastAsia="en-GB"/>
              </w:rPr>
            </w:pPr>
            <w:r>
              <w:rPr>
                <w:rFonts w:ascii="Calibri" w:eastAsia="Times New Roman" w:hAnsi="Calibri" w:cs="Arial"/>
                <w:b/>
                <w:bCs/>
                <w:color w:val="000000"/>
                <w:sz w:val="20"/>
                <w:szCs w:val="18"/>
                <w:lang w:eastAsia="en-GB"/>
              </w:rPr>
              <w:t>(</w:t>
            </w:r>
            <w:r w:rsidR="001A2161">
              <w:rPr>
                <w:rFonts w:ascii="Calibri" w:eastAsia="Times New Roman" w:hAnsi="Calibri" w:cs="Arial"/>
                <w:b/>
                <w:bCs/>
                <w:color w:val="000000"/>
                <w:sz w:val="20"/>
                <w:szCs w:val="18"/>
                <w:lang w:eastAsia="en-GB"/>
              </w:rPr>
              <w:t>351</w:t>
            </w:r>
            <w:r>
              <w:rPr>
                <w:rFonts w:ascii="Calibri" w:eastAsia="Times New Roman" w:hAnsi="Calibri" w:cs="Arial"/>
                <w:b/>
                <w:bCs/>
                <w:color w:val="000000"/>
                <w:sz w:val="20"/>
                <w:szCs w:val="18"/>
                <w:lang w:eastAsia="en-GB"/>
              </w:rPr>
              <w:t>)</w:t>
            </w:r>
          </w:p>
        </w:tc>
        <w:tc>
          <w:tcPr>
            <w:tcW w:w="807" w:type="pct"/>
            <w:tcBorders>
              <w:top w:val="single" w:sz="4" w:space="0" w:color="auto"/>
              <w:left w:val="nil"/>
              <w:bottom w:val="single" w:sz="4" w:space="0" w:color="auto"/>
              <w:right w:val="nil"/>
            </w:tcBorders>
            <w:vAlign w:val="center"/>
          </w:tcPr>
          <w:p w14:paraId="4C2C6318" w14:textId="0A1ED4A9" w:rsidR="00763235" w:rsidRDefault="00C917CE" w:rsidP="00711721">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r>
      <w:tr w:rsidR="00711721" w:rsidRPr="0077388B" w14:paraId="44DA3F87" w14:textId="5D24BA97" w:rsidTr="00CC72FA">
        <w:trPr>
          <w:trHeight w:val="275"/>
        </w:trPr>
        <w:tc>
          <w:tcPr>
            <w:tcW w:w="2207" w:type="pct"/>
            <w:tcBorders>
              <w:top w:val="nil"/>
              <w:left w:val="nil"/>
              <w:bottom w:val="nil"/>
              <w:right w:val="nil"/>
            </w:tcBorders>
            <w:shd w:val="clear" w:color="auto" w:fill="auto"/>
            <w:noWrap/>
            <w:vAlign w:val="center"/>
            <w:hideMark/>
          </w:tcPr>
          <w:p w14:paraId="5AB06112" w14:textId="77777777" w:rsidR="00763235" w:rsidRPr="0077388B" w:rsidRDefault="00763235" w:rsidP="00711721">
            <w:pPr>
              <w:rPr>
                <w:rFonts w:ascii="Calibri" w:eastAsia="Times New Roman" w:hAnsi="Calibri" w:cs="Arial"/>
                <w:color w:val="000000"/>
                <w:sz w:val="20"/>
                <w:szCs w:val="18"/>
                <w:lang w:eastAsia="en-GB"/>
              </w:rPr>
            </w:pPr>
          </w:p>
        </w:tc>
        <w:tc>
          <w:tcPr>
            <w:tcW w:w="372" w:type="pct"/>
            <w:tcBorders>
              <w:top w:val="nil"/>
              <w:left w:val="nil"/>
              <w:bottom w:val="nil"/>
              <w:right w:val="nil"/>
            </w:tcBorders>
            <w:shd w:val="clear" w:color="auto" w:fill="auto"/>
            <w:noWrap/>
            <w:vAlign w:val="bottom"/>
            <w:hideMark/>
          </w:tcPr>
          <w:p w14:paraId="3B88DFEF" w14:textId="77777777" w:rsidR="00763235" w:rsidRPr="0077388B" w:rsidRDefault="00763235" w:rsidP="00763235">
            <w:pPr>
              <w:rPr>
                <w:rFonts w:ascii="Calibri" w:eastAsia="Times New Roman" w:hAnsi="Calibri"/>
                <w:sz w:val="20"/>
                <w:szCs w:val="20"/>
                <w:lang w:eastAsia="en-GB"/>
              </w:rPr>
            </w:pPr>
          </w:p>
        </w:tc>
        <w:tc>
          <w:tcPr>
            <w:tcW w:w="807" w:type="pct"/>
            <w:tcBorders>
              <w:top w:val="nil"/>
              <w:left w:val="nil"/>
              <w:bottom w:val="nil"/>
              <w:right w:val="nil"/>
            </w:tcBorders>
            <w:shd w:val="clear" w:color="auto" w:fill="auto"/>
            <w:noWrap/>
            <w:vAlign w:val="center"/>
          </w:tcPr>
          <w:p w14:paraId="0D0398FD" w14:textId="77777777" w:rsidR="00763235" w:rsidRPr="0077388B" w:rsidRDefault="00763235" w:rsidP="00711721">
            <w:pPr>
              <w:jc w:val="right"/>
              <w:rPr>
                <w:rFonts w:ascii="Calibri" w:eastAsia="Times New Roman" w:hAnsi="Calibri"/>
                <w:sz w:val="20"/>
                <w:szCs w:val="20"/>
                <w:lang w:eastAsia="en-GB"/>
              </w:rPr>
            </w:pPr>
          </w:p>
        </w:tc>
        <w:tc>
          <w:tcPr>
            <w:tcW w:w="807" w:type="pct"/>
            <w:tcBorders>
              <w:top w:val="nil"/>
              <w:left w:val="nil"/>
              <w:bottom w:val="nil"/>
              <w:right w:val="nil"/>
            </w:tcBorders>
            <w:shd w:val="clear" w:color="auto" w:fill="auto"/>
            <w:noWrap/>
            <w:vAlign w:val="center"/>
          </w:tcPr>
          <w:p w14:paraId="5E10C81F" w14:textId="77777777" w:rsidR="00763235" w:rsidRPr="002E4743" w:rsidRDefault="00763235" w:rsidP="00711721">
            <w:pPr>
              <w:jc w:val="right"/>
              <w:rPr>
                <w:rFonts w:ascii="Calibri" w:eastAsia="Times New Roman" w:hAnsi="Calibri"/>
                <w:b/>
                <w:sz w:val="20"/>
                <w:szCs w:val="20"/>
                <w:lang w:eastAsia="en-GB"/>
              </w:rPr>
            </w:pPr>
          </w:p>
        </w:tc>
        <w:tc>
          <w:tcPr>
            <w:tcW w:w="807" w:type="pct"/>
            <w:tcBorders>
              <w:top w:val="nil"/>
              <w:left w:val="nil"/>
              <w:bottom w:val="nil"/>
              <w:right w:val="nil"/>
            </w:tcBorders>
            <w:vAlign w:val="center"/>
          </w:tcPr>
          <w:p w14:paraId="50F5B042" w14:textId="77777777" w:rsidR="00763235" w:rsidRPr="002E4743" w:rsidRDefault="00763235" w:rsidP="00711721">
            <w:pPr>
              <w:jc w:val="right"/>
              <w:rPr>
                <w:rFonts w:ascii="Calibri" w:eastAsia="Times New Roman" w:hAnsi="Calibri"/>
                <w:b/>
                <w:sz w:val="20"/>
                <w:szCs w:val="20"/>
                <w:lang w:eastAsia="en-GB"/>
              </w:rPr>
            </w:pPr>
          </w:p>
        </w:tc>
      </w:tr>
      <w:tr w:rsidR="00711721" w:rsidRPr="0077388B" w14:paraId="2FEE7393" w14:textId="40F592D6" w:rsidTr="00CC72FA">
        <w:trPr>
          <w:trHeight w:val="275"/>
        </w:trPr>
        <w:tc>
          <w:tcPr>
            <w:tcW w:w="2207" w:type="pct"/>
            <w:tcBorders>
              <w:top w:val="nil"/>
              <w:left w:val="nil"/>
              <w:bottom w:val="nil"/>
              <w:right w:val="nil"/>
            </w:tcBorders>
            <w:shd w:val="clear" w:color="auto" w:fill="auto"/>
            <w:noWrap/>
            <w:vAlign w:val="center"/>
            <w:hideMark/>
          </w:tcPr>
          <w:p w14:paraId="03C3F7F6" w14:textId="1F0C9088" w:rsidR="00763235" w:rsidRPr="0077388B" w:rsidRDefault="00763235" w:rsidP="00711721">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 xml:space="preserve">Total comprehensive </w:t>
            </w:r>
            <w:r w:rsidR="00320301">
              <w:rPr>
                <w:rFonts w:ascii="Calibri" w:eastAsia="Times New Roman" w:hAnsi="Calibri" w:cs="Arial"/>
                <w:b/>
                <w:bCs/>
                <w:color w:val="000000"/>
                <w:sz w:val="20"/>
                <w:szCs w:val="18"/>
                <w:lang w:eastAsia="en-GB"/>
              </w:rPr>
              <w:t>expenses</w:t>
            </w:r>
            <w:r w:rsidRPr="0077388B">
              <w:rPr>
                <w:rFonts w:ascii="Calibri" w:eastAsia="Times New Roman" w:hAnsi="Calibri" w:cs="Arial"/>
                <w:b/>
                <w:bCs/>
                <w:color w:val="000000"/>
                <w:sz w:val="20"/>
                <w:szCs w:val="18"/>
                <w:lang w:eastAsia="en-GB"/>
              </w:rPr>
              <w:t xml:space="preserve"> for the period</w:t>
            </w:r>
          </w:p>
        </w:tc>
        <w:tc>
          <w:tcPr>
            <w:tcW w:w="372" w:type="pct"/>
            <w:tcBorders>
              <w:top w:val="nil"/>
              <w:left w:val="nil"/>
              <w:bottom w:val="nil"/>
              <w:right w:val="nil"/>
            </w:tcBorders>
            <w:shd w:val="clear" w:color="auto" w:fill="auto"/>
            <w:noWrap/>
            <w:vAlign w:val="bottom"/>
            <w:hideMark/>
          </w:tcPr>
          <w:p w14:paraId="100C4AA6" w14:textId="77777777" w:rsidR="00763235" w:rsidRPr="0077388B" w:rsidRDefault="00763235" w:rsidP="00763235">
            <w:pPr>
              <w:rPr>
                <w:rFonts w:ascii="Calibri" w:eastAsia="Times New Roman" w:hAnsi="Calibri" w:cs="Arial"/>
                <w:b/>
                <w:bCs/>
                <w:color w:val="000000"/>
                <w:sz w:val="20"/>
                <w:szCs w:val="18"/>
                <w:lang w:eastAsia="en-GB"/>
              </w:rPr>
            </w:pPr>
          </w:p>
        </w:tc>
        <w:tc>
          <w:tcPr>
            <w:tcW w:w="807" w:type="pct"/>
            <w:tcBorders>
              <w:top w:val="single" w:sz="4" w:space="0" w:color="auto"/>
              <w:left w:val="nil"/>
              <w:bottom w:val="single" w:sz="4" w:space="0" w:color="auto"/>
              <w:right w:val="nil"/>
            </w:tcBorders>
            <w:shd w:val="clear" w:color="auto" w:fill="auto"/>
            <w:noWrap/>
            <w:vAlign w:val="center"/>
          </w:tcPr>
          <w:p w14:paraId="42987136" w14:textId="698E3B03" w:rsidR="00763235" w:rsidRPr="0077388B" w:rsidRDefault="001A2161" w:rsidP="00711721">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00210EFE">
              <w:rPr>
                <w:rFonts w:ascii="Calibri" w:eastAsia="Times New Roman" w:hAnsi="Calibri" w:cs="Arial"/>
                <w:b/>
                <w:bCs/>
                <w:color w:val="000000"/>
                <w:sz w:val="20"/>
                <w:szCs w:val="18"/>
                <w:lang w:eastAsia="en-GB"/>
              </w:rPr>
              <w:t>61</w:t>
            </w:r>
            <w:r w:rsidR="00480894">
              <w:rPr>
                <w:rFonts w:ascii="Calibri" w:eastAsia="Times New Roman" w:hAnsi="Calibri" w:cs="Arial"/>
                <w:b/>
                <w:bCs/>
                <w:color w:val="000000"/>
                <w:sz w:val="20"/>
                <w:szCs w:val="18"/>
                <w:lang w:eastAsia="en-GB"/>
              </w:rPr>
              <w:t>2</w:t>
            </w:r>
            <w:r>
              <w:rPr>
                <w:rFonts w:ascii="Calibri" w:eastAsia="Times New Roman" w:hAnsi="Calibri" w:cs="Arial"/>
                <w:b/>
                <w:bCs/>
                <w:color w:val="000000"/>
                <w:sz w:val="20"/>
                <w:szCs w:val="18"/>
                <w:lang w:eastAsia="en-GB"/>
              </w:rPr>
              <w:t>)</w:t>
            </w:r>
          </w:p>
        </w:tc>
        <w:tc>
          <w:tcPr>
            <w:tcW w:w="807" w:type="pct"/>
            <w:tcBorders>
              <w:top w:val="single" w:sz="4" w:space="0" w:color="auto"/>
              <w:left w:val="nil"/>
              <w:bottom w:val="single" w:sz="4" w:space="0" w:color="auto"/>
              <w:right w:val="nil"/>
            </w:tcBorders>
            <w:shd w:val="clear" w:color="auto" w:fill="auto"/>
            <w:noWrap/>
            <w:vAlign w:val="center"/>
          </w:tcPr>
          <w:p w14:paraId="6D3BF337" w14:textId="44332538" w:rsidR="00763235" w:rsidRPr="002E4743" w:rsidRDefault="00763235" w:rsidP="00711721">
            <w:pPr>
              <w:jc w:val="right"/>
              <w:rPr>
                <w:rFonts w:ascii="Calibri" w:eastAsia="Times New Roman" w:hAnsi="Calibri" w:cs="Arial"/>
                <w:b/>
                <w:color w:val="000000"/>
                <w:sz w:val="20"/>
                <w:szCs w:val="18"/>
                <w:lang w:eastAsia="en-GB"/>
              </w:rPr>
            </w:pPr>
            <w:r>
              <w:rPr>
                <w:rFonts w:ascii="Calibri" w:eastAsia="Times New Roman" w:hAnsi="Calibri" w:cs="Arial"/>
                <w:b/>
                <w:bCs/>
                <w:color w:val="000000"/>
                <w:sz w:val="20"/>
                <w:szCs w:val="18"/>
                <w:lang w:eastAsia="en-GB"/>
              </w:rPr>
              <w:t>(</w:t>
            </w:r>
            <w:r w:rsidR="001A2161">
              <w:rPr>
                <w:rFonts w:ascii="Calibri" w:eastAsia="Times New Roman" w:hAnsi="Calibri" w:cs="Arial"/>
                <w:b/>
                <w:bCs/>
                <w:color w:val="000000"/>
                <w:sz w:val="20"/>
                <w:szCs w:val="18"/>
                <w:lang w:eastAsia="en-GB"/>
              </w:rPr>
              <w:t>605</w:t>
            </w:r>
            <w:r>
              <w:rPr>
                <w:rFonts w:ascii="Calibri" w:eastAsia="Times New Roman" w:hAnsi="Calibri" w:cs="Arial"/>
                <w:b/>
                <w:bCs/>
                <w:color w:val="000000"/>
                <w:sz w:val="20"/>
                <w:szCs w:val="18"/>
                <w:lang w:eastAsia="en-GB"/>
              </w:rPr>
              <w:t>)</w:t>
            </w:r>
          </w:p>
        </w:tc>
        <w:tc>
          <w:tcPr>
            <w:tcW w:w="807" w:type="pct"/>
            <w:tcBorders>
              <w:top w:val="single" w:sz="4" w:space="0" w:color="auto"/>
              <w:left w:val="nil"/>
              <w:bottom w:val="single" w:sz="4" w:space="0" w:color="auto"/>
              <w:right w:val="nil"/>
            </w:tcBorders>
            <w:vAlign w:val="center"/>
          </w:tcPr>
          <w:p w14:paraId="1A19D126" w14:textId="476B806A" w:rsidR="00763235" w:rsidRDefault="001A2161" w:rsidP="00711721">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(7</w:t>
            </w:r>
            <w:r w:rsidR="00210EFE">
              <w:rPr>
                <w:rFonts w:ascii="Calibri" w:eastAsia="Times New Roman" w:hAnsi="Calibri" w:cs="Arial"/>
                <w:b/>
                <w:bCs/>
                <w:color w:val="000000"/>
                <w:sz w:val="20"/>
                <w:szCs w:val="18"/>
                <w:lang w:eastAsia="en-GB"/>
              </w:rPr>
              <w:t>08</w:t>
            </w:r>
            <w:r>
              <w:rPr>
                <w:rFonts w:ascii="Calibri" w:eastAsia="Times New Roman" w:hAnsi="Calibri" w:cs="Arial"/>
                <w:b/>
                <w:bCs/>
                <w:color w:val="000000"/>
                <w:sz w:val="20"/>
                <w:szCs w:val="18"/>
                <w:lang w:eastAsia="en-GB"/>
              </w:rPr>
              <w:t>)</w:t>
            </w:r>
          </w:p>
        </w:tc>
      </w:tr>
      <w:tr w:rsidR="00711721" w:rsidRPr="0077388B" w14:paraId="660E5A80" w14:textId="5F8BB6D6" w:rsidTr="00CC72FA">
        <w:trPr>
          <w:trHeight w:val="275"/>
        </w:trPr>
        <w:tc>
          <w:tcPr>
            <w:tcW w:w="2207" w:type="pct"/>
            <w:tcBorders>
              <w:top w:val="nil"/>
              <w:left w:val="nil"/>
              <w:bottom w:val="nil"/>
              <w:right w:val="nil"/>
            </w:tcBorders>
            <w:shd w:val="clear" w:color="auto" w:fill="auto"/>
            <w:noWrap/>
            <w:vAlign w:val="center"/>
            <w:hideMark/>
          </w:tcPr>
          <w:p w14:paraId="69D4AC23" w14:textId="77777777" w:rsidR="00763235" w:rsidRPr="0077388B" w:rsidRDefault="00763235" w:rsidP="00711721">
            <w:pPr>
              <w:rPr>
                <w:rFonts w:ascii="Calibri" w:eastAsia="Times New Roman" w:hAnsi="Calibri" w:cs="Arial"/>
                <w:color w:val="000000"/>
                <w:sz w:val="20"/>
                <w:szCs w:val="18"/>
                <w:lang w:eastAsia="en-GB"/>
              </w:rPr>
            </w:pPr>
          </w:p>
        </w:tc>
        <w:tc>
          <w:tcPr>
            <w:tcW w:w="372" w:type="pct"/>
            <w:tcBorders>
              <w:top w:val="nil"/>
              <w:left w:val="nil"/>
              <w:bottom w:val="nil"/>
              <w:right w:val="nil"/>
            </w:tcBorders>
            <w:shd w:val="clear" w:color="auto" w:fill="auto"/>
            <w:noWrap/>
            <w:vAlign w:val="bottom"/>
            <w:hideMark/>
          </w:tcPr>
          <w:p w14:paraId="1EDC9D79" w14:textId="77777777" w:rsidR="00763235" w:rsidRPr="0077388B" w:rsidRDefault="00763235" w:rsidP="00763235">
            <w:pPr>
              <w:rPr>
                <w:rFonts w:ascii="Calibri" w:eastAsia="Times New Roman" w:hAnsi="Calibri"/>
                <w:sz w:val="20"/>
                <w:szCs w:val="20"/>
                <w:lang w:eastAsia="en-GB"/>
              </w:rPr>
            </w:pPr>
          </w:p>
        </w:tc>
        <w:tc>
          <w:tcPr>
            <w:tcW w:w="807" w:type="pct"/>
            <w:tcBorders>
              <w:top w:val="nil"/>
              <w:left w:val="nil"/>
              <w:bottom w:val="nil"/>
              <w:right w:val="nil"/>
            </w:tcBorders>
            <w:shd w:val="clear" w:color="auto" w:fill="auto"/>
            <w:noWrap/>
            <w:vAlign w:val="center"/>
          </w:tcPr>
          <w:p w14:paraId="1091EDDF" w14:textId="77777777" w:rsidR="00763235" w:rsidRPr="0077388B" w:rsidRDefault="00763235" w:rsidP="00711721">
            <w:pPr>
              <w:jc w:val="right"/>
              <w:rPr>
                <w:rFonts w:ascii="Calibri" w:eastAsia="Times New Roman" w:hAnsi="Calibri"/>
                <w:sz w:val="20"/>
                <w:szCs w:val="20"/>
                <w:lang w:eastAsia="en-GB"/>
              </w:rPr>
            </w:pPr>
          </w:p>
        </w:tc>
        <w:tc>
          <w:tcPr>
            <w:tcW w:w="807" w:type="pct"/>
            <w:tcBorders>
              <w:top w:val="nil"/>
              <w:left w:val="nil"/>
              <w:bottom w:val="nil"/>
              <w:right w:val="nil"/>
            </w:tcBorders>
            <w:shd w:val="clear" w:color="auto" w:fill="auto"/>
            <w:noWrap/>
            <w:vAlign w:val="center"/>
          </w:tcPr>
          <w:p w14:paraId="495F3F5B" w14:textId="77777777" w:rsidR="00763235" w:rsidRPr="002E4743" w:rsidRDefault="00763235" w:rsidP="00711721">
            <w:pPr>
              <w:jc w:val="right"/>
              <w:rPr>
                <w:rFonts w:ascii="Calibri" w:eastAsia="Times New Roman" w:hAnsi="Calibri"/>
                <w:b/>
                <w:sz w:val="20"/>
                <w:szCs w:val="20"/>
                <w:lang w:eastAsia="en-GB"/>
              </w:rPr>
            </w:pPr>
          </w:p>
        </w:tc>
        <w:tc>
          <w:tcPr>
            <w:tcW w:w="807" w:type="pct"/>
            <w:tcBorders>
              <w:top w:val="nil"/>
              <w:left w:val="nil"/>
              <w:bottom w:val="nil"/>
              <w:right w:val="nil"/>
            </w:tcBorders>
            <w:vAlign w:val="center"/>
          </w:tcPr>
          <w:p w14:paraId="27C0EC8E" w14:textId="77777777" w:rsidR="00763235" w:rsidRPr="002E4743" w:rsidRDefault="00763235" w:rsidP="00711721">
            <w:pPr>
              <w:jc w:val="right"/>
              <w:rPr>
                <w:rFonts w:ascii="Calibri" w:eastAsia="Times New Roman" w:hAnsi="Calibri"/>
                <w:b/>
                <w:sz w:val="20"/>
                <w:szCs w:val="20"/>
                <w:lang w:eastAsia="en-GB"/>
              </w:rPr>
            </w:pPr>
          </w:p>
        </w:tc>
      </w:tr>
      <w:tr w:rsidR="00711721" w:rsidRPr="0077388B" w14:paraId="720E5097" w14:textId="0CDB8B2B" w:rsidTr="00CC72FA">
        <w:trPr>
          <w:trHeight w:val="275"/>
        </w:trPr>
        <w:tc>
          <w:tcPr>
            <w:tcW w:w="2207" w:type="pct"/>
            <w:tcBorders>
              <w:top w:val="nil"/>
              <w:left w:val="nil"/>
              <w:bottom w:val="nil"/>
              <w:right w:val="nil"/>
            </w:tcBorders>
            <w:shd w:val="clear" w:color="auto" w:fill="auto"/>
            <w:noWrap/>
            <w:vAlign w:val="center"/>
            <w:hideMark/>
          </w:tcPr>
          <w:p w14:paraId="195E42E8" w14:textId="77777777" w:rsidR="00763235" w:rsidRPr="0077388B" w:rsidRDefault="00763235" w:rsidP="00711721">
            <w:pPr>
              <w:rPr>
                <w:rFonts w:ascii="Calibri" w:eastAsia="Times New Roman" w:hAnsi="Calibri" w:cs="Arial"/>
                <w:color w:val="000000"/>
                <w:sz w:val="20"/>
                <w:szCs w:val="18"/>
                <w:lang w:eastAsia="en-GB"/>
              </w:rPr>
            </w:pPr>
          </w:p>
        </w:tc>
        <w:tc>
          <w:tcPr>
            <w:tcW w:w="372" w:type="pct"/>
            <w:tcBorders>
              <w:top w:val="nil"/>
              <w:left w:val="nil"/>
              <w:bottom w:val="nil"/>
              <w:right w:val="nil"/>
            </w:tcBorders>
            <w:shd w:val="clear" w:color="auto" w:fill="auto"/>
            <w:noWrap/>
            <w:vAlign w:val="bottom"/>
            <w:hideMark/>
          </w:tcPr>
          <w:p w14:paraId="50398217" w14:textId="77777777" w:rsidR="00763235" w:rsidRPr="0077388B" w:rsidRDefault="00763235" w:rsidP="00763235">
            <w:pPr>
              <w:rPr>
                <w:rFonts w:ascii="Calibri" w:eastAsia="Times New Roman" w:hAnsi="Calibri"/>
                <w:sz w:val="20"/>
                <w:szCs w:val="20"/>
                <w:lang w:eastAsia="en-GB"/>
              </w:rPr>
            </w:pPr>
          </w:p>
        </w:tc>
        <w:tc>
          <w:tcPr>
            <w:tcW w:w="807" w:type="pct"/>
            <w:tcBorders>
              <w:top w:val="nil"/>
              <w:left w:val="nil"/>
              <w:bottom w:val="nil"/>
              <w:right w:val="nil"/>
            </w:tcBorders>
            <w:shd w:val="clear" w:color="auto" w:fill="auto"/>
            <w:noWrap/>
            <w:vAlign w:val="center"/>
          </w:tcPr>
          <w:p w14:paraId="494094F5" w14:textId="77777777" w:rsidR="00763235" w:rsidRPr="0077388B" w:rsidRDefault="00763235" w:rsidP="00711721">
            <w:pPr>
              <w:jc w:val="right"/>
              <w:rPr>
                <w:rFonts w:ascii="Calibri" w:eastAsia="Times New Roman" w:hAnsi="Calibri"/>
                <w:sz w:val="20"/>
                <w:szCs w:val="20"/>
                <w:lang w:eastAsia="en-GB"/>
              </w:rPr>
            </w:pPr>
          </w:p>
        </w:tc>
        <w:tc>
          <w:tcPr>
            <w:tcW w:w="807" w:type="pct"/>
            <w:tcBorders>
              <w:top w:val="nil"/>
              <w:left w:val="nil"/>
              <w:bottom w:val="nil"/>
              <w:right w:val="nil"/>
            </w:tcBorders>
            <w:shd w:val="clear" w:color="auto" w:fill="auto"/>
            <w:noWrap/>
            <w:vAlign w:val="center"/>
          </w:tcPr>
          <w:p w14:paraId="4D9F445C" w14:textId="77777777" w:rsidR="00763235" w:rsidRPr="0077388B" w:rsidRDefault="00763235" w:rsidP="00711721">
            <w:pPr>
              <w:jc w:val="right"/>
              <w:rPr>
                <w:rFonts w:ascii="Calibri" w:eastAsia="Times New Roman" w:hAnsi="Calibri"/>
                <w:sz w:val="20"/>
                <w:szCs w:val="20"/>
                <w:lang w:eastAsia="en-GB"/>
              </w:rPr>
            </w:pPr>
          </w:p>
        </w:tc>
        <w:tc>
          <w:tcPr>
            <w:tcW w:w="807" w:type="pct"/>
            <w:tcBorders>
              <w:top w:val="nil"/>
              <w:left w:val="nil"/>
              <w:bottom w:val="nil"/>
              <w:right w:val="nil"/>
            </w:tcBorders>
            <w:vAlign w:val="center"/>
          </w:tcPr>
          <w:p w14:paraId="18E58B34" w14:textId="77777777" w:rsidR="00763235" w:rsidRPr="0077388B" w:rsidRDefault="00763235" w:rsidP="00711721">
            <w:pPr>
              <w:jc w:val="right"/>
              <w:rPr>
                <w:rFonts w:ascii="Calibri" w:eastAsia="Times New Roman" w:hAnsi="Calibri"/>
                <w:sz w:val="20"/>
                <w:szCs w:val="20"/>
                <w:lang w:eastAsia="en-GB"/>
              </w:rPr>
            </w:pPr>
          </w:p>
        </w:tc>
      </w:tr>
      <w:tr w:rsidR="00711721" w:rsidRPr="0077388B" w14:paraId="2700FF90" w14:textId="2AECAB7B" w:rsidTr="00CC72FA">
        <w:trPr>
          <w:trHeight w:val="275"/>
        </w:trPr>
        <w:tc>
          <w:tcPr>
            <w:tcW w:w="2207" w:type="pct"/>
            <w:tcBorders>
              <w:top w:val="nil"/>
              <w:left w:val="nil"/>
              <w:bottom w:val="nil"/>
              <w:right w:val="nil"/>
            </w:tcBorders>
            <w:shd w:val="clear" w:color="auto" w:fill="auto"/>
            <w:noWrap/>
            <w:vAlign w:val="center"/>
            <w:hideMark/>
          </w:tcPr>
          <w:p w14:paraId="2A36A286" w14:textId="77777777" w:rsidR="00763235" w:rsidRPr="0077388B" w:rsidRDefault="00763235" w:rsidP="00711721">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Loss per share from continuing and discontinued operations</w:t>
            </w:r>
          </w:p>
        </w:tc>
        <w:tc>
          <w:tcPr>
            <w:tcW w:w="372" w:type="pct"/>
            <w:tcBorders>
              <w:top w:val="nil"/>
              <w:left w:val="nil"/>
              <w:bottom w:val="nil"/>
              <w:right w:val="nil"/>
            </w:tcBorders>
            <w:shd w:val="clear" w:color="auto" w:fill="auto"/>
            <w:noWrap/>
            <w:vAlign w:val="bottom"/>
            <w:hideMark/>
          </w:tcPr>
          <w:p w14:paraId="0D05B74A" w14:textId="77777777" w:rsidR="00763235" w:rsidRPr="0077388B" w:rsidRDefault="00763235" w:rsidP="00763235">
            <w:pPr>
              <w:rPr>
                <w:rFonts w:ascii="Calibri" w:eastAsia="Times New Roman" w:hAnsi="Calibri" w:cs="Arial"/>
                <w:b/>
                <w:bCs/>
                <w:color w:val="000000"/>
                <w:sz w:val="20"/>
                <w:szCs w:val="18"/>
                <w:lang w:eastAsia="en-GB"/>
              </w:rPr>
            </w:pPr>
          </w:p>
        </w:tc>
        <w:tc>
          <w:tcPr>
            <w:tcW w:w="807" w:type="pct"/>
            <w:tcBorders>
              <w:top w:val="nil"/>
              <w:left w:val="nil"/>
              <w:bottom w:val="nil"/>
              <w:right w:val="nil"/>
            </w:tcBorders>
            <w:shd w:val="clear" w:color="auto" w:fill="auto"/>
            <w:noWrap/>
            <w:vAlign w:val="center"/>
          </w:tcPr>
          <w:p w14:paraId="2F5545BC" w14:textId="77777777" w:rsidR="00763235" w:rsidRPr="0077388B" w:rsidRDefault="00763235" w:rsidP="00711721">
            <w:pPr>
              <w:jc w:val="right"/>
              <w:rPr>
                <w:rFonts w:ascii="Calibri" w:eastAsia="Times New Roman" w:hAnsi="Calibri"/>
                <w:sz w:val="20"/>
                <w:szCs w:val="20"/>
                <w:lang w:eastAsia="en-GB"/>
              </w:rPr>
            </w:pPr>
          </w:p>
        </w:tc>
        <w:tc>
          <w:tcPr>
            <w:tcW w:w="807" w:type="pct"/>
            <w:tcBorders>
              <w:top w:val="nil"/>
              <w:left w:val="nil"/>
              <w:bottom w:val="nil"/>
              <w:right w:val="nil"/>
            </w:tcBorders>
            <w:shd w:val="clear" w:color="auto" w:fill="auto"/>
            <w:noWrap/>
            <w:vAlign w:val="center"/>
          </w:tcPr>
          <w:p w14:paraId="75610B72" w14:textId="77777777" w:rsidR="00763235" w:rsidRPr="0077388B" w:rsidRDefault="00763235" w:rsidP="00711721">
            <w:pPr>
              <w:jc w:val="right"/>
              <w:rPr>
                <w:rFonts w:ascii="Calibri" w:eastAsia="Times New Roman" w:hAnsi="Calibri"/>
                <w:sz w:val="20"/>
                <w:szCs w:val="20"/>
                <w:lang w:eastAsia="en-GB"/>
              </w:rPr>
            </w:pPr>
          </w:p>
        </w:tc>
        <w:tc>
          <w:tcPr>
            <w:tcW w:w="807" w:type="pct"/>
            <w:tcBorders>
              <w:top w:val="nil"/>
              <w:left w:val="nil"/>
              <w:bottom w:val="nil"/>
              <w:right w:val="nil"/>
            </w:tcBorders>
            <w:vAlign w:val="center"/>
          </w:tcPr>
          <w:p w14:paraId="340E7CD9" w14:textId="77777777" w:rsidR="00763235" w:rsidRPr="0077388B" w:rsidRDefault="00763235" w:rsidP="00711721">
            <w:pPr>
              <w:jc w:val="right"/>
              <w:rPr>
                <w:rFonts w:ascii="Calibri" w:eastAsia="Times New Roman" w:hAnsi="Calibri"/>
                <w:sz w:val="20"/>
                <w:szCs w:val="20"/>
                <w:lang w:eastAsia="en-GB"/>
              </w:rPr>
            </w:pPr>
          </w:p>
        </w:tc>
      </w:tr>
      <w:tr w:rsidR="00711721" w:rsidRPr="0077388B" w14:paraId="57732516" w14:textId="1ACCAD8C" w:rsidTr="00CC72FA">
        <w:trPr>
          <w:trHeight w:val="275"/>
        </w:trPr>
        <w:tc>
          <w:tcPr>
            <w:tcW w:w="2207" w:type="pct"/>
            <w:tcBorders>
              <w:top w:val="nil"/>
              <w:left w:val="nil"/>
              <w:bottom w:val="nil"/>
              <w:right w:val="nil"/>
            </w:tcBorders>
            <w:shd w:val="clear" w:color="auto" w:fill="auto"/>
            <w:noWrap/>
            <w:vAlign w:val="center"/>
            <w:hideMark/>
          </w:tcPr>
          <w:p w14:paraId="6C59078F" w14:textId="77777777" w:rsidR="00763235" w:rsidRPr="0077388B" w:rsidRDefault="00763235" w:rsidP="00711721">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attributable to the owners of the parent during the period</w:t>
            </w:r>
          </w:p>
        </w:tc>
        <w:tc>
          <w:tcPr>
            <w:tcW w:w="372" w:type="pct"/>
            <w:tcBorders>
              <w:top w:val="nil"/>
              <w:left w:val="nil"/>
              <w:bottom w:val="nil"/>
              <w:right w:val="nil"/>
            </w:tcBorders>
            <w:shd w:val="clear" w:color="auto" w:fill="auto"/>
            <w:noWrap/>
            <w:vAlign w:val="bottom"/>
            <w:hideMark/>
          </w:tcPr>
          <w:p w14:paraId="2E83E765" w14:textId="77777777" w:rsidR="00763235" w:rsidRPr="0077388B" w:rsidRDefault="00763235" w:rsidP="00763235">
            <w:pPr>
              <w:rPr>
                <w:rFonts w:ascii="Calibri" w:eastAsia="Times New Roman" w:hAnsi="Calibri" w:cs="Arial"/>
                <w:b/>
                <w:bCs/>
                <w:color w:val="000000"/>
                <w:sz w:val="20"/>
                <w:szCs w:val="18"/>
                <w:lang w:eastAsia="en-GB"/>
              </w:rPr>
            </w:pPr>
          </w:p>
        </w:tc>
        <w:tc>
          <w:tcPr>
            <w:tcW w:w="807" w:type="pct"/>
            <w:tcBorders>
              <w:top w:val="nil"/>
              <w:left w:val="nil"/>
              <w:bottom w:val="nil"/>
              <w:right w:val="nil"/>
            </w:tcBorders>
            <w:shd w:val="clear" w:color="auto" w:fill="auto"/>
            <w:noWrap/>
            <w:vAlign w:val="center"/>
          </w:tcPr>
          <w:p w14:paraId="1550DDA5" w14:textId="77777777" w:rsidR="00763235" w:rsidRPr="0077388B" w:rsidRDefault="00763235" w:rsidP="00711721">
            <w:pPr>
              <w:jc w:val="right"/>
              <w:rPr>
                <w:rFonts w:ascii="Calibri" w:eastAsia="Times New Roman" w:hAnsi="Calibri"/>
                <w:sz w:val="20"/>
                <w:szCs w:val="20"/>
                <w:lang w:eastAsia="en-GB"/>
              </w:rPr>
            </w:pPr>
          </w:p>
        </w:tc>
        <w:tc>
          <w:tcPr>
            <w:tcW w:w="807" w:type="pct"/>
            <w:tcBorders>
              <w:top w:val="nil"/>
              <w:left w:val="nil"/>
              <w:bottom w:val="nil"/>
              <w:right w:val="nil"/>
            </w:tcBorders>
            <w:shd w:val="clear" w:color="auto" w:fill="auto"/>
            <w:noWrap/>
            <w:vAlign w:val="center"/>
          </w:tcPr>
          <w:p w14:paraId="5A53AF26" w14:textId="77777777" w:rsidR="00763235" w:rsidRPr="0077388B" w:rsidRDefault="00763235" w:rsidP="00711721">
            <w:pPr>
              <w:jc w:val="right"/>
              <w:rPr>
                <w:rFonts w:ascii="Calibri" w:eastAsia="Times New Roman" w:hAnsi="Calibri"/>
                <w:sz w:val="20"/>
                <w:szCs w:val="20"/>
                <w:lang w:eastAsia="en-GB"/>
              </w:rPr>
            </w:pPr>
          </w:p>
        </w:tc>
        <w:tc>
          <w:tcPr>
            <w:tcW w:w="807" w:type="pct"/>
            <w:tcBorders>
              <w:top w:val="nil"/>
              <w:left w:val="nil"/>
              <w:bottom w:val="nil"/>
              <w:right w:val="nil"/>
            </w:tcBorders>
            <w:vAlign w:val="center"/>
          </w:tcPr>
          <w:p w14:paraId="4B617B94" w14:textId="77777777" w:rsidR="00763235" w:rsidRPr="0077388B" w:rsidRDefault="00763235" w:rsidP="00711721">
            <w:pPr>
              <w:jc w:val="right"/>
              <w:rPr>
                <w:rFonts w:ascii="Calibri" w:eastAsia="Times New Roman" w:hAnsi="Calibri"/>
                <w:sz w:val="20"/>
                <w:szCs w:val="20"/>
                <w:lang w:eastAsia="en-GB"/>
              </w:rPr>
            </w:pPr>
          </w:p>
        </w:tc>
      </w:tr>
      <w:tr w:rsidR="00711721" w:rsidRPr="0077388B" w14:paraId="5737639A" w14:textId="31ECA504" w:rsidTr="00CC72FA">
        <w:trPr>
          <w:trHeight w:val="275"/>
        </w:trPr>
        <w:tc>
          <w:tcPr>
            <w:tcW w:w="2207" w:type="pct"/>
            <w:tcBorders>
              <w:top w:val="nil"/>
              <w:left w:val="nil"/>
              <w:bottom w:val="nil"/>
              <w:right w:val="nil"/>
            </w:tcBorders>
            <w:shd w:val="clear" w:color="auto" w:fill="auto"/>
            <w:noWrap/>
            <w:vAlign w:val="center"/>
            <w:hideMark/>
          </w:tcPr>
          <w:p w14:paraId="7762A67D" w14:textId="77777777" w:rsidR="00763235" w:rsidRPr="0077388B" w:rsidRDefault="00763235" w:rsidP="00711721">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 xml:space="preserve">(expressed in </w:t>
            </w:r>
            <w:r>
              <w:rPr>
                <w:rFonts w:ascii="Calibri" w:eastAsia="Times New Roman" w:hAnsi="Calibri" w:cs="Arial"/>
                <w:b/>
                <w:bCs/>
                <w:color w:val="000000"/>
                <w:sz w:val="20"/>
                <w:szCs w:val="18"/>
                <w:lang w:eastAsia="en-GB"/>
              </w:rPr>
              <w:t>dollars</w:t>
            </w:r>
            <w:r w:rsidRPr="0077388B">
              <w:rPr>
                <w:rFonts w:ascii="Calibri" w:eastAsia="Times New Roman" w:hAnsi="Calibri" w:cs="Arial"/>
                <w:b/>
                <w:bCs/>
                <w:color w:val="000000"/>
                <w:sz w:val="20"/>
                <w:szCs w:val="18"/>
                <w:lang w:eastAsia="en-GB"/>
              </w:rPr>
              <w:t xml:space="preserve"> per share)</w:t>
            </w:r>
          </w:p>
        </w:tc>
        <w:tc>
          <w:tcPr>
            <w:tcW w:w="372" w:type="pct"/>
            <w:tcBorders>
              <w:top w:val="nil"/>
              <w:left w:val="nil"/>
              <w:bottom w:val="nil"/>
              <w:right w:val="nil"/>
            </w:tcBorders>
            <w:shd w:val="clear" w:color="auto" w:fill="auto"/>
            <w:noWrap/>
            <w:vAlign w:val="bottom"/>
            <w:hideMark/>
          </w:tcPr>
          <w:p w14:paraId="1E9A0006" w14:textId="77777777" w:rsidR="00763235" w:rsidRPr="0077388B" w:rsidRDefault="00763235" w:rsidP="00763235">
            <w:pPr>
              <w:rPr>
                <w:rFonts w:ascii="Calibri" w:eastAsia="Times New Roman" w:hAnsi="Calibri" w:cs="Arial"/>
                <w:b/>
                <w:bCs/>
                <w:color w:val="000000"/>
                <w:sz w:val="20"/>
                <w:szCs w:val="18"/>
                <w:lang w:eastAsia="en-GB"/>
              </w:rPr>
            </w:pPr>
          </w:p>
        </w:tc>
        <w:tc>
          <w:tcPr>
            <w:tcW w:w="807" w:type="pct"/>
            <w:tcBorders>
              <w:top w:val="nil"/>
              <w:left w:val="nil"/>
              <w:bottom w:val="nil"/>
              <w:right w:val="nil"/>
            </w:tcBorders>
            <w:shd w:val="clear" w:color="auto" w:fill="auto"/>
            <w:noWrap/>
            <w:vAlign w:val="center"/>
          </w:tcPr>
          <w:p w14:paraId="14FFAE57" w14:textId="77777777" w:rsidR="00763235" w:rsidRPr="0077388B" w:rsidRDefault="00763235" w:rsidP="00711721">
            <w:pPr>
              <w:jc w:val="right"/>
              <w:rPr>
                <w:rFonts w:ascii="Calibri" w:eastAsia="Times New Roman" w:hAnsi="Calibri"/>
                <w:sz w:val="20"/>
                <w:szCs w:val="20"/>
                <w:lang w:eastAsia="en-GB"/>
              </w:rPr>
            </w:pPr>
          </w:p>
        </w:tc>
        <w:tc>
          <w:tcPr>
            <w:tcW w:w="807" w:type="pct"/>
            <w:tcBorders>
              <w:top w:val="nil"/>
              <w:left w:val="nil"/>
              <w:bottom w:val="nil"/>
              <w:right w:val="nil"/>
            </w:tcBorders>
            <w:shd w:val="clear" w:color="auto" w:fill="auto"/>
            <w:noWrap/>
            <w:vAlign w:val="center"/>
          </w:tcPr>
          <w:p w14:paraId="2FCFF003" w14:textId="77777777" w:rsidR="00763235" w:rsidRPr="0077388B" w:rsidRDefault="00763235" w:rsidP="00711721">
            <w:pPr>
              <w:jc w:val="right"/>
              <w:rPr>
                <w:rFonts w:ascii="Calibri" w:eastAsia="Times New Roman" w:hAnsi="Calibri"/>
                <w:sz w:val="20"/>
                <w:szCs w:val="20"/>
                <w:lang w:eastAsia="en-GB"/>
              </w:rPr>
            </w:pPr>
          </w:p>
        </w:tc>
        <w:tc>
          <w:tcPr>
            <w:tcW w:w="807" w:type="pct"/>
            <w:tcBorders>
              <w:top w:val="nil"/>
              <w:left w:val="nil"/>
              <w:bottom w:val="nil"/>
              <w:right w:val="nil"/>
            </w:tcBorders>
            <w:vAlign w:val="center"/>
          </w:tcPr>
          <w:p w14:paraId="173A3EBB" w14:textId="77777777" w:rsidR="00763235" w:rsidRPr="0077388B" w:rsidRDefault="00763235" w:rsidP="00711721">
            <w:pPr>
              <w:jc w:val="right"/>
              <w:rPr>
                <w:rFonts w:ascii="Calibri" w:eastAsia="Times New Roman" w:hAnsi="Calibri"/>
                <w:sz w:val="20"/>
                <w:szCs w:val="20"/>
                <w:lang w:eastAsia="en-GB"/>
              </w:rPr>
            </w:pPr>
          </w:p>
        </w:tc>
      </w:tr>
      <w:tr w:rsidR="00711721" w:rsidRPr="0077388B" w14:paraId="1FAB2B4A" w14:textId="6FA03A74" w:rsidTr="00CC72FA">
        <w:trPr>
          <w:trHeight w:val="275"/>
        </w:trPr>
        <w:tc>
          <w:tcPr>
            <w:tcW w:w="2207" w:type="pct"/>
            <w:tcBorders>
              <w:top w:val="nil"/>
              <w:left w:val="nil"/>
              <w:bottom w:val="nil"/>
              <w:right w:val="nil"/>
            </w:tcBorders>
            <w:shd w:val="clear" w:color="auto" w:fill="auto"/>
            <w:noWrap/>
            <w:vAlign w:val="center"/>
            <w:hideMark/>
          </w:tcPr>
          <w:p w14:paraId="02F4F3D9" w14:textId="77777777" w:rsidR="00763235" w:rsidRPr="0077388B" w:rsidRDefault="00763235" w:rsidP="00711721">
            <w:pPr>
              <w:rPr>
                <w:rFonts w:ascii="Calibri" w:eastAsia="Times New Roman" w:hAnsi="Calibri" w:cs="Arial"/>
                <w:color w:val="000000"/>
                <w:sz w:val="20"/>
                <w:szCs w:val="18"/>
                <w:lang w:eastAsia="en-GB"/>
              </w:rPr>
            </w:pPr>
            <w:r w:rsidRPr="0077388B">
              <w:rPr>
                <w:rFonts w:ascii="Calibri" w:eastAsia="Times New Roman" w:hAnsi="Calibri" w:cs="Arial"/>
                <w:color w:val="000000"/>
                <w:sz w:val="20"/>
                <w:szCs w:val="18"/>
                <w:lang w:eastAsia="en-GB"/>
              </w:rPr>
              <w:t>- Basic and diluted</w:t>
            </w:r>
          </w:p>
        </w:tc>
        <w:tc>
          <w:tcPr>
            <w:tcW w:w="372" w:type="pct"/>
            <w:tcBorders>
              <w:top w:val="nil"/>
              <w:left w:val="nil"/>
              <w:bottom w:val="nil"/>
              <w:right w:val="nil"/>
            </w:tcBorders>
            <w:shd w:val="clear" w:color="auto" w:fill="auto"/>
            <w:noWrap/>
            <w:vAlign w:val="bottom"/>
            <w:hideMark/>
          </w:tcPr>
          <w:p w14:paraId="0A3B8AB3" w14:textId="77777777" w:rsidR="00763235" w:rsidRPr="0077388B" w:rsidRDefault="00763235" w:rsidP="00763235">
            <w:pPr>
              <w:jc w:val="center"/>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3</w:t>
            </w:r>
          </w:p>
        </w:tc>
        <w:tc>
          <w:tcPr>
            <w:tcW w:w="807" w:type="pct"/>
            <w:tcBorders>
              <w:top w:val="nil"/>
              <w:left w:val="nil"/>
              <w:bottom w:val="nil"/>
              <w:right w:val="nil"/>
            </w:tcBorders>
            <w:shd w:val="clear" w:color="auto" w:fill="auto"/>
            <w:noWrap/>
            <w:vAlign w:val="center"/>
          </w:tcPr>
          <w:p w14:paraId="2944B7B8" w14:textId="428D6B5D" w:rsidR="00763235" w:rsidRPr="0077388B" w:rsidRDefault="001A2161" w:rsidP="00711721">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 (</w:t>
            </w:r>
            <w:r w:rsidR="00851B3A">
              <w:rPr>
                <w:rFonts w:ascii="Calibri" w:eastAsia="Times New Roman" w:hAnsi="Calibri" w:cs="Arial"/>
                <w:b/>
                <w:bCs/>
                <w:color w:val="000000"/>
                <w:sz w:val="20"/>
                <w:szCs w:val="18"/>
                <w:lang w:eastAsia="en-GB"/>
              </w:rPr>
              <w:t>0.</w:t>
            </w:r>
            <w:r w:rsidR="00FE77F7">
              <w:rPr>
                <w:rFonts w:ascii="Calibri" w:eastAsia="Times New Roman" w:hAnsi="Calibri" w:cs="Arial"/>
                <w:b/>
                <w:bCs/>
                <w:color w:val="000000"/>
                <w:sz w:val="20"/>
                <w:szCs w:val="18"/>
                <w:lang w:eastAsia="en-GB"/>
              </w:rPr>
              <w:t>23</w:t>
            </w:r>
            <w:r>
              <w:rPr>
                <w:rFonts w:ascii="Calibri" w:eastAsia="Times New Roman" w:hAnsi="Calibri" w:cs="Arial"/>
                <w:b/>
                <w:bCs/>
                <w:color w:val="000000"/>
                <w:sz w:val="20"/>
                <w:szCs w:val="18"/>
                <w:lang w:eastAsia="en-GB"/>
              </w:rPr>
              <w:t>)</w:t>
            </w:r>
          </w:p>
        </w:tc>
        <w:tc>
          <w:tcPr>
            <w:tcW w:w="807" w:type="pct"/>
            <w:tcBorders>
              <w:top w:val="nil"/>
              <w:left w:val="nil"/>
              <w:bottom w:val="nil"/>
              <w:right w:val="nil"/>
            </w:tcBorders>
            <w:shd w:val="clear" w:color="auto" w:fill="auto"/>
            <w:noWrap/>
            <w:vAlign w:val="center"/>
          </w:tcPr>
          <w:p w14:paraId="4C48CB46" w14:textId="465CA8A0" w:rsidR="00763235" w:rsidRPr="0077388B" w:rsidRDefault="00763235" w:rsidP="00711721">
            <w:pPr>
              <w:jc w:val="right"/>
              <w:rPr>
                <w:rFonts w:ascii="Calibri" w:eastAsia="Times New Roman" w:hAnsi="Calibri" w:cs="Arial"/>
                <w:color w:val="000000"/>
                <w:sz w:val="20"/>
                <w:szCs w:val="18"/>
                <w:lang w:eastAsia="en-GB"/>
              </w:rPr>
            </w:pPr>
            <w:r>
              <w:rPr>
                <w:rFonts w:ascii="Calibri" w:eastAsia="Times New Roman" w:hAnsi="Calibri" w:cs="Arial"/>
                <w:b/>
                <w:bCs/>
                <w:color w:val="000000"/>
                <w:sz w:val="20"/>
                <w:szCs w:val="18"/>
                <w:lang w:eastAsia="en-GB"/>
              </w:rPr>
              <w:t>$ (0.</w:t>
            </w:r>
            <w:r w:rsidR="006C0E3E">
              <w:rPr>
                <w:rFonts w:ascii="Calibri" w:eastAsia="Times New Roman" w:hAnsi="Calibri" w:cs="Arial"/>
                <w:b/>
                <w:bCs/>
                <w:color w:val="000000"/>
                <w:sz w:val="20"/>
                <w:szCs w:val="18"/>
                <w:lang w:eastAsia="en-GB"/>
              </w:rPr>
              <w:t>147</w:t>
            </w:r>
            <w:r>
              <w:rPr>
                <w:rFonts w:ascii="Calibri" w:eastAsia="Times New Roman" w:hAnsi="Calibri" w:cs="Arial"/>
                <w:b/>
                <w:bCs/>
                <w:color w:val="000000"/>
                <w:sz w:val="20"/>
                <w:szCs w:val="18"/>
                <w:lang w:eastAsia="en-GB"/>
              </w:rPr>
              <w:t>)</w:t>
            </w:r>
          </w:p>
        </w:tc>
        <w:tc>
          <w:tcPr>
            <w:tcW w:w="807" w:type="pct"/>
            <w:tcBorders>
              <w:top w:val="nil"/>
              <w:left w:val="nil"/>
              <w:bottom w:val="nil"/>
              <w:right w:val="nil"/>
            </w:tcBorders>
            <w:vAlign w:val="center"/>
          </w:tcPr>
          <w:p w14:paraId="06930625" w14:textId="6BBDD3CB" w:rsidR="00763235" w:rsidRDefault="001A2161" w:rsidP="00711721">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 xml:space="preserve">$ </w:t>
            </w:r>
            <w:r w:rsidR="00CC72FA">
              <w:rPr>
                <w:rFonts w:ascii="Calibri" w:eastAsia="Times New Roman" w:hAnsi="Calibri" w:cs="Arial"/>
                <w:b/>
                <w:bCs/>
                <w:color w:val="000000"/>
                <w:sz w:val="20"/>
                <w:szCs w:val="18"/>
                <w:lang w:eastAsia="en-GB"/>
              </w:rPr>
              <w:t>(</w:t>
            </w:r>
            <w:r>
              <w:rPr>
                <w:rFonts w:ascii="Calibri" w:eastAsia="Times New Roman" w:hAnsi="Calibri" w:cs="Arial"/>
                <w:b/>
                <w:bCs/>
                <w:color w:val="000000"/>
                <w:sz w:val="20"/>
                <w:szCs w:val="18"/>
                <w:lang w:eastAsia="en-GB"/>
              </w:rPr>
              <w:t>0.</w:t>
            </w:r>
            <w:r w:rsidR="006C0E3E">
              <w:rPr>
                <w:rFonts w:ascii="Calibri" w:eastAsia="Times New Roman" w:hAnsi="Calibri" w:cs="Arial"/>
                <w:b/>
                <w:bCs/>
                <w:color w:val="000000"/>
                <w:sz w:val="20"/>
                <w:szCs w:val="18"/>
                <w:lang w:eastAsia="en-GB"/>
              </w:rPr>
              <w:t>37</w:t>
            </w:r>
            <w:r w:rsidR="00CC72FA">
              <w:rPr>
                <w:rFonts w:ascii="Calibri" w:eastAsia="Times New Roman" w:hAnsi="Calibri" w:cs="Arial"/>
                <w:b/>
                <w:bCs/>
                <w:color w:val="000000"/>
                <w:sz w:val="20"/>
                <w:szCs w:val="18"/>
                <w:lang w:eastAsia="en-GB"/>
              </w:rPr>
              <w:t>)</w:t>
            </w:r>
          </w:p>
        </w:tc>
      </w:tr>
    </w:tbl>
    <w:p w14:paraId="04A8726E" w14:textId="77777777" w:rsidR="00DF6B2E" w:rsidRPr="0077388B" w:rsidRDefault="00DF6B2E" w:rsidP="005474C4">
      <w:pPr>
        <w:rPr>
          <w:rFonts w:ascii="Calibri" w:hAnsi="Calibri"/>
          <w:sz w:val="20"/>
          <w:szCs w:val="20"/>
          <w:lang w:eastAsia="en-GB"/>
        </w:rPr>
      </w:pPr>
    </w:p>
    <w:p w14:paraId="4D3A9072" w14:textId="77777777" w:rsidR="00DF6B2E" w:rsidRPr="0077388B" w:rsidRDefault="00DF6B2E" w:rsidP="00A85A67">
      <w:pPr>
        <w:spacing w:before="120" w:after="120"/>
        <w:rPr>
          <w:rFonts w:ascii="Calibri" w:hAnsi="Calibri"/>
        </w:rPr>
        <w:sectPr w:rsidR="00DF6B2E" w:rsidRPr="0077388B" w:rsidSect="00AE0CD8">
          <w:footerReference w:type="default" r:id="rId9"/>
          <w:pgSz w:w="11907" w:h="16840" w:code="9"/>
          <w:pgMar w:top="720" w:right="1134" w:bottom="1440" w:left="1134" w:header="720" w:footer="474" w:gutter="0"/>
          <w:cols w:space="720"/>
          <w:noEndnote/>
          <w:docGrid w:linePitch="326"/>
        </w:sectPr>
      </w:pPr>
    </w:p>
    <w:p w14:paraId="5314E308" w14:textId="77777777" w:rsidR="00851B3A" w:rsidRDefault="00851B3A" w:rsidP="00CC72FA">
      <w:pPr>
        <w:rPr>
          <w:rFonts w:ascii="Calibri" w:hAnsi="Calibri"/>
          <w:b/>
          <w:bCs/>
        </w:rPr>
      </w:pPr>
    </w:p>
    <w:p w14:paraId="0CB21DE7" w14:textId="77777777" w:rsidR="00851B3A" w:rsidRDefault="00851B3A" w:rsidP="00CC72FA">
      <w:pPr>
        <w:rPr>
          <w:rFonts w:ascii="Calibri" w:hAnsi="Calibri"/>
          <w:b/>
          <w:bCs/>
        </w:rPr>
      </w:pPr>
    </w:p>
    <w:p w14:paraId="27FB6839" w14:textId="63569C2C" w:rsidR="00CC72FA" w:rsidRPr="00711721" w:rsidRDefault="00CC72FA" w:rsidP="00CC72FA">
      <w:pPr>
        <w:rPr>
          <w:lang w:eastAsia="en-US"/>
        </w:rPr>
      </w:pPr>
      <w:r w:rsidRPr="003963B8">
        <w:rPr>
          <w:rFonts w:ascii="Calibri" w:hAnsi="Calibri"/>
          <w:b/>
          <w:bCs/>
        </w:rPr>
        <w:t xml:space="preserve">Group Statement of </w:t>
      </w:r>
      <w:r>
        <w:rPr>
          <w:rFonts w:ascii="Calibri" w:hAnsi="Calibri"/>
          <w:b/>
          <w:bCs/>
        </w:rPr>
        <w:t>Financial Position</w:t>
      </w:r>
      <w:r w:rsidRPr="003963B8">
        <w:rPr>
          <w:rFonts w:ascii="Calibri" w:hAnsi="Calibri"/>
          <w:b/>
          <w:bCs/>
        </w:rPr>
        <w:t xml:space="preserve"> </w:t>
      </w:r>
      <w:r>
        <w:rPr>
          <w:rFonts w:ascii="Calibri" w:hAnsi="Calibri"/>
          <w:b/>
          <w:bCs/>
        </w:rPr>
        <w:t>as at</w:t>
      </w:r>
      <w:r w:rsidRPr="003963B8">
        <w:rPr>
          <w:rFonts w:ascii="Calibri" w:hAnsi="Calibri"/>
          <w:b/>
          <w:bCs/>
        </w:rPr>
        <w:t xml:space="preserve"> 30 June 20</w:t>
      </w:r>
      <w:r>
        <w:rPr>
          <w:rFonts w:ascii="Calibri" w:hAnsi="Calibri"/>
          <w:b/>
          <w:bCs/>
        </w:rPr>
        <w:t>21</w:t>
      </w:r>
    </w:p>
    <w:tbl>
      <w:tblPr>
        <w:tblW w:w="5000" w:type="pct"/>
        <w:tblLook w:val="04A0" w:firstRow="1" w:lastRow="0" w:firstColumn="1" w:lastColumn="0" w:noHBand="0" w:noVBand="1"/>
      </w:tblPr>
      <w:tblGrid>
        <w:gridCol w:w="4473"/>
        <w:gridCol w:w="740"/>
        <w:gridCol w:w="1496"/>
        <w:gridCol w:w="1465"/>
        <w:gridCol w:w="1465"/>
      </w:tblGrid>
      <w:tr w:rsidR="00463B2D" w:rsidRPr="0077388B" w14:paraId="18ACF1A7" w14:textId="77777777" w:rsidTr="00CC72FA">
        <w:trPr>
          <w:trHeight w:val="275"/>
        </w:trPr>
        <w:tc>
          <w:tcPr>
            <w:tcW w:w="2320" w:type="pct"/>
            <w:tcBorders>
              <w:top w:val="nil"/>
              <w:left w:val="nil"/>
              <w:bottom w:val="nil"/>
              <w:right w:val="nil"/>
            </w:tcBorders>
            <w:shd w:val="clear" w:color="auto" w:fill="auto"/>
            <w:noWrap/>
            <w:vAlign w:val="bottom"/>
            <w:hideMark/>
          </w:tcPr>
          <w:p w14:paraId="3D289EE6" w14:textId="77777777" w:rsidR="00463B2D" w:rsidRDefault="00463B2D" w:rsidP="00463B2D">
            <w:pPr>
              <w:rPr>
                <w:rFonts w:ascii="Calibri" w:eastAsia="Times New Roman" w:hAnsi="Calibri"/>
                <w:sz w:val="20"/>
                <w:szCs w:val="20"/>
                <w:lang w:eastAsia="en-GB"/>
              </w:rPr>
            </w:pPr>
          </w:p>
          <w:p w14:paraId="35AD12EF" w14:textId="0DC79841" w:rsidR="00CC72FA" w:rsidRPr="0077388B" w:rsidRDefault="00CC72FA" w:rsidP="00463B2D">
            <w:pPr>
              <w:rPr>
                <w:rFonts w:ascii="Calibri" w:eastAsia="Times New Roman" w:hAnsi="Calibri"/>
                <w:sz w:val="20"/>
                <w:szCs w:val="20"/>
                <w:lang w:eastAsia="en-GB"/>
              </w:rPr>
            </w:pPr>
          </w:p>
        </w:tc>
        <w:tc>
          <w:tcPr>
            <w:tcW w:w="384" w:type="pct"/>
            <w:tcBorders>
              <w:top w:val="nil"/>
              <w:left w:val="nil"/>
              <w:bottom w:val="nil"/>
              <w:right w:val="nil"/>
            </w:tcBorders>
            <w:shd w:val="clear" w:color="auto" w:fill="auto"/>
            <w:noWrap/>
            <w:vAlign w:val="bottom"/>
            <w:hideMark/>
          </w:tcPr>
          <w:p w14:paraId="4BBC2275" w14:textId="77777777" w:rsidR="00463B2D" w:rsidRPr="0077388B" w:rsidRDefault="00463B2D" w:rsidP="00463B2D">
            <w:pPr>
              <w:rPr>
                <w:rFonts w:ascii="Calibri" w:eastAsia="Times New Roman" w:hAnsi="Calibri"/>
                <w:sz w:val="20"/>
                <w:szCs w:val="20"/>
                <w:lang w:eastAsia="en-GB"/>
              </w:rPr>
            </w:pPr>
          </w:p>
        </w:tc>
        <w:tc>
          <w:tcPr>
            <w:tcW w:w="776" w:type="pct"/>
            <w:tcBorders>
              <w:top w:val="nil"/>
              <w:left w:val="nil"/>
              <w:bottom w:val="nil"/>
              <w:right w:val="nil"/>
            </w:tcBorders>
            <w:shd w:val="clear" w:color="auto" w:fill="auto"/>
            <w:noWrap/>
            <w:vAlign w:val="center"/>
            <w:hideMark/>
          </w:tcPr>
          <w:p w14:paraId="0B82AEDC" w14:textId="77777777" w:rsidR="00463B2D" w:rsidRPr="0077388B" w:rsidRDefault="00463B2D" w:rsidP="00CC72FA">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As at</w:t>
            </w:r>
          </w:p>
        </w:tc>
        <w:tc>
          <w:tcPr>
            <w:tcW w:w="760" w:type="pct"/>
            <w:tcBorders>
              <w:top w:val="nil"/>
              <w:left w:val="nil"/>
              <w:bottom w:val="nil"/>
              <w:right w:val="nil"/>
            </w:tcBorders>
            <w:vAlign w:val="center"/>
          </w:tcPr>
          <w:p w14:paraId="7C347F28" w14:textId="2B0A0302" w:rsidR="00463B2D" w:rsidRDefault="00463B2D" w:rsidP="00CC72FA">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As at</w:t>
            </w:r>
          </w:p>
        </w:tc>
        <w:tc>
          <w:tcPr>
            <w:tcW w:w="760" w:type="pct"/>
            <w:tcBorders>
              <w:top w:val="nil"/>
              <w:left w:val="nil"/>
              <w:bottom w:val="nil"/>
              <w:right w:val="nil"/>
            </w:tcBorders>
            <w:shd w:val="clear" w:color="auto" w:fill="auto"/>
            <w:noWrap/>
            <w:vAlign w:val="center"/>
            <w:hideMark/>
          </w:tcPr>
          <w:p w14:paraId="2F7AE4EC" w14:textId="771859A8" w:rsidR="00463B2D" w:rsidRPr="0077388B" w:rsidRDefault="00463B2D" w:rsidP="00CC72FA">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As at</w:t>
            </w:r>
          </w:p>
        </w:tc>
      </w:tr>
      <w:tr w:rsidR="00463B2D" w:rsidRPr="0077388B" w14:paraId="20C8F249" w14:textId="77777777" w:rsidTr="00CC72FA">
        <w:trPr>
          <w:trHeight w:val="275"/>
        </w:trPr>
        <w:tc>
          <w:tcPr>
            <w:tcW w:w="2320" w:type="pct"/>
            <w:tcBorders>
              <w:top w:val="nil"/>
              <w:left w:val="nil"/>
              <w:bottom w:val="nil"/>
              <w:right w:val="nil"/>
            </w:tcBorders>
            <w:shd w:val="clear" w:color="auto" w:fill="auto"/>
            <w:noWrap/>
            <w:vAlign w:val="bottom"/>
            <w:hideMark/>
          </w:tcPr>
          <w:p w14:paraId="3DBF44D2" w14:textId="77777777" w:rsidR="00463B2D" w:rsidRPr="0077388B" w:rsidRDefault="00463B2D" w:rsidP="00463B2D">
            <w:pPr>
              <w:jc w:val="center"/>
              <w:rPr>
                <w:rFonts w:ascii="Calibri" w:eastAsia="Times New Roman" w:hAnsi="Calibri" w:cs="Arial"/>
                <w:b/>
                <w:bCs/>
                <w:color w:val="000000"/>
                <w:sz w:val="20"/>
                <w:szCs w:val="18"/>
                <w:lang w:eastAsia="en-GB"/>
              </w:rPr>
            </w:pPr>
          </w:p>
        </w:tc>
        <w:tc>
          <w:tcPr>
            <w:tcW w:w="384" w:type="pct"/>
            <w:tcBorders>
              <w:top w:val="nil"/>
              <w:left w:val="nil"/>
              <w:bottom w:val="nil"/>
              <w:right w:val="nil"/>
            </w:tcBorders>
            <w:shd w:val="clear" w:color="auto" w:fill="auto"/>
            <w:noWrap/>
            <w:vAlign w:val="bottom"/>
            <w:hideMark/>
          </w:tcPr>
          <w:p w14:paraId="6DC00C1F" w14:textId="77777777" w:rsidR="00463B2D" w:rsidRPr="0077388B" w:rsidRDefault="00463B2D" w:rsidP="00463B2D">
            <w:pPr>
              <w:rPr>
                <w:rFonts w:ascii="Calibri" w:eastAsia="Times New Roman" w:hAnsi="Calibri"/>
                <w:sz w:val="20"/>
                <w:szCs w:val="20"/>
                <w:lang w:eastAsia="en-GB"/>
              </w:rPr>
            </w:pPr>
          </w:p>
        </w:tc>
        <w:tc>
          <w:tcPr>
            <w:tcW w:w="776" w:type="pct"/>
            <w:tcBorders>
              <w:top w:val="nil"/>
              <w:left w:val="nil"/>
              <w:bottom w:val="nil"/>
              <w:right w:val="nil"/>
            </w:tcBorders>
            <w:shd w:val="clear" w:color="auto" w:fill="auto"/>
            <w:noWrap/>
            <w:vAlign w:val="center"/>
            <w:hideMark/>
          </w:tcPr>
          <w:p w14:paraId="7B9DE750" w14:textId="77777777" w:rsidR="00463B2D" w:rsidRPr="0077388B" w:rsidRDefault="00463B2D" w:rsidP="00CC72FA">
            <w:pPr>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 xml:space="preserve">30 </w:t>
            </w:r>
            <w:r>
              <w:rPr>
                <w:rFonts w:ascii="Calibri" w:eastAsia="Times New Roman" w:hAnsi="Calibri" w:cs="Arial"/>
                <w:b/>
                <w:bCs/>
                <w:color w:val="000000"/>
                <w:sz w:val="20"/>
                <w:szCs w:val="18"/>
                <w:lang w:eastAsia="en-GB"/>
              </w:rPr>
              <w:t>June</w:t>
            </w:r>
          </w:p>
        </w:tc>
        <w:tc>
          <w:tcPr>
            <w:tcW w:w="760" w:type="pct"/>
            <w:tcBorders>
              <w:top w:val="nil"/>
              <w:left w:val="nil"/>
              <w:bottom w:val="nil"/>
              <w:right w:val="nil"/>
            </w:tcBorders>
            <w:vAlign w:val="center"/>
          </w:tcPr>
          <w:p w14:paraId="4CB7E448" w14:textId="3A223EB1" w:rsidR="00463B2D" w:rsidRPr="0077388B" w:rsidRDefault="00463B2D" w:rsidP="00CC72FA">
            <w:pPr>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3</w:t>
            </w:r>
            <w:r>
              <w:rPr>
                <w:rFonts w:ascii="Calibri" w:eastAsia="Times New Roman" w:hAnsi="Calibri" w:cs="Arial"/>
                <w:b/>
                <w:bCs/>
                <w:color w:val="000000"/>
                <w:sz w:val="20"/>
                <w:szCs w:val="18"/>
                <w:lang w:eastAsia="en-GB"/>
              </w:rPr>
              <w:t>0 June</w:t>
            </w:r>
          </w:p>
        </w:tc>
        <w:tc>
          <w:tcPr>
            <w:tcW w:w="760" w:type="pct"/>
            <w:tcBorders>
              <w:top w:val="nil"/>
              <w:left w:val="nil"/>
              <w:bottom w:val="nil"/>
              <w:right w:val="nil"/>
            </w:tcBorders>
            <w:shd w:val="clear" w:color="auto" w:fill="auto"/>
            <w:noWrap/>
            <w:vAlign w:val="center"/>
            <w:hideMark/>
          </w:tcPr>
          <w:p w14:paraId="73BFD12F" w14:textId="49CD7BEC" w:rsidR="00463B2D" w:rsidRPr="0077388B" w:rsidRDefault="00463B2D" w:rsidP="00CC72FA">
            <w:pPr>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3</w:t>
            </w:r>
            <w:r w:rsidR="00861708">
              <w:rPr>
                <w:rFonts w:ascii="Calibri" w:eastAsia="Times New Roman" w:hAnsi="Calibri" w:cs="Arial"/>
                <w:b/>
                <w:bCs/>
                <w:color w:val="000000"/>
                <w:sz w:val="20"/>
                <w:szCs w:val="18"/>
                <w:lang w:eastAsia="en-GB"/>
              </w:rPr>
              <w:t>1</w:t>
            </w:r>
            <w:r>
              <w:rPr>
                <w:rFonts w:ascii="Calibri" w:eastAsia="Times New Roman" w:hAnsi="Calibri" w:cs="Arial"/>
                <w:b/>
                <w:bCs/>
                <w:color w:val="000000"/>
                <w:sz w:val="20"/>
                <w:szCs w:val="18"/>
                <w:lang w:eastAsia="en-GB"/>
              </w:rPr>
              <w:t xml:space="preserve"> </w:t>
            </w:r>
            <w:r w:rsidR="00861708">
              <w:rPr>
                <w:rFonts w:ascii="Calibri" w:eastAsia="Times New Roman" w:hAnsi="Calibri" w:cs="Arial"/>
                <w:b/>
                <w:bCs/>
                <w:color w:val="000000"/>
                <w:sz w:val="20"/>
                <w:szCs w:val="18"/>
                <w:lang w:eastAsia="en-GB"/>
              </w:rPr>
              <w:t>December</w:t>
            </w:r>
          </w:p>
        </w:tc>
      </w:tr>
      <w:tr w:rsidR="00463B2D" w:rsidRPr="0077388B" w14:paraId="7BABE196" w14:textId="77777777" w:rsidTr="00CC72FA">
        <w:trPr>
          <w:trHeight w:val="275"/>
        </w:trPr>
        <w:tc>
          <w:tcPr>
            <w:tcW w:w="2320" w:type="pct"/>
            <w:tcBorders>
              <w:top w:val="nil"/>
              <w:left w:val="nil"/>
              <w:bottom w:val="nil"/>
              <w:right w:val="nil"/>
            </w:tcBorders>
            <w:shd w:val="clear" w:color="auto" w:fill="auto"/>
            <w:noWrap/>
            <w:vAlign w:val="bottom"/>
            <w:hideMark/>
          </w:tcPr>
          <w:p w14:paraId="580397E2" w14:textId="77777777" w:rsidR="00463B2D" w:rsidRPr="0077388B" w:rsidRDefault="00463B2D" w:rsidP="00463B2D">
            <w:pPr>
              <w:jc w:val="center"/>
              <w:rPr>
                <w:rFonts w:ascii="Calibri" w:eastAsia="Times New Roman" w:hAnsi="Calibri" w:cs="Arial"/>
                <w:b/>
                <w:bCs/>
                <w:color w:val="000000"/>
                <w:sz w:val="20"/>
                <w:szCs w:val="18"/>
                <w:lang w:eastAsia="en-GB"/>
              </w:rPr>
            </w:pPr>
          </w:p>
        </w:tc>
        <w:tc>
          <w:tcPr>
            <w:tcW w:w="384" w:type="pct"/>
            <w:tcBorders>
              <w:top w:val="nil"/>
              <w:left w:val="nil"/>
              <w:bottom w:val="nil"/>
              <w:right w:val="nil"/>
            </w:tcBorders>
            <w:shd w:val="clear" w:color="auto" w:fill="auto"/>
            <w:noWrap/>
            <w:vAlign w:val="bottom"/>
            <w:hideMark/>
          </w:tcPr>
          <w:p w14:paraId="1CE6B03D" w14:textId="77777777" w:rsidR="00463B2D" w:rsidRPr="0077388B" w:rsidRDefault="00463B2D" w:rsidP="00463B2D">
            <w:pPr>
              <w:jc w:val="cente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Notes</w:t>
            </w:r>
          </w:p>
        </w:tc>
        <w:tc>
          <w:tcPr>
            <w:tcW w:w="776" w:type="pct"/>
            <w:tcBorders>
              <w:top w:val="nil"/>
              <w:left w:val="nil"/>
              <w:bottom w:val="nil"/>
              <w:right w:val="nil"/>
            </w:tcBorders>
            <w:shd w:val="clear" w:color="auto" w:fill="auto"/>
            <w:noWrap/>
            <w:vAlign w:val="center"/>
            <w:hideMark/>
          </w:tcPr>
          <w:p w14:paraId="5903E6A8" w14:textId="0C790E26" w:rsidR="00463B2D" w:rsidRPr="0077388B" w:rsidRDefault="00463B2D" w:rsidP="00CC72FA">
            <w:pPr>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20</w:t>
            </w:r>
            <w:r w:rsidR="000C15B2">
              <w:rPr>
                <w:rFonts w:ascii="Calibri" w:eastAsia="Times New Roman" w:hAnsi="Calibri" w:cs="Arial"/>
                <w:b/>
                <w:bCs/>
                <w:color w:val="000000"/>
                <w:sz w:val="20"/>
                <w:szCs w:val="18"/>
                <w:lang w:eastAsia="en-GB"/>
              </w:rPr>
              <w:t>2</w:t>
            </w:r>
            <w:r w:rsidR="00763235">
              <w:rPr>
                <w:rFonts w:ascii="Calibri" w:eastAsia="Times New Roman" w:hAnsi="Calibri" w:cs="Arial"/>
                <w:b/>
                <w:bCs/>
                <w:color w:val="000000"/>
                <w:sz w:val="20"/>
                <w:szCs w:val="18"/>
                <w:lang w:eastAsia="en-GB"/>
              </w:rPr>
              <w:t>1</w:t>
            </w:r>
          </w:p>
        </w:tc>
        <w:tc>
          <w:tcPr>
            <w:tcW w:w="760" w:type="pct"/>
            <w:tcBorders>
              <w:top w:val="nil"/>
              <w:left w:val="nil"/>
              <w:bottom w:val="nil"/>
              <w:right w:val="nil"/>
            </w:tcBorders>
            <w:vAlign w:val="center"/>
          </w:tcPr>
          <w:p w14:paraId="123551DA" w14:textId="35FBB784" w:rsidR="00463B2D" w:rsidRPr="0077388B" w:rsidRDefault="00463B2D" w:rsidP="00CC72FA">
            <w:pPr>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20</w:t>
            </w:r>
            <w:r w:rsidR="00763235">
              <w:rPr>
                <w:rFonts w:ascii="Calibri" w:eastAsia="Times New Roman" w:hAnsi="Calibri" w:cs="Arial"/>
                <w:b/>
                <w:bCs/>
                <w:color w:val="000000"/>
                <w:sz w:val="20"/>
                <w:szCs w:val="18"/>
                <w:lang w:eastAsia="en-GB"/>
              </w:rPr>
              <w:t>20</w:t>
            </w:r>
          </w:p>
        </w:tc>
        <w:tc>
          <w:tcPr>
            <w:tcW w:w="760" w:type="pct"/>
            <w:tcBorders>
              <w:top w:val="nil"/>
              <w:left w:val="nil"/>
              <w:bottom w:val="nil"/>
              <w:right w:val="nil"/>
            </w:tcBorders>
            <w:shd w:val="clear" w:color="auto" w:fill="auto"/>
            <w:noWrap/>
            <w:vAlign w:val="center"/>
            <w:hideMark/>
          </w:tcPr>
          <w:p w14:paraId="05B4945A" w14:textId="002F7783" w:rsidR="00463B2D" w:rsidRPr="0077388B" w:rsidRDefault="00463B2D" w:rsidP="00CC72FA">
            <w:pPr>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20</w:t>
            </w:r>
            <w:r w:rsidR="00763235">
              <w:rPr>
                <w:rFonts w:ascii="Calibri" w:eastAsia="Times New Roman" w:hAnsi="Calibri" w:cs="Arial"/>
                <w:b/>
                <w:bCs/>
                <w:color w:val="000000"/>
                <w:sz w:val="20"/>
                <w:szCs w:val="18"/>
                <w:lang w:eastAsia="en-GB"/>
              </w:rPr>
              <w:t>20</w:t>
            </w:r>
          </w:p>
        </w:tc>
      </w:tr>
      <w:tr w:rsidR="00463B2D" w:rsidRPr="0077388B" w14:paraId="284D2159" w14:textId="77777777" w:rsidTr="00CC72FA">
        <w:trPr>
          <w:trHeight w:val="275"/>
        </w:trPr>
        <w:tc>
          <w:tcPr>
            <w:tcW w:w="2320" w:type="pct"/>
            <w:tcBorders>
              <w:top w:val="nil"/>
              <w:left w:val="nil"/>
              <w:bottom w:val="nil"/>
              <w:right w:val="nil"/>
            </w:tcBorders>
            <w:shd w:val="clear" w:color="auto" w:fill="auto"/>
            <w:noWrap/>
            <w:vAlign w:val="bottom"/>
            <w:hideMark/>
          </w:tcPr>
          <w:p w14:paraId="0BFA2DBC" w14:textId="77777777" w:rsidR="00463B2D" w:rsidRPr="0077388B" w:rsidRDefault="00463B2D" w:rsidP="00463B2D">
            <w:pPr>
              <w:jc w:val="center"/>
              <w:rPr>
                <w:rFonts w:ascii="Calibri" w:eastAsia="Times New Roman" w:hAnsi="Calibri" w:cs="Arial"/>
                <w:b/>
                <w:bCs/>
                <w:color w:val="000000"/>
                <w:sz w:val="20"/>
                <w:szCs w:val="18"/>
                <w:lang w:eastAsia="en-GB"/>
              </w:rPr>
            </w:pPr>
          </w:p>
        </w:tc>
        <w:tc>
          <w:tcPr>
            <w:tcW w:w="384" w:type="pct"/>
            <w:tcBorders>
              <w:top w:val="nil"/>
              <w:left w:val="nil"/>
              <w:bottom w:val="nil"/>
              <w:right w:val="nil"/>
            </w:tcBorders>
            <w:shd w:val="clear" w:color="auto" w:fill="auto"/>
            <w:noWrap/>
            <w:vAlign w:val="bottom"/>
            <w:hideMark/>
          </w:tcPr>
          <w:p w14:paraId="17B92AB0" w14:textId="77777777" w:rsidR="00463B2D" w:rsidRPr="0077388B" w:rsidRDefault="00463B2D" w:rsidP="00463B2D">
            <w:pPr>
              <w:rPr>
                <w:rFonts w:ascii="Calibri" w:eastAsia="Times New Roman" w:hAnsi="Calibri"/>
                <w:sz w:val="20"/>
                <w:szCs w:val="20"/>
                <w:lang w:eastAsia="en-GB"/>
              </w:rPr>
            </w:pPr>
          </w:p>
        </w:tc>
        <w:tc>
          <w:tcPr>
            <w:tcW w:w="776" w:type="pct"/>
            <w:tcBorders>
              <w:top w:val="nil"/>
              <w:left w:val="nil"/>
              <w:bottom w:val="nil"/>
              <w:right w:val="nil"/>
            </w:tcBorders>
            <w:shd w:val="clear" w:color="auto" w:fill="auto"/>
            <w:noWrap/>
            <w:vAlign w:val="center"/>
            <w:hideMark/>
          </w:tcPr>
          <w:p w14:paraId="35A76DEA" w14:textId="77777777" w:rsidR="00463B2D" w:rsidRPr="0077388B" w:rsidRDefault="00463B2D" w:rsidP="00CC72FA">
            <w:pPr>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(Unaudited)</w:t>
            </w:r>
          </w:p>
        </w:tc>
        <w:tc>
          <w:tcPr>
            <w:tcW w:w="760" w:type="pct"/>
            <w:tcBorders>
              <w:top w:val="nil"/>
              <w:left w:val="nil"/>
              <w:bottom w:val="nil"/>
              <w:right w:val="nil"/>
            </w:tcBorders>
            <w:vAlign w:val="center"/>
          </w:tcPr>
          <w:p w14:paraId="510B16F4" w14:textId="7FEC9D60" w:rsidR="00463B2D" w:rsidRPr="0077388B" w:rsidRDefault="00463B2D" w:rsidP="00CC72FA">
            <w:pPr>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(Unaudited)</w:t>
            </w:r>
          </w:p>
        </w:tc>
        <w:tc>
          <w:tcPr>
            <w:tcW w:w="760" w:type="pct"/>
            <w:tcBorders>
              <w:top w:val="nil"/>
              <w:left w:val="nil"/>
              <w:bottom w:val="nil"/>
              <w:right w:val="nil"/>
            </w:tcBorders>
            <w:shd w:val="clear" w:color="auto" w:fill="auto"/>
            <w:noWrap/>
            <w:vAlign w:val="center"/>
            <w:hideMark/>
          </w:tcPr>
          <w:p w14:paraId="73308AE3" w14:textId="0F993AE8" w:rsidR="00463B2D" w:rsidRPr="0077388B" w:rsidRDefault="00463B2D" w:rsidP="00CC72FA">
            <w:pPr>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w:t>
            </w:r>
            <w:r w:rsidR="00F17183">
              <w:rPr>
                <w:rFonts w:ascii="Calibri" w:eastAsia="Times New Roman" w:hAnsi="Calibri" w:cs="Arial"/>
                <w:b/>
                <w:bCs/>
                <w:color w:val="000000"/>
                <w:sz w:val="20"/>
                <w:szCs w:val="18"/>
                <w:lang w:eastAsia="en-GB"/>
              </w:rPr>
              <w:t>Audited</w:t>
            </w:r>
            <w:r w:rsidRPr="0077388B">
              <w:rPr>
                <w:rFonts w:ascii="Calibri" w:eastAsia="Times New Roman" w:hAnsi="Calibri" w:cs="Arial"/>
                <w:b/>
                <w:bCs/>
                <w:color w:val="000000"/>
                <w:sz w:val="20"/>
                <w:szCs w:val="18"/>
                <w:lang w:eastAsia="en-GB"/>
              </w:rPr>
              <w:t>)</w:t>
            </w:r>
          </w:p>
        </w:tc>
      </w:tr>
      <w:tr w:rsidR="00463B2D" w:rsidRPr="0077388B" w14:paraId="740BC6F4" w14:textId="77777777" w:rsidTr="00CC72FA">
        <w:trPr>
          <w:trHeight w:val="275"/>
        </w:trPr>
        <w:tc>
          <w:tcPr>
            <w:tcW w:w="2320" w:type="pct"/>
            <w:tcBorders>
              <w:top w:val="nil"/>
              <w:left w:val="nil"/>
              <w:bottom w:val="nil"/>
              <w:right w:val="nil"/>
            </w:tcBorders>
            <w:shd w:val="clear" w:color="auto" w:fill="auto"/>
            <w:noWrap/>
            <w:vAlign w:val="bottom"/>
            <w:hideMark/>
          </w:tcPr>
          <w:p w14:paraId="320528FA" w14:textId="77777777" w:rsidR="00463B2D" w:rsidRPr="0077388B" w:rsidRDefault="00463B2D" w:rsidP="00463B2D">
            <w:pPr>
              <w:jc w:val="center"/>
              <w:rPr>
                <w:rFonts w:ascii="Calibri" w:eastAsia="Times New Roman" w:hAnsi="Calibri" w:cs="Arial"/>
                <w:b/>
                <w:bCs/>
                <w:color w:val="000000"/>
                <w:sz w:val="20"/>
                <w:szCs w:val="18"/>
                <w:lang w:eastAsia="en-GB"/>
              </w:rPr>
            </w:pPr>
          </w:p>
        </w:tc>
        <w:tc>
          <w:tcPr>
            <w:tcW w:w="384" w:type="pct"/>
            <w:tcBorders>
              <w:top w:val="nil"/>
              <w:left w:val="nil"/>
              <w:bottom w:val="nil"/>
              <w:right w:val="nil"/>
            </w:tcBorders>
            <w:shd w:val="clear" w:color="auto" w:fill="auto"/>
            <w:noWrap/>
            <w:vAlign w:val="bottom"/>
            <w:hideMark/>
          </w:tcPr>
          <w:p w14:paraId="0B01C9E7" w14:textId="77777777" w:rsidR="00463B2D" w:rsidRPr="0077388B" w:rsidRDefault="00463B2D" w:rsidP="00463B2D">
            <w:pPr>
              <w:rPr>
                <w:rFonts w:ascii="Calibri" w:eastAsia="Times New Roman" w:hAnsi="Calibri"/>
                <w:sz w:val="20"/>
                <w:szCs w:val="20"/>
                <w:lang w:eastAsia="en-GB"/>
              </w:rPr>
            </w:pPr>
          </w:p>
        </w:tc>
        <w:tc>
          <w:tcPr>
            <w:tcW w:w="776" w:type="pct"/>
            <w:tcBorders>
              <w:top w:val="nil"/>
              <w:left w:val="nil"/>
              <w:bottom w:val="nil"/>
              <w:right w:val="nil"/>
            </w:tcBorders>
            <w:shd w:val="clear" w:color="auto" w:fill="auto"/>
            <w:noWrap/>
            <w:vAlign w:val="center"/>
            <w:hideMark/>
          </w:tcPr>
          <w:p w14:paraId="5EAB568B" w14:textId="77777777" w:rsidR="00463B2D" w:rsidRPr="0077388B" w:rsidRDefault="00463B2D" w:rsidP="00CC72FA">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Pr="0077388B">
              <w:rPr>
                <w:rFonts w:ascii="Calibri" w:eastAsia="Times New Roman" w:hAnsi="Calibri" w:cs="Arial"/>
                <w:b/>
                <w:bCs/>
                <w:color w:val="000000"/>
                <w:sz w:val="20"/>
                <w:szCs w:val="18"/>
                <w:lang w:eastAsia="en-GB"/>
              </w:rPr>
              <w:t xml:space="preserve"> 000’s</w:t>
            </w:r>
          </w:p>
        </w:tc>
        <w:tc>
          <w:tcPr>
            <w:tcW w:w="760" w:type="pct"/>
            <w:tcBorders>
              <w:top w:val="nil"/>
              <w:left w:val="nil"/>
              <w:bottom w:val="nil"/>
              <w:right w:val="nil"/>
            </w:tcBorders>
            <w:vAlign w:val="center"/>
          </w:tcPr>
          <w:p w14:paraId="0E229874" w14:textId="335E66E9" w:rsidR="00463B2D" w:rsidRDefault="00463B2D" w:rsidP="00CC72FA">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Pr="0077388B">
              <w:rPr>
                <w:rFonts w:ascii="Calibri" w:eastAsia="Times New Roman" w:hAnsi="Calibri" w:cs="Arial"/>
                <w:b/>
                <w:bCs/>
                <w:color w:val="000000"/>
                <w:sz w:val="20"/>
                <w:szCs w:val="18"/>
                <w:lang w:eastAsia="en-GB"/>
              </w:rPr>
              <w:t xml:space="preserve"> 000’s</w:t>
            </w:r>
          </w:p>
        </w:tc>
        <w:tc>
          <w:tcPr>
            <w:tcW w:w="760" w:type="pct"/>
            <w:tcBorders>
              <w:top w:val="nil"/>
              <w:left w:val="nil"/>
              <w:bottom w:val="nil"/>
              <w:right w:val="nil"/>
            </w:tcBorders>
            <w:shd w:val="clear" w:color="auto" w:fill="auto"/>
            <w:noWrap/>
            <w:vAlign w:val="center"/>
            <w:hideMark/>
          </w:tcPr>
          <w:p w14:paraId="6E23F21A" w14:textId="317C71B2" w:rsidR="00463B2D" w:rsidRPr="0077388B" w:rsidRDefault="00463B2D" w:rsidP="00CC72FA">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Pr="0077388B">
              <w:rPr>
                <w:rFonts w:ascii="Calibri" w:eastAsia="Times New Roman" w:hAnsi="Calibri" w:cs="Arial"/>
                <w:b/>
                <w:bCs/>
                <w:color w:val="000000"/>
                <w:sz w:val="20"/>
                <w:szCs w:val="18"/>
                <w:lang w:eastAsia="en-GB"/>
              </w:rPr>
              <w:t xml:space="preserve"> 000’s</w:t>
            </w:r>
          </w:p>
        </w:tc>
      </w:tr>
      <w:tr w:rsidR="00463B2D" w:rsidRPr="0077388B" w14:paraId="00A66869" w14:textId="77777777" w:rsidTr="00CC72FA">
        <w:trPr>
          <w:trHeight w:val="275"/>
        </w:trPr>
        <w:tc>
          <w:tcPr>
            <w:tcW w:w="2320" w:type="pct"/>
            <w:tcBorders>
              <w:top w:val="single" w:sz="4" w:space="0" w:color="auto"/>
              <w:left w:val="nil"/>
              <w:bottom w:val="nil"/>
              <w:right w:val="nil"/>
            </w:tcBorders>
            <w:shd w:val="clear" w:color="auto" w:fill="auto"/>
            <w:noWrap/>
            <w:vAlign w:val="bottom"/>
            <w:hideMark/>
          </w:tcPr>
          <w:p w14:paraId="02DC740F" w14:textId="77777777" w:rsidR="00463B2D" w:rsidRPr="0077388B" w:rsidRDefault="00463B2D" w:rsidP="00463B2D">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AS</w:t>
            </w:r>
            <w:r>
              <w:rPr>
                <w:rFonts w:ascii="Calibri" w:eastAsia="Times New Roman" w:hAnsi="Calibri" w:cs="Arial"/>
                <w:b/>
                <w:bCs/>
                <w:color w:val="000000"/>
                <w:sz w:val="20"/>
                <w:szCs w:val="18"/>
                <w:lang w:eastAsia="en-GB"/>
              </w:rPr>
              <w:t>SETS</w:t>
            </w:r>
          </w:p>
        </w:tc>
        <w:tc>
          <w:tcPr>
            <w:tcW w:w="384" w:type="pct"/>
            <w:tcBorders>
              <w:top w:val="single" w:sz="4" w:space="0" w:color="auto"/>
              <w:left w:val="nil"/>
              <w:bottom w:val="nil"/>
              <w:right w:val="nil"/>
            </w:tcBorders>
            <w:shd w:val="clear" w:color="auto" w:fill="auto"/>
            <w:noWrap/>
            <w:vAlign w:val="bottom"/>
            <w:hideMark/>
          </w:tcPr>
          <w:p w14:paraId="5E5D08D6" w14:textId="77777777" w:rsidR="00463B2D" w:rsidRPr="0077388B" w:rsidRDefault="00463B2D" w:rsidP="00463B2D">
            <w:pPr>
              <w:jc w:val="center"/>
              <w:rPr>
                <w:rFonts w:ascii="Calibri" w:eastAsia="Times New Roman" w:hAnsi="Calibri" w:cs="Arial"/>
                <w:color w:val="000000"/>
                <w:sz w:val="20"/>
                <w:szCs w:val="18"/>
                <w:lang w:eastAsia="en-GB"/>
              </w:rPr>
            </w:pPr>
            <w:r w:rsidRPr="0077388B">
              <w:rPr>
                <w:rFonts w:ascii="Calibri" w:eastAsia="Times New Roman" w:hAnsi="Calibri" w:cs="Arial"/>
                <w:color w:val="000000"/>
                <w:sz w:val="20"/>
                <w:szCs w:val="18"/>
                <w:lang w:eastAsia="en-GB"/>
              </w:rPr>
              <w:t> </w:t>
            </w:r>
          </w:p>
        </w:tc>
        <w:tc>
          <w:tcPr>
            <w:tcW w:w="776" w:type="pct"/>
            <w:tcBorders>
              <w:top w:val="single" w:sz="4" w:space="0" w:color="auto"/>
              <w:left w:val="nil"/>
              <w:bottom w:val="nil"/>
              <w:right w:val="nil"/>
            </w:tcBorders>
            <w:shd w:val="clear" w:color="auto" w:fill="auto"/>
            <w:noWrap/>
            <w:vAlign w:val="center"/>
            <w:hideMark/>
          </w:tcPr>
          <w:p w14:paraId="3228EC16" w14:textId="77777777" w:rsidR="00463B2D" w:rsidRPr="0077388B" w:rsidRDefault="00463B2D" w:rsidP="00CC72FA">
            <w:pPr>
              <w:jc w:val="right"/>
              <w:rPr>
                <w:rFonts w:ascii="Calibri" w:eastAsia="Times New Roman" w:hAnsi="Calibri" w:cs="Arial"/>
                <w:color w:val="000000"/>
                <w:sz w:val="20"/>
                <w:szCs w:val="18"/>
                <w:lang w:eastAsia="en-GB"/>
              </w:rPr>
            </w:pPr>
            <w:r w:rsidRPr="0077388B">
              <w:rPr>
                <w:rFonts w:ascii="Calibri" w:eastAsia="Times New Roman" w:hAnsi="Calibri" w:cs="Arial"/>
                <w:color w:val="000000"/>
                <w:sz w:val="20"/>
                <w:szCs w:val="18"/>
                <w:lang w:eastAsia="en-GB"/>
              </w:rPr>
              <w:t> </w:t>
            </w:r>
          </w:p>
        </w:tc>
        <w:tc>
          <w:tcPr>
            <w:tcW w:w="760" w:type="pct"/>
            <w:tcBorders>
              <w:top w:val="single" w:sz="4" w:space="0" w:color="auto"/>
              <w:left w:val="nil"/>
              <w:bottom w:val="nil"/>
              <w:right w:val="nil"/>
            </w:tcBorders>
            <w:vAlign w:val="center"/>
          </w:tcPr>
          <w:p w14:paraId="7646E6F1" w14:textId="2EB961DD" w:rsidR="00463B2D" w:rsidRPr="0077388B" w:rsidRDefault="00463B2D" w:rsidP="00CC72FA">
            <w:pPr>
              <w:jc w:val="right"/>
              <w:rPr>
                <w:rFonts w:ascii="Calibri" w:eastAsia="Times New Roman" w:hAnsi="Calibri" w:cs="Arial"/>
                <w:color w:val="000000"/>
                <w:sz w:val="20"/>
                <w:szCs w:val="18"/>
                <w:lang w:eastAsia="en-GB"/>
              </w:rPr>
            </w:pPr>
            <w:r w:rsidRPr="0077388B">
              <w:rPr>
                <w:rFonts w:ascii="Calibri" w:eastAsia="Times New Roman" w:hAnsi="Calibri" w:cs="Arial"/>
                <w:color w:val="000000"/>
                <w:sz w:val="20"/>
                <w:szCs w:val="18"/>
                <w:lang w:eastAsia="en-GB"/>
              </w:rPr>
              <w:t> </w:t>
            </w:r>
          </w:p>
        </w:tc>
        <w:tc>
          <w:tcPr>
            <w:tcW w:w="760" w:type="pct"/>
            <w:tcBorders>
              <w:top w:val="single" w:sz="4" w:space="0" w:color="auto"/>
              <w:left w:val="nil"/>
              <w:bottom w:val="nil"/>
              <w:right w:val="nil"/>
            </w:tcBorders>
            <w:shd w:val="clear" w:color="auto" w:fill="auto"/>
            <w:noWrap/>
            <w:vAlign w:val="center"/>
            <w:hideMark/>
          </w:tcPr>
          <w:p w14:paraId="66F5D983" w14:textId="603F44FF" w:rsidR="00463B2D" w:rsidRPr="0077388B" w:rsidRDefault="00463B2D" w:rsidP="00CC72FA">
            <w:pPr>
              <w:jc w:val="right"/>
              <w:rPr>
                <w:rFonts w:ascii="Calibri" w:eastAsia="Times New Roman" w:hAnsi="Calibri" w:cs="Arial"/>
                <w:color w:val="000000"/>
                <w:sz w:val="20"/>
                <w:szCs w:val="18"/>
                <w:lang w:eastAsia="en-GB"/>
              </w:rPr>
            </w:pPr>
            <w:r w:rsidRPr="0077388B">
              <w:rPr>
                <w:rFonts w:ascii="Calibri" w:eastAsia="Times New Roman" w:hAnsi="Calibri" w:cs="Arial"/>
                <w:color w:val="000000"/>
                <w:sz w:val="20"/>
                <w:szCs w:val="18"/>
                <w:lang w:eastAsia="en-GB"/>
              </w:rPr>
              <w:t> </w:t>
            </w:r>
          </w:p>
        </w:tc>
      </w:tr>
      <w:tr w:rsidR="00463B2D" w:rsidRPr="0077388B" w14:paraId="62C3FB79" w14:textId="77777777" w:rsidTr="00CC72FA">
        <w:trPr>
          <w:trHeight w:val="275"/>
        </w:trPr>
        <w:tc>
          <w:tcPr>
            <w:tcW w:w="2320" w:type="pct"/>
            <w:tcBorders>
              <w:top w:val="nil"/>
              <w:left w:val="nil"/>
              <w:bottom w:val="nil"/>
              <w:right w:val="nil"/>
            </w:tcBorders>
            <w:shd w:val="clear" w:color="auto" w:fill="auto"/>
            <w:noWrap/>
            <w:vAlign w:val="bottom"/>
            <w:hideMark/>
          </w:tcPr>
          <w:p w14:paraId="0B003441" w14:textId="77777777" w:rsidR="00463B2D" w:rsidRPr="0077388B" w:rsidRDefault="00463B2D" w:rsidP="00463B2D">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Non-current assets</w:t>
            </w:r>
          </w:p>
        </w:tc>
        <w:tc>
          <w:tcPr>
            <w:tcW w:w="384" w:type="pct"/>
            <w:tcBorders>
              <w:top w:val="nil"/>
              <w:left w:val="nil"/>
              <w:bottom w:val="nil"/>
              <w:right w:val="nil"/>
            </w:tcBorders>
            <w:shd w:val="clear" w:color="auto" w:fill="auto"/>
            <w:noWrap/>
            <w:vAlign w:val="bottom"/>
            <w:hideMark/>
          </w:tcPr>
          <w:p w14:paraId="21E14642" w14:textId="77777777" w:rsidR="00463B2D" w:rsidRDefault="00463B2D" w:rsidP="00463B2D">
            <w:pPr>
              <w:rPr>
                <w:rFonts w:ascii="Calibri" w:eastAsia="Times New Roman" w:hAnsi="Calibri" w:cs="Arial"/>
                <w:b/>
                <w:bCs/>
                <w:color w:val="000000"/>
                <w:sz w:val="20"/>
                <w:szCs w:val="18"/>
                <w:lang w:eastAsia="en-GB"/>
              </w:rPr>
            </w:pPr>
          </w:p>
          <w:p w14:paraId="5A510A22" w14:textId="77777777" w:rsidR="00463B2D" w:rsidRPr="0077388B" w:rsidRDefault="00463B2D" w:rsidP="00463B2D">
            <w:pPr>
              <w:rPr>
                <w:rFonts w:ascii="Calibri" w:eastAsia="Times New Roman" w:hAnsi="Calibri" w:cs="Arial"/>
                <w:b/>
                <w:bCs/>
                <w:color w:val="000000"/>
                <w:sz w:val="20"/>
                <w:szCs w:val="18"/>
                <w:lang w:eastAsia="en-GB"/>
              </w:rPr>
            </w:pPr>
          </w:p>
        </w:tc>
        <w:tc>
          <w:tcPr>
            <w:tcW w:w="776" w:type="pct"/>
            <w:tcBorders>
              <w:top w:val="nil"/>
              <w:left w:val="nil"/>
              <w:bottom w:val="nil"/>
              <w:right w:val="nil"/>
            </w:tcBorders>
            <w:shd w:val="clear" w:color="auto" w:fill="auto"/>
            <w:noWrap/>
            <w:vAlign w:val="center"/>
            <w:hideMark/>
          </w:tcPr>
          <w:p w14:paraId="0C66EFF2" w14:textId="77777777" w:rsidR="00463B2D" w:rsidRDefault="00463B2D" w:rsidP="00CC72FA">
            <w:pPr>
              <w:jc w:val="right"/>
              <w:rPr>
                <w:rFonts w:ascii="Calibri" w:eastAsia="Times New Roman" w:hAnsi="Calibri"/>
                <w:sz w:val="20"/>
                <w:szCs w:val="20"/>
                <w:lang w:eastAsia="en-GB"/>
              </w:rPr>
            </w:pPr>
          </w:p>
          <w:p w14:paraId="4C2D7780" w14:textId="77777777" w:rsidR="00463B2D" w:rsidRDefault="00463B2D" w:rsidP="00CC72FA">
            <w:pPr>
              <w:jc w:val="right"/>
              <w:rPr>
                <w:rFonts w:ascii="Calibri" w:eastAsia="Times New Roman" w:hAnsi="Calibri"/>
                <w:sz w:val="20"/>
                <w:szCs w:val="20"/>
                <w:lang w:eastAsia="en-GB"/>
              </w:rPr>
            </w:pPr>
          </w:p>
          <w:p w14:paraId="057F3646" w14:textId="77777777" w:rsidR="00463B2D" w:rsidRDefault="00463B2D" w:rsidP="00CC72FA">
            <w:pPr>
              <w:jc w:val="right"/>
              <w:rPr>
                <w:rFonts w:ascii="Calibri" w:eastAsia="Times New Roman" w:hAnsi="Calibri"/>
                <w:sz w:val="20"/>
                <w:szCs w:val="20"/>
                <w:lang w:eastAsia="en-GB"/>
              </w:rPr>
            </w:pPr>
          </w:p>
          <w:p w14:paraId="71FEACBA" w14:textId="4E8D7104" w:rsidR="00463B2D" w:rsidRPr="006665DF" w:rsidRDefault="00463B2D" w:rsidP="00CC72FA">
            <w:pPr>
              <w:jc w:val="right"/>
              <w:rPr>
                <w:rFonts w:ascii="Calibri" w:eastAsia="Times New Roman" w:hAnsi="Calibri"/>
                <w:b/>
                <w:bCs/>
                <w:sz w:val="20"/>
                <w:szCs w:val="20"/>
                <w:lang w:eastAsia="en-GB"/>
              </w:rPr>
            </w:pPr>
          </w:p>
        </w:tc>
        <w:tc>
          <w:tcPr>
            <w:tcW w:w="760" w:type="pct"/>
            <w:tcBorders>
              <w:top w:val="nil"/>
              <w:left w:val="nil"/>
              <w:bottom w:val="nil"/>
              <w:right w:val="nil"/>
            </w:tcBorders>
            <w:vAlign w:val="center"/>
          </w:tcPr>
          <w:p w14:paraId="11FF2885" w14:textId="77777777" w:rsidR="00463B2D" w:rsidRPr="0077388B" w:rsidRDefault="00463B2D" w:rsidP="00CC72FA">
            <w:pPr>
              <w:jc w:val="right"/>
              <w:rPr>
                <w:rFonts w:ascii="Calibri" w:eastAsia="Times New Roman" w:hAnsi="Calibri"/>
                <w:sz w:val="20"/>
                <w:szCs w:val="20"/>
                <w:lang w:eastAsia="en-GB"/>
              </w:rPr>
            </w:pPr>
          </w:p>
        </w:tc>
        <w:tc>
          <w:tcPr>
            <w:tcW w:w="760" w:type="pct"/>
            <w:tcBorders>
              <w:top w:val="nil"/>
              <w:left w:val="nil"/>
              <w:bottom w:val="nil"/>
              <w:right w:val="nil"/>
            </w:tcBorders>
            <w:shd w:val="clear" w:color="auto" w:fill="auto"/>
            <w:noWrap/>
            <w:vAlign w:val="center"/>
            <w:hideMark/>
          </w:tcPr>
          <w:p w14:paraId="78B60AC4" w14:textId="77777777" w:rsidR="0051761E" w:rsidRDefault="0051761E" w:rsidP="00CC72FA">
            <w:pPr>
              <w:jc w:val="right"/>
              <w:rPr>
                <w:rFonts w:ascii="Calibri" w:eastAsia="Times New Roman" w:hAnsi="Calibri"/>
                <w:sz w:val="20"/>
                <w:szCs w:val="20"/>
                <w:lang w:eastAsia="en-GB"/>
              </w:rPr>
            </w:pPr>
          </w:p>
          <w:p w14:paraId="52355328" w14:textId="4718C834" w:rsidR="00463B2D" w:rsidRPr="0077388B" w:rsidRDefault="00463B2D" w:rsidP="00CC72FA">
            <w:pPr>
              <w:jc w:val="right"/>
              <w:rPr>
                <w:rFonts w:ascii="Calibri" w:eastAsia="Times New Roman" w:hAnsi="Calibri"/>
                <w:sz w:val="20"/>
                <w:szCs w:val="20"/>
                <w:lang w:eastAsia="en-GB"/>
              </w:rPr>
            </w:pPr>
          </w:p>
        </w:tc>
      </w:tr>
      <w:tr w:rsidR="001A2161" w:rsidRPr="0077388B" w14:paraId="704AA783" w14:textId="77777777" w:rsidTr="00CC72FA">
        <w:trPr>
          <w:trHeight w:val="275"/>
        </w:trPr>
        <w:tc>
          <w:tcPr>
            <w:tcW w:w="2320" w:type="pct"/>
            <w:tcBorders>
              <w:top w:val="nil"/>
              <w:left w:val="nil"/>
              <w:bottom w:val="nil"/>
              <w:right w:val="nil"/>
            </w:tcBorders>
            <w:shd w:val="clear" w:color="auto" w:fill="auto"/>
            <w:noWrap/>
            <w:vAlign w:val="bottom"/>
          </w:tcPr>
          <w:p w14:paraId="5BA5F661" w14:textId="4DC3758C" w:rsidR="001A2161" w:rsidRPr="001A2161" w:rsidRDefault="001A2161" w:rsidP="00463B2D">
            <w:pPr>
              <w:rPr>
                <w:rFonts w:ascii="Calibri" w:eastAsia="Times New Roman" w:hAnsi="Calibri" w:cs="Arial"/>
                <w:color w:val="000000"/>
                <w:sz w:val="20"/>
                <w:szCs w:val="18"/>
                <w:lang w:eastAsia="en-GB"/>
              </w:rPr>
            </w:pPr>
            <w:r w:rsidRPr="001A2161">
              <w:rPr>
                <w:rFonts w:ascii="Calibri" w:eastAsia="Times New Roman" w:hAnsi="Calibri" w:cs="Arial"/>
                <w:color w:val="000000"/>
                <w:sz w:val="20"/>
                <w:szCs w:val="18"/>
                <w:lang w:eastAsia="en-GB"/>
              </w:rPr>
              <w:t xml:space="preserve">Property, plant &amp; equipment </w:t>
            </w:r>
          </w:p>
        </w:tc>
        <w:tc>
          <w:tcPr>
            <w:tcW w:w="384" w:type="pct"/>
            <w:tcBorders>
              <w:top w:val="nil"/>
              <w:left w:val="nil"/>
              <w:bottom w:val="nil"/>
              <w:right w:val="nil"/>
            </w:tcBorders>
            <w:shd w:val="clear" w:color="auto" w:fill="auto"/>
            <w:noWrap/>
            <w:vAlign w:val="bottom"/>
          </w:tcPr>
          <w:p w14:paraId="08E9D0D1" w14:textId="77777777" w:rsidR="001A2161" w:rsidRDefault="001A2161" w:rsidP="00463B2D">
            <w:pPr>
              <w:rPr>
                <w:rFonts w:ascii="Calibri" w:eastAsia="Times New Roman" w:hAnsi="Calibri" w:cs="Arial"/>
                <w:b/>
                <w:bCs/>
                <w:color w:val="000000"/>
                <w:sz w:val="20"/>
                <w:szCs w:val="18"/>
                <w:lang w:eastAsia="en-GB"/>
              </w:rPr>
            </w:pPr>
          </w:p>
        </w:tc>
        <w:tc>
          <w:tcPr>
            <w:tcW w:w="776" w:type="pct"/>
            <w:tcBorders>
              <w:top w:val="nil"/>
              <w:left w:val="nil"/>
              <w:bottom w:val="nil"/>
              <w:right w:val="nil"/>
            </w:tcBorders>
            <w:shd w:val="clear" w:color="auto" w:fill="auto"/>
            <w:noWrap/>
            <w:vAlign w:val="center"/>
          </w:tcPr>
          <w:p w14:paraId="0CFC92C8" w14:textId="747F1E80" w:rsidR="001A2161" w:rsidRPr="00015CB6" w:rsidRDefault="00210EFE" w:rsidP="00CC72FA">
            <w:pPr>
              <w:jc w:val="right"/>
              <w:rPr>
                <w:rFonts w:ascii="Calibri" w:eastAsia="Times New Roman" w:hAnsi="Calibri"/>
                <w:b/>
                <w:bCs/>
                <w:sz w:val="20"/>
                <w:szCs w:val="20"/>
                <w:lang w:eastAsia="en-GB"/>
              </w:rPr>
            </w:pPr>
            <w:r>
              <w:rPr>
                <w:rFonts w:ascii="Calibri" w:eastAsia="Times New Roman" w:hAnsi="Calibri"/>
                <w:b/>
                <w:bCs/>
                <w:sz w:val="20"/>
                <w:szCs w:val="20"/>
                <w:lang w:eastAsia="en-GB"/>
              </w:rPr>
              <w:t>113</w:t>
            </w:r>
          </w:p>
        </w:tc>
        <w:tc>
          <w:tcPr>
            <w:tcW w:w="760" w:type="pct"/>
            <w:tcBorders>
              <w:top w:val="nil"/>
              <w:left w:val="nil"/>
              <w:bottom w:val="nil"/>
              <w:right w:val="nil"/>
            </w:tcBorders>
            <w:vAlign w:val="center"/>
          </w:tcPr>
          <w:p w14:paraId="5097C69E" w14:textId="252AFC41" w:rsidR="001A2161" w:rsidRPr="00015CB6" w:rsidRDefault="001A2161" w:rsidP="00CC72FA">
            <w:pPr>
              <w:jc w:val="right"/>
              <w:rPr>
                <w:rFonts w:ascii="Calibri" w:eastAsia="Times New Roman" w:hAnsi="Calibri"/>
                <w:b/>
                <w:bCs/>
                <w:sz w:val="20"/>
                <w:szCs w:val="20"/>
                <w:lang w:eastAsia="en-GB"/>
              </w:rPr>
            </w:pPr>
            <w:r w:rsidRPr="00015CB6">
              <w:rPr>
                <w:rFonts w:ascii="Calibri" w:eastAsia="Times New Roman" w:hAnsi="Calibri"/>
                <w:b/>
                <w:bCs/>
                <w:sz w:val="20"/>
                <w:szCs w:val="20"/>
                <w:lang w:eastAsia="en-GB"/>
              </w:rPr>
              <w:t>53</w:t>
            </w:r>
          </w:p>
        </w:tc>
        <w:tc>
          <w:tcPr>
            <w:tcW w:w="760" w:type="pct"/>
            <w:tcBorders>
              <w:top w:val="nil"/>
              <w:left w:val="nil"/>
              <w:bottom w:val="nil"/>
              <w:right w:val="nil"/>
            </w:tcBorders>
            <w:shd w:val="clear" w:color="auto" w:fill="auto"/>
            <w:noWrap/>
            <w:vAlign w:val="center"/>
          </w:tcPr>
          <w:p w14:paraId="69AB6B92" w14:textId="04469647" w:rsidR="001A2161" w:rsidRPr="00015CB6" w:rsidRDefault="001A2161" w:rsidP="00CC72FA">
            <w:pPr>
              <w:jc w:val="right"/>
              <w:rPr>
                <w:rFonts w:ascii="Calibri" w:eastAsia="Times New Roman" w:hAnsi="Calibri"/>
                <w:b/>
                <w:bCs/>
                <w:sz w:val="20"/>
                <w:szCs w:val="20"/>
                <w:lang w:eastAsia="en-GB"/>
              </w:rPr>
            </w:pPr>
            <w:r w:rsidRPr="00015CB6">
              <w:rPr>
                <w:rFonts w:ascii="Calibri" w:eastAsia="Times New Roman" w:hAnsi="Calibri"/>
                <w:b/>
                <w:bCs/>
                <w:sz w:val="20"/>
                <w:szCs w:val="20"/>
                <w:lang w:eastAsia="en-GB"/>
              </w:rPr>
              <w:t>48</w:t>
            </w:r>
          </w:p>
        </w:tc>
      </w:tr>
      <w:tr w:rsidR="001A2161" w:rsidRPr="0077388B" w14:paraId="532F251F" w14:textId="77777777" w:rsidTr="00CC72FA">
        <w:trPr>
          <w:trHeight w:val="275"/>
        </w:trPr>
        <w:tc>
          <w:tcPr>
            <w:tcW w:w="2320" w:type="pct"/>
            <w:tcBorders>
              <w:top w:val="nil"/>
              <w:left w:val="nil"/>
              <w:bottom w:val="nil"/>
              <w:right w:val="nil"/>
            </w:tcBorders>
            <w:shd w:val="clear" w:color="auto" w:fill="auto"/>
            <w:noWrap/>
            <w:vAlign w:val="bottom"/>
          </w:tcPr>
          <w:p w14:paraId="5B9E6DB1" w14:textId="2C45EF49" w:rsidR="001A2161" w:rsidRPr="001A2161" w:rsidRDefault="001A2161" w:rsidP="00463B2D">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Intangible assets</w:t>
            </w:r>
          </w:p>
        </w:tc>
        <w:tc>
          <w:tcPr>
            <w:tcW w:w="384" w:type="pct"/>
            <w:tcBorders>
              <w:top w:val="nil"/>
              <w:left w:val="nil"/>
              <w:bottom w:val="nil"/>
              <w:right w:val="nil"/>
            </w:tcBorders>
            <w:shd w:val="clear" w:color="auto" w:fill="auto"/>
            <w:noWrap/>
            <w:vAlign w:val="bottom"/>
          </w:tcPr>
          <w:p w14:paraId="67E2FD69" w14:textId="2E4372CF" w:rsidR="001A2161" w:rsidRDefault="00FF6C69" w:rsidP="00C83B20">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4</w:t>
            </w:r>
          </w:p>
        </w:tc>
        <w:tc>
          <w:tcPr>
            <w:tcW w:w="776" w:type="pct"/>
            <w:tcBorders>
              <w:top w:val="nil"/>
              <w:left w:val="nil"/>
              <w:bottom w:val="nil"/>
              <w:right w:val="nil"/>
            </w:tcBorders>
            <w:shd w:val="clear" w:color="auto" w:fill="auto"/>
            <w:noWrap/>
            <w:vAlign w:val="center"/>
          </w:tcPr>
          <w:p w14:paraId="0A208462" w14:textId="709FF698" w:rsidR="001A2161" w:rsidRPr="00015CB6" w:rsidRDefault="00210EFE" w:rsidP="00CC72FA">
            <w:pPr>
              <w:jc w:val="right"/>
              <w:rPr>
                <w:rFonts w:ascii="Calibri" w:eastAsia="Times New Roman" w:hAnsi="Calibri"/>
                <w:b/>
                <w:bCs/>
                <w:sz w:val="20"/>
                <w:szCs w:val="20"/>
                <w:lang w:eastAsia="en-GB"/>
              </w:rPr>
            </w:pPr>
            <w:r>
              <w:rPr>
                <w:rFonts w:ascii="Calibri" w:eastAsia="Times New Roman" w:hAnsi="Calibri"/>
                <w:b/>
                <w:bCs/>
                <w:sz w:val="20"/>
                <w:szCs w:val="20"/>
                <w:lang w:eastAsia="en-GB"/>
              </w:rPr>
              <w:t>2,596</w:t>
            </w:r>
          </w:p>
        </w:tc>
        <w:tc>
          <w:tcPr>
            <w:tcW w:w="760" w:type="pct"/>
            <w:tcBorders>
              <w:top w:val="nil"/>
              <w:left w:val="nil"/>
              <w:bottom w:val="nil"/>
              <w:right w:val="nil"/>
            </w:tcBorders>
            <w:vAlign w:val="center"/>
          </w:tcPr>
          <w:p w14:paraId="1C8351E9" w14:textId="68ACC63B" w:rsidR="001A2161" w:rsidRPr="00015CB6" w:rsidRDefault="001A2161" w:rsidP="00CC72FA">
            <w:pPr>
              <w:jc w:val="right"/>
              <w:rPr>
                <w:rFonts w:ascii="Calibri" w:eastAsia="Times New Roman" w:hAnsi="Calibri"/>
                <w:b/>
                <w:bCs/>
                <w:sz w:val="20"/>
                <w:szCs w:val="20"/>
                <w:lang w:eastAsia="en-GB"/>
              </w:rPr>
            </w:pPr>
            <w:r w:rsidRPr="00015CB6">
              <w:rPr>
                <w:rFonts w:ascii="Calibri" w:eastAsia="Times New Roman" w:hAnsi="Calibri"/>
                <w:b/>
                <w:bCs/>
                <w:sz w:val="20"/>
                <w:szCs w:val="20"/>
                <w:lang w:eastAsia="en-GB"/>
              </w:rPr>
              <w:t>2,249</w:t>
            </w:r>
          </w:p>
        </w:tc>
        <w:tc>
          <w:tcPr>
            <w:tcW w:w="760" w:type="pct"/>
            <w:tcBorders>
              <w:top w:val="nil"/>
              <w:left w:val="nil"/>
              <w:bottom w:val="nil"/>
              <w:right w:val="nil"/>
            </w:tcBorders>
            <w:shd w:val="clear" w:color="auto" w:fill="auto"/>
            <w:noWrap/>
            <w:vAlign w:val="center"/>
          </w:tcPr>
          <w:p w14:paraId="74EA14DC" w14:textId="1443B466" w:rsidR="001A2161" w:rsidRPr="00015CB6" w:rsidRDefault="001A2161" w:rsidP="00CC72FA">
            <w:pPr>
              <w:jc w:val="right"/>
              <w:rPr>
                <w:rFonts w:ascii="Calibri" w:eastAsia="Times New Roman" w:hAnsi="Calibri"/>
                <w:b/>
                <w:bCs/>
                <w:sz w:val="20"/>
                <w:szCs w:val="20"/>
                <w:lang w:eastAsia="en-GB"/>
              </w:rPr>
            </w:pPr>
            <w:r w:rsidRPr="00015CB6">
              <w:rPr>
                <w:rFonts w:ascii="Calibri" w:eastAsia="Times New Roman" w:hAnsi="Calibri"/>
                <w:b/>
                <w:bCs/>
                <w:sz w:val="20"/>
                <w:szCs w:val="20"/>
                <w:lang w:eastAsia="en-GB"/>
              </w:rPr>
              <w:t>2,082</w:t>
            </w:r>
          </w:p>
        </w:tc>
      </w:tr>
      <w:tr w:rsidR="001A2161" w:rsidRPr="0077388B" w14:paraId="4D927887" w14:textId="77777777" w:rsidTr="00CC72FA">
        <w:trPr>
          <w:trHeight w:val="275"/>
        </w:trPr>
        <w:tc>
          <w:tcPr>
            <w:tcW w:w="2320" w:type="pct"/>
            <w:tcBorders>
              <w:top w:val="nil"/>
              <w:left w:val="nil"/>
              <w:bottom w:val="nil"/>
              <w:right w:val="nil"/>
            </w:tcBorders>
            <w:shd w:val="clear" w:color="auto" w:fill="auto"/>
            <w:noWrap/>
            <w:vAlign w:val="bottom"/>
          </w:tcPr>
          <w:p w14:paraId="1AD4226B" w14:textId="2823C6D8" w:rsidR="001A2161" w:rsidRPr="001A2161" w:rsidRDefault="001A2161" w:rsidP="00463B2D">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Investment in joint ventures</w:t>
            </w:r>
          </w:p>
        </w:tc>
        <w:tc>
          <w:tcPr>
            <w:tcW w:w="384" w:type="pct"/>
            <w:tcBorders>
              <w:top w:val="nil"/>
              <w:left w:val="nil"/>
              <w:bottom w:val="nil"/>
              <w:right w:val="nil"/>
            </w:tcBorders>
            <w:shd w:val="clear" w:color="auto" w:fill="auto"/>
            <w:noWrap/>
            <w:vAlign w:val="bottom"/>
          </w:tcPr>
          <w:p w14:paraId="5739111A" w14:textId="77777777" w:rsidR="001A2161" w:rsidRDefault="001A2161" w:rsidP="00463B2D">
            <w:pPr>
              <w:rPr>
                <w:rFonts w:ascii="Calibri" w:eastAsia="Times New Roman" w:hAnsi="Calibri" w:cs="Arial"/>
                <w:b/>
                <w:bCs/>
                <w:color w:val="000000"/>
                <w:sz w:val="20"/>
                <w:szCs w:val="18"/>
                <w:lang w:eastAsia="en-GB"/>
              </w:rPr>
            </w:pPr>
          </w:p>
        </w:tc>
        <w:tc>
          <w:tcPr>
            <w:tcW w:w="776" w:type="pct"/>
            <w:tcBorders>
              <w:top w:val="nil"/>
              <w:left w:val="nil"/>
              <w:bottom w:val="nil"/>
              <w:right w:val="nil"/>
            </w:tcBorders>
            <w:shd w:val="clear" w:color="auto" w:fill="auto"/>
            <w:noWrap/>
            <w:vAlign w:val="center"/>
          </w:tcPr>
          <w:p w14:paraId="4351EF0F" w14:textId="07A32015" w:rsidR="001A2161" w:rsidRPr="00015CB6" w:rsidRDefault="001A2161" w:rsidP="00CC72FA">
            <w:pPr>
              <w:jc w:val="right"/>
              <w:rPr>
                <w:rFonts w:ascii="Calibri" w:eastAsia="Times New Roman" w:hAnsi="Calibri"/>
                <w:b/>
                <w:bCs/>
                <w:sz w:val="20"/>
                <w:szCs w:val="20"/>
                <w:lang w:eastAsia="en-GB"/>
              </w:rPr>
            </w:pPr>
            <w:r w:rsidRPr="00015CB6">
              <w:rPr>
                <w:rFonts w:ascii="Calibri" w:eastAsia="Times New Roman" w:hAnsi="Calibri"/>
                <w:b/>
                <w:bCs/>
                <w:sz w:val="20"/>
                <w:szCs w:val="20"/>
                <w:lang w:eastAsia="en-GB"/>
              </w:rPr>
              <w:t>348</w:t>
            </w:r>
          </w:p>
        </w:tc>
        <w:tc>
          <w:tcPr>
            <w:tcW w:w="760" w:type="pct"/>
            <w:tcBorders>
              <w:top w:val="nil"/>
              <w:left w:val="nil"/>
              <w:bottom w:val="nil"/>
              <w:right w:val="nil"/>
            </w:tcBorders>
            <w:vAlign w:val="center"/>
          </w:tcPr>
          <w:p w14:paraId="394CD968" w14:textId="473DB47A" w:rsidR="001A2161" w:rsidRPr="00015CB6" w:rsidRDefault="001A2161" w:rsidP="00CC72FA">
            <w:pPr>
              <w:jc w:val="right"/>
              <w:rPr>
                <w:rFonts w:ascii="Calibri" w:eastAsia="Times New Roman" w:hAnsi="Calibri"/>
                <w:b/>
                <w:bCs/>
                <w:sz w:val="20"/>
                <w:szCs w:val="20"/>
                <w:lang w:eastAsia="en-GB"/>
              </w:rPr>
            </w:pPr>
            <w:r w:rsidRPr="00015CB6">
              <w:rPr>
                <w:rFonts w:ascii="Calibri" w:eastAsia="Times New Roman" w:hAnsi="Calibri"/>
                <w:b/>
                <w:bCs/>
                <w:sz w:val="20"/>
                <w:szCs w:val="20"/>
                <w:lang w:eastAsia="en-GB"/>
              </w:rPr>
              <w:t>-</w:t>
            </w:r>
          </w:p>
        </w:tc>
        <w:tc>
          <w:tcPr>
            <w:tcW w:w="760" w:type="pct"/>
            <w:tcBorders>
              <w:top w:val="nil"/>
              <w:left w:val="nil"/>
              <w:bottom w:val="nil"/>
              <w:right w:val="nil"/>
            </w:tcBorders>
            <w:shd w:val="clear" w:color="auto" w:fill="auto"/>
            <w:noWrap/>
            <w:vAlign w:val="center"/>
          </w:tcPr>
          <w:p w14:paraId="543D4525" w14:textId="554BCBAA" w:rsidR="001A2161" w:rsidRPr="00015CB6" w:rsidRDefault="001A2161" w:rsidP="00CC72FA">
            <w:pPr>
              <w:jc w:val="right"/>
              <w:rPr>
                <w:rFonts w:ascii="Calibri" w:eastAsia="Times New Roman" w:hAnsi="Calibri"/>
                <w:b/>
                <w:bCs/>
                <w:sz w:val="20"/>
                <w:szCs w:val="20"/>
                <w:lang w:eastAsia="en-GB"/>
              </w:rPr>
            </w:pPr>
            <w:r w:rsidRPr="00015CB6">
              <w:rPr>
                <w:rFonts w:ascii="Calibri" w:eastAsia="Times New Roman" w:hAnsi="Calibri"/>
                <w:b/>
                <w:bCs/>
                <w:sz w:val="20"/>
                <w:szCs w:val="20"/>
                <w:lang w:eastAsia="en-GB"/>
              </w:rPr>
              <w:t>325</w:t>
            </w:r>
          </w:p>
        </w:tc>
      </w:tr>
      <w:tr w:rsidR="00763235" w:rsidRPr="0077388B" w14:paraId="1688E0D1" w14:textId="77777777" w:rsidTr="00CC72FA">
        <w:trPr>
          <w:trHeight w:val="275"/>
        </w:trPr>
        <w:tc>
          <w:tcPr>
            <w:tcW w:w="2320" w:type="pct"/>
            <w:tcBorders>
              <w:left w:val="nil"/>
              <w:bottom w:val="nil"/>
              <w:right w:val="nil"/>
            </w:tcBorders>
            <w:shd w:val="clear" w:color="auto" w:fill="auto"/>
            <w:noWrap/>
            <w:vAlign w:val="bottom"/>
          </w:tcPr>
          <w:p w14:paraId="5B193FF9" w14:textId="57567A06" w:rsidR="00763235" w:rsidRPr="0077388B" w:rsidRDefault="001A2161" w:rsidP="00763235">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Financial assets</w:t>
            </w:r>
          </w:p>
        </w:tc>
        <w:tc>
          <w:tcPr>
            <w:tcW w:w="384" w:type="pct"/>
            <w:tcBorders>
              <w:left w:val="nil"/>
              <w:bottom w:val="nil"/>
              <w:right w:val="nil"/>
            </w:tcBorders>
            <w:shd w:val="clear" w:color="auto" w:fill="auto"/>
            <w:noWrap/>
            <w:vAlign w:val="bottom"/>
          </w:tcPr>
          <w:p w14:paraId="72B81443" w14:textId="77777777" w:rsidR="00763235" w:rsidRPr="0077388B" w:rsidRDefault="00763235" w:rsidP="00763235">
            <w:pPr>
              <w:jc w:val="center"/>
              <w:rPr>
                <w:rFonts w:ascii="Calibri" w:eastAsia="Times New Roman" w:hAnsi="Calibri" w:cs="Arial"/>
                <w:b/>
                <w:bCs/>
                <w:color w:val="000000"/>
                <w:sz w:val="20"/>
                <w:szCs w:val="18"/>
                <w:lang w:eastAsia="en-GB"/>
              </w:rPr>
            </w:pPr>
          </w:p>
        </w:tc>
        <w:tc>
          <w:tcPr>
            <w:tcW w:w="776" w:type="pct"/>
            <w:tcBorders>
              <w:left w:val="nil"/>
              <w:bottom w:val="nil"/>
              <w:right w:val="nil"/>
            </w:tcBorders>
            <w:shd w:val="clear" w:color="auto" w:fill="auto"/>
            <w:noWrap/>
            <w:vAlign w:val="center"/>
          </w:tcPr>
          <w:p w14:paraId="1AEE4242" w14:textId="187D1280" w:rsidR="00763235" w:rsidRPr="00015CB6" w:rsidRDefault="00210EFE" w:rsidP="00CC72FA">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55</w:t>
            </w:r>
          </w:p>
        </w:tc>
        <w:tc>
          <w:tcPr>
            <w:tcW w:w="760" w:type="pct"/>
            <w:tcBorders>
              <w:left w:val="nil"/>
              <w:bottom w:val="nil"/>
              <w:right w:val="nil"/>
            </w:tcBorders>
            <w:vAlign w:val="center"/>
          </w:tcPr>
          <w:p w14:paraId="57D69055" w14:textId="5EDE57E4" w:rsidR="00763235" w:rsidRPr="00015CB6" w:rsidRDefault="001A2161"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w:t>
            </w:r>
          </w:p>
        </w:tc>
        <w:tc>
          <w:tcPr>
            <w:tcW w:w="760" w:type="pct"/>
            <w:tcBorders>
              <w:left w:val="nil"/>
              <w:bottom w:val="nil"/>
              <w:right w:val="nil"/>
            </w:tcBorders>
            <w:shd w:val="clear" w:color="auto" w:fill="auto"/>
            <w:noWrap/>
            <w:vAlign w:val="center"/>
          </w:tcPr>
          <w:p w14:paraId="41709174" w14:textId="7A8DDE46" w:rsidR="00763235" w:rsidRPr="00015CB6" w:rsidRDefault="001A2161"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55</w:t>
            </w:r>
          </w:p>
        </w:tc>
      </w:tr>
      <w:tr w:rsidR="00763235" w:rsidRPr="0077388B" w14:paraId="07437C94" w14:textId="77777777" w:rsidTr="00CC72FA">
        <w:trPr>
          <w:trHeight w:val="275"/>
        </w:trPr>
        <w:tc>
          <w:tcPr>
            <w:tcW w:w="2320" w:type="pct"/>
            <w:tcBorders>
              <w:left w:val="nil"/>
              <w:bottom w:val="nil"/>
              <w:right w:val="nil"/>
            </w:tcBorders>
            <w:shd w:val="clear" w:color="auto" w:fill="auto"/>
            <w:noWrap/>
            <w:vAlign w:val="bottom"/>
          </w:tcPr>
          <w:p w14:paraId="1C2564F4" w14:textId="77777777" w:rsidR="00763235" w:rsidRPr="0077388B" w:rsidRDefault="00763235" w:rsidP="00763235">
            <w:pPr>
              <w:rPr>
                <w:rFonts w:ascii="Calibri" w:eastAsia="Times New Roman" w:hAnsi="Calibri" w:cs="Arial"/>
                <w:color w:val="000000"/>
                <w:sz w:val="20"/>
                <w:szCs w:val="18"/>
                <w:lang w:eastAsia="en-GB"/>
              </w:rPr>
            </w:pPr>
          </w:p>
        </w:tc>
        <w:tc>
          <w:tcPr>
            <w:tcW w:w="384" w:type="pct"/>
            <w:tcBorders>
              <w:left w:val="nil"/>
              <w:bottom w:val="nil"/>
              <w:right w:val="nil"/>
            </w:tcBorders>
            <w:shd w:val="clear" w:color="auto" w:fill="auto"/>
            <w:noWrap/>
            <w:vAlign w:val="bottom"/>
          </w:tcPr>
          <w:p w14:paraId="619EB2DD" w14:textId="77777777" w:rsidR="00763235" w:rsidRPr="0077388B" w:rsidDel="00360DC6" w:rsidRDefault="00763235" w:rsidP="00763235">
            <w:pPr>
              <w:jc w:val="center"/>
              <w:rPr>
                <w:rFonts w:ascii="Calibri" w:eastAsia="Times New Roman" w:hAnsi="Calibri" w:cs="Arial"/>
                <w:b/>
                <w:bCs/>
                <w:color w:val="000000"/>
                <w:sz w:val="20"/>
                <w:szCs w:val="18"/>
                <w:lang w:eastAsia="en-GB"/>
              </w:rPr>
            </w:pPr>
          </w:p>
        </w:tc>
        <w:tc>
          <w:tcPr>
            <w:tcW w:w="776" w:type="pct"/>
            <w:tcBorders>
              <w:left w:val="nil"/>
              <w:bottom w:val="nil"/>
              <w:right w:val="nil"/>
            </w:tcBorders>
            <w:shd w:val="clear" w:color="auto" w:fill="auto"/>
            <w:noWrap/>
            <w:vAlign w:val="center"/>
          </w:tcPr>
          <w:p w14:paraId="2040BA67" w14:textId="77777777" w:rsidR="00763235" w:rsidRPr="00015CB6" w:rsidRDefault="00763235" w:rsidP="00CC72FA">
            <w:pPr>
              <w:jc w:val="right"/>
              <w:rPr>
                <w:rFonts w:ascii="Calibri" w:eastAsia="Times New Roman" w:hAnsi="Calibri" w:cs="Arial"/>
                <w:b/>
                <w:bCs/>
                <w:color w:val="000000"/>
                <w:sz w:val="20"/>
                <w:szCs w:val="18"/>
                <w:lang w:eastAsia="en-GB"/>
              </w:rPr>
            </w:pPr>
          </w:p>
        </w:tc>
        <w:tc>
          <w:tcPr>
            <w:tcW w:w="760" w:type="pct"/>
            <w:tcBorders>
              <w:left w:val="nil"/>
              <w:bottom w:val="nil"/>
              <w:right w:val="nil"/>
            </w:tcBorders>
            <w:vAlign w:val="center"/>
          </w:tcPr>
          <w:p w14:paraId="0EE3B981" w14:textId="77777777" w:rsidR="00763235" w:rsidRPr="00015CB6" w:rsidRDefault="00763235" w:rsidP="00CC72FA">
            <w:pPr>
              <w:jc w:val="right"/>
              <w:rPr>
                <w:rFonts w:ascii="Calibri" w:eastAsia="Times New Roman" w:hAnsi="Calibri" w:cs="Arial"/>
                <w:b/>
                <w:bCs/>
                <w:color w:val="000000"/>
                <w:sz w:val="20"/>
                <w:szCs w:val="18"/>
                <w:lang w:eastAsia="en-GB"/>
              </w:rPr>
            </w:pPr>
          </w:p>
        </w:tc>
        <w:tc>
          <w:tcPr>
            <w:tcW w:w="760" w:type="pct"/>
            <w:tcBorders>
              <w:left w:val="nil"/>
              <w:bottom w:val="nil"/>
              <w:right w:val="nil"/>
            </w:tcBorders>
            <w:shd w:val="clear" w:color="auto" w:fill="auto"/>
            <w:noWrap/>
            <w:vAlign w:val="center"/>
          </w:tcPr>
          <w:p w14:paraId="6E3BCD65" w14:textId="5D6BE2AC" w:rsidR="00763235" w:rsidRPr="00015CB6" w:rsidRDefault="00763235" w:rsidP="00CC72FA">
            <w:pPr>
              <w:jc w:val="right"/>
              <w:rPr>
                <w:rFonts w:ascii="Calibri" w:eastAsia="Times New Roman" w:hAnsi="Calibri" w:cs="Arial"/>
                <w:b/>
                <w:bCs/>
                <w:color w:val="000000"/>
                <w:sz w:val="20"/>
                <w:szCs w:val="18"/>
                <w:lang w:eastAsia="en-GB"/>
              </w:rPr>
            </w:pPr>
          </w:p>
        </w:tc>
      </w:tr>
      <w:tr w:rsidR="00763235" w:rsidRPr="0077388B" w14:paraId="27BD0C7D" w14:textId="77777777" w:rsidTr="00CC72FA">
        <w:trPr>
          <w:trHeight w:val="275"/>
        </w:trPr>
        <w:tc>
          <w:tcPr>
            <w:tcW w:w="2320" w:type="pct"/>
            <w:tcBorders>
              <w:top w:val="nil"/>
              <w:left w:val="nil"/>
              <w:bottom w:val="nil"/>
              <w:right w:val="nil"/>
            </w:tcBorders>
            <w:shd w:val="clear" w:color="auto" w:fill="auto"/>
            <w:noWrap/>
            <w:vAlign w:val="bottom"/>
            <w:hideMark/>
          </w:tcPr>
          <w:p w14:paraId="430EE7FF" w14:textId="77777777" w:rsidR="00763235" w:rsidRPr="0077388B" w:rsidRDefault="00763235" w:rsidP="00763235">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Total non-current assets</w:t>
            </w:r>
            <w:r w:rsidRPr="0077388B">
              <w:rPr>
                <w:rFonts w:ascii="Calibri" w:eastAsia="Times New Roman" w:hAnsi="Calibri" w:cs="Arial"/>
                <w:color w:val="000000"/>
                <w:sz w:val="20"/>
                <w:szCs w:val="18"/>
                <w:lang w:eastAsia="en-GB"/>
              </w:rPr>
              <w:t xml:space="preserve"> </w:t>
            </w:r>
          </w:p>
        </w:tc>
        <w:tc>
          <w:tcPr>
            <w:tcW w:w="384" w:type="pct"/>
            <w:tcBorders>
              <w:top w:val="nil"/>
              <w:left w:val="nil"/>
              <w:bottom w:val="nil"/>
              <w:right w:val="nil"/>
            </w:tcBorders>
            <w:shd w:val="clear" w:color="auto" w:fill="auto"/>
            <w:noWrap/>
            <w:vAlign w:val="bottom"/>
            <w:hideMark/>
          </w:tcPr>
          <w:p w14:paraId="2DE6FE40" w14:textId="77777777" w:rsidR="00763235" w:rsidRPr="0077388B" w:rsidRDefault="00763235" w:rsidP="00763235">
            <w:pPr>
              <w:rPr>
                <w:rFonts w:ascii="Calibri" w:eastAsia="Times New Roman" w:hAnsi="Calibri" w:cs="Arial"/>
                <w:b/>
                <w:bCs/>
                <w:color w:val="000000"/>
                <w:sz w:val="20"/>
                <w:szCs w:val="18"/>
                <w:lang w:eastAsia="en-GB"/>
              </w:rPr>
            </w:pPr>
          </w:p>
        </w:tc>
        <w:tc>
          <w:tcPr>
            <w:tcW w:w="776" w:type="pct"/>
            <w:tcBorders>
              <w:top w:val="single" w:sz="4" w:space="0" w:color="auto"/>
              <w:left w:val="nil"/>
              <w:bottom w:val="nil"/>
              <w:right w:val="nil"/>
            </w:tcBorders>
            <w:shd w:val="clear" w:color="auto" w:fill="auto"/>
            <w:noWrap/>
            <w:vAlign w:val="center"/>
          </w:tcPr>
          <w:p w14:paraId="11B4A436" w14:textId="26210041" w:rsidR="00763235" w:rsidRPr="00015CB6" w:rsidRDefault="001A2161"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3,</w:t>
            </w:r>
            <w:r w:rsidR="00210EFE">
              <w:rPr>
                <w:rFonts w:ascii="Calibri" w:eastAsia="Times New Roman" w:hAnsi="Calibri" w:cs="Arial"/>
                <w:b/>
                <w:bCs/>
                <w:color w:val="000000"/>
                <w:sz w:val="20"/>
                <w:szCs w:val="18"/>
                <w:lang w:eastAsia="en-GB"/>
              </w:rPr>
              <w:t>112</w:t>
            </w:r>
          </w:p>
        </w:tc>
        <w:tc>
          <w:tcPr>
            <w:tcW w:w="760" w:type="pct"/>
            <w:tcBorders>
              <w:top w:val="single" w:sz="4" w:space="0" w:color="auto"/>
              <w:left w:val="nil"/>
              <w:bottom w:val="nil"/>
              <w:right w:val="nil"/>
            </w:tcBorders>
            <w:vAlign w:val="center"/>
          </w:tcPr>
          <w:p w14:paraId="0D17923F" w14:textId="304E9732" w:rsidR="00763235" w:rsidRPr="00015CB6" w:rsidRDefault="00763235"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 xml:space="preserve">            2,</w:t>
            </w:r>
            <w:r w:rsidR="001A2161" w:rsidRPr="00015CB6">
              <w:rPr>
                <w:rFonts w:ascii="Calibri" w:eastAsia="Times New Roman" w:hAnsi="Calibri" w:cs="Arial"/>
                <w:b/>
                <w:bCs/>
                <w:color w:val="000000"/>
                <w:sz w:val="20"/>
                <w:szCs w:val="18"/>
                <w:lang w:eastAsia="en-GB"/>
              </w:rPr>
              <w:t>3</w:t>
            </w:r>
            <w:r w:rsidRPr="00015CB6">
              <w:rPr>
                <w:rFonts w:ascii="Calibri" w:eastAsia="Times New Roman" w:hAnsi="Calibri" w:cs="Arial"/>
                <w:b/>
                <w:bCs/>
                <w:color w:val="000000"/>
                <w:sz w:val="20"/>
                <w:szCs w:val="18"/>
                <w:lang w:eastAsia="en-GB"/>
              </w:rPr>
              <w:t>02</w:t>
            </w:r>
          </w:p>
        </w:tc>
        <w:tc>
          <w:tcPr>
            <w:tcW w:w="760" w:type="pct"/>
            <w:tcBorders>
              <w:top w:val="single" w:sz="4" w:space="0" w:color="auto"/>
              <w:left w:val="nil"/>
              <w:bottom w:val="nil"/>
              <w:right w:val="nil"/>
            </w:tcBorders>
            <w:shd w:val="clear" w:color="auto" w:fill="auto"/>
            <w:noWrap/>
            <w:vAlign w:val="center"/>
          </w:tcPr>
          <w:p w14:paraId="5A0C5F9E" w14:textId="76195D41" w:rsidR="00763235" w:rsidRPr="00015CB6" w:rsidRDefault="001A2161"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2,510</w:t>
            </w:r>
          </w:p>
        </w:tc>
      </w:tr>
      <w:tr w:rsidR="00763235" w:rsidRPr="0077388B" w14:paraId="695512BE" w14:textId="77777777" w:rsidTr="00CC72FA">
        <w:trPr>
          <w:trHeight w:val="275"/>
        </w:trPr>
        <w:tc>
          <w:tcPr>
            <w:tcW w:w="2320" w:type="pct"/>
            <w:tcBorders>
              <w:top w:val="nil"/>
              <w:left w:val="nil"/>
              <w:bottom w:val="nil"/>
              <w:right w:val="nil"/>
            </w:tcBorders>
            <w:shd w:val="clear" w:color="auto" w:fill="auto"/>
            <w:noWrap/>
            <w:vAlign w:val="bottom"/>
            <w:hideMark/>
          </w:tcPr>
          <w:p w14:paraId="1A94D3F4" w14:textId="77777777" w:rsidR="00763235" w:rsidRPr="0077388B" w:rsidRDefault="00763235" w:rsidP="00763235">
            <w:pPr>
              <w:jc w:val="right"/>
              <w:rPr>
                <w:rFonts w:ascii="Calibri" w:eastAsia="Times New Roman" w:hAnsi="Calibri" w:cs="Arial"/>
                <w:color w:val="000000"/>
                <w:sz w:val="20"/>
                <w:szCs w:val="18"/>
                <w:lang w:eastAsia="en-GB"/>
              </w:rPr>
            </w:pPr>
          </w:p>
        </w:tc>
        <w:tc>
          <w:tcPr>
            <w:tcW w:w="384" w:type="pct"/>
            <w:tcBorders>
              <w:top w:val="nil"/>
              <w:left w:val="nil"/>
              <w:bottom w:val="nil"/>
              <w:right w:val="nil"/>
            </w:tcBorders>
            <w:shd w:val="clear" w:color="auto" w:fill="auto"/>
            <w:noWrap/>
            <w:vAlign w:val="bottom"/>
            <w:hideMark/>
          </w:tcPr>
          <w:p w14:paraId="5A94087D" w14:textId="77777777" w:rsidR="00763235" w:rsidRPr="0077388B" w:rsidRDefault="00763235" w:rsidP="00763235">
            <w:pPr>
              <w:rPr>
                <w:rFonts w:ascii="Calibri" w:eastAsia="Times New Roman" w:hAnsi="Calibri"/>
                <w:sz w:val="20"/>
                <w:szCs w:val="20"/>
                <w:lang w:eastAsia="en-GB"/>
              </w:rPr>
            </w:pPr>
          </w:p>
        </w:tc>
        <w:tc>
          <w:tcPr>
            <w:tcW w:w="776" w:type="pct"/>
            <w:tcBorders>
              <w:top w:val="nil"/>
              <w:left w:val="nil"/>
              <w:bottom w:val="nil"/>
              <w:right w:val="nil"/>
            </w:tcBorders>
            <w:shd w:val="clear" w:color="auto" w:fill="auto"/>
            <w:noWrap/>
            <w:vAlign w:val="center"/>
          </w:tcPr>
          <w:p w14:paraId="7C167CDF" w14:textId="77777777" w:rsidR="00763235" w:rsidRPr="00015CB6" w:rsidRDefault="00763235" w:rsidP="00CC72FA">
            <w:pPr>
              <w:jc w:val="right"/>
              <w:rPr>
                <w:rFonts w:ascii="Calibri" w:eastAsia="Times New Roman" w:hAnsi="Calibri"/>
                <w:b/>
                <w:bCs/>
                <w:sz w:val="20"/>
                <w:szCs w:val="20"/>
                <w:lang w:eastAsia="en-GB"/>
              </w:rPr>
            </w:pPr>
          </w:p>
        </w:tc>
        <w:tc>
          <w:tcPr>
            <w:tcW w:w="760" w:type="pct"/>
            <w:tcBorders>
              <w:top w:val="nil"/>
              <w:left w:val="nil"/>
              <w:bottom w:val="nil"/>
              <w:right w:val="nil"/>
            </w:tcBorders>
            <w:vAlign w:val="center"/>
          </w:tcPr>
          <w:p w14:paraId="5B2D9066" w14:textId="77777777" w:rsidR="00763235" w:rsidRPr="00015CB6" w:rsidRDefault="00763235" w:rsidP="00CC72FA">
            <w:pPr>
              <w:jc w:val="right"/>
              <w:rPr>
                <w:rFonts w:ascii="Calibri" w:eastAsia="Times New Roman" w:hAnsi="Calibri"/>
                <w:b/>
                <w:bCs/>
                <w:sz w:val="20"/>
                <w:szCs w:val="20"/>
                <w:lang w:eastAsia="en-GB"/>
              </w:rPr>
            </w:pPr>
          </w:p>
        </w:tc>
        <w:tc>
          <w:tcPr>
            <w:tcW w:w="760" w:type="pct"/>
            <w:tcBorders>
              <w:top w:val="nil"/>
              <w:left w:val="nil"/>
              <w:bottom w:val="nil"/>
              <w:right w:val="nil"/>
            </w:tcBorders>
            <w:shd w:val="clear" w:color="auto" w:fill="auto"/>
            <w:noWrap/>
            <w:vAlign w:val="center"/>
          </w:tcPr>
          <w:p w14:paraId="05C17293" w14:textId="5C5244FD" w:rsidR="00763235" w:rsidRPr="00015CB6" w:rsidRDefault="00763235" w:rsidP="00CC72FA">
            <w:pPr>
              <w:jc w:val="right"/>
              <w:rPr>
                <w:rFonts w:ascii="Calibri" w:eastAsia="Times New Roman" w:hAnsi="Calibri"/>
                <w:b/>
                <w:bCs/>
                <w:sz w:val="20"/>
                <w:szCs w:val="20"/>
                <w:lang w:eastAsia="en-GB"/>
              </w:rPr>
            </w:pPr>
          </w:p>
        </w:tc>
      </w:tr>
      <w:tr w:rsidR="00763235" w:rsidRPr="0077388B" w14:paraId="17CD7FD7" w14:textId="77777777" w:rsidTr="00CC72FA">
        <w:trPr>
          <w:trHeight w:val="275"/>
        </w:trPr>
        <w:tc>
          <w:tcPr>
            <w:tcW w:w="2320" w:type="pct"/>
            <w:tcBorders>
              <w:top w:val="nil"/>
              <w:left w:val="nil"/>
              <w:bottom w:val="nil"/>
              <w:right w:val="nil"/>
            </w:tcBorders>
            <w:shd w:val="clear" w:color="auto" w:fill="auto"/>
            <w:noWrap/>
            <w:vAlign w:val="bottom"/>
            <w:hideMark/>
          </w:tcPr>
          <w:p w14:paraId="7FBCFCB4" w14:textId="77777777" w:rsidR="00763235" w:rsidRPr="0077388B" w:rsidRDefault="00763235" w:rsidP="00763235">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Current assets</w:t>
            </w:r>
          </w:p>
        </w:tc>
        <w:tc>
          <w:tcPr>
            <w:tcW w:w="384" w:type="pct"/>
            <w:tcBorders>
              <w:top w:val="nil"/>
              <w:left w:val="nil"/>
              <w:bottom w:val="nil"/>
              <w:right w:val="nil"/>
            </w:tcBorders>
            <w:shd w:val="clear" w:color="auto" w:fill="auto"/>
            <w:noWrap/>
            <w:vAlign w:val="bottom"/>
            <w:hideMark/>
          </w:tcPr>
          <w:p w14:paraId="103784FF" w14:textId="77777777" w:rsidR="00763235" w:rsidRPr="0077388B" w:rsidRDefault="00763235" w:rsidP="00763235">
            <w:pPr>
              <w:rPr>
                <w:rFonts w:ascii="Calibri" w:eastAsia="Times New Roman" w:hAnsi="Calibri" w:cs="Arial"/>
                <w:b/>
                <w:bCs/>
                <w:color w:val="000000"/>
                <w:sz w:val="20"/>
                <w:szCs w:val="18"/>
                <w:lang w:eastAsia="en-GB"/>
              </w:rPr>
            </w:pPr>
          </w:p>
        </w:tc>
        <w:tc>
          <w:tcPr>
            <w:tcW w:w="776" w:type="pct"/>
            <w:tcBorders>
              <w:top w:val="nil"/>
              <w:left w:val="nil"/>
              <w:bottom w:val="nil"/>
              <w:right w:val="nil"/>
            </w:tcBorders>
            <w:shd w:val="clear" w:color="auto" w:fill="auto"/>
            <w:noWrap/>
            <w:vAlign w:val="center"/>
          </w:tcPr>
          <w:p w14:paraId="3CF5EB00" w14:textId="77777777" w:rsidR="00763235" w:rsidRPr="00015CB6" w:rsidRDefault="00763235" w:rsidP="00CC72FA">
            <w:pPr>
              <w:jc w:val="right"/>
              <w:rPr>
                <w:rFonts w:ascii="Calibri" w:eastAsia="Times New Roman" w:hAnsi="Calibri"/>
                <w:b/>
                <w:bCs/>
                <w:sz w:val="20"/>
                <w:szCs w:val="20"/>
                <w:lang w:eastAsia="en-GB"/>
              </w:rPr>
            </w:pPr>
          </w:p>
        </w:tc>
        <w:tc>
          <w:tcPr>
            <w:tcW w:w="760" w:type="pct"/>
            <w:tcBorders>
              <w:top w:val="nil"/>
              <w:left w:val="nil"/>
              <w:bottom w:val="nil"/>
              <w:right w:val="nil"/>
            </w:tcBorders>
            <w:vAlign w:val="center"/>
          </w:tcPr>
          <w:p w14:paraId="4EAE68A7" w14:textId="77777777" w:rsidR="00763235" w:rsidRPr="00015CB6" w:rsidRDefault="00763235" w:rsidP="00CC72FA">
            <w:pPr>
              <w:jc w:val="right"/>
              <w:rPr>
                <w:rFonts w:ascii="Calibri" w:eastAsia="Times New Roman" w:hAnsi="Calibri"/>
                <w:b/>
                <w:bCs/>
                <w:sz w:val="20"/>
                <w:szCs w:val="20"/>
                <w:lang w:eastAsia="en-GB"/>
              </w:rPr>
            </w:pPr>
          </w:p>
        </w:tc>
        <w:tc>
          <w:tcPr>
            <w:tcW w:w="760" w:type="pct"/>
            <w:tcBorders>
              <w:top w:val="nil"/>
              <w:left w:val="nil"/>
              <w:bottom w:val="nil"/>
              <w:right w:val="nil"/>
            </w:tcBorders>
            <w:shd w:val="clear" w:color="auto" w:fill="auto"/>
            <w:noWrap/>
            <w:vAlign w:val="center"/>
          </w:tcPr>
          <w:p w14:paraId="414539F7" w14:textId="7E0987DF" w:rsidR="00763235" w:rsidRPr="00015CB6" w:rsidRDefault="00763235" w:rsidP="00CC72FA">
            <w:pPr>
              <w:jc w:val="right"/>
              <w:rPr>
                <w:rFonts w:ascii="Calibri" w:eastAsia="Times New Roman" w:hAnsi="Calibri"/>
                <w:b/>
                <w:bCs/>
                <w:sz w:val="20"/>
                <w:szCs w:val="20"/>
                <w:lang w:eastAsia="en-GB"/>
              </w:rPr>
            </w:pPr>
          </w:p>
        </w:tc>
      </w:tr>
      <w:tr w:rsidR="00763235" w:rsidRPr="0077388B" w14:paraId="5BAE878F" w14:textId="77777777" w:rsidTr="00CC72FA">
        <w:trPr>
          <w:trHeight w:val="275"/>
        </w:trPr>
        <w:tc>
          <w:tcPr>
            <w:tcW w:w="2320" w:type="pct"/>
            <w:tcBorders>
              <w:top w:val="nil"/>
              <w:left w:val="nil"/>
              <w:bottom w:val="nil"/>
              <w:right w:val="nil"/>
            </w:tcBorders>
            <w:shd w:val="clear" w:color="auto" w:fill="auto"/>
            <w:noWrap/>
            <w:vAlign w:val="bottom"/>
          </w:tcPr>
          <w:p w14:paraId="41AE1D0B" w14:textId="77777777" w:rsidR="00763235" w:rsidRPr="0077388B" w:rsidRDefault="00763235" w:rsidP="00763235">
            <w:pPr>
              <w:rPr>
                <w:rFonts w:ascii="Calibri" w:eastAsia="Times New Roman" w:hAnsi="Calibri" w:cs="Arial"/>
                <w:color w:val="000000"/>
                <w:sz w:val="20"/>
                <w:szCs w:val="18"/>
                <w:lang w:eastAsia="en-GB"/>
              </w:rPr>
            </w:pPr>
          </w:p>
        </w:tc>
        <w:tc>
          <w:tcPr>
            <w:tcW w:w="384" w:type="pct"/>
            <w:tcBorders>
              <w:top w:val="nil"/>
              <w:left w:val="nil"/>
              <w:bottom w:val="nil"/>
              <w:right w:val="nil"/>
            </w:tcBorders>
            <w:shd w:val="clear" w:color="auto" w:fill="auto"/>
            <w:noWrap/>
            <w:vAlign w:val="bottom"/>
          </w:tcPr>
          <w:p w14:paraId="4F9D02D7" w14:textId="77777777" w:rsidR="00763235" w:rsidRPr="0077388B" w:rsidRDefault="00763235" w:rsidP="00763235">
            <w:pPr>
              <w:rPr>
                <w:rFonts w:ascii="Calibri" w:eastAsia="Times New Roman" w:hAnsi="Calibri" w:cs="Arial"/>
                <w:color w:val="000000"/>
                <w:sz w:val="20"/>
                <w:szCs w:val="18"/>
                <w:lang w:eastAsia="en-GB"/>
              </w:rPr>
            </w:pPr>
          </w:p>
        </w:tc>
        <w:tc>
          <w:tcPr>
            <w:tcW w:w="776" w:type="pct"/>
            <w:tcBorders>
              <w:top w:val="nil"/>
              <w:left w:val="nil"/>
              <w:bottom w:val="nil"/>
              <w:right w:val="nil"/>
            </w:tcBorders>
            <w:shd w:val="clear" w:color="auto" w:fill="auto"/>
            <w:noWrap/>
            <w:vAlign w:val="center"/>
          </w:tcPr>
          <w:p w14:paraId="5582D5C2" w14:textId="77777777" w:rsidR="00763235" w:rsidRPr="00015CB6" w:rsidRDefault="00763235" w:rsidP="00CC72FA">
            <w:pPr>
              <w:jc w:val="right"/>
              <w:rPr>
                <w:rFonts w:ascii="Calibri" w:eastAsia="Times New Roman" w:hAnsi="Calibri" w:cs="Arial"/>
                <w:b/>
                <w:bCs/>
                <w:color w:val="000000"/>
                <w:sz w:val="20"/>
                <w:szCs w:val="18"/>
                <w:lang w:eastAsia="en-GB"/>
              </w:rPr>
            </w:pPr>
          </w:p>
        </w:tc>
        <w:tc>
          <w:tcPr>
            <w:tcW w:w="760" w:type="pct"/>
            <w:tcBorders>
              <w:top w:val="nil"/>
              <w:left w:val="nil"/>
              <w:bottom w:val="nil"/>
              <w:right w:val="nil"/>
            </w:tcBorders>
            <w:vAlign w:val="center"/>
          </w:tcPr>
          <w:p w14:paraId="385BDA97" w14:textId="77777777" w:rsidR="00763235" w:rsidRPr="00015CB6" w:rsidRDefault="00763235" w:rsidP="00CC72FA">
            <w:pPr>
              <w:jc w:val="right"/>
              <w:rPr>
                <w:rFonts w:ascii="Calibri" w:eastAsia="Times New Roman" w:hAnsi="Calibri" w:cs="Arial"/>
                <w:b/>
                <w:bCs/>
                <w:color w:val="000000"/>
                <w:sz w:val="20"/>
                <w:szCs w:val="18"/>
                <w:lang w:eastAsia="en-GB"/>
              </w:rPr>
            </w:pPr>
          </w:p>
        </w:tc>
        <w:tc>
          <w:tcPr>
            <w:tcW w:w="760" w:type="pct"/>
            <w:tcBorders>
              <w:top w:val="nil"/>
              <w:left w:val="nil"/>
              <w:bottom w:val="nil"/>
              <w:right w:val="nil"/>
            </w:tcBorders>
            <w:shd w:val="clear" w:color="auto" w:fill="auto"/>
            <w:noWrap/>
            <w:vAlign w:val="center"/>
          </w:tcPr>
          <w:p w14:paraId="174F63A6" w14:textId="13F1A537" w:rsidR="00763235" w:rsidRPr="00015CB6" w:rsidRDefault="00763235" w:rsidP="00CC72FA">
            <w:pPr>
              <w:jc w:val="right"/>
              <w:rPr>
                <w:rFonts w:ascii="Calibri" w:eastAsia="Times New Roman" w:hAnsi="Calibri" w:cs="Arial"/>
                <w:b/>
                <w:bCs/>
                <w:color w:val="000000"/>
                <w:sz w:val="20"/>
                <w:szCs w:val="18"/>
                <w:lang w:eastAsia="en-GB"/>
              </w:rPr>
            </w:pPr>
          </w:p>
        </w:tc>
      </w:tr>
      <w:tr w:rsidR="00763235" w:rsidRPr="0077388B" w14:paraId="5EA0132F" w14:textId="77777777" w:rsidTr="00CC72FA">
        <w:trPr>
          <w:trHeight w:val="275"/>
        </w:trPr>
        <w:tc>
          <w:tcPr>
            <w:tcW w:w="2320" w:type="pct"/>
            <w:tcBorders>
              <w:top w:val="nil"/>
              <w:left w:val="nil"/>
              <w:bottom w:val="nil"/>
              <w:right w:val="nil"/>
            </w:tcBorders>
            <w:shd w:val="clear" w:color="auto" w:fill="auto"/>
            <w:noWrap/>
            <w:vAlign w:val="bottom"/>
            <w:hideMark/>
          </w:tcPr>
          <w:p w14:paraId="519351E3" w14:textId="77777777" w:rsidR="00763235" w:rsidRPr="0077388B" w:rsidRDefault="00763235" w:rsidP="00763235">
            <w:pPr>
              <w:rPr>
                <w:rFonts w:ascii="Calibri" w:eastAsia="Times New Roman" w:hAnsi="Calibri" w:cs="Arial"/>
                <w:color w:val="000000"/>
                <w:sz w:val="20"/>
                <w:szCs w:val="18"/>
                <w:lang w:eastAsia="en-GB"/>
              </w:rPr>
            </w:pPr>
            <w:r w:rsidRPr="0077388B">
              <w:rPr>
                <w:rFonts w:ascii="Calibri" w:eastAsia="Times New Roman" w:hAnsi="Calibri" w:cs="Arial"/>
                <w:color w:val="000000"/>
                <w:sz w:val="20"/>
                <w:szCs w:val="18"/>
                <w:lang w:eastAsia="en-GB"/>
              </w:rPr>
              <w:t xml:space="preserve">Trade and other receivables </w:t>
            </w:r>
          </w:p>
        </w:tc>
        <w:tc>
          <w:tcPr>
            <w:tcW w:w="384" w:type="pct"/>
            <w:tcBorders>
              <w:top w:val="nil"/>
              <w:left w:val="nil"/>
              <w:bottom w:val="nil"/>
              <w:right w:val="nil"/>
            </w:tcBorders>
            <w:shd w:val="clear" w:color="auto" w:fill="auto"/>
            <w:noWrap/>
            <w:vAlign w:val="bottom"/>
            <w:hideMark/>
          </w:tcPr>
          <w:p w14:paraId="1BB9629C" w14:textId="77777777" w:rsidR="00763235" w:rsidRPr="0077388B" w:rsidRDefault="00763235" w:rsidP="00763235">
            <w:pPr>
              <w:jc w:val="center"/>
              <w:rPr>
                <w:rFonts w:ascii="Calibri" w:eastAsia="Times New Roman" w:hAnsi="Calibri" w:cs="Arial"/>
                <w:b/>
                <w:bCs/>
                <w:color w:val="000000"/>
                <w:sz w:val="20"/>
                <w:szCs w:val="18"/>
                <w:lang w:eastAsia="en-GB"/>
              </w:rPr>
            </w:pPr>
          </w:p>
        </w:tc>
        <w:tc>
          <w:tcPr>
            <w:tcW w:w="776" w:type="pct"/>
            <w:tcBorders>
              <w:top w:val="nil"/>
              <w:left w:val="nil"/>
              <w:bottom w:val="nil"/>
              <w:right w:val="nil"/>
            </w:tcBorders>
            <w:shd w:val="clear" w:color="auto" w:fill="auto"/>
            <w:noWrap/>
            <w:vAlign w:val="center"/>
          </w:tcPr>
          <w:p w14:paraId="3208B8CA" w14:textId="3802DAE4" w:rsidR="00763235" w:rsidRPr="00015CB6" w:rsidRDefault="00FE77F7" w:rsidP="00CC72FA">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512</w:t>
            </w:r>
          </w:p>
        </w:tc>
        <w:tc>
          <w:tcPr>
            <w:tcW w:w="760" w:type="pct"/>
            <w:tcBorders>
              <w:top w:val="nil"/>
              <w:left w:val="nil"/>
              <w:bottom w:val="nil"/>
              <w:right w:val="nil"/>
            </w:tcBorders>
            <w:vAlign w:val="center"/>
          </w:tcPr>
          <w:p w14:paraId="6F934D37" w14:textId="546C79C3" w:rsidR="00763235" w:rsidRPr="00015CB6" w:rsidRDefault="001A2161"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223</w:t>
            </w:r>
          </w:p>
        </w:tc>
        <w:tc>
          <w:tcPr>
            <w:tcW w:w="760" w:type="pct"/>
            <w:tcBorders>
              <w:top w:val="nil"/>
              <w:left w:val="nil"/>
              <w:bottom w:val="nil"/>
              <w:right w:val="nil"/>
            </w:tcBorders>
            <w:shd w:val="clear" w:color="auto" w:fill="auto"/>
            <w:noWrap/>
            <w:vAlign w:val="center"/>
          </w:tcPr>
          <w:p w14:paraId="13A5E71E" w14:textId="65DE7688" w:rsidR="00763235" w:rsidRPr="00015CB6" w:rsidRDefault="0059230A"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13</w:t>
            </w:r>
            <w:r>
              <w:rPr>
                <w:rFonts w:ascii="Calibri" w:eastAsia="Times New Roman" w:hAnsi="Calibri" w:cs="Arial"/>
                <w:b/>
                <w:bCs/>
                <w:color w:val="000000"/>
                <w:sz w:val="20"/>
                <w:szCs w:val="18"/>
                <w:lang w:eastAsia="en-GB"/>
              </w:rPr>
              <w:t>3</w:t>
            </w:r>
          </w:p>
        </w:tc>
      </w:tr>
      <w:tr w:rsidR="00763235" w:rsidRPr="0077388B" w14:paraId="6E161B9A" w14:textId="77777777" w:rsidTr="00CC72FA">
        <w:trPr>
          <w:trHeight w:val="275"/>
        </w:trPr>
        <w:tc>
          <w:tcPr>
            <w:tcW w:w="2320" w:type="pct"/>
            <w:tcBorders>
              <w:top w:val="nil"/>
              <w:left w:val="nil"/>
              <w:bottom w:val="nil"/>
              <w:right w:val="nil"/>
            </w:tcBorders>
            <w:shd w:val="clear" w:color="auto" w:fill="auto"/>
            <w:noWrap/>
            <w:vAlign w:val="bottom"/>
          </w:tcPr>
          <w:p w14:paraId="3E0CCF23" w14:textId="76C30842" w:rsidR="00763235" w:rsidRPr="0077388B" w:rsidRDefault="001A2161" w:rsidP="00763235">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 xml:space="preserve">Financial assets </w:t>
            </w:r>
          </w:p>
        </w:tc>
        <w:tc>
          <w:tcPr>
            <w:tcW w:w="384" w:type="pct"/>
            <w:tcBorders>
              <w:top w:val="nil"/>
              <w:left w:val="nil"/>
              <w:bottom w:val="nil"/>
              <w:right w:val="nil"/>
            </w:tcBorders>
            <w:shd w:val="clear" w:color="auto" w:fill="auto"/>
            <w:noWrap/>
            <w:vAlign w:val="bottom"/>
          </w:tcPr>
          <w:p w14:paraId="0C733C1F" w14:textId="77777777" w:rsidR="00763235" w:rsidRPr="0077388B" w:rsidRDefault="00763235" w:rsidP="00763235">
            <w:pPr>
              <w:jc w:val="center"/>
              <w:rPr>
                <w:rFonts w:ascii="Calibri" w:eastAsia="Times New Roman" w:hAnsi="Calibri" w:cs="Arial"/>
                <w:b/>
                <w:bCs/>
                <w:color w:val="000000"/>
                <w:sz w:val="20"/>
                <w:szCs w:val="18"/>
                <w:lang w:eastAsia="en-GB"/>
              </w:rPr>
            </w:pPr>
          </w:p>
        </w:tc>
        <w:tc>
          <w:tcPr>
            <w:tcW w:w="776" w:type="pct"/>
            <w:tcBorders>
              <w:top w:val="nil"/>
              <w:left w:val="nil"/>
              <w:bottom w:val="nil"/>
              <w:right w:val="nil"/>
            </w:tcBorders>
            <w:shd w:val="clear" w:color="auto" w:fill="auto"/>
            <w:noWrap/>
            <w:vAlign w:val="center"/>
          </w:tcPr>
          <w:p w14:paraId="3BD632E6" w14:textId="6E128D90" w:rsidR="00763235" w:rsidRPr="00015CB6" w:rsidRDefault="00210EFE" w:rsidP="00CC72FA">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183</w:t>
            </w:r>
          </w:p>
        </w:tc>
        <w:tc>
          <w:tcPr>
            <w:tcW w:w="760" w:type="pct"/>
            <w:tcBorders>
              <w:top w:val="nil"/>
              <w:left w:val="nil"/>
              <w:bottom w:val="nil"/>
              <w:right w:val="nil"/>
            </w:tcBorders>
            <w:vAlign w:val="center"/>
          </w:tcPr>
          <w:p w14:paraId="649CED8C" w14:textId="60880A86" w:rsidR="00763235" w:rsidRPr="00015CB6" w:rsidRDefault="001A2161"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w:t>
            </w:r>
          </w:p>
        </w:tc>
        <w:tc>
          <w:tcPr>
            <w:tcW w:w="760" w:type="pct"/>
            <w:tcBorders>
              <w:top w:val="nil"/>
              <w:left w:val="nil"/>
              <w:bottom w:val="nil"/>
              <w:right w:val="nil"/>
            </w:tcBorders>
            <w:shd w:val="clear" w:color="auto" w:fill="auto"/>
            <w:noWrap/>
            <w:vAlign w:val="center"/>
          </w:tcPr>
          <w:p w14:paraId="236B7FE4" w14:textId="456650AB" w:rsidR="00763235" w:rsidRPr="00015CB6" w:rsidRDefault="001A2161"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234</w:t>
            </w:r>
          </w:p>
        </w:tc>
      </w:tr>
      <w:tr w:rsidR="00763235" w:rsidRPr="0077388B" w14:paraId="69367EA7" w14:textId="77777777" w:rsidTr="00CC72FA">
        <w:trPr>
          <w:trHeight w:val="275"/>
        </w:trPr>
        <w:tc>
          <w:tcPr>
            <w:tcW w:w="2320" w:type="pct"/>
            <w:tcBorders>
              <w:top w:val="nil"/>
              <w:left w:val="nil"/>
              <w:bottom w:val="nil"/>
              <w:right w:val="nil"/>
            </w:tcBorders>
            <w:shd w:val="clear" w:color="auto" w:fill="auto"/>
            <w:noWrap/>
            <w:vAlign w:val="bottom"/>
            <w:hideMark/>
          </w:tcPr>
          <w:p w14:paraId="612DD19D" w14:textId="77777777" w:rsidR="00763235" w:rsidRPr="0077388B" w:rsidRDefault="00763235" w:rsidP="00763235">
            <w:pPr>
              <w:rPr>
                <w:rFonts w:ascii="Calibri" w:eastAsia="Times New Roman" w:hAnsi="Calibri" w:cs="Arial"/>
                <w:color w:val="000000"/>
                <w:sz w:val="20"/>
                <w:szCs w:val="18"/>
                <w:lang w:eastAsia="en-GB"/>
              </w:rPr>
            </w:pPr>
            <w:r w:rsidRPr="0077388B">
              <w:rPr>
                <w:rFonts w:ascii="Calibri" w:eastAsia="Times New Roman" w:hAnsi="Calibri" w:cs="Arial"/>
                <w:color w:val="000000"/>
                <w:sz w:val="20"/>
                <w:szCs w:val="18"/>
                <w:lang w:eastAsia="en-GB"/>
              </w:rPr>
              <w:t>Cash &amp; cash equivalents</w:t>
            </w:r>
          </w:p>
        </w:tc>
        <w:tc>
          <w:tcPr>
            <w:tcW w:w="384" w:type="pct"/>
            <w:tcBorders>
              <w:top w:val="nil"/>
              <w:left w:val="nil"/>
              <w:bottom w:val="nil"/>
              <w:right w:val="nil"/>
            </w:tcBorders>
            <w:shd w:val="clear" w:color="auto" w:fill="auto"/>
            <w:noWrap/>
            <w:vAlign w:val="bottom"/>
            <w:hideMark/>
          </w:tcPr>
          <w:p w14:paraId="35CF58D1" w14:textId="77777777" w:rsidR="00763235" w:rsidRPr="0077388B" w:rsidRDefault="00763235" w:rsidP="00763235">
            <w:pPr>
              <w:rPr>
                <w:rFonts w:ascii="Calibri" w:eastAsia="Times New Roman" w:hAnsi="Calibri" w:cs="Arial"/>
                <w:color w:val="000000"/>
                <w:sz w:val="20"/>
                <w:szCs w:val="18"/>
                <w:lang w:eastAsia="en-GB"/>
              </w:rPr>
            </w:pPr>
          </w:p>
        </w:tc>
        <w:tc>
          <w:tcPr>
            <w:tcW w:w="776" w:type="pct"/>
            <w:tcBorders>
              <w:top w:val="nil"/>
              <w:left w:val="nil"/>
              <w:bottom w:val="nil"/>
              <w:right w:val="nil"/>
            </w:tcBorders>
            <w:shd w:val="clear" w:color="auto" w:fill="auto"/>
            <w:noWrap/>
            <w:vAlign w:val="center"/>
          </w:tcPr>
          <w:p w14:paraId="6E8F092A" w14:textId="41DB1527" w:rsidR="00763235" w:rsidRPr="00015CB6" w:rsidRDefault="001A2161"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2,194</w:t>
            </w:r>
          </w:p>
        </w:tc>
        <w:tc>
          <w:tcPr>
            <w:tcW w:w="760" w:type="pct"/>
            <w:tcBorders>
              <w:top w:val="nil"/>
              <w:left w:val="nil"/>
              <w:bottom w:val="nil"/>
              <w:right w:val="nil"/>
            </w:tcBorders>
            <w:vAlign w:val="center"/>
          </w:tcPr>
          <w:p w14:paraId="2A57DACF" w14:textId="09D68DFB" w:rsidR="00763235" w:rsidRPr="00015CB6" w:rsidRDefault="00763235"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 xml:space="preserve">            </w:t>
            </w:r>
            <w:r w:rsidR="001A2161" w:rsidRPr="00015CB6">
              <w:rPr>
                <w:rFonts w:ascii="Calibri" w:eastAsia="Times New Roman" w:hAnsi="Calibri" w:cs="Arial"/>
                <w:b/>
                <w:bCs/>
                <w:color w:val="000000"/>
                <w:sz w:val="20"/>
                <w:szCs w:val="18"/>
                <w:lang w:eastAsia="en-GB"/>
              </w:rPr>
              <w:t>267</w:t>
            </w:r>
          </w:p>
        </w:tc>
        <w:tc>
          <w:tcPr>
            <w:tcW w:w="760" w:type="pct"/>
            <w:tcBorders>
              <w:top w:val="nil"/>
              <w:left w:val="nil"/>
              <w:bottom w:val="nil"/>
              <w:right w:val="nil"/>
            </w:tcBorders>
            <w:shd w:val="clear" w:color="auto" w:fill="auto"/>
            <w:noWrap/>
            <w:vAlign w:val="center"/>
          </w:tcPr>
          <w:p w14:paraId="005F75CA" w14:textId="75A18D5F" w:rsidR="00763235" w:rsidRPr="00015CB6" w:rsidRDefault="001A2161"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2,192</w:t>
            </w:r>
          </w:p>
        </w:tc>
      </w:tr>
      <w:tr w:rsidR="00763235" w:rsidRPr="0077388B" w14:paraId="089D36A0" w14:textId="77777777" w:rsidTr="00CC72FA">
        <w:trPr>
          <w:trHeight w:val="275"/>
        </w:trPr>
        <w:tc>
          <w:tcPr>
            <w:tcW w:w="2320" w:type="pct"/>
            <w:tcBorders>
              <w:top w:val="nil"/>
              <w:left w:val="nil"/>
              <w:bottom w:val="nil"/>
              <w:right w:val="nil"/>
            </w:tcBorders>
            <w:shd w:val="clear" w:color="auto" w:fill="auto"/>
            <w:noWrap/>
            <w:vAlign w:val="bottom"/>
            <w:hideMark/>
          </w:tcPr>
          <w:p w14:paraId="6AA5B651" w14:textId="77777777" w:rsidR="00763235" w:rsidRPr="0077388B" w:rsidRDefault="00763235" w:rsidP="00763235">
            <w:pPr>
              <w:jc w:val="right"/>
              <w:rPr>
                <w:rFonts w:ascii="Calibri" w:eastAsia="Times New Roman" w:hAnsi="Calibri" w:cs="Arial"/>
                <w:color w:val="000000"/>
                <w:sz w:val="20"/>
                <w:szCs w:val="18"/>
                <w:lang w:eastAsia="en-GB"/>
              </w:rPr>
            </w:pPr>
          </w:p>
        </w:tc>
        <w:tc>
          <w:tcPr>
            <w:tcW w:w="384" w:type="pct"/>
            <w:tcBorders>
              <w:top w:val="nil"/>
              <w:left w:val="nil"/>
              <w:bottom w:val="nil"/>
              <w:right w:val="nil"/>
            </w:tcBorders>
            <w:shd w:val="clear" w:color="auto" w:fill="auto"/>
            <w:noWrap/>
            <w:vAlign w:val="bottom"/>
            <w:hideMark/>
          </w:tcPr>
          <w:p w14:paraId="72502DFE" w14:textId="77777777" w:rsidR="00763235" w:rsidRPr="0077388B" w:rsidRDefault="00763235" w:rsidP="00763235">
            <w:pPr>
              <w:rPr>
                <w:rFonts w:ascii="Calibri" w:eastAsia="Times New Roman" w:hAnsi="Calibri"/>
                <w:sz w:val="20"/>
                <w:szCs w:val="20"/>
                <w:lang w:eastAsia="en-GB"/>
              </w:rPr>
            </w:pPr>
          </w:p>
        </w:tc>
        <w:tc>
          <w:tcPr>
            <w:tcW w:w="776" w:type="pct"/>
            <w:tcBorders>
              <w:top w:val="nil"/>
              <w:left w:val="nil"/>
              <w:bottom w:val="nil"/>
              <w:right w:val="nil"/>
            </w:tcBorders>
            <w:shd w:val="clear" w:color="auto" w:fill="auto"/>
            <w:noWrap/>
            <w:vAlign w:val="center"/>
          </w:tcPr>
          <w:p w14:paraId="0901710C" w14:textId="77777777" w:rsidR="00763235" w:rsidRPr="00015CB6" w:rsidRDefault="00763235" w:rsidP="00CC72FA">
            <w:pPr>
              <w:jc w:val="right"/>
              <w:rPr>
                <w:rFonts w:ascii="Calibri" w:eastAsia="Times New Roman" w:hAnsi="Calibri"/>
                <w:b/>
                <w:bCs/>
                <w:sz w:val="20"/>
                <w:szCs w:val="20"/>
                <w:lang w:eastAsia="en-GB"/>
              </w:rPr>
            </w:pPr>
          </w:p>
        </w:tc>
        <w:tc>
          <w:tcPr>
            <w:tcW w:w="760" w:type="pct"/>
            <w:tcBorders>
              <w:top w:val="nil"/>
              <w:left w:val="nil"/>
              <w:bottom w:val="nil"/>
              <w:right w:val="nil"/>
            </w:tcBorders>
            <w:vAlign w:val="center"/>
          </w:tcPr>
          <w:p w14:paraId="3D35879E" w14:textId="77777777" w:rsidR="00763235" w:rsidRPr="00015CB6" w:rsidRDefault="00763235" w:rsidP="00CC72FA">
            <w:pPr>
              <w:jc w:val="right"/>
              <w:rPr>
                <w:rFonts w:ascii="Calibri" w:eastAsia="Times New Roman" w:hAnsi="Calibri"/>
                <w:b/>
                <w:bCs/>
                <w:sz w:val="20"/>
                <w:szCs w:val="20"/>
                <w:lang w:eastAsia="en-GB"/>
              </w:rPr>
            </w:pPr>
          </w:p>
        </w:tc>
        <w:tc>
          <w:tcPr>
            <w:tcW w:w="760" w:type="pct"/>
            <w:tcBorders>
              <w:top w:val="nil"/>
              <w:left w:val="nil"/>
              <w:bottom w:val="nil"/>
              <w:right w:val="nil"/>
            </w:tcBorders>
            <w:shd w:val="clear" w:color="auto" w:fill="auto"/>
            <w:noWrap/>
            <w:vAlign w:val="center"/>
          </w:tcPr>
          <w:p w14:paraId="175A91EF" w14:textId="07720BA6" w:rsidR="00763235" w:rsidRPr="00015CB6" w:rsidRDefault="00763235" w:rsidP="00CC72FA">
            <w:pPr>
              <w:jc w:val="right"/>
              <w:rPr>
                <w:rFonts w:ascii="Calibri" w:eastAsia="Times New Roman" w:hAnsi="Calibri"/>
                <w:b/>
                <w:bCs/>
                <w:sz w:val="20"/>
                <w:szCs w:val="20"/>
                <w:lang w:eastAsia="en-GB"/>
              </w:rPr>
            </w:pPr>
          </w:p>
        </w:tc>
      </w:tr>
      <w:tr w:rsidR="00763235" w:rsidRPr="0077388B" w14:paraId="6AC9B3CB" w14:textId="77777777" w:rsidTr="00CC72FA">
        <w:trPr>
          <w:trHeight w:val="275"/>
        </w:trPr>
        <w:tc>
          <w:tcPr>
            <w:tcW w:w="2320" w:type="pct"/>
            <w:tcBorders>
              <w:top w:val="nil"/>
              <w:left w:val="nil"/>
              <w:bottom w:val="nil"/>
              <w:right w:val="nil"/>
            </w:tcBorders>
            <w:shd w:val="clear" w:color="auto" w:fill="auto"/>
            <w:noWrap/>
            <w:vAlign w:val="bottom"/>
            <w:hideMark/>
          </w:tcPr>
          <w:p w14:paraId="12453F77" w14:textId="77777777" w:rsidR="00763235" w:rsidRPr="0077388B" w:rsidRDefault="00763235" w:rsidP="00763235">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 xml:space="preserve">Total current assets </w:t>
            </w:r>
          </w:p>
        </w:tc>
        <w:tc>
          <w:tcPr>
            <w:tcW w:w="384" w:type="pct"/>
            <w:tcBorders>
              <w:top w:val="nil"/>
              <w:left w:val="nil"/>
              <w:bottom w:val="nil"/>
              <w:right w:val="nil"/>
            </w:tcBorders>
            <w:shd w:val="clear" w:color="auto" w:fill="auto"/>
            <w:noWrap/>
            <w:vAlign w:val="bottom"/>
            <w:hideMark/>
          </w:tcPr>
          <w:p w14:paraId="05A07992" w14:textId="77777777" w:rsidR="00763235" w:rsidRPr="0077388B" w:rsidRDefault="00763235" w:rsidP="00763235">
            <w:pPr>
              <w:rPr>
                <w:rFonts w:ascii="Calibri" w:eastAsia="Times New Roman" w:hAnsi="Calibri" w:cs="Arial"/>
                <w:b/>
                <w:bCs/>
                <w:color w:val="000000"/>
                <w:sz w:val="20"/>
                <w:szCs w:val="18"/>
                <w:lang w:eastAsia="en-GB"/>
              </w:rPr>
            </w:pPr>
          </w:p>
        </w:tc>
        <w:tc>
          <w:tcPr>
            <w:tcW w:w="776" w:type="pct"/>
            <w:tcBorders>
              <w:top w:val="single" w:sz="4" w:space="0" w:color="auto"/>
              <w:left w:val="nil"/>
              <w:bottom w:val="single" w:sz="4" w:space="0" w:color="auto"/>
              <w:right w:val="nil"/>
            </w:tcBorders>
            <w:shd w:val="clear" w:color="auto" w:fill="auto"/>
            <w:noWrap/>
            <w:vAlign w:val="center"/>
          </w:tcPr>
          <w:p w14:paraId="7864987F" w14:textId="31808A1B" w:rsidR="00763235" w:rsidRPr="00015CB6" w:rsidRDefault="00FE77F7" w:rsidP="00CC72FA">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2,889</w:t>
            </w:r>
          </w:p>
        </w:tc>
        <w:tc>
          <w:tcPr>
            <w:tcW w:w="760" w:type="pct"/>
            <w:tcBorders>
              <w:top w:val="single" w:sz="4" w:space="0" w:color="auto"/>
              <w:left w:val="nil"/>
              <w:bottom w:val="single" w:sz="4" w:space="0" w:color="auto"/>
              <w:right w:val="nil"/>
            </w:tcBorders>
            <w:vAlign w:val="center"/>
          </w:tcPr>
          <w:p w14:paraId="2E7ED233" w14:textId="1F0E1459" w:rsidR="00763235" w:rsidRPr="00015CB6" w:rsidRDefault="00763235"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 xml:space="preserve">                  </w:t>
            </w:r>
            <w:r w:rsidR="001A2161" w:rsidRPr="00015CB6">
              <w:rPr>
                <w:rFonts w:ascii="Calibri" w:eastAsia="Times New Roman" w:hAnsi="Calibri" w:cs="Arial"/>
                <w:b/>
                <w:bCs/>
                <w:color w:val="000000"/>
                <w:sz w:val="20"/>
                <w:szCs w:val="18"/>
                <w:lang w:eastAsia="en-GB"/>
              </w:rPr>
              <w:t>490</w:t>
            </w:r>
          </w:p>
        </w:tc>
        <w:tc>
          <w:tcPr>
            <w:tcW w:w="760" w:type="pct"/>
            <w:tcBorders>
              <w:top w:val="single" w:sz="4" w:space="0" w:color="auto"/>
              <w:left w:val="nil"/>
              <w:bottom w:val="single" w:sz="4" w:space="0" w:color="auto"/>
              <w:right w:val="nil"/>
            </w:tcBorders>
            <w:shd w:val="clear" w:color="auto" w:fill="auto"/>
            <w:noWrap/>
            <w:vAlign w:val="center"/>
          </w:tcPr>
          <w:p w14:paraId="463B44C2" w14:textId="22763B57" w:rsidR="00763235" w:rsidRPr="00015CB6" w:rsidRDefault="001A2161"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2,</w:t>
            </w:r>
            <w:r w:rsidR="0059230A" w:rsidRPr="00015CB6">
              <w:rPr>
                <w:rFonts w:ascii="Calibri" w:eastAsia="Times New Roman" w:hAnsi="Calibri" w:cs="Arial"/>
                <w:b/>
                <w:bCs/>
                <w:color w:val="000000"/>
                <w:sz w:val="20"/>
                <w:szCs w:val="18"/>
                <w:lang w:eastAsia="en-GB"/>
              </w:rPr>
              <w:t>5</w:t>
            </w:r>
            <w:r w:rsidR="0059230A">
              <w:rPr>
                <w:rFonts w:ascii="Calibri" w:eastAsia="Times New Roman" w:hAnsi="Calibri" w:cs="Arial"/>
                <w:b/>
                <w:bCs/>
                <w:color w:val="000000"/>
                <w:sz w:val="20"/>
                <w:szCs w:val="18"/>
                <w:lang w:eastAsia="en-GB"/>
              </w:rPr>
              <w:t>59</w:t>
            </w:r>
          </w:p>
        </w:tc>
      </w:tr>
      <w:tr w:rsidR="00763235" w:rsidRPr="0077388B" w14:paraId="62437012" w14:textId="77777777" w:rsidTr="00CC72FA">
        <w:trPr>
          <w:trHeight w:val="288"/>
        </w:trPr>
        <w:tc>
          <w:tcPr>
            <w:tcW w:w="2320" w:type="pct"/>
            <w:tcBorders>
              <w:top w:val="nil"/>
              <w:left w:val="nil"/>
              <w:bottom w:val="nil"/>
              <w:right w:val="nil"/>
            </w:tcBorders>
            <w:shd w:val="clear" w:color="auto" w:fill="auto"/>
            <w:noWrap/>
            <w:vAlign w:val="bottom"/>
            <w:hideMark/>
          </w:tcPr>
          <w:p w14:paraId="57037379" w14:textId="77777777" w:rsidR="00763235" w:rsidRPr="0077388B" w:rsidRDefault="00763235" w:rsidP="00763235">
            <w:pPr>
              <w:jc w:val="right"/>
              <w:rPr>
                <w:rFonts w:ascii="Calibri" w:eastAsia="Times New Roman" w:hAnsi="Calibri" w:cs="Arial"/>
                <w:color w:val="000000"/>
                <w:sz w:val="20"/>
                <w:szCs w:val="18"/>
                <w:lang w:eastAsia="en-GB"/>
              </w:rPr>
            </w:pPr>
          </w:p>
        </w:tc>
        <w:tc>
          <w:tcPr>
            <w:tcW w:w="384" w:type="pct"/>
            <w:tcBorders>
              <w:top w:val="nil"/>
              <w:left w:val="nil"/>
              <w:bottom w:val="nil"/>
              <w:right w:val="nil"/>
            </w:tcBorders>
            <w:shd w:val="clear" w:color="auto" w:fill="auto"/>
            <w:noWrap/>
            <w:vAlign w:val="bottom"/>
            <w:hideMark/>
          </w:tcPr>
          <w:p w14:paraId="3A71C532" w14:textId="77777777" w:rsidR="00763235" w:rsidRPr="0077388B" w:rsidRDefault="00763235" w:rsidP="00763235">
            <w:pPr>
              <w:rPr>
                <w:rFonts w:ascii="Calibri" w:eastAsia="Times New Roman" w:hAnsi="Calibri"/>
                <w:sz w:val="20"/>
                <w:szCs w:val="20"/>
                <w:lang w:eastAsia="en-GB"/>
              </w:rPr>
            </w:pPr>
          </w:p>
        </w:tc>
        <w:tc>
          <w:tcPr>
            <w:tcW w:w="776" w:type="pct"/>
            <w:tcBorders>
              <w:top w:val="nil"/>
              <w:left w:val="nil"/>
              <w:bottom w:val="single" w:sz="8" w:space="0" w:color="auto"/>
              <w:right w:val="nil"/>
            </w:tcBorders>
            <w:shd w:val="clear" w:color="auto" w:fill="auto"/>
            <w:noWrap/>
            <w:vAlign w:val="center"/>
          </w:tcPr>
          <w:p w14:paraId="39A6D9A5" w14:textId="1028C537" w:rsidR="00763235" w:rsidRPr="00015CB6" w:rsidRDefault="00763235" w:rsidP="00CC72FA">
            <w:pPr>
              <w:jc w:val="right"/>
              <w:rPr>
                <w:rFonts w:ascii="Calibri" w:eastAsia="Times New Roman" w:hAnsi="Calibri" w:cs="Arial"/>
                <w:b/>
                <w:bCs/>
                <w:color w:val="000000"/>
                <w:sz w:val="20"/>
                <w:szCs w:val="18"/>
                <w:lang w:eastAsia="en-GB"/>
              </w:rPr>
            </w:pPr>
          </w:p>
        </w:tc>
        <w:tc>
          <w:tcPr>
            <w:tcW w:w="760" w:type="pct"/>
            <w:tcBorders>
              <w:top w:val="nil"/>
              <w:left w:val="nil"/>
              <w:bottom w:val="single" w:sz="8" w:space="0" w:color="auto"/>
              <w:right w:val="nil"/>
            </w:tcBorders>
            <w:vAlign w:val="center"/>
          </w:tcPr>
          <w:p w14:paraId="48824200" w14:textId="3E23B534" w:rsidR="00763235" w:rsidRPr="00015CB6" w:rsidRDefault="00763235"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 </w:t>
            </w:r>
          </w:p>
        </w:tc>
        <w:tc>
          <w:tcPr>
            <w:tcW w:w="760" w:type="pct"/>
            <w:tcBorders>
              <w:top w:val="nil"/>
              <w:left w:val="nil"/>
              <w:bottom w:val="single" w:sz="8" w:space="0" w:color="auto"/>
              <w:right w:val="nil"/>
            </w:tcBorders>
            <w:shd w:val="clear" w:color="auto" w:fill="auto"/>
            <w:noWrap/>
            <w:vAlign w:val="center"/>
          </w:tcPr>
          <w:p w14:paraId="50F8578C" w14:textId="41D54A71" w:rsidR="00763235" w:rsidRPr="00015CB6" w:rsidRDefault="00763235" w:rsidP="00CC72FA">
            <w:pPr>
              <w:jc w:val="right"/>
              <w:rPr>
                <w:rFonts w:ascii="Calibri" w:eastAsia="Times New Roman" w:hAnsi="Calibri" w:cs="Arial"/>
                <w:b/>
                <w:bCs/>
                <w:color w:val="000000"/>
                <w:sz w:val="20"/>
                <w:szCs w:val="18"/>
                <w:lang w:eastAsia="en-GB"/>
              </w:rPr>
            </w:pPr>
          </w:p>
        </w:tc>
      </w:tr>
      <w:tr w:rsidR="00763235" w:rsidRPr="0077388B" w14:paraId="247B2041" w14:textId="77777777" w:rsidTr="00CC72FA">
        <w:trPr>
          <w:trHeight w:val="288"/>
        </w:trPr>
        <w:tc>
          <w:tcPr>
            <w:tcW w:w="2320" w:type="pct"/>
            <w:tcBorders>
              <w:top w:val="nil"/>
              <w:left w:val="nil"/>
              <w:bottom w:val="nil"/>
              <w:right w:val="nil"/>
            </w:tcBorders>
            <w:shd w:val="clear" w:color="auto" w:fill="auto"/>
            <w:noWrap/>
            <w:vAlign w:val="bottom"/>
            <w:hideMark/>
          </w:tcPr>
          <w:p w14:paraId="502F570D" w14:textId="77777777" w:rsidR="00763235" w:rsidRPr="0077388B" w:rsidRDefault="00763235" w:rsidP="00763235">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 xml:space="preserve">TOTAL ASSETS </w:t>
            </w:r>
          </w:p>
        </w:tc>
        <w:tc>
          <w:tcPr>
            <w:tcW w:w="384" w:type="pct"/>
            <w:tcBorders>
              <w:top w:val="nil"/>
              <w:left w:val="nil"/>
              <w:bottom w:val="nil"/>
              <w:right w:val="nil"/>
            </w:tcBorders>
            <w:shd w:val="clear" w:color="auto" w:fill="auto"/>
            <w:noWrap/>
            <w:vAlign w:val="bottom"/>
            <w:hideMark/>
          </w:tcPr>
          <w:p w14:paraId="432B78DF" w14:textId="77777777" w:rsidR="00763235" w:rsidRPr="0077388B" w:rsidRDefault="00763235" w:rsidP="00763235">
            <w:pPr>
              <w:rPr>
                <w:rFonts w:ascii="Calibri" w:eastAsia="Times New Roman" w:hAnsi="Calibri" w:cs="Arial"/>
                <w:b/>
                <w:bCs/>
                <w:color w:val="000000"/>
                <w:sz w:val="20"/>
                <w:szCs w:val="18"/>
                <w:lang w:eastAsia="en-GB"/>
              </w:rPr>
            </w:pPr>
          </w:p>
        </w:tc>
        <w:tc>
          <w:tcPr>
            <w:tcW w:w="776" w:type="pct"/>
            <w:tcBorders>
              <w:top w:val="nil"/>
              <w:left w:val="nil"/>
              <w:bottom w:val="single" w:sz="8" w:space="0" w:color="auto"/>
              <w:right w:val="nil"/>
            </w:tcBorders>
            <w:shd w:val="clear" w:color="auto" w:fill="auto"/>
            <w:noWrap/>
            <w:vAlign w:val="center"/>
          </w:tcPr>
          <w:p w14:paraId="75C8D31B" w14:textId="27D6ADDD" w:rsidR="00763235" w:rsidRPr="00015CB6" w:rsidRDefault="00FE77F7" w:rsidP="00CC72FA">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6,001</w:t>
            </w:r>
          </w:p>
        </w:tc>
        <w:tc>
          <w:tcPr>
            <w:tcW w:w="760" w:type="pct"/>
            <w:tcBorders>
              <w:top w:val="nil"/>
              <w:left w:val="nil"/>
              <w:bottom w:val="single" w:sz="8" w:space="0" w:color="auto"/>
              <w:right w:val="nil"/>
            </w:tcBorders>
            <w:vAlign w:val="center"/>
          </w:tcPr>
          <w:p w14:paraId="2C2506C4" w14:textId="21A9B8A2" w:rsidR="00763235" w:rsidRPr="00015CB6" w:rsidRDefault="00B5041D"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2,792</w:t>
            </w:r>
          </w:p>
        </w:tc>
        <w:tc>
          <w:tcPr>
            <w:tcW w:w="760" w:type="pct"/>
            <w:tcBorders>
              <w:top w:val="nil"/>
              <w:left w:val="nil"/>
              <w:bottom w:val="single" w:sz="8" w:space="0" w:color="auto"/>
              <w:right w:val="nil"/>
            </w:tcBorders>
            <w:shd w:val="clear" w:color="auto" w:fill="auto"/>
            <w:noWrap/>
            <w:vAlign w:val="center"/>
          </w:tcPr>
          <w:p w14:paraId="3457B9AE" w14:textId="67C51C51" w:rsidR="00763235" w:rsidRPr="00015CB6" w:rsidRDefault="00B5041D"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5,069</w:t>
            </w:r>
          </w:p>
        </w:tc>
      </w:tr>
      <w:tr w:rsidR="00763235" w:rsidRPr="0077388B" w14:paraId="389BC149" w14:textId="77777777" w:rsidTr="00CC72FA">
        <w:trPr>
          <w:trHeight w:val="275"/>
        </w:trPr>
        <w:tc>
          <w:tcPr>
            <w:tcW w:w="2320" w:type="pct"/>
            <w:tcBorders>
              <w:top w:val="nil"/>
              <w:left w:val="nil"/>
              <w:right w:val="nil"/>
            </w:tcBorders>
            <w:shd w:val="clear" w:color="auto" w:fill="auto"/>
            <w:noWrap/>
            <w:vAlign w:val="bottom"/>
            <w:hideMark/>
          </w:tcPr>
          <w:p w14:paraId="22912180" w14:textId="77777777" w:rsidR="00763235" w:rsidRPr="0077388B" w:rsidRDefault="00763235" w:rsidP="00763235">
            <w:pPr>
              <w:jc w:val="right"/>
              <w:rPr>
                <w:rFonts w:ascii="Calibri" w:eastAsia="Times New Roman" w:hAnsi="Calibri" w:cs="Arial"/>
                <w:color w:val="000000"/>
                <w:sz w:val="20"/>
                <w:szCs w:val="18"/>
                <w:lang w:eastAsia="en-GB"/>
              </w:rPr>
            </w:pPr>
          </w:p>
        </w:tc>
        <w:tc>
          <w:tcPr>
            <w:tcW w:w="384" w:type="pct"/>
            <w:tcBorders>
              <w:top w:val="nil"/>
              <w:left w:val="nil"/>
              <w:right w:val="nil"/>
            </w:tcBorders>
            <w:shd w:val="clear" w:color="auto" w:fill="auto"/>
            <w:noWrap/>
            <w:vAlign w:val="bottom"/>
            <w:hideMark/>
          </w:tcPr>
          <w:p w14:paraId="34BEF4B5" w14:textId="77777777" w:rsidR="00763235" w:rsidRPr="0077388B" w:rsidRDefault="00763235" w:rsidP="00763235">
            <w:pPr>
              <w:rPr>
                <w:rFonts w:ascii="Calibri" w:eastAsia="Times New Roman" w:hAnsi="Calibri"/>
                <w:sz w:val="20"/>
                <w:szCs w:val="20"/>
                <w:lang w:eastAsia="en-GB"/>
              </w:rPr>
            </w:pPr>
          </w:p>
        </w:tc>
        <w:tc>
          <w:tcPr>
            <w:tcW w:w="776" w:type="pct"/>
            <w:tcBorders>
              <w:top w:val="nil"/>
              <w:left w:val="nil"/>
              <w:right w:val="nil"/>
            </w:tcBorders>
            <w:shd w:val="clear" w:color="auto" w:fill="auto"/>
            <w:noWrap/>
            <w:vAlign w:val="center"/>
          </w:tcPr>
          <w:p w14:paraId="1CBE88FD" w14:textId="77777777" w:rsidR="00763235" w:rsidRPr="00015CB6" w:rsidRDefault="00763235" w:rsidP="00CC72FA">
            <w:pPr>
              <w:jc w:val="right"/>
              <w:rPr>
                <w:rFonts w:ascii="Calibri" w:eastAsia="Times New Roman" w:hAnsi="Calibri"/>
                <w:b/>
                <w:bCs/>
                <w:sz w:val="20"/>
                <w:szCs w:val="20"/>
                <w:lang w:eastAsia="en-GB"/>
              </w:rPr>
            </w:pPr>
          </w:p>
        </w:tc>
        <w:tc>
          <w:tcPr>
            <w:tcW w:w="760" w:type="pct"/>
            <w:tcBorders>
              <w:top w:val="nil"/>
              <w:left w:val="nil"/>
              <w:right w:val="nil"/>
            </w:tcBorders>
            <w:vAlign w:val="center"/>
          </w:tcPr>
          <w:p w14:paraId="320B1455" w14:textId="77777777" w:rsidR="00763235" w:rsidRPr="00015CB6" w:rsidRDefault="00763235" w:rsidP="00CC72FA">
            <w:pPr>
              <w:jc w:val="right"/>
              <w:rPr>
                <w:rFonts w:ascii="Calibri" w:eastAsia="Times New Roman" w:hAnsi="Calibri"/>
                <w:b/>
                <w:bCs/>
                <w:sz w:val="20"/>
                <w:szCs w:val="20"/>
                <w:lang w:eastAsia="en-GB"/>
              </w:rPr>
            </w:pPr>
          </w:p>
        </w:tc>
        <w:tc>
          <w:tcPr>
            <w:tcW w:w="760" w:type="pct"/>
            <w:tcBorders>
              <w:top w:val="nil"/>
              <w:left w:val="nil"/>
              <w:right w:val="nil"/>
            </w:tcBorders>
            <w:shd w:val="clear" w:color="auto" w:fill="auto"/>
            <w:noWrap/>
            <w:vAlign w:val="center"/>
          </w:tcPr>
          <w:p w14:paraId="549A2574" w14:textId="23814A46" w:rsidR="00763235" w:rsidRPr="00015CB6" w:rsidRDefault="00763235" w:rsidP="00CC72FA">
            <w:pPr>
              <w:jc w:val="right"/>
              <w:rPr>
                <w:rFonts w:ascii="Calibri" w:eastAsia="Times New Roman" w:hAnsi="Calibri"/>
                <w:b/>
                <w:bCs/>
                <w:sz w:val="20"/>
                <w:szCs w:val="20"/>
                <w:lang w:eastAsia="en-GB"/>
              </w:rPr>
            </w:pPr>
          </w:p>
        </w:tc>
      </w:tr>
      <w:tr w:rsidR="00763235" w:rsidRPr="0077388B" w14:paraId="0A5E4106" w14:textId="77777777" w:rsidTr="00CC72FA">
        <w:trPr>
          <w:trHeight w:val="275"/>
        </w:trPr>
        <w:tc>
          <w:tcPr>
            <w:tcW w:w="2320" w:type="pct"/>
            <w:shd w:val="clear" w:color="auto" w:fill="auto"/>
            <w:noWrap/>
            <w:vAlign w:val="bottom"/>
            <w:hideMark/>
          </w:tcPr>
          <w:p w14:paraId="4A52E7CF" w14:textId="77777777" w:rsidR="00763235" w:rsidRPr="0077388B" w:rsidRDefault="00763235" w:rsidP="00763235">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LIABILITIES</w:t>
            </w:r>
            <w:r>
              <w:rPr>
                <w:rFonts w:ascii="Calibri" w:eastAsia="Times New Roman" w:hAnsi="Calibri" w:cs="Arial"/>
                <w:b/>
                <w:bCs/>
                <w:color w:val="000000"/>
                <w:sz w:val="20"/>
                <w:szCs w:val="18"/>
                <w:lang w:eastAsia="en-GB"/>
              </w:rPr>
              <w:t xml:space="preserve"> </w:t>
            </w:r>
          </w:p>
        </w:tc>
        <w:tc>
          <w:tcPr>
            <w:tcW w:w="384" w:type="pct"/>
            <w:shd w:val="clear" w:color="auto" w:fill="auto"/>
            <w:noWrap/>
            <w:vAlign w:val="bottom"/>
            <w:hideMark/>
          </w:tcPr>
          <w:p w14:paraId="6993C551" w14:textId="77777777" w:rsidR="00763235" w:rsidRPr="0077388B" w:rsidRDefault="00763235" w:rsidP="00763235">
            <w:pPr>
              <w:rPr>
                <w:rFonts w:ascii="Calibri" w:eastAsia="Times New Roman" w:hAnsi="Calibri" w:cs="Arial"/>
                <w:b/>
                <w:bCs/>
                <w:color w:val="000000"/>
                <w:sz w:val="20"/>
                <w:szCs w:val="18"/>
                <w:lang w:eastAsia="en-GB"/>
              </w:rPr>
            </w:pPr>
          </w:p>
        </w:tc>
        <w:tc>
          <w:tcPr>
            <w:tcW w:w="776" w:type="pct"/>
            <w:shd w:val="clear" w:color="auto" w:fill="auto"/>
            <w:noWrap/>
            <w:vAlign w:val="center"/>
          </w:tcPr>
          <w:p w14:paraId="65059B73" w14:textId="77777777" w:rsidR="00763235" w:rsidRPr="00015CB6" w:rsidRDefault="00763235" w:rsidP="00CC72FA">
            <w:pPr>
              <w:jc w:val="right"/>
              <w:rPr>
                <w:rFonts w:ascii="Calibri" w:eastAsia="Times New Roman" w:hAnsi="Calibri"/>
                <w:b/>
                <w:bCs/>
                <w:sz w:val="20"/>
                <w:szCs w:val="20"/>
                <w:lang w:eastAsia="en-GB"/>
              </w:rPr>
            </w:pPr>
          </w:p>
        </w:tc>
        <w:tc>
          <w:tcPr>
            <w:tcW w:w="760" w:type="pct"/>
            <w:vAlign w:val="center"/>
          </w:tcPr>
          <w:p w14:paraId="1FCD88F4" w14:textId="77777777" w:rsidR="00763235" w:rsidRPr="00015CB6" w:rsidRDefault="00763235" w:rsidP="00CC72FA">
            <w:pPr>
              <w:jc w:val="right"/>
              <w:rPr>
                <w:rFonts w:ascii="Calibri" w:eastAsia="Times New Roman" w:hAnsi="Calibri"/>
                <w:b/>
                <w:bCs/>
                <w:sz w:val="20"/>
                <w:szCs w:val="20"/>
                <w:lang w:eastAsia="en-GB"/>
              </w:rPr>
            </w:pPr>
          </w:p>
        </w:tc>
        <w:tc>
          <w:tcPr>
            <w:tcW w:w="760" w:type="pct"/>
            <w:shd w:val="clear" w:color="auto" w:fill="auto"/>
            <w:noWrap/>
            <w:vAlign w:val="center"/>
          </w:tcPr>
          <w:p w14:paraId="2329819E" w14:textId="6E17BD7E" w:rsidR="00763235" w:rsidRPr="00015CB6" w:rsidRDefault="00763235" w:rsidP="00CC72FA">
            <w:pPr>
              <w:jc w:val="right"/>
              <w:rPr>
                <w:rFonts w:ascii="Calibri" w:eastAsia="Times New Roman" w:hAnsi="Calibri"/>
                <w:b/>
                <w:bCs/>
                <w:sz w:val="20"/>
                <w:szCs w:val="20"/>
                <w:lang w:eastAsia="en-GB"/>
              </w:rPr>
            </w:pPr>
          </w:p>
        </w:tc>
      </w:tr>
      <w:tr w:rsidR="00763235" w:rsidRPr="0077388B" w14:paraId="7B12B772" w14:textId="77777777" w:rsidTr="00CC72FA">
        <w:trPr>
          <w:trHeight w:val="328"/>
        </w:trPr>
        <w:tc>
          <w:tcPr>
            <w:tcW w:w="2320" w:type="pct"/>
            <w:shd w:val="clear" w:color="auto" w:fill="auto"/>
            <w:noWrap/>
            <w:vAlign w:val="bottom"/>
            <w:hideMark/>
          </w:tcPr>
          <w:p w14:paraId="5CF1469D" w14:textId="77777777" w:rsidR="00763235" w:rsidRPr="0077388B" w:rsidRDefault="00763235" w:rsidP="00763235">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Current liabilities</w:t>
            </w:r>
          </w:p>
        </w:tc>
        <w:tc>
          <w:tcPr>
            <w:tcW w:w="384" w:type="pct"/>
            <w:shd w:val="clear" w:color="auto" w:fill="auto"/>
            <w:noWrap/>
            <w:vAlign w:val="bottom"/>
            <w:hideMark/>
          </w:tcPr>
          <w:p w14:paraId="2F2EE128" w14:textId="77777777" w:rsidR="00763235" w:rsidRPr="0077388B" w:rsidRDefault="00763235" w:rsidP="00763235">
            <w:pPr>
              <w:rPr>
                <w:rFonts w:ascii="Calibri" w:eastAsia="Times New Roman" w:hAnsi="Calibri" w:cs="Arial"/>
                <w:b/>
                <w:bCs/>
                <w:color w:val="000000"/>
                <w:sz w:val="20"/>
                <w:szCs w:val="18"/>
                <w:lang w:eastAsia="en-GB"/>
              </w:rPr>
            </w:pPr>
          </w:p>
        </w:tc>
        <w:tc>
          <w:tcPr>
            <w:tcW w:w="776" w:type="pct"/>
            <w:shd w:val="clear" w:color="auto" w:fill="auto"/>
            <w:noWrap/>
            <w:vAlign w:val="center"/>
          </w:tcPr>
          <w:p w14:paraId="3480997E" w14:textId="77777777" w:rsidR="00763235" w:rsidRPr="00015CB6" w:rsidRDefault="00763235" w:rsidP="00CC72FA">
            <w:pPr>
              <w:jc w:val="right"/>
              <w:rPr>
                <w:rFonts w:ascii="Calibri" w:eastAsia="Times New Roman" w:hAnsi="Calibri"/>
                <w:b/>
                <w:bCs/>
                <w:sz w:val="20"/>
                <w:szCs w:val="20"/>
                <w:lang w:eastAsia="en-GB"/>
              </w:rPr>
            </w:pPr>
          </w:p>
        </w:tc>
        <w:tc>
          <w:tcPr>
            <w:tcW w:w="760" w:type="pct"/>
            <w:vAlign w:val="center"/>
          </w:tcPr>
          <w:p w14:paraId="7EEA121D" w14:textId="77777777" w:rsidR="00763235" w:rsidRPr="00015CB6" w:rsidRDefault="00763235" w:rsidP="00CC72FA">
            <w:pPr>
              <w:jc w:val="right"/>
              <w:rPr>
                <w:rFonts w:ascii="Calibri" w:eastAsia="Times New Roman" w:hAnsi="Calibri"/>
                <w:b/>
                <w:bCs/>
                <w:sz w:val="20"/>
                <w:szCs w:val="20"/>
                <w:lang w:eastAsia="en-GB"/>
              </w:rPr>
            </w:pPr>
          </w:p>
        </w:tc>
        <w:tc>
          <w:tcPr>
            <w:tcW w:w="760" w:type="pct"/>
            <w:shd w:val="clear" w:color="auto" w:fill="auto"/>
            <w:noWrap/>
            <w:vAlign w:val="center"/>
          </w:tcPr>
          <w:p w14:paraId="448D4812" w14:textId="2B0BCDFC" w:rsidR="00763235" w:rsidRPr="00015CB6" w:rsidRDefault="00763235" w:rsidP="00CC72FA">
            <w:pPr>
              <w:jc w:val="right"/>
              <w:rPr>
                <w:rFonts w:ascii="Calibri" w:eastAsia="Times New Roman" w:hAnsi="Calibri"/>
                <w:b/>
                <w:bCs/>
                <w:sz w:val="20"/>
                <w:szCs w:val="20"/>
                <w:lang w:eastAsia="en-GB"/>
              </w:rPr>
            </w:pPr>
          </w:p>
        </w:tc>
      </w:tr>
      <w:tr w:rsidR="00B5041D" w:rsidRPr="0077388B" w14:paraId="0F752346" w14:textId="77777777" w:rsidTr="00CC72FA">
        <w:trPr>
          <w:trHeight w:val="328"/>
        </w:trPr>
        <w:tc>
          <w:tcPr>
            <w:tcW w:w="2320" w:type="pct"/>
            <w:shd w:val="clear" w:color="auto" w:fill="auto"/>
            <w:noWrap/>
            <w:vAlign w:val="bottom"/>
          </w:tcPr>
          <w:p w14:paraId="48B09149" w14:textId="157F4116" w:rsidR="00B5041D" w:rsidRPr="00B5041D" w:rsidRDefault="00B5041D" w:rsidP="00763235">
            <w:pPr>
              <w:rPr>
                <w:rFonts w:ascii="Calibri" w:eastAsia="Times New Roman" w:hAnsi="Calibri" w:cs="Arial"/>
                <w:color w:val="000000"/>
                <w:sz w:val="20"/>
                <w:szCs w:val="18"/>
                <w:lang w:eastAsia="en-GB"/>
              </w:rPr>
            </w:pPr>
            <w:r w:rsidRPr="00B5041D">
              <w:rPr>
                <w:rFonts w:ascii="Calibri" w:eastAsia="Times New Roman" w:hAnsi="Calibri" w:cs="Arial"/>
                <w:color w:val="000000"/>
                <w:sz w:val="20"/>
                <w:szCs w:val="18"/>
                <w:lang w:eastAsia="en-GB"/>
              </w:rPr>
              <w:t>Convertible loan note</w:t>
            </w:r>
          </w:p>
        </w:tc>
        <w:tc>
          <w:tcPr>
            <w:tcW w:w="384" w:type="pct"/>
            <w:shd w:val="clear" w:color="auto" w:fill="auto"/>
            <w:noWrap/>
            <w:vAlign w:val="bottom"/>
          </w:tcPr>
          <w:p w14:paraId="38C28A8A" w14:textId="77777777" w:rsidR="00B5041D" w:rsidRPr="0077388B" w:rsidRDefault="00B5041D" w:rsidP="00763235">
            <w:pPr>
              <w:rPr>
                <w:rFonts w:ascii="Calibri" w:eastAsia="Times New Roman" w:hAnsi="Calibri" w:cs="Arial"/>
                <w:b/>
                <w:bCs/>
                <w:color w:val="000000"/>
                <w:sz w:val="20"/>
                <w:szCs w:val="18"/>
                <w:lang w:eastAsia="en-GB"/>
              </w:rPr>
            </w:pPr>
          </w:p>
        </w:tc>
        <w:tc>
          <w:tcPr>
            <w:tcW w:w="776" w:type="pct"/>
            <w:shd w:val="clear" w:color="auto" w:fill="auto"/>
            <w:noWrap/>
            <w:vAlign w:val="center"/>
          </w:tcPr>
          <w:p w14:paraId="1A49B4FD" w14:textId="4DF0A575" w:rsidR="00B5041D" w:rsidRPr="00015CB6" w:rsidRDefault="00B5041D" w:rsidP="00CC72FA">
            <w:pPr>
              <w:jc w:val="right"/>
              <w:rPr>
                <w:rFonts w:ascii="Calibri" w:eastAsia="Times New Roman" w:hAnsi="Calibri"/>
                <w:b/>
                <w:bCs/>
                <w:sz w:val="20"/>
                <w:szCs w:val="20"/>
                <w:lang w:eastAsia="en-GB"/>
              </w:rPr>
            </w:pPr>
            <w:r w:rsidRPr="00015CB6">
              <w:rPr>
                <w:rFonts w:ascii="Calibri" w:eastAsia="Times New Roman" w:hAnsi="Calibri"/>
                <w:b/>
                <w:bCs/>
                <w:sz w:val="20"/>
                <w:szCs w:val="20"/>
                <w:lang w:eastAsia="en-GB"/>
              </w:rPr>
              <w:t>-</w:t>
            </w:r>
          </w:p>
        </w:tc>
        <w:tc>
          <w:tcPr>
            <w:tcW w:w="760" w:type="pct"/>
            <w:vAlign w:val="center"/>
          </w:tcPr>
          <w:p w14:paraId="18B1141F" w14:textId="78CBA246" w:rsidR="00B5041D" w:rsidRPr="00015CB6" w:rsidRDefault="00B5041D" w:rsidP="00CC72FA">
            <w:pPr>
              <w:jc w:val="right"/>
              <w:rPr>
                <w:rFonts w:ascii="Calibri" w:eastAsia="Times New Roman" w:hAnsi="Calibri"/>
                <w:b/>
                <w:bCs/>
                <w:sz w:val="20"/>
                <w:szCs w:val="20"/>
                <w:lang w:eastAsia="en-GB"/>
              </w:rPr>
            </w:pPr>
            <w:r w:rsidRPr="00015CB6">
              <w:rPr>
                <w:rFonts w:ascii="Calibri" w:eastAsia="Times New Roman" w:hAnsi="Calibri"/>
                <w:b/>
                <w:bCs/>
                <w:sz w:val="20"/>
                <w:szCs w:val="20"/>
                <w:lang w:eastAsia="en-GB"/>
              </w:rPr>
              <w:t>308</w:t>
            </w:r>
          </w:p>
        </w:tc>
        <w:tc>
          <w:tcPr>
            <w:tcW w:w="760" w:type="pct"/>
            <w:shd w:val="clear" w:color="auto" w:fill="auto"/>
            <w:noWrap/>
            <w:vAlign w:val="center"/>
          </w:tcPr>
          <w:p w14:paraId="5C5DA44E" w14:textId="52F83393" w:rsidR="00B5041D" w:rsidRPr="00015CB6" w:rsidRDefault="00B5041D" w:rsidP="00CC72FA">
            <w:pPr>
              <w:jc w:val="right"/>
              <w:rPr>
                <w:rFonts w:ascii="Calibri" w:eastAsia="Times New Roman" w:hAnsi="Calibri"/>
                <w:b/>
                <w:bCs/>
                <w:sz w:val="20"/>
                <w:szCs w:val="20"/>
                <w:lang w:eastAsia="en-GB"/>
              </w:rPr>
            </w:pPr>
            <w:r w:rsidRPr="00015CB6">
              <w:rPr>
                <w:rFonts w:ascii="Calibri" w:eastAsia="Times New Roman" w:hAnsi="Calibri"/>
                <w:b/>
                <w:bCs/>
                <w:sz w:val="20"/>
                <w:szCs w:val="20"/>
                <w:lang w:eastAsia="en-GB"/>
              </w:rPr>
              <w:t>-</w:t>
            </w:r>
          </w:p>
        </w:tc>
      </w:tr>
      <w:tr w:rsidR="00B5041D" w:rsidRPr="00B5041D" w14:paraId="68795D07" w14:textId="77777777" w:rsidTr="00CC72FA">
        <w:trPr>
          <w:trHeight w:val="275"/>
        </w:trPr>
        <w:tc>
          <w:tcPr>
            <w:tcW w:w="2320" w:type="pct"/>
            <w:shd w:val="clear" w:color="auto" w:fill="auto"/>
            <w:noWrap/>
            <w:vAlign w:val="bottom"/>
          </w:tcPr>
          <w:p w14:paraId="1685B6FB" w14:textId="0A47B091" w:rsidR="00B5041D" w:rsidRDefault="00B5041D" w:rsidP="00763235">
            <w:pPr>
              <w:rPr>
                <w:rFonts w:ascii="Calibri" w:eastAsia="Times New Roman" w:hAnsi="Calibri" w:cs="Arial"/>
                <w:color w:val="000000"/>
                <w:sz w:val="20"/>
                <w:szCs w:val="18"/>
                <w:lang w:eastAsia="en-GB"/>
              </w:rPr>
            </w:pPr>
            <w:r w:rsidRPr="0077388B">
              <w:rPr>
                <w:rFonts w:ascii="Calibri" w:eastAsia="Times New Roman" w:hAnsi="Calibri" w:cs="Arial"/>
                <w:color w:val="000000"/>
                <w:sz w:val="20"/>
                <w:szCs w:val="18"/>
                <w:lang w:eastAsia="en-GB"/>
              </w:rPr>
              <w:t>Trade and other payables</w:t>
            </w:r>
            <w:r>
              <w:rPr>
                <w:rFonts w:ascii="Calibri" w:eastAsia="Times New Roman" w:hAnsi="Calibri" w:cs="Arial"/>
                <w:color w:val="000000"/>
                <w:sz w:val="20"/>
                <w:szCs w:val="18"/>
                <w:lang w:eastAsia="en-GB"/>
              </w:rPr>
              <w:t xml:space="preserve">                                                                    </w:t>
            </w:r>
          </w:p>
        </w:tc>
        <w:tc>
          <w:tcPr>
            <w:tcW w:w="384" w:type="pct"/>
            <w:shd w:val="clear" w:color="auto" w:fill="auto"/>
            <w:noWrap/>
          </w:tcPr>
          <w:p w14:paraId="22C97568" w14:textId="77777777" w:rsidR="00B5041D" w:rsidRDefault="00B5041D" w:rsidP="00763235">
            <w:pPr>
              <w:jc w:val="center"/>
              <w:rPr>
                <w:rFonts w:ascii="Calibri" w:eastAsia="Times New Roman" w:hAnsi="Calibri" w:cs="Arial"/>
                <w:b/>
                <w:bCs/>
                <w:color w:val="000000"/>
                <w:sz w:val="20"/>
                <w:szCs w:val="18"/>
                <w:lang w:eastAsia="en-GB"/>
              </w:rPr>
            </w:pPr>
          </w:p>
        </w:tc>
        <w:tc>
          <w:tcPr>
            <w:tcW w:w="776" w:type="pct"/>
            <w:shd w:val="clear" w:color="auto" w:fill="auto"/>
            <w:noWrap/>
            <w:vAlign w:val="center"/>
          </w:tcPr>
          <w:p w14:paraId="25A9CF6E" w14:textId="71D8C189" w:rsidR="00B5041D" w:rsidRPr="00015CB6" w:rsidRDefault="00FE77F7" w:rsidP="00CC72FA">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243</w:t>
            </w:r>
          </w:p>
        </w:tc>
        <w:tc>
          <w:tcPr>
            <w:tcW w:w="760" w:type="pct"/>
            <w:vAlign w:val="center"/>
          </w:tcPr>
          <w:p w14:paraId="7E876EB9" w14:textId="79844CF1" w:rsidR="00B5041D" w:rsidRPr="00015CB6" w:rsidRDefault="00B5041D"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83</w:t>
            </w:r>
          </w:p>
        </w:tc>
        <w:tc>
          <w:tcPr>
            <w:tcW w:w="760" w:type="pct"/>
            <w:shd w:val="clear" w:color="auto" w:fill="auto"/>
            <w:noWrap/>
            <w:vAlign w:val="center"/>
          </w:tcPr>
          <w:p w14:paraId="2CAF9F27" w14:textId="10958411" w:rsidR="00B5041D" w:rsidRPr="00015CB6" w:rsidRDefault="00B5041D"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79</w:t>
            </w:r>
          </w:p>
        </w:tc>
      </w:tr>
      <w:tr w:rsidR="00763235" w:rsidRPr="00B5041D" w14:paraId="2582D66C" w14:textId="77777777" w:rsidTr="00CC72FA">
        <w:trPr>
          <w:trHeight w:val="275"/>
        </w:trPr>
        <w:tc>
          <w:tcPr>
            <w:tcW w:w="2320" w:type="pct"/>
            <w:tcBorders>
              <w:left w:val="nil"/>
              <w:bottom w:val="nil"/>
              <w:right w:val="nil"/>
            </w:tcBorders>
            <w:shd w:val="clear" w:color="auto" w:fill="auto"/>
            <w:noWrap/>
            <w:vAlign w:val="bottom"/>
            <w:hideMark/>
          </w:tcPr>
          <w:p w14:paraId="68B580AB" w14:textId="77777777" w:rsidR="00763235" w:rsidRPr="0077388B" w:rsidRDefault="00763235" w:rsidP="00763235">
            <w:pPr>
              <w:rPr>
                <w:rFonts w:ascii="Calibri" w:eastAsia="Times New Roman" w:hAnsi="Calibri" w:cs="Arial"/>
                <w:color w:val="000000"/>
                <w:sz w:val="20"/>
                <w:szCs w:val="18"/>
                <w:lang w:eastAsia="en-GB"/>
              </w:rPr>
            </w:pPr>
          </w:p>
        </w:tc>
        <w:tc>
          <w:tcPr>
            <w:tcW w:w="384" w:type="pct"/>
            <w:tcBorders>
              <w:left w:val="nil"/>
              <w:bottom w:val="nil"/>
              <w:right w:val="nil"/>
            </w:tcBorders>
            <w:shd w:val="clear" w:color="auto" w:fill="auto"/>
            <w:noWrap/>
            <w:vAlign w:val="bottom"/>
            <w:hideMark/>
          </w:tcPr>
          <w:p w14:paraId="16161ADB" w14:textId="77777777" w:rsidR="00763235" w:rsidRPr="0077388B" w:rsidRDefault="00763235" w:rsidP="00763235">
            <w:pPr>
              <w:rPr>
                <w:rFonts w:ascii="Calibri" w:eastAsia="Times New Roman" w:hAnsi="Calibri"/>
                <w:sz w:val="20"/>
                <w:szCs w:val="20"/>
                <w:lang w:eastAsia="en-GB"/>
              </w:rPr>
            </w:pPr>
          </w:p>
        </w:tc>
        <w:tc>
          <w:tcPr>
            <w:tcW w:w="776" w:type="pct"/>
            <w:tcBorders>
              <w:left w:val="nil"/>
              <w:bottom w:val="nil"/>
              <w:right w:val="nil"/>
            </w:tcBorders>
            <w:shd w:val="clear" w:color="auto" w:fill="auto"/>
            <w:noWrap/>
            <w:vAlign w:val="center"/>
          </w:tcPr>
          <w:p w14:paraId="69110B43" w14:textId="77777777" w:rsidR="00763235" w:rsidRPr="00015CB6" w:rsidRDefault="00763235" w:rsidP="00CC72FA">
            <w:pPr>
              <w:jc w:val="right"/>
              <w:rPr>
                <w:rFonts w:ascii="Calibri" w:eastAsia="Times New Roman" w:hAnsi="Calibri"/>
                <w:b/>
                <w:bCs/>
                <w:sz w:val="20"/>
                <w:szCs w:val="20"/>
                <w:lang w:eastAsia="en-GB"/>
              </w:rPr>
            </w:pPr>
          </w:p>
        </w:tc>
        <w:tc>
          <w:tcPr>
            <w:tcW w:w="760" w:type="pct"/>
            <w:tcBorders>
              <w:left w:val="nil"/>
              <w:bottom w:val="nil"/>
              <w:right w:val="nil"/>
            </w:tcBorders>
            <w:vAlign w:val="center"/>
          </w:tcPr>
          <w:p w14:paraId="26CBC041" w14:textId="77777777" w:rsidR="00763235" w:rsidRPr="00015CB6" w:rsidRDefault="00763235" w:rsidP="00CC72FA">
            <w:pPr>
              <w:jc w:val="right"/>
              <w:rPr>
                <w:rFonts w:ascii="Calibri" w:eastAsia="Times New Roman" w:hAnsi="Calibri"/>
                <w:b/>
                <w:bCs/>
                <w:sz w:val="20"/>
                <w:szCs w:val="20"/>
                <w:lang w:eastAsia="en-GB"/>
              </w:rPr>
            </w:pPr>
          </w:p>
        </w:tc>
        <w:tc>
          <w:tcPr>
            <w:tcW w:w="760" w:type="pct"/>
            <w:tcBorders>
              <w:left w:val="nil"/>
              <w:bottom w:val="nil"/>
              <w:right w:val="nil"/>
            </w:tcBorders>
            <w:shd w:val="clear" w:color="auto" w:fill="auto"/>
            <w:noWrap/>
            <w:vAlign w:val="center"/>
          </w:tcPr>
          <w:p w14:paraId="4DEA0306" w14:textId="0DDB07ED" w:rsidR="00763235" w:rsidRPr="00015CB6" w:rsidRDefault="00763235" w:rsidP="00CC72FA">
            <w:pPr>
              <w:jc w:val="right"/>
              <w:rPr>
                <w:rFonts w:ascii="Calibri" w:eastAsia="Times New Roman" w:hAnsi="Calibri"/>
                <w:b/>
                <w:bCs/>
                <w:sz w:val="20"/>
                <w:szCs w:val="20"/>
                <w:lang w:eastAsia="en-GB"/>
              </w:rPr>
            </w:pPr>
          </w:p>
        </w:tc>
      </w:tr>
      <w:tr w:rsidR="00763235" w:rsidRPr="0077388B" w14:paraId="54989962" w14:textId="77777777" w:rsidTr="00CC72FA">
        <w:trPr>
          <w:trHeight w:val="275"/>
        </w:trPr>
        <w:tc>
          <w:tcPr>
            <w:tcW w:w="2320" w:type="pct"/>
            <w:tcBorders>
              <w:top w:val="nil"/>
              <w:left w:val="nil"/>
              <w:bottom w:val="nil"/>
              <w:right w:val="nil"/>
            </w:tcBorders>
            <w:shd w:val="clear" w:color="auto" w:fill="auto"/>
            <w:noWrap/>
            <w:vAlign w:val="bottom"/>
            <w:hideMark/>
          </w:tcPr>
          <w:p w14:paraId="2768AD86" w14:textId="77777777" w:rsidR="00763235" w:rsidRPr="0077388B" w:rsidRDefault="00763235" w:rsidP="00763235">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 xml:space="preserve">TOTAL LIABILITIES </w:t>
            </w:r>
          </w:p>
        </w:tc>
        <w:tc>
          <w:tcPr>
            <w:tcW w:w="384" w:type="pct"/>
            <w:tcBorders>
              <w:top w:val="nil"/>
              <w:left w:val="nil"/>
              <w:bottom w:val="nil"/>
              <w:right w:val="nil"/>
            </w:tcBorders>
            <w:shd w:val="clear" w:color="auto" w:fill="auto"/>
            <w:noWrap/>
            <w:vAlign w:val="bottom"/>
            <w:hideMark/>
          </w:tcPr>
          <w:p w14:paraId="75D5C1AC" w14:textId="77777777" w:rsidR="00763235" w:rsidRPr="0077388B" w:rsidRDefault="00763235" w:rsidP="00763235">
            <w:pPr>
              <w:rPr>
                <w:rFonts w:ascii="Calibri" w:eastAsia="Times New Roman" w:hAnsi="Calibri" w:cs="Arial"/>
                <w:b/>
                <w:bCs/>
                <w:color w:val="000000"/>
                <w:sz w:val="20"/>
                <w:szCs w:val="18"/>
                <w:lang w:eastAsia="en-GB"/>
              </w:rPr>
            </w:pPr>
          </w:p>
        </w:tc>
        <w:tc>
          <w:tcPr>
            <w:tcW w:w="776" w:type="pct"/>
            <w:tcBorders>
              <w:top w:val="single" w:sz="4" w:space="0" w:color="auto"/>
              <w:left w:val="nil"/>
              <w:bottom w:val="single" w:sz="4" w:space="0" w:color="auto"/>
              <w:right w:val="nil"/>
            </w:tcBorders>
            <w:shd w:val="clear" w:color="auto" w:fill="auto"/>
            <w:noWrap/>
            <w:vAlign w:val="center"/>
          </w:tcPr>
          <w:p w14:paraId="2473D514" w14:textId="2385A533" w:rsidR="00763235" w:rsidRPr="00015CB6" w:rsidRDefault="00FE77F7" w:rsidP="00CC72FA">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243</w:t>
            </w:r>
          </w:p>
        </w:tc>
        <w:tc>
          <w:tcPr>
            <w:tcW w:w="760" w:type="pct"/>
            <w:tcBorders>
              <w:top w:val="single" w:sz="4" w:space="0" w:color="auto"/>
              <w:left w:val="nil"/>
              <w:bottom w:val="single" w:sz="4" w:space="0" w:color="auto"/>
              <w:right w:val="nil"/>
            </w:tcBorders>
            <w:vAlign w:val="center"/>
          </w:tcPr>
          <w:p w14:paraId="6A9D06AE" w14:textId="108BE8BF" w:rsidR="00763235" w:rsidRPr="00015CB6" w:rsidRDefault="00B5041D"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391</w:t>
            </w:r>
          </w:p>
        </w:tc>
        <w:tc>
          <w:tcPr>
            <w:tcW w:w="760" w:type="pct"/>
            <w:tcBorders>
              <w:top w:val="single" w:sz="4" w:space="0" w:color="auto"/>
              <w:left w:val="nil"/>
              <w:bottom w:val="single" w:sz="4" w:space="0" w:color="auto"/>
              <w:right w:val="nil"/>
            </w:tcBorders>
            <w:shd w:val="clear" w:color="auto" w:fill="auto"/>
            <w:noWrap/>
            <w:vAlign w:val="center"/>
          </w:tcPr>
          <w:p w14:paraId="0AC221D5" w14:textId="7D35AE2B" w:rsidR="00763235" w:rsidRPr="00015CB6" w:rsidRDefault="00B5041D"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79</w:t>
            </w:r>
          </w:p>
        </w:tc>
      </w:tr>
      <w:tr w:rsidR="00763235" w:rsidRPr="0077388B" w14:paraId="75C472D6" w14:textId="77777777" w:rsidTr="00CC72FA">
        <w:trPr>
          <w:trHeight w:val="288"/>
        </w:trPr>
        <w:tc>
          <w:tcPr>
            <w:tcW w:w="2320" w:type="pct"/>
            <w:tcBorders>
              <w:top w:val="nil"/>
              <w:left w:val="nil"/>
              <w:bottom w:val="nil"/>
              <w:right w:val="nil"/>
            </w:tcBorders>
            <w:shd w:val="clear" w:color="auto" w:fill="auto"/>
            <w:noWrap/>
            <w:vAlign w:val="bottom"/>
            <w:hideMark/>
          </w:tcPr>
          <w:p w14:paraId="7D41167F" w14:textId="77777777" w:rsidR="00763235" w:rsidRPr="0077388B" w:rsidRDefault="00763235" w:rsidP="00763235">
            <w:pPr>
              <w:jc w:val="right"/>
              <w:rPr>
                <w:rFonts w:ascii="Calibri" w:eastAsia="Times New Roman" w:hAnsi="Calibri" w:cs="Arial"/>
                <w:color w:val="000000"/>
                <w:sz w:val="20"/>
                <w:szCs w:val="18"/>
                <w:lang w:eastAsia="en-GB"/>
              </w:rPr>
            </w:pPr>
          </w:p>
        </w:tc>
        <w:tc>
          <w:tcPr>
            <w:tcW w:w="384" w:type="pct"/>
            <w:tcBorders>
              <w:top w:val="nil"/>
              <w:left w:val="nil"/>
              <w:bottom w:val="nil"/>
              <w:right w:val="nil"/>
            </w:tcBorders>
            <w:shd w:val="clear" w:color="auto" w:fill="auto"/>
            <w:noWrap/>
            <w:vAlign w:val="bottom"/>
            <w:hideMark/>
          </w:tcPr>
          <w:p w14:paraId="4508F46E" w14:textId="77777777" w:rsidR="00763235" w:rsidRPr="0077388B" w:rsidRDefault="00763235" w:rsidP="00763235">
            <w:pPr>
              <w:rPr>
                <w:rFonts w:ascii="Calibri" w:eastAsia="Times New Roman" w:hAnsi="Calibri"/>
                <w:sz w:val="20"/>
                <w:szCs w:val="20"/>
                <w:lang w:eastAsia="en-GB"/>
              </w:rPr>
            </w:pPr>
          </w:p>
        </w:tc>
        <w:tc>
          <w:tcPr>
            <w:tcW w:w="776" w:type="pct"/>
            <w:tcBorders>
              <w:top w:val="nil"/>
              <w:left w:val="nil"/>
              <w:bottom w:val="single" w:sz="8" w:space="0" w:color="auto"/>
              <w:right w:val="nil"/>
            </w:tcBorders>
            <w:shd w:val="clear" w:color="auto" w:fill="auto"/>
            <w:noWrap/>
            <w:vAlign w:val="center"/>
          </w:tcPr>
          <w:p w14:paraId="03960831" w14:textId="5042649F" w:rsidR="00763235" w:rsidRPr="00015CB6" w:rsidRDefault="00763235" w:rsidP="00CC72FA">
            <w:pPr>
              <w:jc w:val="right"/>
              <w:rPr>
                <w:rFonts w:ascii="Calibri" w:eastAsia="Times New Roman" w:hAnsi="Calibri" w:cs="Arial"/>
                <w:b/>
                <w:bCs/>
                <w:color w:val="000000"/>
                <w:sz w:val="20"/>
                <w:szCs w:val="18"/>
                <w:lang w:eastAsia="en-GB"/>
              </w:rPr>
            </w:pPr>
          </w:p>
        </w:tc>
        <w:tc>
          <w:tcPr>
            <w:tcW w:w="760" w:type="pct"/>
            <w:tcBorders>
              <w:top w:val="nil"/>
              <w:left w:val="nil"/>
              <w:bottom w:val="single" w:sz="8" w:space="0" w:color="auto"/>
              <w:right w:val="nil"/>
            </w:tcBorders>
            <w:vAlign w:val="center"/>
          </w:tcPr>
          <w:p w14:paraId="5E62F903" w14:textId="1AEDB2B7" w:rsidR="00763235" w:rsidRPr="00015CB6" w:rsidRDefault="00763235"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 </w:t>
            </w:r>
          </w:p>
        </w:tc>
        <w:tc>
          <w:tcPr>
            <w:tcW w:w="760" w:type="pct"/>
            <w:tcBorders>
              <w:top w:val="nil"/>
              <w:left w:val="nil"/>
              <w:bottom w:val="single" w:sz="8" w:space="0" w:color="auto"/>
              <w:right w:val="nil"/>
            </w:tcBorders>
            <w:shd w:val="clear" w:color="auto" w:fill="auto"/>
            <w:noWrap/>
            <w:vAlign w:val="center"/>
          </w:tcPr>
          <w:p w14:paraId="2DC4E651" w14:textId="79E089D9" w:rsidR="00763235" w:rsidRPr="00015CB6" w:rsidRDefault="00763235" w:rsidP="00CC72FA">
            <w:pPr>
              <w:jc w:val="right"/>
              <w:rPr>
                <w:rFonts w:ascii="Calibri" w:eastAsia="Times New Roman" w:hAnsi="Calibri" w:cs="Arial"/>
                <w:b/>
                <w:bCs/>
                <w:color w:val="000000"/>
                <w:sz w:val="20"/>
                <w:szCs w:val="18"/>
                <w:lang w:eastAsia="en-GB"/>
              </w:rPr>
            </w:pPr>
          </w:p>
        </w:tc>
      </w:tr>
      <w:tr w:rsidR="00763235" w:rsidRPr="0077388B" w14:paraId="74959F88" w14:textId="77777777" w:rsidTr="00CC72FA">
        <w:trPr>
          <w:trHeight w:val="288"/>
        </w:trPr>
        <w:tc>
          <w:tcPr>
            <w:tcW w:w="2320" w:type="pct"/>
            <w:tcBorders>
              <w:top w:val="nil"/>
              <w:left w:val="nil"/>
              <w:bottom w:val="nil"/>
              <w:right w:val="nil"/>
            </w:tcBorders>
            <w:shd w:val="clear" w:color="auto" w:fill="auto"/>
            <w:noWrap/>
            <w:vAlign w:val="bottom"/>
            <w:hideMark/>
          </w:tcPr>
          <w:p w14:paraId="0C766B8A" w14:textId="77777777" w:rsidR="00763235" w:rsidRPr="0077388B" w:rsidRDefault="00763235" w:rsidP="00763235">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 xml:space="preserve">NET ASSETS </w:t>
            </w:r>
          </w:p>
        </w:tc>
        <w:tc>
          <w:tcPr>
            <w:tcW w:w="384" w:type="pct"/>
            <w:tcBorders>
              <w:top w:val="nil"/>
              <w:left w:val="nil"/>
              <w:bottom w:val="nil"/>
              <w:right w:val="nil"/>
            </w:tcBorders>
            <w:shd w:val="clear" w:color="auto" w:fill="auto"/>
            <w:noWrap/>
            <w:vAlign w:val="bottom"/>
            <w:hideMark/>
          </w:tcPr>
          <w:p w14:paraId="360840E9" w14:textId="77777777" w:rsidR="00763235" w:rsidRPr="0077388B" w:rsidRDefault="00763235" w:rsidP="00763235">
            <w:pPr>
              <w:rPr>
                <w:rFonts w:ascii="Calibri" w:eastAsia="Times New Roman" w:hAnsi="Calibri" w:cs="Arial"/>
                <w:b/>
                <w:bCs/>
                <w:color w:val="000000"/>
                <w:sz w:val="20"/>
                <w:szCs w:val="18"/>
                <w:lang w:eastAsia="en-GB"/>
              </w:rPr>
            </w:pPr>
          </w:p>
        </w:tc>
        <w:tc>
          <w:tcPr>
            <w:tcW w:w="776" w:type="pct"/>
            <w:tcBorders>
              <w:top w:val="nil"/>
              <w:left w:val="nil"/>
              <w:bottom w:val="single" w:sz="8" w:space="0" w:color="auto"/>
              <w:right w:val="nil"/>
            </w:tcBorders>
            <w:shd w:val="clear" w:color="auto" w:fill="auto"/>
            <w:noWrap/>
            <w:vAlign w:val="center"/>
          </w:tcPr>
          <w:p w14:paraId="75AEF1D3" w14:textId="583AE6CB" w:rsidR="00763235" w:rsidRPr="00015CB6" w:rsidRDefault="00210EFE" w:rsidP="00CC72FA">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5,758</w:t>
            </w:r>
          </w:p>
        </w:tc>
        <w:tc>
          <w:tcPr>
            <w:tcW w:w="760" w:type="pct"/>
            <w:tcBorders>
              <w:top w:val="nil"/>
              <w:left w:val="nil"/>
              <w:bottom w:val="single" w:sz="8" w:space="0" w:color="auto"/>
              <w:right w:val="nil"/>
            </w:tcBorders>
            <w:vAlign w:val="center"/>
          </w:tcPr>
          <w:p w14:paraId="5D44D438" w14:textId="438563ED" w:rsidR="00763235" w:rsidRPr="00015CB6" w:rsidRDefault="00B5041D"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2,401</w:t>
            </w:r>
          </w:p>
        </w:tc>
        <w:tc>
          <w:tcPr>
            <w:tcW w:w="760" w:type="pct"/>
            <w:tcBorders>
              <w:top w:val="nil"/>
              <w:left w:val="nil"/>
              <w:bottom w:val="single" w:sz="8" w:space="0" w:color="auto"/>
              <w:right w:val="nil"/>
            </w:tcBorders>
            <w:shd w:val="clear" w:color="auto" w:fill="auto"/>
            <w:noWrap/>
            <w:vAlign w:val="center"/>
          </w:tcPr>
          <w:p w14:paraId="53801AEC" w14:textId="2CCF3CB7" w:rsidR="00763235" w:rsidRPr="00015CB6" w:rsidRDefault="00B5041D"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4,99</w:t>
            </w:r>
            <w:r w:rsidR="0059230A">
              <w:rPr>
                <w:rFonts w:ascii="Calibri" w:eastAsia="Times New Roman" w:hAnsi="Calibri" w:cs="Arial"/>
                <w:b/>
                <w:bCs/>
                <w:color w:val="000000"/>
                <w:sz w:val="20"/>
                <w:szCs w:val="18"/>
                <w:lang w:eastAsia="en-GB"/>
              </w:rPr>
              <w:t>0</w:t>
            </w:r>
          </w:p>
        </w:tc>
      </w:tr>
      <w:tr w:rsidR="00763235" w:rsidRPr="0077388B" w14:paraId="63D4E0B4" w14:textId="77777777" w:rsidTr="00CC72FA">
        <w:trPr>
          <w:trHeight w:val="275"/>
        </w:trPr>
        <w:tc>
          <w:tcPr>
            <w:tcW w:w="2320" w:type="pct"/>
            <w:tcBorders>
              <w:top w:val="nil"/>
              <w:left w:val="nil"/>
              <w:bottom w:val="nil"/>
              <w:right w:val="nil"/>
            </w:tcBorders>
            <w:shd w:val="clear" w:color="auto" w:fill="auto"/>
            <w:noWrap/>
            <w:vAlign w:val="bottom"/>
            <w:hideMark/>
          </w:tcPr>
          <w:p w14:paraId="2B160F68" w14:textId="77777777" w:rsidR="00763235" w:rsidRPr="0077388B" w:rsidRDefault="00763235" w:rsidP="00763235">
            <w:pPr>
              <w:jc w:val="right"/>
              <w:rPr>
                <w:rFonts w:ascii="Calibri" w:eastAsia="Times New Roman" w:hAnsi="Calibri" w:cs="Arial"/>
                <w:color w:val="000000"/>
                <w:sz w:val="20"/>
                <w:szCs w:val="18"/>
                <w:lang w:eastAsia="en-GB"/>
              </w:rPr>
            </w:pPr>
          </w:p>
        </w:tc>
        <w:tc>
          <w:tcPr>
            <w:tcW w:w="384" w:type="pct"/>
            <w:tcBorders>
              <w:top w:val="nil"/>
              <w:left w:val="nil"/>
              <w:bottom w:val="nil"/>
              <w:right w:val="nil"/>
            </w:tcBorders>
            <w:shd w:val="clear" w:color="auto" w:fill="auto"/>
            <w:noWrap/>
            <w:vAlign w:val="bottom"/>
            <w:hideMark/>
          </w:tcPr>
          <w:p w14:paraId="0859CAF2" w14:textId="77777777" w:rsidR="00763235" w:rsidRPr="0077388B" w:rsidRDefault="00763235" w:rsidP="00763235">
            <w:pPr>
              <w:rPr>
                <w:rFonts w:ascii="Calibri" w:eastAsia="Times New Roman" w:hAnsi="Calibri"/>
                <w:sz w:val="20"/>
                <w:szCs w:val="20"/>
                <w:lang w:eastAsia="en-GB"/>
              </w:rPr>
            </w:pPr>
          </w:p>
        </w:tc>
        <w:tc>
          <w:tcPr>
            <w:tcW w:w="776" w:type="pct"/>
            <w:tcBorders>
              <w:top w:val="nil"/>
              <w:left w:val="nil"/>
              <w:bottom w:val="nil"/>
              <w:right w:val="nil"/>
            </w:tcBorders>
            <w:shd w:val="clear" w:color="auto" w:fill="auto"/>
            <w:noWrap/>
            <w:vAlign w:val="center"/>
          </w:tcPr>
          <w:p w14:paraId="77CB684C" w14:textId="77777777" w:rsidR="00763235" w:rsidRPr="00015CB6" w:rsidRDefault="00763235" w:rsidP="00CC72FA">
            <w:pPr>
              <w:jc w:val="right"/>
              <w:rPr>
                <w:rFonts w:ascii="Calibri" w:eastAsia="Times New Roman" w:hAnsi="Calibri"/>
                <w:b/>
                <w:bCs/>
                <w:sz w:val="20"/>
                <w:szCs w:val="20"/>
                <w:lang w:eastAsia="en-GB"/>
              </w:rPr>
            </w:pPr>
          </w:p>
        </w:tc>
        <w:tc>
          <w:tcPr>
            <w:tcW w:w="760" w:type="pct"/>
            <w:tcBorders>
              <w:top w:val="nil"/>
              <w:left w:val="nil"/>
              <w:bottom w:val="nil"/>
              <w:right w:val="nil"/>
            </w:tcBorders>
            <w:vAlign w:val="center"/>
          </w:tcPr>
          <w:p w14:paraId="5003DCF4" w14:textId="77777777" w:rsidR="00763235" w:rsidRPr="00015CB6" w:rsidRDefault="00763235" w:rsidP="00CC72FA">
            <w:pPr>
              <w:jc w:val="right"/>
              <w:rPr>
                <w:rFonts w:ascii="Calibri" w:eastAsia="Times New Roman" w:hAnsi="Calibri"/>
                <w:b/>
                <w:bCs/>
                <w:sz w:val="20"/>
                <w:szCs w:val="20"/>
                <w:lang w:eastAsia="en-GB"/>
              </w:rPr>
            </w:pPr>
          </w:p>
        </w:tc>
        <w:tc>
          <w:tcPr>
            <w:tcW w:w="760" w:type="pct"/>
            <w:tcBorders>
              <w:top w:val="nil"/>
              <w:left w:val="nil"/>
              <w:bottom w:val="nil"/>
              <w:right w:val="nil"/>
            </w:tcBorders>
            <w:shd w:val="clear" w:color="auto" w:fill="auto"/>
            <w:noWrap/>
            <w:vAlign w:val="center"/>
          </w:tcPr>
          <w:p w14:paraId="516D2943" w14:textId="348E3E96" w:rsidR="00763235" w:rsidRPr="00015CB6" w:rsidRDefault="00763235" w:rsidP="00CC72FA">
            <w:pPr>
              <w:jc w:val="right"/>
              <w:rPr>
                <w:rFonts w:ascii="Calibri" w:eastAsia="Times New Roman" w:hAnsi="Calibri"/>
                <w:b/>
                <w:bCs/>
                <w:sz w:val="20"/>
                <w:szCs w:val="20"/>
                <w:lang w:eastAsia="en-GB"/>
              </w:rPr>
            </w:pPr>
          </w:p>
        </w:tc>
      </w:tr>
      <w:tr w:rsidR="00763235" w:rsidRPr="0077388B" w14:paraId="3410771B" w14:textId="77777777" w:rsidTr="00CC72FA">
        <w:trPr>
          <w:trHeight w:val="314"/>
        </w:trPr>
        <w:tc>
          <w:tcPr>
            <w:tcW w:w="2320" w:type="pct"/>
            <w:tcBorders>
              <w:top w:val="nil"/>
              <w:left w:val="nil"/>
              <w:bottom w:val="nil"/>
              <w:right w:val="nil"/>
            </w:tcBorders>
            <w:shd w:val="clear" w:color="auto" w:fill="auto"/>
            <w:noWrap/>
            <w:vAlign w:val="bottom"/>
            <w:hideMark/>
          </w:tcPr>
          <w:p w14:paraId="78BD52C5" w14:textId="77777777" w:rsidR="00763235" w:rsidRPr="0077388B" w:rsidRDefault="00763235" w:rsidP="00763235">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SHAREHOLDERS’ EQUITY</w:t>
            </w:r>
          </w:p>
        </w:tc>
        <w:tc>
          <w:tcPr>
            <w:tcW w:w="384" w:type="pct"/>
            <w:tcBorders>
              <w:top w:val="nil"/>
              <w:left w:val="nil"/>
              <w:bottom w:val="nil"/>
              <w:right w:val="nil"/>
            </w:tcBorders>
            <w:shd w:val="clear" w:color="auto" w:fill="auto"/>
            <w:noWrap/>
            <w:vAlign w:val="bottom"/>
            <w:hideMark/>
          </w:tcPr>
          <w:p w14:paraId="121D59AA" w14:textId="77777777" w:rsidR="00763235" w:rsidRPr="0077388B" w:rsidRDefault="00763235" w:rsidP="00763235">
            <w:pPr>
              <w:rPr>
                <w:rFonts w:ascii="Calibri" w:eastAsia="Times New Roman" w:hAnsi="Calibri" w:cs="Arial"/>
                <w:b/>
                <w:bCs/>
                <w:color w:val="000000"/>
                <w:sz w:val="20"/>
                <w:szCs w:val="18"/>
                <w:lang w:eastAsia="en-GB"/>
              </w:rPr>
            </w:pPr>
          </w:p>
        </w:tc>
        <w:tc>
          <w:tcPr>
            <w:tcW w:w="776" w:type="pct"/>
            <w:tcBorders>
              <w:top w:val="nil"/>
              <w:left w:val="nil"/>
              <w:bottom w:val="nil"/>
              <w:right w:val="nil"/>
            </w:tcBorders>
            <w:shd w:val="clear" w:color="auto" w:fill="auto"/>
            <w:noWrap/>
            <w:vAlign w:val="center"/>
          </w:tcPr>
          <w:p w14:paraId="0B05793F" w14:textId="77777777" w:rsidR="00763235" w:rsidRPr="00015CB6" w:rsidRDefault="00763235" w:rsidP="00CC72FA">
            <w:pPr>
              <w:jc w:val="right"/>
              <w:rPr>
                <w:rFonts w:ascii="Calibri" w:eastAsia="Times New Roman" w:hAnsi="Calibri"/>
                <w:b/>
                <w:bCs/>
                <w:sz w:val="20"/>
                <w:szCs w:val="20"/>
                <w:lang w:eastAsia="en-GB"/>
              </w:rPr>
            </w:pPr>
          </w:p>
        </w:tc>
        <w:tc>
          <w:tcPr>
            <w:tcW w:w="760" w:type="pct"/>
            <w:tcBorders>
              <w:top w:val="nil"/>
              <w:left w:val="nil"/>
              <w:bottom w:val="nil"/>
              <w:right w:val="nil"/>
            </w:tcBorders>
            <w:vAlign w:val="center"/>
          </w:tcPr>
          <w:p w14:paraId="231734CA" w14:textId="77777777" w:rsidR="00763235" w:rsidRPr="00015CB6" w:rsidRDefault="00763235" w:rsidP="00CC72FA">
            <w:pPr>
              <w:jc w:val="right"/>
              <w:rPr>
                <w:rFonts w:ascii="Calibri" w:eastAsia="Times New Roman" w:hAnsi="Calibri"/>
                <w:b/>
                <w:bCs/>
                <w:sz w:val="20"/>
                <w:szCs w:val="20"/>
                <w:lang w:eastAsia="en-GB"/>
              </w:rPr>
            </w:pPr>
          </w:p>
        </w:tc>
        <w:tc>
          <w:tcPr>
            <w:tcW w:w="760" w:type="pct"/>
            <w:tcBorders>
              <w:top w:val="nil"/>
              <w:left w:val="nil"/>
              <w:bottom w:val="nil"/>
              <w:right w:val="nil"/>
            </w:tcBorders>
            <w:shd w:val="clear" w:color="auto" w:fill="auto"/>
            <w:noWrap/>
            <w:vAlign w:val="center"/>
          </w:tcPr>
          <w:p w14:paraId="6C0918FC" w14:textId="3F405C06" w:rsidR="00763235" w:rsidRPr="00015CB6" w:rsidRDefault="00763235" w:rsidP="00CC72FA">
            <w:pPr>
              <w:jc w:val="right"/>
              <w:rPr>
                <w:rFonts w:ascii="Calibri" w:eastAsia="Times New Roman" w:hAnsi="Calibri"/>
                <w:b/>
                <w:bCs/>
                <w:sz w:val="20"/>
                <w:szCs w:val="20"/>
                <w:lang w:eastAsia="en-GB"/>
              </w:rPr>
            </w:pPr>
          </w:p>
        </w:tc>
      </w:tr>
      <w:tr w:rsidR="00763235" w:rsidRPr="0077388B" w14:paraId="05DC28EE" w14:textId="77777777" w:rsidTr="00CC72FA">
        <w:trPr>
          <w:trHeight w:val="275"/>
        </w:trPr>
        <w:tc>
          <w:tcPr>
            <w:tcW w:w="2320" w:type="pct"/>
            <w:tcBorders>
              <w:top w:val="nil"/>
              <w:left w:val="nil"/>
              <w:bottom w:val="nil"/>
              <w:right w:val="nil"/>
            </w:tcBorders>
            <w:shd w:val="clear" w:color="auto" w:fill="auto"/>
            <w:noWrap/>
            <w:vAlign w:val="bottom"/>
            <w:hideMark/>
          </w:tcPr>
          <w:p w14:paraId="76B60E83" w14:textId="77777777" w:rsidR="00763235" w:rsidRPr="0077388B" w:rsidRDefault="00763235" w:rsidP="00763235">
            <w:pPr>
              <w:rPr>
                <w:rFonts w:ascii="Calibri" w:eastAsia="Times New Roman" w:hAnsi="Calibri" w:cs="Arial"/>
                <w:color w:val="000000"/>
                <w:sz w:val="20"/>
                <w:szCs w:val="18"/>
                <w:lang w:eastAsia="en-GB"/>
              </w:rPr>
            </w:pPr>
            <w:r w:rsidRPr="0077388B">
              <w:rPr>
                <w:rFonts w:ascii="Calibri" w:eastAsia="Times New Roman" w:hAnsi="Calibri" w:cs="Arial"/>
                <w:color w:val="000000"/>
                <w:sz w:val="20"/>
                <w:szCs w:val="18"/>
                <w:lang w:eastAsia="en-GB"/>
              </w:rPr>
              <w:t xml:space="preserve">Share </w:t>
            </w:r>
            <w:r>
              <w:rPr>
                <w:rFonts w:ascii="Calibri" w:eastAsia="Times New Roman" w:hAnsi="Calibri" w:cs="Arial"/>
                <w:color w:val="000000"/>
                <w:sz w:val="20"/>
                <w:szCs w:val="18"/>
                <w:lang w:eastAsia="en-GB"/>
              </w:rPr>
              <w:t>c</w:t>
            </w:r>
            <w:r w:rsidRPr="0077388B">
              <w:rPr>
                <w:rFonts w:ascii="Calibri" w:eastAsia="Times New Roman" w:hAnsi="Calibri" w:cs="Arial"/>
                <w:color w:val="000000"/>
                <w:sz w:val="20"/>
                <w:szCs w:val="18"/>
                <w:lang w:eastAsia="en-GB"/>
              </w:rPr>
              <w:t>apital</w:t>
            </w:r>
          </w:p>
        </w:tc>
        <w:tc>
          <w:tcPr>
            <w:tcW w:w="384" w:type="pct"/>
            <w:tcBorders>
              <w:top w:val="nil"/>
              <w:left w:val="nil"/>
              <w:bottom w:val="nil"/>
              <w:right w:val="nil"/>
            </w:tcBorders>
            <w:shd w:val="clear" w:color="auto" w:fill="auto"/>
            <w:noWrap/>
            <w:vAlign w:val="bottom"/>
            <w:hideMark/>
          </w:tcPr>
          <w:p w14:paraId="4157B146" w14:textId="77777777" w:rsidR="00763235" w:rsidRPr="0077388B" w:rsidRDefault="00763235" w:rsidP="00763235">
            <w:pPr>
              <w:jc w:val="center"/>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5</w:t>
            </w:r>
          </w:p>
        </w:tc>
        <w:tc>
          <w:tcPr>
            <w:tcW w:w="776" w:type="pct"/>
            <w:tcBorders>
              <w:top w:val="nil"/>
              <w:left w:val="nil"/>
              <w:bottom w:val="nil"/>
              <w:right w:val="nil"/>
            </w:tcBorders>
            <w:shd w:val="clear" w:color="auto" w:fill="auto"/>
            <w:noWrap/>
            <w:vAlign w:val="center"/>
          </w:tcPr>
          <w:p w14:paraId="5C38A3AB" w14:textId="140A05C8" w:rsidR="00763235" w:rsidRPr="00015CB6" w:rsidRDefault="00B5041D"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486</w:t>
            </w:r>
          </w:p>
        </w:tc>
        <w:tc>
          <w:tcPr>
            <w:tcW w:w="760" w:type="pct"/>
            <w:tcBorders>
              <w:top w:val="nil"/>
              <w:left w:val="nil"/>
              <w:bottom w:val="nil"/>
              <w:right w:val="nil"/>
            </w:tcBorders>
            <w:vAlign w:val="center"/>
          </w:tcPr>
          <w:p w14:paraId="556F3302" w14:textId="3F9A8FE6" w:rsidR="00763235" w:rsidRPr="00015CB6" w:rsidRDefault="00763235"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 xml:space="preserve">         2</w:t>
            </w:r>
            <w:r w:rsidR="00B5041D" w:rsidRPr="00015CB6">
              <w:rPr>
                <w:rFonts w:ascii="Calibri" w:eastAsia="Times New Roman" w:hAnsi="Calibri" w:cs="Arial"/>
                <w:b/>
                <w:bCs/>
                <w:color w:val="000000"/>
                <w:sz w:val="20"/>
                <w:szCs w:val="18"/>
                <w:lang w:eastAsia="en-GB"/>
              </w:rPr>
              <w:t>40</w:t>
            </w:r>
            <w:r w:rsidRPr="00015CB6">
              <w:rPr>
                <w:rFonts w:ascii="Calibri" w:eastAsia="Times New Roman" w:hAnsi="Calibri" w:cs="Arial"/>
                <w:b/>
                <w:bCs/>
                <w:color w:val="000000"/>
                <w:sz w:val="20"/>
                <w:szCs w:val="18"/>
                <w:lang w:eastAsia="en-GB"/>
              </w:rPr>
              <w:t xml:space="preserve"> </w:t>
            </w:r>
          </w:p>
        </w:tc>
        <w:tc>
          <w:tcPr>
            <w:tcW w:w="760" w:type="pct"/>
            <w:tcBorders>
              <w:top w:val="nil"/>
              <w:left w:val="nil"/>
              <w:bottom w:val="nil"/>
              <w:right w:val="nil"/>
            </w:tcBorders>
            <w:shd w:val="clear" w:color="auto" w:fill="auto"/>
            <w:noWrap/>
            <w:vAlign w:val="center"/>
          </w:tcPr>
          <w:p w14:paraId="03EBBDC7" w14:textId="15CC252C" w:rsidR="00763235" w:rsidRPr="00015CB6" w:rsidRDefault="00B5041D"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390</w:t>
            </w:r>
          </w:p>
        </w:tc>
      </w:tr>
      <w:tr w:rsidR="00B5041D" w:rsidRPr="0077388B" w14:paraId="30A80626" w14:textId="77777777" w:rsidTr="00CC72FA">
        <w:trPr>
          <w:trHeight w:val="275"/>
        </w:trPr>
        <w:tc>
          <w:tcPr>
            <w:tcW w:w="2320" w:type="pct"/>
            <w:tcBorders>
              <w:top w:val="nil"/>
              <w:left w:val="nil"/>
              <w:bottom w:val="nil"/>
              <w:right w:val="nil"/>
            </w:tcBorders>
            <w:shd w:val="clear" w:color="auto" w:fill="auto"/>
            <w:noWrap/>
            <w:vAlign w:val="bottom"/>
          </w:tcPr>
          <w:p w14:paraId="415FE472" w14:textId="5A4EF53E" w:rsidR="00B5041D" w:rsidRPr="0077388B" w:rsidRDefault="00B5041D" w:rsidP="00763235">
            <w:pPr>
              <w:rPr>
                <w:rFonts w:ascii="Calibri" w:eastAsia="Times New Roman" w:hAnsi="Calibri" w:cs="Arial"/>
                <w:color w:val="000000"/>
                <w:sz w:val="20"/>
                <w:szCs w:val="18"/>
                <w:lang w:eastAsia="en-GB"/>
              </w:rPr>
            </w:pPr>
            <w:r w:rsidRPr="0077388B">
              <w:rPr>
                <w:rFonts w:ascii="Calibri" w:eastAsia="Times New Roman" w:hAnsi="Calibri" w:cs="Arial"/>
                <w:color w:val="000000"/>
                <w:sz w:val="20"/>
                <w:szCs w:val="18"/>
                <w:lang w:eastAsia="en-GB"/>
              </w:rPr>
              <w:t xml:space="preserve">Share premium </w:t>
            </w:r>
          </w:p>
        </w:tc>
        <w:tc>
          <w:tcPr>
            <w:tcW w:w="384" w:type="pct"/>
            <w:tcBorders>
              <w:top w:val="nil"/>
              <w:left w:val="nil"/>
              <w:bottom w:val="nil"/>
              <w:right w:val="nil"/>
            </w:tcBorders>
            <w:shd w:val="clear" w:color="auto" w:fill="auto"/>
            <w:noWrap/>
            <w:vAlign w:val="bottom"/>
          </w:tcPr>
          <w:p w14:paraId="16CBBE76" w14:textId="77777777" w:rsidR="00B5041D" w:rsidRDefault="00B5041D" w:rsidP="00763235">
            <w:pPr>
              <w:jc w:val="center"/>
              <w:rPr>
                <w:rFonts w:ascii="Calibri" w:eastAsia="Times New Roman" w:hAnsi="Calibri" w:cs="Arial"/>
                <w:b/>
                <w:bCs/>
                <w:color w:val="000000"/>
                <w:sz w:val="20"/>
                <w:szCs w:val="18"/>
                <w:lang w:eastAsia="en-GB"/>
              </w:rPr>
            </w:pPr>
          </w:p>
        </w:tc>
        <w:tc>
          <w:tcPr>
            <w:tcW w:w="776" w:type="pct"/>
            <w:tcBorders>
              <w:top w:val="nil"/>
              <w:left w:val="nil"/>
              <w:bottom w:val="nil"/>
              <w:right w:val="nil"/>
            </w:tcBorders>
            <w:shd w:val="clear" w:color="auto" w:fill="auto"/>
            <w:noWrap/>
            <w:vAlign w:val="center"/>
          </w:tcPr>
          <w:p w14:paraId="21566E90" w14:textId="59EACCB5" w:rsidR="00B5041D" w:rsidRPr="00015CB6" w:rsidRDefault="00B5041D"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9,545</w:t>
            </w:r>
          </w:p>
        </w:tc>
        <w:tc>
          <w:tcPr>
            <w:tcW w:w="760" w:type="pct"/>
            <w:tcBorders>
              <w:top w:val="nil"/>
              <w:left w:val="nil"/>
              <w:bottom w:val="nil"/>
              <w:right w:val="nil"/>
            </w:tcBorders>
            <w:vAlign w:val="center"/>
          </w:tcPr>
          <w:p w14:paraId="0BDC5EE9" w14:textId="09569B0C" w:rsidR="00B5041D" w:rsidRPr="00015CB6" w:rsidRDefault="00B5041D"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6,084</w:t>
            </w:r>
          </w:p>
        </w:tc>
        <w:tc>
          <w:tcPr>
            <w:tcW w:w="760" w:type="pct"/>
            <w:tcBorders>
              <w:top w:val="nil"/>
              <w:left w:val="nil"/>
              <w:bottom w:val="nil"/>
              <w:right w:val="nil"/>
            </w:tcBorders>
            <w:shd w:val="clear" w:color="auto" w:fill="auto"/>
            <w:noWrap/>
            <w:vAlign w:val="center"/>
          </w:tcPr>
          <w:p w14:paraId="2031C6E5" w14:textId="2E258D98" w:rsidR="00B5041D" w:rsidRPr="00015CB6" w:rsidRDefault="00B5041D"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8,272</w:t>
            </w:r>
          </w:p>
        </w:tc>
      </w:tr>
      <w:tr w:rsidR="00B5041D" w:rsidRPr="0077388B" w14:paraId="6A750815" w14:textId="77777777" w:rsidTr="00CC72FA">
        <w:trPr>
          <w:trHeight w:val="275"/>
        </w:trPr>
        <w:tc>
          <w:tcPr>
            <w:tcW w:w="2320" w:type="pct"/>
            <w:tcBorders>
              <w:top w:val="nil"/>
              <w:left w:val="nil"/>
              <w:bottom w:val="nil"/>
              <w:right w:val="nil"/>
            </w:tcBorders>
            <w:shd w:val="clear" w:color="auto" w:fill="auto"/>
            <w:noWrap/>
            <w:vAlign w:val="bottom"/>
          </w:tcPr>
          <w:p w14:paraId="11DDD88A" w14:textId="394ED31B" w:rsidR="00B5041D" w:rsidRPr="0077388B" w:rsidRDefault="00B5041D" w:rsidP="00763235">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Share option reserve</w:t>
            </w:r>
          </w:p>
        </w:tc>
        <w:tc>
          <w:tcPr>
            <w:tcW w:w="384" w:type="pct"/>
            <w:tcBorders>
              <w:top w:val="nil"/>
              <w:left w:val="nil"/>
              <w:bottom w:val="nil"/>
              <w:right w:val="nil"/>
            </w:tcBorders>
            <w:shd w:val="clear" w:color="auto" w:fill="auto"/>
            <w:noWrap/>
            <w:vAlign w:val="bottom"/>
          </w:tcPr>
          <w:p w14:paraId="06C8D62A" w14:textId="77777777" w:rsidR="00B5041D" w:rsidRDefault="00B5041D" w:rsidP="00763235">
            <w:pPr>
              <w:jc w:val="center"/>
              <w:rPr>
                <w:rFonts w:ascii="Calibri" w:eastAsia="Times New Roman" w:hAnsi="Calibri" w:cs="Arial"/>
                <w:b/>
                <w:bCs/>
                <w:color w:val="000000"/>
                <w:sz w:val="20"/>
                <w:szCs w:val="18"/>
                <w:lang w:eastAsia="en-GB"/>
              </w:rPr>
            </w:pPr>
          </w:p>
        </w:tc>
        <w:tc>
          <w:tcPr>
            <w:tcW w:w="776" w:type="pct"/>
            <w:tcBorders>
              <w:top w:val="nil"/>
              <w:left w:val="nil"/>
              <w:bottom w:val="nil"/>
              <w:right w:val="nil"/>
            </w:tcBorders>
            <w:shd w:val="clear" w:color="auto" w:fill="auto"/>
            <w:noWrap/>
            <w:vAlign w:val="center"/>
          </w:tcPr>
          <w:p w14:paraId="61CCCD4A" w14:textId="766BB0A9" w:rsidR="00B5041D" w:rsidRPr="00015CB6" w:rsidRDefault="00B5041D"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28</w:t>
            </w:r>
            <w:r w:rsidR="009D2A38">
              <w:rPr>
                <w:rFonts w:ascii="Calibri" w:eastAsia="Times New Roman" w:hAnsi="Calibri" w:cs="Arial"/>
                <w:b/>
                <w:bCs/>
                <w:color w:val="000000"/>
                <w:sz w:val="20"/>
                <w:szCs w:val="18"/>
                <w:lang w:eastAsia="en-GB"/>
              </w:rPr>
              <w:t>8</w:t>
            </w:r>
          </w:p>
        </w:tc>
        <w:tc>
          <w:tcPr>
            <w:tcW w:w="760" w:type="pct"/>
            <w:tcBorders>
              <w:top w:val="nil"/>
              <w:left w:val="nil"/>
              <w:bottom w:val="nil"/>
              <w:right w:val="nil"/>
            </w:tcBorders>
            <w:vAlign w:val="center"/>
          </w:tcPr>
          <w:p w14:paraId="08EC8D64" w14:textId="583F5746" w:rsidR="00B5041D" w:rsidRPr="00015CB6" w:rsidRDefault="00B5041D"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289</w:t>
            </w:r>
          </w:p>
        </w:tc>
        <w:tc>
          <w:tcPr>
            <w:tcW w:w="760" w:type="pct"/>
            <w:tcBorders>
              <w:top w:val="nil"/>
              <w:left w:val="nil"/>
              <w:bottom w:val="nil"/>
              <w:right w:val="nil"/>
            </w:tcBorders>
            <w:shd w:val="clear" w:color="auto" w:fill="auto"/>
            <w:noWrap/>
            <w:vAlign w:val="center"/>
          </w:tcPr>
          <w:p w14:paraId="75F8F251" w14:textId="581C2AB4" w:rsidR="00B5041D" w:rsidRPr="00015CB6" w:rsidRDefault="00B5041D"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277</w:t>
            </w:r>
          </w:p>
        </w:tc>
      </w:tr>
      <w:tr w:rsidR="00B5041D" w:rsidRPr="0077388B" w14:paraId="4BC40BF9" w14:textId="77777777" w:rsidTr="00CC72FA">
        <w:trPr>
          <w:trHeight w:val="275"/>
        </w:trPr>
        <w:tc>
          <w:tcPr>
            <w:tcW w:w="2320" w:type="pct"/>
            <w:tcBorders>
              <w:top w:val="nil"/>
              <w:left w:val="nil"/>
              <w:bottom w:val="nil"/>
              <w:right w:val="nil"/>
            </w:tcBorders>
            <w:shd w:val="clear" w:color="auto" w:fill="auto"/>
            <w:noWrap/>
            <w:vAlign w:val="bottom"/>
          </w:tcPr>
          <w:p w14:paraId="2D0C1B22" w14:textId="54F43CB2" w:rsidR="00B5041D" w:rsidRPr="0077388B" w:rsidRDefault="00B5041D" w:rsidP="00763235">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Warrant reserve</w:t>
            </w:r>
          </w:p>
        </w:tc>
        <w:tc>
          <w:tcPr>
            <w:tcW w:w="384" w:type="pct"/>
            <w:tcBorders>
              <w:top w:val="nil"/>
              <w:left w:val="nil"/>
              <w:bottom w:val="nil"/>
              <w:right w:val="nil"/>
            </w:tcBorders>
            <w:shd w:val="clear" w:color="auto" w:fill="auto"/>
            <w:noWrap/>
            <w:vAlign w:val="bottom"/>
          </w:tcPr>
          <w:p w14:paraId="4479C277" w14:textId="77777777" w:rsidR="00B5041D" w:rsidRPr="0077388B" w:rsidRDefault="00B5041D" w:rsidP="00763235">
            <w:pPr>
              <w:rPr>
                <w:rFonts w:ascii="Calibri" w:eastAsia="Times New Roman" w:hAnsi="Calibri" w:cs="Arial"/>
                <w:color w:val="000000"/>
                <w:sz w:val="20"/>
                <w:szCs w:val="18"/>
                <w:lang w:eastAsia="en-GB"/>
              </w:rPr>
            </w:pPr>
          </w:p>
        </w:tc>
        <w:tc>
          <w:tcPr>
            <w:tcW w:w="776" w:type="pct"/>
            <w:tcBorders>
              <w:top w:val="nil"/>
              <w:left w:val="nil"/>
              <w:bottom w:val="nil"/>
              <w:right w:val="nil"/>
            </w:tcBorders>
            <w:shd w:val="clear" w:color="auto" w:fill="auto"/>
            <w:noWrap/>
            <w:vAlign w:val="center"/>
          </w:tcPr>
          <w:p w14:paraId="0E262447" w14:textId="6D859ACD" w:rsidR="00B5041D" w:rsidRPr="00015CB6" w:rsidRDefault="00B5041D"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404</w:t>
            </w:r>
          </w:p>
        </w:tc>
        <w:tc>
          <w:tcPr>
            <w:tcW w:w="760" w:type="pct"/>
            <w:tcBorders>
              <w:top w:val="nil"/>
              <w:left w:val="nil"/>
              <w:bottom w:val="nil"/>
              <w:right w:val="nil"/>
            </w:tcBorders>
            <w:vAlign w:val="center"/>
          </w:tcPr>
          <w:p w14:paraId="684A717C" w14:textId="110407A1" w:rsidR="00B5041D" w:rsidRPr="00015CB6" w:rsidRDefault="00B5041D"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w:t>
            </w:r>
          </w:p>
        </w:tc>
        <w:tc>
          <w:tcPr>
            <w:tcW w:w="760" w:type="pct"/>
            <w:tcBorders>
              <w:top w:val="nil"/>
              <w:left w:val="nil"/>
              <w:bottom w:val="nil"/>
              <w:right w:val="nil"/>
            </w:tcBorders>
            <w:shd w:val="clear" w:color="auto" w:fill="auto"/>
            <w:noWrap/>
            <w:vAlign w:val="center"/>
          </w:tcPr>
          <w:p w14:paraId="0AF09D02" w14:textId="789E5AE9" w:rsidR="00B5041D" w:rsidRPr="00015CB6" w:rsidRDefault="00B5041D"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404</w:t>
            </w:r>
          </w:p>
        </w:tc>
      </w:tr>
      <w:tr w:rsidR="00763235" w:rsidRPr="0077388B" w14:paraId="47372DF1" w14:textId="77777777" w:rsidTr="00CC72FA">
        <w:trPr>
          <w:trHeight w:val="275"/>
        </w:trPr>
        <w:tc>
          <w:tcPr>
            <w:tcW w:w="2320" w:type="pct"/>
            <w:tcBorders>
              <w:top w:val="nil"/>
              <w:left w:val="nil"/>
              <w:bottom w:val="nil"/>
              <w:right w:val="nil"/>
            </w:tcBorders>
            <w:shd w:val="clear" w:color="auto" w:fill="auto"/>
            <w:noWrap/>
            <w:vAlign w:val="bottom"/>
          </w:tcPr>
          <w:p w14:paraId="6C5A1D6F" w14:textId="77777777" w:rsidR="00763235" w:rsidRPr="0077388B" w:rsidRDefault="00763235" w:rsidP="00763235">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Reorganisation reserve</w:t>
            </w:r>
          </w:p>
        </w:tc>
        <w:tc>
          <w:tcPr>
            <w:tcW w:w="384" w:type="pct"/>
            <w:tcBorders>
              <w:top w:val="nil"/>
              <w:left w:val="nil"/>
              <w:bottom w:val="nil"/>
              <w:right w:val="nil"/>
            </w:tcBorders>
            <w:shd w:val="clear" w:color="auto" w:fill="auto"/>
            <w:noWrap/>
            <w:vAlign w:val="bottom"/>
          </w:tcPr>
          <w:p w14:paraId="58281E90" w14:textId="77777777" w:rsidR="00763235" w:rsidRPr="0077388B" w:rsidRDefault="00763235" w:rsidP="00763235">
            <w:pPr>
              <w:rPr>
                <w:rFonts w:ascii="Calibri" w:eastAsia="Times New Roman" w:hAnsi="Calibri" w:cs="Arial"/>
                <w:color w:val="000000"/>
                <w:sz w:val="20"/>
                <w:szCs w:val="18"/>
                <w:lang w:eastAsia="en-GB"/>
              </w:rPr>
            </w:pPr>
          </w:p>
        </w:tc>
        <w:tc>
          <w:tcPr>
            <w:tcW w:w="776" w:type="pct"/>
            <w:tcBorders>
              <w:top w:val="nil"/>
              <w:left w:val="nil"/>
              <w:bottom w:val="nil"/>
              <w:right w:val="nil"/>
            </w:tcBorders>
            <w:shd w:val="clear" w:color="auto" w:fill="auto"/>
            <w:noWrap/>
            <w:vAlign w:val="center"/>
          </w:tcPr>
          <w:p w14:paraId="1629623E" w14:textId="5A8025AD" w:rsidR="00763235" w:rsidRPr="00015CB6" w:rsidRDefault="00B5041D"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(1,591)</w:t>
            </w:r>
          </w:p>
        </w:tc>
        <w:tc>
          <w:tcPr>
            <w:tcW w:w="760" w:type="pct"/>
            <w:tcBorders>
              <w:top w:val="nil"/>
              <w:left w:val="nil"/>
              <w:bottom w:val="nil"/>
              <w:right w:val="nil"/>
            </w:tcBorders>
            <w:vAlign w:val="center"/>
          </w:tcPr>
          <w:p w14:paraId="07EF36CF" w14:textId="2B49B1CC" w:rsidR="00763235" w:rsidRPr="00015CB6" w:rsidRDefault="00763235"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 xml:space="preserve">             (1,591)</w:t>
            </w:r>
          </w:p>
        </w:tc>
        <w:tc>
          <w:tcPr>
            <w:tcW w:w="760" w:type="pct"/>
            <w:tcBorders>
              <w:top w:val="nil"/>
              <w:left w:val="nil"/>
              <w:bottom w:val="nil"/>
              <w:right w:val="nil"/>
            </w:tcBorders>
            <w:shd w:val="clear" w:color="auto" w:fill="auto"/>
            <w:noWrap/>
            <w:vAlign w:val="center"/>
          </w:tcPr>
          <w:p w14:paraId="4CAA9587" w14:textId="240DF452" w:rsidR="00763235" w:rsidRPr="00015CB6" w:rsidRDefault="00B5041D"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(1,591)</w:t>
            </w:r>
          </w:p>
        </w:tc>
      </w:tr>
      <w:tr w:rsidR="00763235" w:rsidRPr="0077388B" w14:paraId="5E54DAE4" w14:textId="77777777" w:rsidTr="00CC72FA">
        <w:trPr>
          <w:trHeight w:val="275"/>
        </w:trPr>
        <w:tc>
          <w:tcPr>
            <w:tcW w:w="2320" w:type="pct"/>
            <w:tcBorders>
              <w:top w:val="nil"/>
              <w:left w:val="nil"/>
              <w:bottom w:val="nil"/>
              <w:right w:val="nil"/>
            </w:tcBorders>
            <w:shd w:val="clear" w:color="auto" w:fill="auto"/>
            <w:noWrap/>
            <w:vAlign w:val="bottom"/>
            <w:hideMark/>
          </w:tcPr>
          <w:p w14:paraId="2AEA3E7C" w14:textId="77777777" w:rsidR="00763235" w:rsidRPr="0077388B" w:rsidRDefault="00763235" w:rsidP="00763235">
            <w:pPr>
              <w:rPr>
                <w:rFonts w:ascii="Calibri" w:eastAsia="Times New Roman" w:hAnsi="Calibri" w:cs="Arial"/>
                <w:color w:val="000000"/>
                <w:sz w:val="20"/>
                <w:szCs w:val="18"/>
                <w:lang w:eastAsia="en-GB"/>
              </w:rPr>
            </w:pPr>
            <w:r w:rsidRPr="0077388B">
              <w:rPr>
                <w:rFonts w:ascii="Calibri" w:eastAsia="Times New Roman" w:hAnsi="Calibri" w:cs="Arial"/>
                <w:color w:val="000000"/>
                <w:sz w:val="20"/>
                <w:szCs w:val="18"/>
                <w:lang w:eastAsia="en-GB"/>
              </w:rPr>
              <w:t xml:space="preserve">Foreign exchange reserve </w:t>
            </w:r>
          </w:p>
        </w:tc>
        <w:tc>
          <w:tcPr>
            <w:tcW w:w="384" w:type="pct"/>
            <w:tcBorders>
              <w:top w:val="nil"/>
              <w:left w:val="nil"/>
              <w:bottom w:val="nil"/>
              <w:right w:val="nil"/>
            </w:tcBorders>
            <w:shd w:val="clear" w:color="auto" w:fill="auto"/>
            <w:noWrap/>
            <w:vAlign w:val="bottom"/>
            <w:hideMark/>
          </w:tcPr>
          <w:p w14:paraId="776BDCE8" w14:textId="77777777" w:rsidR="00763235" w:rsidRPr="0077388B" w:rsidRDefault="00763235" w:rsidP="00763235">
            <w:pPr>
              <w:rPr>
                <w:rFonts w:ascii="Calibri" w:eastAsia="Times New Roman" w:hAnsi="Calibri" w:cs="Arial"/>
                <w:color w:val="000000"/>
                <w:sz w:val="20"/>
                <w:szCs w:val="18"/>
                <w:lang w:eastAsia="en-GB"/>
              </w:rPr>
            </w:pPr>
          </w:p>
        </w:tc>
        <w:tc>
          <w:tcPr>
            <w:tcW w:w="776" w:type="pct"/>
            <w:tcBorders>
              <w:top w:val="nil"/>
              <w:left w:val="nil"/>
              <w:bottom w:val="nil"/>
              <w:right w:val="nil"/>
            </w:tcBorders>
            <w:shd w:val="clear" w:color="auto" w:fill="auto"/>
            <w:noWrap/>
            <w:vAlign w:val="center"/>
          </w:tcPr>
          <w:p w14:paraId="0006A386" w14:textId="22EAE720" w:rsidR="00763235" w:rsidRPr="00015CB6" w:rsidRDefault="00210EFE" w:rsidP="00CC72FA">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(7)</w:t>
            </w:r>
          </w:p>
        </w:tc>
        <w:tc>
          <w:tcPr>
            <w:tcW w:w="760" w:type="pct"/>
            <w:tcBorders>
              <w:top w:val="nil"/>
              <w:left w:val="nil"/>
              <w:bottom w:val="nil"/>
              <w:right w:val="nil"/>
            </w:tcBorders>
            <w:vAlign w:val="center"/>
          </w:tcPr>
          <w:p w14:paraId="17F3B1EB" w14:textId="25B15460" w:rsidR="00763235" w:rsidRPr="00015CB6" w:rsidRDefault="00763235"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 xml:space="preserve">                (</w:t>
            </w:r>
            <w:r w:rsidR="00B5041D" w:rsidRPr="00015CB6">
              <w:rPr>
                <w:rFonts w:ascii="Calibri" w:eastAsia="Times New Roman" w:hAnsi="Calibri" w:cs="Arial"/>
                <w:b/>
                <w:bCs/>
                <w:color w:val="000000"/>
                <w:sz w:val="20"/>
                <w:szCs w:val="18"/>
                <w:lang w:eastAsia="en-GB"/>
              </w:rPr>
              <w:t>484</w:t>
            </w:r>
            <w:r w:rsidRPr="00015CB6">
              <w:rPr>
                <w:rFonts w:ascii="Calibri" w:eastAsia="Times New Roman" w:hAnsi="Calibri" w:cs="Arial"/>
                <w:b/>
                <w:bCs/>
                <w:color w:val="000000"/>
                <w:sz w:val="20"/>
                <w:szCs w:val="18"/>
                <w:lang w:eastAsia="en-GB"/>
              </w:rPr>
              <w:t>)</w:t>
            </w:r>
          </w:p>
        </w:tc>
        <w:tc>
          <w:tcPr>
            <w:tcW w:w="760" w:type="pct"/>
            <w:tcBorders>
              <w:top w:val="nil"/>
              <w:left w:val="nil"/>
              <w:bottom w:val="nil"/>
              <w:right w:val="nil"/>
            </w:tcBorders>
            <w:shd w:val="clear" w:color="auto" w:fill="auto"/>
            <w:noWrap/>
            <w:vAlign w:val="center"/>
          </w:tcPr>
          <w:p w14:paraId="19BC0D3F" w14:textId="6A303C43" w:rsidR="00763235" w:rsidRPr="00015CB6" w:rsidRDefault="00B5041D"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(171)</w:t>
            </w:r>
          </w:p>
        </w:tc>
      </w:tr>
      <w:tr w:rsidR="00763235" w:rsidRPr="0077388B" w14:paraId="06F93908" w14:textId="77777777" w:rsidTr="00CC72FA">
        <w:trPr>
          <w:trHeight w:val="275"/>
        </w:trPr>
        <w:tc>
          <w:tcPr>
            <w:tcW w:w="2320" w:type="pct"/>
            <w:tcBorders>
              <w:top w:val="nil"/>
              <w:left w:val="nil"/>
              <w:bottom w:val="nil"/>
              <w:right w:val="nil"/>
            </w:tcBorders>
            <w:shd w:val="clear" w:color="auto" w:fill="auto"/>
            <w:noWrap/>
            <w:vAlign w:val="bottom"/>
            <w:hideMark/>
          </w:tcPr>
          <w:p w14:paraId="785E3C61" w14:textId="77777777" w:rsidR="00763235" w:rsidRPr="0077388B" w:rsidRDefault="00763235" w:rsidP="00763235">
            <w:pPr>
              <w:rPr>
                <w:rFonts w:ascii="Calibri" w:eastAsia="Times New Roman" w:hAnsi="Calibri" w:cs="Arial"/>
                <w:color w:val="000000"/>
                <w:sz w:val="20"/>
                <w:szCs w:val="18"/>
                <w:lang w:eastAsia="en-GB"/>
              </w:rPr>
            </w:pPr>
            <w:r w:rsidRPr="0077388B">
              <w:rPr>
                <w:rFonts w:ascii="Calibri" w:eastAsia="Times New Roman" w:hAnsi="Calibri" w:cs="Arial"/>
                <w:color w:val="000000"/>
                <w:sz w:val="20"/>
                <w:szCs w:val="18"/>
                <w:lang w:eastAsia="en-GB"/>
              </w:rPr>
              <w:t xml:space="preserve">Retained earnings </w:t>
            </w:r>
          </w:p>
        </w:tc>
        <w:tc>
          <w:tcPr>
            <w:tcW w:w="384" w:type="pct"/>
            <w:tcBorders>
              <w:top w:val="nil"/>
              <w:left w:val="nil"/>
              <w:bottom w:val="nil"/>
              <w:right w:val="nil"/>
            </w:tcBorders>
            <w:shd w:val="clear" w:color="auto" w:fill="auto"/>
            <w:noWrap/>
            <w:vAlign w:val="bottom"/>
            <w:hideMark/>
          </w:tcPr>
          <w:p w14:paraId="523F3DEA" w14:textId="77777777" w:rsidR="00763235" w:rsidRPr="0077388B" w:rsidRDefault="00763235" w:rsidP="00763235">
            <w:pPr>
              <w:rPr>
                <w:rFonts w:ascii="Calibri" w:eastAsia="Times New Roman" w:hAnsi="Calibri" w:cs="Arial"/>
                <w:color w:val="000000"/>
                <w:sz w:val="20"/>
                <w:szCs w:val="18"/>
                <w:lang w:eastAsia="en-GB"/>
              </w:rPr>
            </w:pPr>
          </w:p>
        </w:tc>
        <w:tc>
          <w:tcPr>
            <w:tcW w:w="776" w:type="pct"/>
            <w:tcBorders>
              <w:top w:val="nil"/>
              <w:left w:val="nil"/>
              <w:bottom w:val="nil"/>
              <w:right w:val="nil"/>
            </w:tcBorders>
            <w:shd w:val="clear" w:color="auto" w:fill="auto"/>
            <w:noWrap/>
            <w:vAlign w:val="center"/>
          </w:tcPr>
          <w:p w14:paraId="5F370A67" w14:textId="1FE74270" w:rsidR="00763235" w:rsidRPr="00015CB6" w:rsidRDefault="00B5041D"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(3,367)</w:t>
            </w:r>
          </w:p>
        </w:tc>
        <w:tc>
          <w:tcPr>
            <w:tcW w:w="760" w:type="pct"/>
            <w:tcBorders>
              <w:top w:val="nil"/>
              <w:left w:val="nil"/>
              <w:bottom w:val="nil"/>
              <w:right w:val="nil"/>
            </w:tcBorders>
            <w:vAlign w:val="center"/>
          </w:tcPr>
          <w:p w14:paraId="605CC59B" w14:textId="5D6688FA" w:rsidR="00763235" w:rsidRPr="00015CB6" w:rsidRDefault="00763235"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 xml:space="preserve">              (</w:t>
            </w:r>
            <w:r w:rsidR="00B5041D" w:rsidRPr="00015CB6">
              <w:rPr>
                <w:rFonts w:ascii="Calibri" w:eastAsia="Times New Roman" w:hAnsi="Calibri" w:cs="Arial"/>
                <w:b/>
                <w:bCs/>
                <w:color w:val="000000"/>
                <w:sz w:val="20"/>
                <w:szCs w:val="18"/>
                <w:lang w:eastAsia="en-GB"/>
              </w:rPr>
              <w:t>2,137</w:t>
            </w:r>
            <w:r w:rsidRPr="00015CB6">
              <w:rPr>
                <w:rFonts w:ascii="Calibri" w:eastAsia="Times New Roman" w:hAnsi="Calibri" w:cs="Arial"/>
                <w:b/>
                <w:bCs/>
                <w:color w:val="000000"/>
                <w:sz w:val="20"/>
                <w:szCs w:val="18"/>
                <w:lang w:eastAsia="en-GB"/>
              </w:rPr>
              <w:t>)</w:t>
            </w:r>
          </w:p>
        </w:tc>
        <w:tc>
          <w:tcPr>
            <w:tcW w:w="760" w:type="pct"/>
            <w:tcBorders>
              <w:top w:val="nil"/>
              <w:left w:val="nil"/>
              <w:bottom w:val="nil"/>
              <w:right w:val="nil"/>
            </w:tcBorders>
            <w:shd w:val="clear" w:color="auto" w:fill="auto"/>
            <w:noWrap/>
            <w:vAlign w:val="center"/>
          </w:tcPr>
          <w:p w14:paraId="5D970DCC" w14:textId="51ADB04C" w:rsidR="00763235" w:rsidRPr="00015CB6" w:rsidRDefault="00B5041D"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(2,591)</w:t>
            </w:r>
          </w:p>
        </w:tc>
      </w:tr>
      <w:tr w:rsidR="00763235" w:rsidRPr="0077388B" w14:paraId="645DBFE6" w14:textId="77777777" w:rsidTr="00CC72FA">
        <w:trPr>
          <w:trHeight w:val="288"/>
        </w:trPr>
        <w:tc>
          <w:tcPr>
            <w:tcW w:w="2320" w:type="pct"/>
            <w:tcBorders>
              <w:top w:val="nil"/>
              <w:left w:val="nil"/>
              <w:bottom w:val="nil"/>
              <w:right w:val="nil"/>
            </w:tcBorders>
            <w:shd w:val="clear" w:color="auto" w:fill="auto"/>
            <w:noWrap/>
            <w:vAlign w:val="bottom"/>
            <w:hideMark/>
          </w:tcPr>
          <w:p w14:paraId="220DAD4B" w14:textId="77777777" w:rsidR="00763235" w:rsidRPr="0077388B" w:rsidRDefault="00763235" w:rsidP="00763235">
            <w:pPr>
              <w:jc w:val="right"/>
              <w:rPr>
                <w:rFonts w:ascii="Calibri" w:eastAsia="Times New Roman" w:hAnsi="Calibri" w:cs="Arial"/>
                <w:color w:val="000000"/>
                <w:sz w:val="20"/>
                <w:szCs w:val="18"/>
                <w:lang w:eastAsia="en-GB"/>
              </w:rPr>
            </w:pPr>
          </w:p>
        </w:tc>
        <w:tc>
          <w:tcPr>
            <w:tcW w:w="384" w:type="pct"/>
            <w:tcBorders>
              <w:top w:val="nil"/>
              <w:left w:val="nil"/>
              <w:bottom w:val="nil"/>
              <w:right w:val="nil"/>
            </w:tcBorders>
            <w:shd w:val="clear" w:color="auto" w:fill="auto"/>
            <w:noWrap/>
            <w:vAlign w:val="bottom"/>
            <w:hideMark/>
          </w:tcPr>
          <w:p w14:paraId="01BDD15E" w14:textId="77777777" w:rsidR="00763235" w:rsidRPr="0077388B" w:rsidRDefault="00763235" w:rsidP="00763235">
            <w:pPr>
              <w:rPr>
                <w:rFonts w:ascii="Calibri" w:eastAsia="Times New Roman" w:hAnsi="Calibri"/>
                <w:sz w:val="20"/>
                <w:szCs w:val="20"/>
                <w:lang w:eastAsia="en-GB"/>
              </w:rPr>
            </w:pPr>
          </w:p>
        </w:tc>
        <w:tc>
          <w:tcPr>
            <w:tcW w:w="776" w:type="pct"/>
            <w:tcBorders>
              <w:top w:val="nil"/>
              <w:left w:val="nil"/>
              <w:bottom w:val="nil"/>
              <w:right w:val="nil"/>
            </w:tcBorders>
            <w:shd w:val="clear" w:color="auto" w:fill="auto"/>
            <w:noWrap/>
            <w:vAlign w:val="center"/>
          </w:tcPr>
          <w:p w14:paraId="6A15C2AF" w14:textId="77777777" w:rsidR="00763235" w:rsidRPr="00015CB6" w:rsidRDefault="00763235" w:rsidP="00CC72FA">
            <w:pPr>
              <w:jc w:val="right"/>
              <w:rPr>
                <w:rFonts w:ascii="Calibri" w:eastAsia="Times New Roman" w:hAnsi="Calibri"/>
                <w:b/>
                <w:bCs/>
                <w:sz w:val="20"/>
                <w:szCs w:val="20"/>
                <w:lang w:eastAsia="en-GB"/>
              </w:rPr>
            </w:pPr>
          </w:p>
        </w:tc>
        <w:tc>
          <w:tcPr>
            <w:tcW w:w="760" w:type="pct"/>
            <w:tcBorders>
              <w:top w:val="nil"/>
              <w:left w:val="nil"/>
              <w:bottom w:val="nil"/>
              <w:right w:val="nil"/>
            </w:tcBorders>
            <w:vAlign w:val="center"/>
          </w:tcPr>
          <w:p w14:paraId="740E6D3B" w14:textId="77777777" w:rsidR="00763235" w:rsidRPr="00015CB6" w:rsidRDefault="00763235" w:rsidP="00CC72FA">
            <w:pPr>
              <w:jc w:val="right"/>
              <w:rPr>
                <w:rFonts w:ascii="Calibri" w:eastAsia="Times New Roman" w:hAnsi="Calibri"/>
                <w:b/>
                <w:bCs/>
                <w:sz w:val="20"/>
                <w:szCs w:val="20"/>
                <w:lang w:eastAsia="en-GB"/>
              </w:rPr>
            </w:pPr>
          </w:p>
        </w:tc>
        <w:tc>
          <w:tcPr>
            <w:tcW w:w="760" w:type="pct"/>
            <w:tcBorders>
              <w:top w:val="nil"/>
              <w:left w:val="nil"/>
              <w:bottom w:val="nil"/>
              <w:right w:val="nil"/>
            </w:tcBorders>
            <w:shd w:val="clear" w:color="auto" w:fill="auto"/>
            <w:noWrap/>
            <w:vAlign w:val="center"/>
          </w:tcPr>
          <w:p w14:paraId="5FDAB4FA" w14:textId="6215A958" w:rsidR="00763235" w:rsidRPr="00015CB6" w:rsidRDefault="00763235" w:rsidP="00CC72FA">
            <w:pPr>
              <w:jc w:val="right"/>
              <w:rPr>
                <w:rFonts w:ascii="Calibri" w:eastAsia="Times New Roman" w:hAnsi="Calibri"/>
                <w:b/>
                <w:bCs/>
                <w:sz w:val="20"/>
                <w:szCs w:val="20"/>
                <w:lang w:eastAsia="en-GB"/>
              </w:rPr>
            </w:pPr>
          </w:p>
        </w:tc>
      </w:tr>
      <w:tr w:rsidR="00763235" w:rsidRPr="0077388B" w14:paraId="26D7EF52" w14:textId="77777777" w:rsidTr="00CC72FA">
        <w:trPr>
          <w:trHeight w:val="288"/>
        </w:trPr>
        <w:tc>
          <w:tcPr>
            <w:tcW w:w="2320" w:type="pct"/>
            <w:tcBorders>
              <w:top w:val="nil"/>
              <w:left w:val="nil"/>
              <w:bottom w:val="nil"/>
              <w:right w:val="nil"/>
            </w:tcBorders>
            <w:shd w:val="clear" w:color="auto" w:fill="auto"/>
            <w:noWrap/>
            <w:vAlign w:val="bottom"/>
            <w:hideMark/>
          </w:tcPr>
          <w:p w14:paraId="7B97B5AA" w14:textId="77777777" w:rsidR="00763235" w:rsidRPr="0077388B" w:rsidRDefault="00763235" w:rsidP="00763235">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TOTAL EQUITY</w:t>
            </w:r>
          </w:p>
        </w:tc>
        <w:tc>
          <w:tcPr>
            <w:tcW w:w="384" w:type="pct"/>
            <w:tcBorders>
              <w:top w:val="nil"/>
              <w:left w:val="nil"/>
              <w:bottom w:val="nil"/>
              <w:right w:val="nil"/>
            </w:tcBorders>
            <w:shd w:val="clear" w:color="auto" w:fill="auto"/>
            <w:noWrap/>
            <w:vAlign w:val="bottom"/>
            <w:hideMark/>
          </w:tcPr>
          <w:p w14:paraId="0621362B" w14:textId="77777777" w:rsidR="00763235" w:rsidRPr="0077388B" w:rsidRDefault="00763235" w:rsidP="00763235">
            <w:pPr>
              <w:rPr>
                <w:rFonts w:ascii="Calibri" w:eastAsia="Times New Roman" w:hAnsi="Calibri" w:cs="Arial"/>
                <w:b/>
                <w:bCs/>
                <w:color w:val="000000"/>
                <w:sz w:val="20"/>
                <w:szCs w:val="18"/>
                <w:lang w:eastAsia="en-GB"/>
              </w:rPr>
            </w:pPr>
          </w:p>
        </w:tc>
        <w:tc>
          <w:tcPr>
            <w:tcW w:w="776" w:type="pct"/>
            <w:tcBorders>
              <w:top w:val="single" w:sz="8" w:space="0" w:color="auto"/>
              <w:left w:val="nil"/>
              <w:bottom w:val="single" w:sz="8" w:space="0" w:color="auto"/>
              <w:right w:val="nil"/>
            </w:tcBorders>
            <w:shd w:val="clear" w:color="auto" w:fill="auto"/>
            <w:noWrap/>
            <w:vAlign w:val="center"/>
          </w:tcPr>
          <w:p w14:paraId="4327C964" w14:textId="451CD106" w:rsidR="00763235" w:rsidRPr="00015CB6" w:rsidRDefault="00210EFE" w:rsidP="00CC72FA">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5,758</w:t>
            </w:r>
          </w:p>
        </w:tc>
        <w:tc>
          <w:tcPr>
            <w:tcW w:w="760" w:type="pct"/>
            <w:tcBorders>
              <w:top w:val="single" w:sz="8" w:space="0" w:color="auto"/>
              <w:left w:val="nil"/>
              <w:bottom w:val="single" w:sz="8" w:space="0" w:color="auto"/>
              <w:right w:val="nil"/>
            </w:tcBorders>
            <w:vAlign w:val="center"/>
          </w:tcPr>
          <w:p w14:paraId="48A2B0C6" w14:textId="43C669E6" w:rsidR="00763235" w:rsidRPr="00015CB6" w:rsidRDefault="00763235"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 xml:space="preserve">               </w:t>
            </w:r>
            <w:r w:rsidR="00B5041D" w:rsidRPr="00015CB6">
              <w:rPr>
                <w:rFonts w:ascii="Calibri" w:eastAsia="Times New Roman" w:hAnsi="Calibri" w:cs="Arial"/>
                <w:b/>
                <w:bCs/>
                <w:color w:val="000000"/>
                <w:sz w:val="20"/>
                <w:szCs w:val="18"/>
                <w:lang w:eastAsia="en-GB"/>
              </w:rPr>
              <w:t>2,401</w:t>
            </w:r>
          </w:p>
        </w:tc>
        <w:tc>
          <w:tcPr>
            <w:tcW w:w="760" w:type="pct"/>
            <w:tcBorders>
              <w:top w:val="single" w:sz="8" w:space="0" w:color="auto"/>
              <w:left w:val="nil"/>
              <w:bottom w:val="single" w:sz="8" w:space="0" w:color="auto"/>
              <w:right w:val="nil"/>
            </w:tcBorders>
            <w:shd w:val="clear" w:color="auto" w:fill="auto"/>
            <w:noWrap/>
            <w:vAlign w:val="center"/>
          </w:tcPr>
          <w:p w14:paraId="6865DCE3" w14:textId="25591698" w:rsidR="00763235" w:rsidRPr="00015CB6" w:rsidRDefault="00B5041D" w:rsidP="00CC72FA">
            <w:pPr>
              <w:jc w:val="right"/>
              <w:rPr>
                <w:rFonts w:ascii="Calibri" w:eastAsia="Times New Roman" w:hAnsi="Calibri" w:cs="Arial"/>
                <w:b/>
                <w:bCs/>
                <w:color w:val="000000"/>
                <w:sz w:val="20"/>
                <w:szCs w:val="18"/>
                <w:lang w:eastAsia="en-GB"/>
              </w:rPr>
            </w:pPr>
            <w:r w:rsidRPr="00015CB6">
              <w:rPr>
                <w:rFonts w:ascii="Calibri" w:eastAsia="Times New Roman" w:hAnsi="Calibri" w:cs="Arial"/>
                <w:b/>
                <w:bCs/>
                <w:color w:val="000000"/>
                <w:sz w:val="20"/>
                <w:szCs w:val="18"/>
                <w:lang w:eastAsia="en-GB"/>
              </w:rPr>
              <w:t>4,</w:t>
            </w:r>
            <w:r w:rsidR="0059230A" w:rsidRPr="00015CB6">
              <w:rPr>
                <w:rFonts w:ascii="Calibri" w:eastAsia="Times New Roman" w:hAnsi="Calibri" w:cs="Arial"/>
                <w:b/>
                <w:bCs/>
                <w:color w:val="000000"/>
                <w:sz w:val="20"/>
                <w:szCs w:val="18"/>
                <w:lang w:eastAsia="en-GB"/>
              </w:rPr>
              <w:t>99</w:t>
            </w:r>
            <w:r w:rsidR="0059230A">
              <w:rPr>
                <w:rFonts w:ascii="Calibri" w:eastAsia="Times New Roman" w:hAnsi="Calibri" w:cs="Arial"/>
                <w:b/>
                <w:bCs/>
                <w:color w:val="000000"/>
                <w:sz w:val="20"/>
                <w:szCs w:val="18"/>
                <w:lang w:eastAsia="en-GB"/>
              </w:rPr>
              <w:t>0</w:t>
            </w:r>
          </w:p>
        </w:tc>
      </w:tr>
    </w:tbl>
    <w:p w14:paraId="67B0501A" w14:textId="77777777" w:rsidR="00DF6B2E" w:rsidRPr="0077388B" w:rsidRDefault="00DF6B2E" w:rsidP="00A85A67">
      <w:pPr>
        <w:spacing w:before="120" w:after="120"/>
        <w:rPr>
          <w:rFonts w:ascii="Calibri" w:hAnsi="Calibri"/>
          <w:lang w:eastAsia="en-US"/>
        </w:rPr>
      </w:pPr>
    </w:p>
    <w:p w14:paraId="0182363C" w14:textId="77777777" w:rsidR="002429BB" w:rsidRDefault="002429BB" w:rsidP="008438CA">
      <w:pPr>
        <w:widowControl w:val="0"/>
        <w:autoSpaceDE w:val="0"/>
        <w:autoSpaceDN w:val="0"/>
        <w:adjustRightInd w:val="0"/>
        <w:spacing w:before="120" w:after="120"/>
        <w:jc w:val="center"/>
        <w:outlineLvl w:val="0"/>
        <w:rPr>
          <w:rFonts w:ascii="Calibri" w:hAnsi="Calibri" w:cs="TimesNewRomanPS-BoldMT"/>
          <w:b/>
          <w:bCs/>
        </w:rPr>
        <w:sectPr w:rsidR="002429BB" w:rsidSect="00AE0CD8">
          <w:pgSz w:w="11907" w:h="16840" w:code="9"/>
          <w:pgMar w:top="720" w:right="1134" w:bottom="1440" w:left="1134" w:header="720" w:footer="720" w:gutter="0"/>
          <w:cols w:space="720"/>
          <w:noEndnote/>
          <w:docGrid w:linePitch="326"/>
        </w:sectPr>
      </w:pPr>
      <w:bookmarkStart w:id="1" w:name="RANGE!D46:J84"/>
      <w:bookmarkEnd w:id="1"/>
    </w:p>
    <w:p w14:paraId="340572AA" w14:textId="57D849A5" w:rsidR="00DF6B2E" w:rsidRPr="002429BB" w:rsidRDefault="00732C9A" w:rsidP="008438CA">
      <w:pPr>
        <w:pStyle w:val="Heading2"/>
        <w:spacing w:after="240"/>
        <w:rPr>
          <w:rFonts w:ascii="Calibri" w:hAnsi="Calibri"/>
          <w:i w:val="0"/>
          <w:iCs w:val="0"/>
          <w:sz w:val="24"/>
          <w:szCs w:val="24"/>
          <w:lang w:eastAsia="ja-JP"/>
        </w:rPr>
      </w:pPr>
      <w:bookmarkStart w:id="2" w:name="OLE_LINK5"/>
      <w:bookmarkStart w:id="3" w:name="OLE_LINK6"/>
      <w:r w:rsidRPr="002429BB">
        <w:rPr>
          <w:rFonts w:ascii="Calibri" w:hAnsi="Calibri"/>
          <w:i w:val="0"/>
          <w:iCs w:val="0"/>
          <w:sz w:val="24"/>
          <w:szCs w:val="24"/>
          <w:lang w:eastAsia="ja-JP"/>
        </w:rPr>
        <w:lastRenderedPageBreak/>
        <w:t xml:space="preserve">Group </w:t>
      </w:r>
      <w:r w:rsidR="00DF6B2E" w:rsidRPr="002429BB">
        <w:rPr>
          <w:rFonts w:ascii="Calibri" w:hAnsi="Calibri"/>
          <w:i w:val="0"/>
          <w:iCs w:val="0"/>
          <w:sz w:val="24"/>
          <w:szCs w:val="24"/>
          <w:lang w:eastAsia="ja-JP"/>
        </w:rPr>
        <w:t xml:space="preserve">Statement of Changes in Equity for the Interim Period Ended 30 </w:t>
      </w:r>
      <w:r w:rsidR="00D26B93" w:rsidRPr="002429BB">
        <w:rPr>
          <w:rFonts w:ascii="Calibri" w:hAnsi="Calibri"/>
          <w:i w:val="0"/>
          <w:iCs w:val="0"/>
          <w:sz w:val="24"/>
          <w:szCs w:val="24"/>
          <w:lang w:eastAsia="ja-JP"/>
        </w:rPr>
        <w:t>June</w:t>
      </w:r>
      <w:r w:rsidR="00DF6B2E" w:rsidRPr="002429BB">
        <w:rPr>
          <w:rFonts w:ascii="Calibri" w:hAnsi="Calibri"/>
          <w:i w:val="0"/>
          <w:iCs w:val="0"/>
          <w:sz w:val="24"/>
          <w:szCs w:val="24"/>
          <w:lang w:eastAsia="ja-JP"/>
        </w:rPr>
        <w:t xml:space="preserve"> 20</w:t>
      </w:r>
      <w:r w:rsidR="000C15B2" w:rsidRPr="002429BB">
        <w:rPr>
          <w:rFonts w:ascii="Calibri" w:hAnsi="Calibri"/>
          <w:i w:val="0"/>
          <w:iCs w:val="0"/>
          <w:sz w:val="24"/>
          <w:szCs w:val="24"/>
          <w:lang w:eastAsia="ja-JP"/>
        </w:rPr>
        <w:t>2</w:t>
      </w:r>
      <w:r w:rsidR="00763235" w:rsidRPr="002429BB">
        <w:rPr>
          <w:rFonts w:ascii="Calibri" w:hAnsi="Calibri"/>
          <w:i w:val="0"/>
          <w:iCs w:val="0"/>
          <w:sz w:val="24"/>
          <w:szCs w:val="24"/>
          <w:lang w:eastAsia="ja-JP"/>
        </w:rPr>
        <w:t>1</w:t>
      </w:r>
      <w:r w:rsidR="003F287D" w:rsidRPr="002429BB">
        <w:rPr>
          <w:rFonts w:ascii="Calibri" w:hAnsi="Calibri"/>
          <w:i w:val="0"/>
          <w:iCs w:val="0"/>
          <w:sz w:val="24"/>
          <w:szCs w:val="24"/>
          <w:lang w:eastAsia="ja-JP"/>
        </w:rPr>
        <w:t xml:space="preserve"> </w:t>
      </w:r>
    </w:p>
    <w:tbl>
      <w:tblPr>
        <w:tblW w:w="5000" w:type="pct"/>
        <w:tblLayout w:type="fixed"/>
        <w:tblLook w:val="04A0" w:firstRow="1" w:lastRow="0" w:firstColumn="1" w:lastColumn="0" w:noHBand="0" w:noVBand="1"/>
      </w:tblPr>
      <w:tblGrid>
        <w:gridCol w:w="2579"/>
        <w:gridCol w:w="883"/>
        <w:gridCol w:w="883"/>
        <w:gridCol w:w="883"/>
        <w:gridCol w:w="883"/>
        <w:gridCol w:w="883"/>
        <w:gridCol w:w="883"/>
        <w:gridCol w:w="883"/>
        <w:gridCol w:w="879"/>
      </w:tblGrid>
      <w:tr w:rsidR="006F69F7" w:rsidRPr="0077388B" w14:paraId="46C53516" w14:textId="77777777" w:rsidTr="002429BB">
        <w:trPr>
          <w:trHeight w:val="933"/>
        </w:trPr>
        <w:tc>
          <w:tcPr>
            <w:tcW w:w="1338" w:type="pct"/>
            <w:tcBorders>
              <w:top w:val="nil"/>
              <w:left w:val="nil"/>
              <w:bottom w:val="nil"/>
              <w:right w:val="nil"/>
            </w:tcBorders>
            <w:shd w:val="clear" w:color="auto" w:fill="auto"/>
            <w:noWrap/>
            <w:hideMark/>
          </w:tcPr>
          <w:p w14:paraId="500CA312" w14:textId="77777777" w:rsidR="006F69F7" w:rsidRPr="0077388B" w:rsidRDefault="006F69F7" w:rsidP="006F69F7">
            <w:pPr>
              <w:rPr>
                <w:rFonts w:ascii="Calibri" w:eastAsia="Times New Roman" w:hAnsi="Calibri"/>
                <w:sz w:val="20"/>
                <w:szCs w:val="20"/>
                <w:lang w:eastAsia="en-GB"/>
              </w:rPr>
            </w:pPr>
            <w:bookmarkStart w:id="4" w:name="RANGE!B2:I24"/>
            <w:bookmarkEnd w:id="2"/>
            <w:bookmarkEnd w:id="3"/>
            <w:bookmarkEnd w:id="4"/>
          </w:p>
        </w:tc>
        <w:tc>
          <w:tcPr>
            <w:tcW w:w="458" w:type="pct"/>
            <w:tcBorders>
              <w:top w:val="nil"/>
              <w:left w:val="nil"/>
              <w:bottom w:val="nil"/>
              <w:right w:val="nil"/>
            </w:tcBorders>
            <w:shd w:val="clear" w:color="auto" w:fill="auto"/>
            <w:vAlign w:val="bottom"/>
            <w:hideMark/>
          </w:tcPr>
          <w:p w14:paraId="0FD8D60A" w14:textId="77777777" w:rsidR="006F69F7" w:rsidRPr="0077388B" w:rsidRDefault="006F69F7" w:rsidP="002429BB">
            <w:pPr>
              <w:tabs>
                <w:tab w:val="decimal" w:pos="770"/>
              </w:tabs>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Share capital</w:t>
            </w:r>
          </w:p>
        </w:tc>
        <w:tc>
          <w:tcPr>
            <w:tcW w:w="458" w:type="pct"/>
            <w:tcBorders>
              <w:top w:val="nil"/>
              <w:left w:val="nil"/>
              <w:bottom w:val="nil"/>
              <w:right w:val="nil"/>
            </w:tcBorders>
            <w:shd w:val="clear" w:color="auto" w:fill="auto"/>
            <w:vAlign w:val="bottom"/>
            <w:hideMark/>
          </w:tcPr>
          <w:p w14:paraId="0C97F1B6" w14:textId="77777777" w:rsidR="006F69F7" w:rsidRPr="0077388B" w:rsidRDefault="006F69F7" w:rsidP="002429BB">
            <w:pPr>
              <w:tabs>
                <w:tab w:val="decimal" w:pos="883"/>
              </w:tabs>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Share premium</w:t>
            </w:r>
          </w:p>
        </w:tc>
        <w:tc>
          <w:tcPr>
            <w:tcW w:w="458" w:type="pct"/>
            <w:tcBorders>
              <w:top w:val="nil"/>
              <w:left w:val="nil"/>
              <w:bottom w:val="nil"/>
              <w:right w:val="nil"/>
            </w:tcBorders>
            <w:vAlign w:val="bottom"/>
          </w:tcPr>
          <w:p w14:paraId="0A794B43" w14:textId="1E9CA47D" w:rsidR="006F69F7" w:rsidRPr="0077388B" w:rsidRDefault="006F69F7" w:rsidP="002429BB">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 xml:space="preserve">Reorganisation reserve </w:t>
            </w:r>
          </w:p>
        </w:tc>
        <w:tc>
          <w:tcPr>
            <w:tcW w:w="458" w:type="pct"/>
            <w:tcBorders>
              <w:top w:val="nil"/>
              <w:left w:val="nil"/>
              <w:bottom w:val="nil"/>
              <w:right w:val="nil"/>
            </w:tcBorders>
            <w:shd w:val="clear" w:color="auto" w:fill="auto"/>
            <w:vAlign w:val="bottom"/>
            <w:hideMark/>
          </w:tcPr>
          <w:p w14:paraId="3C208FCF" w14:textId="6992862E" w:rsidR="006F69F7" w:rsidRPr="0077388B" w:rsidRDefault="006F69F7" w:rsidP="002429BB">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 xml:space="preserve">Share based payment reserve </w:t>
            </w:r>
          </w:p>
        </w:tc>
        <w:tc>
          <w:tcPr>
            <w:tcW w:w="458" w:type="pct"/>
            <w:tcBorders>
              <w:top w:val="nil"/>
              <w:left w:val="nil"/>
              <w:bottom w:val="nil"/>
              <w:right w:val="nil"/>
            </w:tcBorders>
            <w:shd w:val="clear" w:color="auto" w:fill="auto"/>
            <w:vAlign w:val="bottom"/>
          </w:tcPr>
          <w:p w14:paraId="6DF952C4" w14:textId="7026E391" w:rsidR="006F69F7" w:rsidRPr="0077388B" w:rsidRDefault="006F69F7" w:rsidP="002429BB">
            <w:pPr>
              <w:tabs>
                <w:tab w:val="decimal" w:pos="106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Warrant Reserve</w:t>
            </w:r>
          </w:p>
        </w:tc>
        <w:tc>
          <w:tcPr>
            <w:tcW w:w="458" w:type="pct"/>
            <w:tcBorders>
              <w:top w:val="nil"/>
              <w:left w:val="nil"/>
              <w:bottom w:val="nil"/>
              <w:right w:val="nil"/>
            </w:tcBorders>
            <w:shd w:val="clear" w:color="auto" w:fill="auto"/>
            <w:vAlign w:val="bottom"/>
            <w:hideMark/>
          </w:tcPr>
          <w:p w14:paraId="10E92583" w14:textId="28F1F0C6" w:rsidR="006F69F7" w:rsidRPr="0077388B" w:rsidRDefault="006F69F7" w:rsidP="002429BB">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 xml:space="preserve">Exchange Reserve </w:t>
            </w:r>
          </w:p>
        </w:tc>
        <w:tc>
          <w:tcPr>
            <w:tcW w:w="458" w:type="pct"/>
            <w:tcBorders>
              <w:top w:val="nil"/>
              <w:left w:val="nil"/>
              <w:bottom w:val="nil"/>
              <w:right w:val="nil"/>
            </w:tcBorders>
            <w:vAlign w:val="bottom"/>
          </w:tcPr>
          <w:p w14:paraId="4C962252" w14:textId="7549E1A9" w:rsidR="006F69F7" w:rsidRPr="0077388B" w:rsidRDefault="006F69F7" w:rsidP="002429BB">
            <w:pPr>
              <w:tabs>
                <w:tab w:val="decimal" w:pos="73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Retained deficit</w:t>
            </w:r>
          </w:p>
        </w:tc>
        <w:tc>
          <w:tcPr>
            <w:tcW w:w="458" w:type="pct"/>
            <w:tcBorders>
              <w:top w:val="nil"/>
              <w:left w:val="nil"/>
              <w:bottom w:val="nil"/>
              <w:right w:val="nil"/>
            </w:tcBorders>
            <w:shd w:val="clear" w:color="auto" w:fill="auto"/>
            <w:vAlign w:val="bottom"/>
            <w:hideMark/>
          </w:tcPr>
          <w:p w14:paraId="5B50D340" w14:textId="4A0212C0" w:rsidR="006F69F7" w:rsidRPr="0077388B" w:rsidRDefault="006F69F7" w:rsidP="002429BB">
            <w:pPr>
              <w:tabs>
                <w:tab w:val="decimal" w:pos="730"/>
              </w:tabs>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Total equity</w:t>
            </w:r>
          </w:p>
        </w:tc>
      </w:tr>
      <w:tr w:rsidR="006F69F7" w:rsidRPr="0077388B" w14:paraId="26ACE4C4" w14:textId="77777777" w:rsidTr="002429BB">
        <w:trPr>
          <w:trHeight w:val="288"/>
        </w:trPr>
        <w:tc>
          <w:tcPr>
            <w:tcW w:w="1338" w:type="pct"/>
            <w:tcBorders>
              <w:left w:val="nil"/>
              <w:bottom w:val="nil"/>
              <w:right w:val="nil"/>
            </w:tcBorders>
            <w:shd w:val="clear" w:color="auto" w:fill="auto"/>
            <w:noWrap/>
          </w:tcPr>
          <w:p w14:paraId="313054B8" w14:textId="5DBD2D82" w:rsidR="006F69F7" w:rsidRPr="0077388B" w:rsidRDefault="006F69F7" w:rsidP="006F69F7">
            <w:pPr>
              <w:rPr>
                <w:rFonts w:ascii="Calibri" w:eastAsia="Times New Roman" w:hAnsi="Calibri" w:cs="Arial"/>
                <w:b/>
                <w:bCs/>
                <w:color w:val="000000"/>
                <w:sz w:val="20"/>
                <w:szCs w:val="18"/>
                <w:lang w:eastAsia="en-GB"/>
              </w:rPr>
            </w:pPr>
          </w:p>
        </w:tc>
        <w:tc>
          <w:tcPr>
            <w:tcW w:w="458" w:type="pct"/>
            <w:tcBorders>
              <w:left w:val="nil"/>
              <w:bottom w:val="single" w:sz="8" w:space="0" w:color="auto"/>
              <w:right w:val="nil"/>
            </w:tcBorders>
            <w:shd w:val="clear" w:color="auto" w:fill="auto"/>
            <w:noWrap/>
            <w:vAlign w:val="bottom"/>
          </w:tcPr>
          <w:p w14:paraId="262ED6FC" w14:textId="43E72FD8" w:rsidR="006F69F7" w:rsidRPr="00B6402E" w:rsidRDefault="006F69F7" w:rsidP="002429BB">
            <w:pPr>
              <w:tabs>
                <w:tab w:val="decimal" w:pos="77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Pr="0077388B">
              <w:rPr>
                <w:rFonts w:ascii="Calibri" w:eastAsia="Times New Roman" w:hAnsi="Calibri" w:cs="Arial"/>
                <w:b/>
                <w:bCs/>
                <w:color w:val="000000"/>
                <w:sz w:val="20"/>
                <w:szCs w:val="18"/>
                <w:lang w:eastAsia="en-GB"/>
              </w:rPr>
              <w:t xml:space="preserve"> 000's</w:t>
            </w:r>
          </w:p>
        </w:tc>
        <w:tc>
          <w:tcPr>
            <w:tcW w:w="458" w:type="pct"/>
            <w:tcBorders>
              <w:left w:val="nil"/>
              <w:bottom w:val="single" w:sz="8" w:space="0" w:color="auto"/>
              <w:right w:val="nil"/>
            </w:tcBorders>
            <w:shd w:val="clear" w:color="auto" w:fill="auto"/>
            <w:noWrap/>
            <w:vAlign w:val="bottom"/>
          </w:tcPr>
          <w:p w14:paraId="6DFA479A" w14:textId="17235487" w:rsidR="006F69F7" w:rsidRPr="00B6402E" w:rsidRDefault="006F69F7" w:rsidP="002429BB">
            <w:pPr>
              <w:tabs>
                <w:tab w:val="decimal" w:pos="883"/>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Pr="0077388B">
              <w:rPr>
                <w:rFonts w:ascii="Calibri" w:eastAsia="Times New Roman" w:hAnsi="Calibri" w:cs="Arial"/>
                <w:b/>
                <w:bCs/>
                <w:color w:val="000000"/>
                <w:sz w:val="20"/>
                <w:szCs w:val="18"/>
                <w:lang w:eastAsia="en-GB"/>
              </w:rPr>
              <w:t xml:space="preserve"> 000's</w:t>
            </w:r>
          </w:p>
        </w:tc>
        <w:tc>
          <w:tcPr>
            <w:tcW w:w="458" w:type="pct"/>
            <w:tcBorders>
              <w:left w:val="nil"/>
              <w:bottom w:val="single" w:sz="8" w:space="0" w:color="auto"/>
              <w:right w:val="nil"/>
            </w:tcBorders>
            <w:vAlign w:val="bottom"/>
          </w:tcPr>
          <w:p w14:paraId="19295AA2" w14:textId="01D6312F" w:rsidR="006F69F7" w:rsidRDefault="006F69F7" w:rsidP="002429BB">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Pr="0077388B">
              <w:rPr>
                <w:rFonts w:ascii="Calibri" w:eastAsia="Times New Roman" w:hAnsi="Calibri" w:cs="Arial"/>
                <w:b/>
                <w:bCs/>
                <w:color w:val="000000"/>
                <w:sz w:val="20"/>
                <w:szCs w:val="18"/>
                <w:lang w:eastAsia="en-GB"/>
              </w:rPr>
              <w:t xml:space="preserve"> 000's</w:t>
            </w:r>
          </w:p>
        </w:tc>
        <w:tc>
          <w:tcPr>
            <w:tcW w:w="458" w:type="pct"/>
            <w:tcBorders>
              <w:left w:val="nil"/>
              <w:bottom w:val="single" w:sz="8" w:space="0" w:color="auto"/>
              <w:right w:val="nil"/>
            </w:tcBorders>
            <w:shd w:val="clear" w:color="auto" w:fill="auto"/>
            <w:noWrap/>
            <w:vAlign w:val="bottom"/>
          </w:tcPr>
          <w:p w14:paraId="3599D8C8" w14:textId="1D427258" w:rsidR="006F69F7" w:rsidRPr="00B6402E" w:rsidRDefault="006F69F7" w:rsidP="002429BB">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Pr="0077388B">
              <w:rPr>
                <w:rFonts w:ascii="Calibri" w:eastAsia="Times New Roman" w:hAnsi="Calibri" w:cs="Arial"/>
                <w:b/>
                <w:bCs/>
                <w:color w:val="000000"/>
                <w:sz w:val="20"/>
                <w:szCs w:val="18"/>
                <w:lang w:eastAsia="en-GB"/>
              </w:rPr>
              <w:t xml:space="preserve"> 000's</w:t>
            </w:r>
          </w:p>
        </w:tc>
        <w:tc>
          <w:tcPr>
            <w:tcW w:w="458" w:type="pct"/>
            <w:tcBorders>
              <w:left w:val="nil"/>
              <w:bottom w:val="single" w:sz="8" w:space="0" w:color="auto"/>
              <w:right w:val="nil"/>
            </w:tcBorders>
            <w:shd w:val="clear" w:color="auto" w:fill="auto"/>
            <w:noWrap/>
            <w:vAlign w:val="bottom"/>
          </w:tcPr>
          <w:p w14:paraId="6A1E319E" w14:textId="316DAF01" w:rsidR="006F69F7" w:rsidRPr="00B6402E" w:rsidRDefault="006F69F7" w:rsidP="002429BB">
            <w:pPr>
              <w:tabs>
                <w:tab w:val="decimal" w:pos="106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$000’s</w:t>
            </w:r>
          </w:p>
        </w:tc>
        <w:tc>
          <w:tcPr>
            <w:tcW w:w="458" w:type="pct"/>
            <w:tcBorders>
              <w:left w:val="nil"/>
              <w:bottom w:val="single" w:sz="8" w:space="0" w:color="auto"/>
              <w:right w:val="nil"/>
            </w:tcBorders>
            <w:shd w:val="clear" w:color="auto" w:fill="auto"/>
            <w:noWrap/>
            <w:vAlign w:val="bottom"/>
          </w:tcPr>
          <w:p w14:paraId="236266BF" w14:textId="387AF516" w:rsidR="006F69F7" w:rsidRPr="00B6402E" w:rsidRDefault="006F69F7" w:rsidP="002429BB">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Pr="0077388B">
              <w:rPr>
                <w:rFonts w:ascii="Calibri" w:eastAsia="Times New Roman" w:hAnsi="Calibri" w:cs="Arial"/>
                <w:b/>
                <w:bCs/>
                <w:color w:val="000000"/>
                <w:sz w:val="20"/>
                <w:szCs w:val="18"/>
                <w:lang w:eastAsia="en-GB"/>
              </w:rPr>
              <w:t xml:space="preserve"> 000's</w:t>
            </w:r>
          </w:p>
        </w:tc>
        <w:tc>
          <w:tcPr>
            <w:tcW w:w="458" w:type="pct"/>
            <w:tcBorders>
              <w:left w:val="nil"/>
              <w:bottom w:val="single" w:sz="8" w:space="0" w:color="auto"/>
              <w:right w:val="nil"/>
            </w:tcBorders>
            <w:vAlign w:val="bottom"/>
          </w:tcPr>
          <w:p w14:paraId="066A900B" w14:textId="464276A5" w:rsidR="006F69F7" w:rsidRDefault="006F69F7" w:rsidP="002429BB">
            <w:pPr>
              <w:tabs>
                <w:tab w:val="decimal" w:pos="746"/>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Pr="0077388B">
              <w:rPr>
                <w:rFonts w:ascii="Calibri" w:eastAsia="Times New Roman" w:hAnsi="Calibri" w:cs="Arial"/>
                <w:b/>
                <w:bCs/>
                <w:color w:val="000000"/>
                <w:sz w:val="20"/>
                <w:szCs w:val="18"/>
                <w:lang w:eastAsia="en-GB"/>
              </w:rPr>
              <w:t xml:space="preserve"> 000's</w:t>
            </w:r>
          </w:p>
        </w:tc>
        <w:tc>
          <w:tcPr>
            <w:tcW w:w="458" w:type="pct"/>
            <w:tcBorders>
              <w:left w:val="nil"/>
              <w:bottom w:val="single" w:sz="8" w:space="0" w:color="auto"/>
              <w:right w:val="nil"/>
            </w:tcBorders>
            <w:shd w:val="clear" w:color="auto" w:fill="auto"/>
            <w:noWrap/>
            <w:vAlign w:val="bottom"/>
          </w:tcPr>
          <w:p w14:paraId="110C79E4" w14:textId="36AF8413" w:rsidR="006F69F7" w:rsidRPr="00B6402E" w:rsidRDefault="006F69F7" w:rsidP="002429BB">
            <w:pPr>
              <w:tabs>
                <w:tab w:val="decimal" w:pos="746"/>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Pr="0077388B">
              <w:rPr>
                <w:rFonts w:ascii="Calibri" w:eastAsia="Times New Roman" w:hAnsi="Calibri" w:cs="Arial"/>
                <w:b/>
                <w:bCs/>
                <w:color w:val="000000"/>
                <w:sz w:val="20"/>
                <w:szCs w:val="18"/>
                <w:lang w:eastAsia="en-GB"/>
              </w:rPr>
              <w:t xml:space="preserve"> 000's</w:t>
            </w:r>
          </w:p>
        </w:tc>
      </w:tr>
      <w:tr w:rsidR="006F69F7" w:rsidRPr="0077388B" w14:paraId="3119F93C" w14:textId="77777777" w:rsidTr="002429BB">
        <w:trPr>
          <w:trHeight w:val="132"/>
        </w:trPr>
        <w:tc>
          <w:tcPr>
            <w:tcW w:w="1338" w:type="pct"/>
            <w:tcBorders>
              <w:left w:val="nil"/>
              <w:bottom w:val="nil"/>
              <w:right w:val="nil"/>
            </w:tcBorders>
            <w:shd w:val="clear" w:color="auto" w:fill="auto"/>
            <w:noWrap/>
            <w:vAlign w:val="bottom"/>
          </w:tcPr>
          <w:p w14:paraId="61F05D34" w14:textId="6D3931BE" w:rsidR="006F69F7" w:rsidRPr="0047672D" w:rsidRDefault="006F69F7" w:rsidP="006F69F7">
            <w:pPr>
              <w:ind w:right="-10"/>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At 01 January 2020</w:t>
            </w:r>
          </w:p>
        </w:tc>
        <w:tc>
          <w:tcPr>
            <w:tcW w:w="458" w:type="pct"/>
            <w:tcBorders>
              <w:top w:val="single" w:sz="8" w:space="0" w:color="auto"/>
              <w:left w:val="nil"/>
              <w:bottom w:val="single" w:sz="4" w:space="0" w:color="auto"/>
              <w:right w:val="nil"/>
            </w:tcBorders>
            <w:shd w:val="clear" w:color="auto" w:fill="auto"/>
            <w:noWrap/>
            <w:vAlign w:val="bottom"/>
          </w:tcPr>
          <w:p w14:paraId="5D34919E" w14:textId="67A04C3A" w:rsidR="006F69F7" w:rsidRPr="00B6402E" w:rsidRDefault="006F69F7" w:rsidP="006F69F7">
            <w:pPr>
              <w:tabs>
                <w:tab w:val="decimal" w:pos="770"/>
              </w:tabs>
              <w:jc w:val="right"/>
              <w:rPr>
                <w:rFonts w:ascii="Calibri" w:eastAsia="Times New Roman" w:hAnsi="Calibri" w:cs="Arial"/>
                <w:b/>
                <w:color w:val="000000"/>
                <w:sz w:val="20"/>
                <w:szCs w:val="18"/>
                <w:lang w:eastAsia="en-GB"/>
              </w:rPr>
            </w:pPr>
            <w:r>
              <w:rPr>
                <w:rFonts w:ascii="Calibri" w:eastAsia="Times New Roman" w:hAnsi="Calibri" w:cs="Arial"/>
                <w:b/>
                <w:bCs/>
                <w:color w:val="000000"/>
                <w:sz w:val="20"/>
                <w:szCs w:val="18"/>
                <w:lang w:eastAsia="en-GB"/>
              </w:rPr>
              <w:t>207</w:t>
            </w:r>
          </w:p>
        </w:tc>
        <w:tc>
          <w:tcPr>
            <w:tcW w:w="458" w:type="pct"/>
            <w:tcBorders>
              <w:top w:val="single" w:sz="8" w:space="0" w:color="auto"/>
              <w:left w:val="nil"/>
              <w:bottom w:val="single" w:sz="4" w:space="0" w:color="auto"/>
              <w:right w:val="nil"/>
            </w:tcBorders>
            <w:shd w:val="clear" w:color="auto" w:fill="auto"/>
            <w:noWrap/>
            <w:vAlign w:val="bottom"/>
          </w:tcPr>
          <w:p w14:paraId="44C352A9" w14:textId="58829BC3" w:rsidR="006F69F7" w:rsidRPr="00B6402E" w:rsidRDefault="006F69F7" w:rsidP="006F69F7">
            <w:pPr>
              <w:tabs>
                <w:tab w:val="decimal" w:pos="883"/>
              </w:tabs>
              <w:jc w:val="right"/>
              <w:rPr>
                <w:rFonts w:ascii="Calibri" w:eastAsia="Times New Roman" w:hAnsi="Calibri" w:cs="Arial"/>
                <w:b/>
                <w:color w:val="000000"/>
                <w:sz w:val="20"/>
                <w:szCs w:val="18"/>
                <w:lang w:eastAsia="en-GB"/>
              </w:rPr>
            </w:pPr>
            <w:r>
              <w:rPr>
                <w:rFonts w:ascii="Calibri" w:eastAsia="Times New Roman" w:hAnsi="Calibri" w:cs="Arial"/>
                <w:b/>
                <w:bCs/>
                <w:color w:val="000000"/>
                <w:sz w:val="20"/>
                <w:szCs w:val="18"/>
                <w:lang w:eastAsia="en-GB"/>
              </w:rPr>
              <w:t>5,867</w:t>
            </w:r>
          </w:p>
        </w:tc>
        <w:tc>
          <w:tcPr>
            <w:tcW w:w="458" w:type="pct"/>
            <w:tcBorders>
              <w:top w:val="single" w:sz="8" w:space="0" w:color="auto"/>
              <w:left w:val="nil"/>
              <w:bottom w:val="single" w:sz="4" w:space="0" w:color="auto"/>
              <w:right w:val="nil"/>
            </w:tcBorders>
            <w:vAlign w:val="bottom"/>
          </w:tcPr>
          <w:p w14:paraId="6F0977B5" w14:textId="25CC06C9" w:rsidR="006F69F7" w:rsidRDefault="006F69F7" w:rsidP="006F69F7">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(1,591)</w:t>
            </w:r>
          </w:p>
        </w:tc>
        <w:tc>
          <w:tcPr>
            <w:tcW w:w="458" w:type="pct"/>
            <w:tcBorders>
              <w:top w:val="single" w:sz="8" w:space="0" w:color="auto"/>
              <w:left w:val="nil"/>
              <w:bottom w:val="single" w:sz="4" w:space="0" w:color="auto"/>
              <w:right w:val="nil"/>
            </w:tcBorders>
            <w:shd w:val="clear" w:color="auto" w:fill="auto"/>
            <w:noWrap/>
            <w:vAlign w:val="bottom"/>
          </w:tcPr>
          <w:p w14:paraId="1446E554" w14:textId="13347B94" w:rsidR="006F69F7" w:rsidRPr="00B6402E" w:rsidRDefault="006F69F7" w:rsidP="006F69F7">
            <w:pPr>
              <w:tabs>
                <w:tab w:val="decimal" w:pos="780"/>
              </w:tabs>
              <w:ind w:right="-10"/>
              <w:jc w:val="right"/>
              <w:rPr>
                <w:rFonts w:ascii="Calibri" w:eastAsia="Times New Roman" w:hAnsi="Calibri" w:cs="Arial"/>
                <w:b/>
                <w:color w:val="000000"/>
                <w:sz w:val="20"/>
                <w:szCs w:val="18"/>
                <w:lang w:eastAsia="en-GB"/>
              </w:rPr>
            </w:pPr>
            <w:r>
              <w:rPr>
                <w:rFonts w:ascii="Calibri" w:eastAsia="Times New Roman" w:hAnsi="Calibri" w:cs="Arial"/>
                <w:b/>
                <w:bCs/>
                <w:color w:val="000000"/>
                <w:sz w:val="20"/>
                <w:szCs w:val="18"/>
                <w:lang w:eastAsia="en-GB"/>
              </w:rPr>
              <w:t>246</w:t>
            </w:r>
          </w:p>
        </w:tc>
        <w:tc>
          <w:tcPr>
            <w:tcW w:w="458" w:type="pct"/>
            <w:tcBorders>
              <w:top w:val="single" w:sz="8" w:space="0" w:color="auto"/>
              <w:left w:val="nil"/>
              <w:bottom w:val="single" w:sz="4" w:space="0" w:color="auto"/>
              <w:right w:val="nil"/>
            </w:tcBorders>
            <w:shd w:val="clear" w:color="auto" w:fill="auto"/>
            <w:noWrap/>
            <w:vAlign w:val="bottom"/>
          </w:tcPr>
          <w:p w14:paraId="7ED88960" w14:textId="3E2DF50C" w:rsidR="006F69F7" w:rsidRPr="00B6402E" w:rsidRDefault="006F69F7" w:rsidP="006F69F7">
            <w:pPr>
              <w:tabs>
                <w:tab w:val="decimal" w:pos="1060"/>
              </w:tabs>
              <w:jc w:val="right"/>
              <w:rPr>
                <w:rFonts w:ascii="Calibri" w:eastAsia="Times New Roman" w:hAnsi="Calibri" w:cs="Arial"/>
                <w:b/>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8" w:space="0" w:color="auto"/>
              <w:left w:val="nil"/>
              <w:bottom w:val="single" w:sz="4" w:space="0" w:color="auto"/>
              <w:right w:val="nil"/>
            </w:tcBorders>
            <w:shd w:val="clear" w:color="auto" w:fill="auto"/>
            <w:noWrap/>
            <w:vAlign w:val="bottom"/>
          </w:tcPr>
          <w:p w14:paraId="541B1B1D" w14:textId="7AC4CEA7" w:rsidR="006F69F7" w:rsidRPr="00B6402E" w:rsidRDefault="006F69F7" w:rsidP="006F69F7">
            <w:pPr>
              <w:tabs>
                <w:tab w:val="decimal" w:pos="780"/>
              </w:tabs>
              <w:jc w:val="right"/>
              <w:rPr>
                <w:rFonts w:ascii="Calibri" w:eastAsia="Times New Roman" w:hAnsi="Calibri" w:cs="Arial"/>
                <w:b/>
                <w:color w:val="000000"/>
                <w:sz w:val="20"/>
                <w:szCs w:val="18"/>
                <w:lang w:eastAsia="en-GB"/>
              </w:rPr>
            </w:pPr>
            <w:r w:rsidRPr="00B6402E">
              <w:rPr>
                <w:rFonts w:ascii="Calibri" w:eastAsia="Times New Roman" w:hAnsi="Calibri" w:cs="Arial"/>
                <w:b/>
                <w:bCs/>
                <w:color w:val="000000"/>
                <w:sz w:val="20"/>
                <w:szCs w:val="18"/>
                <w:lang w:eastAsia="en-GB"/>
              </w:rPr>
              <w:t>(</w:t>
            </w:r>
            <w:r>
              <w:rPr>
                <w:rFonts w:ascii="Calibri" w:eastAsia="Times New Roman" w:hAnsi="Calibri" w:cs="Arial"/>
                <w:b/>
                <w:bCs/>
                <w:color w:val="000000"/>
                <w:sz w:val="20"/>
                <w:szCs w:val="18"/>
                <w:lang w:eastAsia="en-GB"/>
              </w:rPr>
              <w:t>133</w:t>
            </w:r>
            <w:r w:rsidRPr="00B6402E">
              <w:rPr>
                <w:rFonts w:ascii="Calibri" w:eastAsia="Times New Roman" w:hAnsi="Calibri" w:cs="Arial"/>
                <w:b/>
                <w:bCs/>
                <w:color w:val="000000"/>
                <w:sz w:val="20"/>
                <w:szCs w:val="18"/>
                <w:lang w:eastAsia="en-GB"/>
              </w:rPr>
              <w:t>)</w:t>
            </w:r>
          </w:p>
        </w:tc>
        <w:tc>
          <w:tcPr>
            <w:tcW w:w="458" w:type="pct"/>
            <w:tcBorders>
              <w:top w:val="single" w:sz="8" w:space="0" w:color="auto"/>
              <w:left w:val="nil"/>
              <w:bottom w:val="single" w:sz="4" w:space="0" w:color="auto"/>
              <w:right w:val="nil"/>
            </w:tcBorders>
          </w:tcPr>
          <w:p w14:paraId="52F693FD" w14:textId="77777777" w:rsidR="006F69F7" w:rsidRDefault="006F69F7" w:rsidP="006F69F7">
            <w:pPr>
              <w:tabs>
                <w:tab w:val="decimal" w:pos="780"/>
              </w:tabs>
              <w:jc w:val="right"/>
              <w:rPr>
                <w:rFonts w:ascii="Calibri" w:eastAsia="Times New Roman" w:hAnsi="Calibri" w:cs="Arial"/>
                <w:b/>
                <w:bCs/>
                <w:color w:val="000000"/>
                <w:sz w:val="20"/>
                <w:szCs w:val="18"/>
                <w:lang w:eastAsia="en-GB"/>
              </w:rPr>
            </w:pPr>
          </w:p>
          <w:p w14:paraId="3516692F" w14:textId="5898438D" w:rsidR="006F69F7" w:rsidRPr="00403C3B" w:rsidRDefault="006F69F7" w:rsidP="006F69F7">
            <w:pPr>
              <w:jc w:val="right"/>
              <w:rPr>
                <w:rFonts w:ascii="Calibri" w:eastAsia="Times New Roman" w:hAnsi="Calibri" w:cs="Arial"/>
                <w:sz w:val="20"/>
                <w:szCs w:val="18"/>
                <w:lang w:eastAsia="en-GB"/>
              </w:rPr>
            </w:pPr>
            <w:r>
              <w:rPr>
                <w:rFonts w:ascii="Calibri" w:eastAsia="Times New Roman" w:hAnsi="Calibri" w:cs="Arial"/>
                <w:sz w:val="20"/>
                <w:szCs w:val="18"/>
                <w:lang w:eastAsia="en-GB"/>
              </w:rPr>
              <w:t>-</w:t>
            </w:r>
          </w:p>
        </w:tc>
        <w:tc>
          <w:tcPr>
            <w:tcW w:w="458" w:type="pct"/>
            <w:tcBorders>
              <w:top w:val="single" w:sz="8" w:space="0" w:color="auto"/>
              <w:left w:val="nil"/>
              <w:bottom w:val="single" w:sz="4" w:space="0" w:color="auto"/>
              <w:right w:val="nil"/>
            </w:tcBorders>
            <w:shd w:val="clear" w:color="auto" w:fill="auto"/>
            <w:noWrap/>
            <w:vAlign w:val="bottom"/>
          </w:tcPr>
          <w:p w14:paraId="2EEC0F76" w14:textId="7F10EDAB" w:rsidR="006F69F7" w:rsidRPr="00B6402E" w:rsidRDefault="006F69F7" w:rsidP="006F69F7">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2,713</w:t>
            </w:r>
          </w:p>
        </w:tc>
      </w:tr>
      <w:tr w:rsidR="006F69F7" w:rsidRPr="0077388B" w14:paraId="04B629EF" w14:textId="77777777" w:rsidTr="002429BB">
        <w:trPr>
          <w:trHeight w:val="275"/>
        </w:trPr>
        <w:tc>
          <w:tcPr>
            <w:tcW w:w="1338" w:type="pct"/>
            <w:tcBorders>
              <w:top w:val="nil"/>
              <w:left w:val="nil"/>
              <w:bottom w:val="nil"/>
              <w:right w:val="nil"/>
            </w:tcBorders>
            <w:shd w:val="clear" w:color="auto" w:fill="auto"/>
            <w:noWrap/>
            <w:vAlign w:val="bottom"/>
          </w:tcPr>
          <w:p w14:paraId="4C7B44B1" w14:textId="2F2002D2" w:rsidR="006F69F7" w:rsidRPr="0077388B" w:rsidRDefault="00472211" w:rsidP="006F69F7">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Loss for the period</w:t>
            </w:r>
          </w:p>
        </w:tc>
        <w:tc>
          <w:tcPr>
            <w:tcW w:w="458" w:type="pct"/>
            <w:tcBorders>
              <w:top w:val="single" w:sz="4" w:space="0" w:color="auto"/>
              <w:left w:val="nil"/>
              <w:right w:val="nil"/>
            </w:tcBorders>
            <w:shd w:val="clear" w:color="auto" w:fill="auto"/>
            <w:noWrap/>
            <w:vAlign w:val="bottom"/>
          </w:tcPr>
          <w:p w14:paraId="30072899" w14:textId="6E656571" w:rsidR="006F69F7" w:rsidRPr="00B6402E" w:rsidRDefault="006F69F7" w:rsidP="006F69F7">
            <w:pPr>
              <w:tabs>
                <w:tab w:val="decimal" w:pos="770"/>
              </w:tabs>
              <w:jc w:val="right"/>
              <w:rPr>
                <w:rFonts w:ascii="Calibri" w:eastAsia="Times New Roman" w:hAnsi="Calibri" w:cs="Arial"/>
                <w:b/>
                <w:color w:val="000000"/>
                <w:sz w:val="20"/>
                <w:szCs w:val="18"/>
                <w:lang w:eastAsia="en-GB"/>
              </w:rPr>
            </w:pPr>
            <w:r w:rsidRPr="00B6402E">
              <w:rPr>
                <w:rFonts w:ascii="Calibri" w:eastAsia="Times New Roman" w:hAnsi="Calibri" w:cs="Arial"/>
                <w:b/>
                <w:color w:val="000000"/>
                <w:sz w:val="20"/>
                <w:szCs w:val="18"/>
                <w:lang w:eastAsia="en-GB"/>
              </w:rPr>
              <w:t xml:space="preserve">- </w:t>
            </w:r>
          </w:p>
        </w:tc>
        <w:tc>
          <w:tcPr>
            <w:tcW w:w="458" w:type="pct"/>
            <w:tcBorders>
              <w:top w:val="single" w:sz="4" w:space="0" w:color="auto"/>
              <w:left w:val="nil"/>
              <w:right w:val="nil"/>
            </w:tcBorders>
            <w:shd w:val="clear" w:color="auto" w:fill="auto"/>
            <w:noWrap/>
            <w:vAlign w:val="bottom"/>
          </w:tcPr>
          <w:p w14:paraId="1DAD3772" w14:textId="47A6D180" w:rsidR="006F69F7" w:rsidRPr="00B6402E" w:rsidRDefault="006F69F7" w:rsidP="006F69F7">
            <w:pPr>
              <w:tabs>
                <w:tab w:val="decimal" w:pos="883"/>
              </w:tabs>
              <w:jc w:val="right"/>
              <w:rPr>
                <w:rFonts w:ascii="Calibri" w:eastAsia="Times New Roman" w:hAnsi="Calibri" w:cs="Arial"/>
                <w:b/>
                <w:color w:val="000000"/>
                <w:sz w:val="20"/>
                <w:szCs w:val="18"/>
                <w:lang w:eastAsia="en-GB"/>
              </w:rPr>
            </w:pPr>
            <w:r w:rsidRPr="00B6402E">
              <w:rPr>
                <w:rFonts w:ascii="Calibri" w:eastAsia="Times New Roman" w:hAnsi="Calibri" w:cs="Arial"/>
                <w:b/>
                <w:color w:val="000000"/>
                <w:sz w:val="20"/>
                <w:szCs w:val="18"/>
                <w:lang w:eastAsia="en-GB"/>
              </w:rPr>
              <w:t xml:space="preserve">- </w:t>
            </w:r>
          </w:p>
        </w:tc>
        <w:tc>
          <w:tcPr>
            <w:tcW w:w="458" w:type="pct"/>
            <w:tcBorders>
              <w:top w:val="single" w:sz="4" w:space="0" w:color="auto"/>
              <w:left w:val="nil"/>
              <w:right w:val="nil"/>
            </w:tcBorders>
            <w:vAlign w:val="bottom"/>
          </w:tcPr>
          <w:p w14:paraId="71697951" w14:textId="00998063" w:rsidR="006F69F7" w:rsidRPr="00B6402E" w:rsidRDefault="006F69F7" w:rsidP="006F69F7">
            <w:pPr>
              <w:tabs>
                <w:tab w:val="decimal" w:pos="780"/>
              </w:tabs>
              <w:ind w:right="-10"/>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top w:val="single" w:sz="4" w:space="0" w:color="auto"/>
              <w:left w:val="nil"/>
              <w:right w:val="nil"/>
            </w:tcBorders>
            <w:shd w:val="clear" w:color="auto" w:fill="auto"/>
            <w:noWrap/>
            <w:vAlign w:val="bottom"/>
          </w:tcPr>
          <w:p w14:paraId="1934DD4B" w14:textId="14A90986" w:rsidR="006F69F7" w:rsidRPr="00B6402E" w:rsidRDefault="006F69F7" w:rsidP="006F69F7">
            <w:pPr>
              <w:tabs>
                <w:tab w:val="decimal" w:pos="780"/>
              </w:tabs>
              <w:ind w:right="-10"/>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top w:val="single" w:sz="4" w:space="0" w:color="auto"/>
              <w:left w:val="nil"/>
              <w:right w:val="nil"/>
            </w:tcBorders>
            <w:shd w:val="clear" w:color="auto" w:fill="auto"/>
            <w:noWrap/>
            <w:vAlign w:val="bottom"/>
          </w:tcPr>
          <w:p w14:paraId="1C1A47A9" w14:textId="4B9A2616" w:rsidR="006F69F7" w:rsidRPr="00B6402E" w:rsidRDefault="006F69F7" w:rsidP="006F69F7">
            <w:pPr>
              <w:tabs>
                <w:tab w:val="decimal" w:pos="106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top w:val="single" w:sz="4" w:space="0" w:color="auto"/>
              <w:left w:val="nil"/>
              <w:right w:val="nil"/>
            </w:tcBorders>
            <w:shd w:val="clear" w:color="auto" w:fill="auto"/>
            <w:noWrap/>
            <w:vAlign w:val="bottom"/>
          </w:tcPr>
          <w:p w14:paraId="373BE7D3" w14:textId="583DC5B8" w:rsidR="006F69F7" w:rsidRPr="00B6402E" w:rsidRDefault="00472211" w:rsidP="006F69F7">
            <w:pPr>
              <w:tabs>
                <w:tab w:val="decimal" w:pos="78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top w:val="single" w:sz="4" w:space="0" w:color="auto"/>
              <w:left w:val="nil"/>
              <w:right w:val="nil"/>
            </w:tcBorders>
          </w:tcPr>
          <w:p w14:paraId="7728C76E" w14:textId="77777777" w:rsidR="006F69F7" w:rsidRDefault="006F69F7" w:rsidP="006F69F7">
            <w:pPr>
              <w:tabs>
                <w:tab w:val="decimal" w:pos="780"/>
              </w:tabs>
              <w:jc w:val="right"/>
              <w:rPr>
                <w:rFonts w:ascii="Calibri" w:eastAsia="Times New Roman" w:hAnsi="Calibri" w:cs="Arial"/>
                <w:b/>
                <w:bCs/>
                <w:color w:val="000000"/>
                <w:sz w:val="20"/>
                <w:szCs w:val="18"/>
                <w:lang w:eastAsia="en-GB"/>
              </w:rPr>
            </w:pPr>
          </w:p>
          <w:p w14:paraId="74DDF902" w14:textId="5A163623" w:rsidR="006F69F7" w:rsidRPr="00B6402E" w:rsidRDefault="00472211" w:rsidP="006F69F7">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(254)</w:t>
            </w:r>
          </w:p>
        </w:tc>
        <w:tc>
          <w:tcPr>
            <w:tcW w:w="458" w:type="pct"/>
            <w:tcBorders>
              <w:top w:val="single" w:sz="4" w:space="0" w:color="auto"/>
              <w:left w:val="nil"/>
              <w:right w:val="nil"/>
            </w:tcBorders>
            <w:shd w:val="clear" w:color="auto" w:fill="auto"/>
            <w:noWrap/>
            <w:vAlign w:val="bottom"/>
          </w:tcPr>
          <w:p w14:paraId="103963CB" w14:textId="58B3BA91" w:rsidR="006F69F7" w:rsidRPr="00B6402E" w:rsidRDefault="00472211" w:rsidP="006F69F7">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(254)</w:t>
            </w:r>
          </w:p>
        </w:tc>
      </w:tr>
      <w:tr w:rsidR="00472211" w:rsidRPr="0077388B" w14:paraId="4413AE83" w14:textId="77777777" w:rsidTr="002429BB">
        <w:trPr>
          <w:trHeight w:val="275"/>
        </w:trPr>
        <w:tc>
          <w:tcPr>
            <w:tcW w:w="1338" w:type="pct"/>
            <w:tcBorders>
              <w:top w:val="nil"/>
              <w:left w:val="nil"/>
              <w:bottom w:val="nil"/>
              <w:right w:val="nil"/>
            </w:tcBorders>
            <w:shd w:val="clear" w:color="auto" w:fill="auto"/>
            <w:noWrap/>
            <w:vAlign w:val="bottom"/>
          </w:tcPr>
          <w:p w14:paraId="717861EF" w14:textId="591F55E4" w:rsidR="00472211" w:rsidRPr="0077388B" w:rsidRDefault="00472211" w:rsidP="006F69F7">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 xml:space="preserve">Total other comprehensive </w:t>
            </w:r>
            <w:r w:rsidR="0051483D">
              <w:rPr>
                <w:rFonts w:ascii="Calibri" w:eastAsia="Times New Roman" w:hAnsi="Calibri" w:cs="Arial"/>
                <w:color w:val="000000"/>
                <w:sz w:val="20"/>
                <w:szCs w:val="18"/>
                <w:lang w:eastAsia="en-GB"/>
              </w:rPr>
              <w:t>expenses</w:t>
            </w:r>
          </w:p>
        </w:tc>
        <w:tc>
          <w:tcPr>
            <w:tcW w:w="458" w:type="pct"/>
            <w:tcBorders>
              <w:left w:val="nil"/>
              <w:bottom w:val="single" w:sz="4" w:space="0" w:color="auto"/>
              <w:right w:val="nil"/>
            </w:tcBorders>
            <w:shd w:val="clear" w:color="auto" w:fill="auto"/>
            <w:noWrap/>
            <w:vAlign w:val="bottom"/>
          </w:tcPr>
          <w:p w14:paraId="32520423" w14:textId="6246F49F" w:rsidR="00472211" w:rsidRPr="00B6402E" w:rsidRDefault="00472211" w:rsidP="006F69F7">
            <w:pPr>
              <w:tabs>
                <w:tab w:val="decimal" w:pos="77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left w:val="nil"/>
              <w:bottom w:val="single" w:sz="4" w:space="0" w:color="auto"/>
              <w:right w:val="nil"/>
            </w:tcBorders>
            <w:shd w:val="clear" w:color="auto" w:fill="auto"/>
            <w:noWrap/>
            <w:vAlign w:val="bottom"/>
          </w:tcPr>
          <w:p w14:paraId="0F75855D" w14:textId="57236B26" w:rsidR="00472211" w:rsidRPr="00B6402E" w:rsidRDefault="00472211" w:rsidP="006F69F7">
            <w:pPr>
              <w:tabs>
                <w:tab w:val="decimal" w:pos="883"/>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left w:val="nil"/>
              <w:bottom w:val="single" w:sz="4" w:space="0" w:color="auto"/>
              <w:right w:val="nil"/>
            </w:tcBorders>
            <w:vAlign w:val="bottom"/>
          </w:tcPr>
          <w:p w14:paraId="2A8A01AD" w14:textId="04D28685" w:rsidR="00472211" w:rsidRDefault="00472211" w:rsidP="006F69F7">
            <w:pPr>
              <w:tabs>
                <w:tab w:val="decimal" w:pos="780"/>
              </w:tabs>
              <w:ind w:right="-10"/>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left w:val="nil"/>
              <w:bottom w:val="single" w:sz="4" w:space="0" w:color="auto"/>
              <w:right w:val="nil"/>
            </w:tcBorders>
            <w:shd w:val="clear" w:color="auto" w:fill="auto"/>
            <w:noWrap/>
            <w:vAlign w:val="bottom"/>
          </w:tcPr>
          <w:p w14:paraId="0B6F08DE" w14:textId="1B7F5D82" w:rsidR="00472211" w:rsidRDefault="00472211" w:rsidP="006F69F7">
            <w:pPr>
              <w:tabs>
                <w:tab w:val="decimal" w:pos="780"/>
              </w:tabs>
              <w:ind w:right="-10"/>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left w:val="nil"/>
              <w:bottom w:val="single" w:sz="4" w:space="0" w:color="auto"/>
              <w:right w:val="nil"/>
            </w:tcBorders>
            <w:shd w:val="clear" w:color="auto" w:fill="auto"/>
            <w:noWrap/>
            <w:vAlign w:val="bottom"/>
          </w:tcPr>
          <w:p w14:paraId="3DB3D6E9" w14:textId="21AFEA3F" w:rsidR="00472211" w:rsidRDefault="00472211" w:rsidP="006F69F7">
            <w:pPr>
              <w:tabs>
                <w:tab w:val="decimal" w:pos="106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left w:val="nil"/>
              <w:bottom w:val="single" w:sz="4" w:space="0" w:color="auto"/>
              <w:right w:val="nil"/>
            </w:tcBorders>
            <w:shd w:val="clear" w:color="auto" w:fill="auto"/>
            <w:noWrap/>
            <w:vAlign w:val="bottom"/>
          </w:tcPr>
          <w:p w14:paraId="37486D34" w14:textId="60041D2A" w:rsidR="00472211" w:rsidRDefault="00472211" w:rsidP="006F69F7">
            <w:pPr>
              <w:tabs>
                <w:tab w:val="decimal" w:pos="78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(351)</w:t>
            </w:r>
          </w:p>
        </w:tc>
        <w:tc>
          <w:tcPr>
            <w:tcW w:w="458" w:type="pct"/>
            <w:tcBorders>
              <w:left w:val="nil"/>
              <w:bottom w:val="single" w:sz="4" w:space="0" w:color="auto"/>
              <w:right w:val="nil"/>
            </w:tcBorders>
          </w:tcPr>
          <w:p w14:paraId="578CABB6" w14:textId="77777777" w:rsidR="00472211" w:rsidRDefault="00472211" w:rsidP="006F69F7">
            <w:pPr>
              <w:tabs>
                <w:tab w:val="decimal" w:pos="780"/>
              </w:tabs>
              <w:jc w:val="right"/>
              <w:rPr>
                <w:rFonts w:ascii="Calibri" w:eastAsia="Times New Roman" w:hAnsi="Calibri" w:cs="Arial"/>
                <w:b/>
                <w:bCs/>
                <w:color w:val="000000"/>
                <w:sz w:val="20"/>
                <w:szCs w:val="18"/>
                <w:lang w:eastAsia="en-GB"/>
              </w:rPr>
            </w:pPr>
          </w:p>
          <w:p w14:paraId="70924572" w14:textId="4AA43B0F" w:rsidR="00472211" w:rsidRDefault="00472211" w:rsidP="006F69F7">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4" w:space="0" w:color="auto"/>
              <w:right w:val="nil"/>
            </w:tcBorders>
            <w:shd w:val="clear" w:color="auto" w:fill="auto"/>
            <w:noWrap/>
            <w:vAlign w:val="bottom"/>
          </w:tcPr>
          <w:p w14:paraId="367F1349" w14:textId="2FC91CD1" w:rsidR="00472211" w:rsidRDefault="00472211" w:rsidP="006F69F7">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(351)</w:t>
            </w:r>
          </w:p>
        </w:tc>
      </w:tr>
      <w:tr w:rsidR="006F69F7" w:rsidRPr="0077388B" w14:paraId="677C3CC2" w14:textId="77777777" w:rsidTr="002429BB">
        <w:trPr>
          <w:trHeight w:val="253"/>
        </w:trPr>
        <w:tc>
          <w:tcPr>
            <w:tcW w:w="1338" w:type="pct"/>
            <w:tcBorders>
              <w:top w:val="nil"/>
              <w:left w:val="nil"/>
              <w:bottom w:val="nil"/>
              <w:right w:val="nil"/>
            </w:tcBorders>
            <w:shd w:val="clear" w:color="auto" w:fill="auto"/>
            <w:noWrap/>
            <w:vAlign w:val="bottom"/>
          </w:tcPr>
          <w:p w14:paraId="518796A9" w14:textId="222EE6CB" w:rsidR="006F69F7" w:rsidRDefault="006F69F7" w:rsidP="006F69F7">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 xml:space="preserve">Total comprehensive </w:t>
            </w:r>
            <w:r w:rsidR="0051483D">
              <w:rPr>
                <w:rFonts w:ascii="Calibri" w:eastAsia="Times New Roman" w:hAnsi="Calibri" w:cs="Arial"/>
                <w:b/>
                <w:bCs/>
                <w:color w:val="000000"/>
                <w:sz w:val="20"/>
                <w:szCs w:val="18"/>
                <w:lang w:eastAsia="en-GB"/>
              </w:rPr>
              <w:t>expense</w:t>
            </w:r>
            <w:r w:rsidRPr="0077388B">
              <w:rPr>
                <w:rFonts w:ascii="Calibri" w:eastAsia="Times New Roman" w:hAnsi="Calibri" w:cs="Arial"/>
                <w:b/>
                <w:bCs/>
                <w:color w:val="000000"/>
                <w:sz w:val="20"/>
                <w:szCs w:val="18"/>
                <w:lang w:eastAsia="en-GB"/>
              </w:rPr>
              <w:t xml:space="preserve"> for the period</w:t>
            </w:r>
          </w:p>
        </w:tc>
        <w:tc>
          <w:tcPr>
            <w:tcW w:w="458" w:type="pct"/>
            <w:tcBorders>
              <w:top w:val="single" w:sz="8" w:space="0" w:color="auto"/>
              <w:left w:val="nil"/>
              <w:bottom w:val="single" w:sz="4" w:space="0" w:color="auto"/>
              <w:right w:val="nil"/>
            </w:tcBorders>
            <w:shd w:val="clear" w:color="auto" w:fill="auto"/>
            <w:noWrap/>
            <w:vAlign w:val="bottom"/>
          </w:tcPr>
          <w:p w14:paraId="59ABB3D9" w14:textId="563D6004" w:rsidR="006F69F7" w:rsidRDefault="006F69F7" w:rsidP="006F69F7">
            <w:pPr>
              <w:tabs>
                <w:tab w:val="decimal" w:pos="77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top w:val="single" w:sz="8" w:space="0" w:color="auto"/>
              <w:left w:val="nil"/>
              <w:bottom w:val="single" w:sz="4" w:space="0" w:color="auto"/>
              <w:right w:val="nil"/>
            </w:tcBorders>
            <w:shd w:val="clear" w:color="auto" w:fill="auto"/>
            <w:noWrap/>
            <w:vAlign w:val="bottom"/>
          </w:tcPr>
          <w:p w14:paraId="2B1F7F99" w14:textId="0B9964AE" w:rsidR="006F69F7" w:rsidRPr="00B6402E" w:rsidRDefault="006F69F7" w:rsidP="006F69F7">
            <w:pPr>
              <w:tabs>
                <w:tab w:val="decimal" w:pos="883"/>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8" w:space="0" w:color="auto"/>
              <w:left w:val="nil"/>
              <w:bottom w:val="single" w:sz="4" w:space="0" w:color="auto"/>
              <w:right w:val="nil"/>
            </w:tcBorders>
            <w:vAlign w:val="bottom"/>
          </w:tcPr>
          <w:p w14:paraId="004B0F25" w14:textId="16B817EB" w:rsidR="006F69F7" w:rsidRDefault="006F69F7" w:rsidP="006F69F7">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8" w:space="0" w:color="auto"/>
              <w:left w:val="nil"/>
              <w:bottom w:val="single" w:sz="4" w:space="0" w:color="auto"/>
              <w:right w:val="nil"/>
            </w:tcBorders>
            <w:shd w:val="clear" w:color="auto" w:fill="auto"/>
            <w:noWrap/>
            <w:vAlign w:val="bottom"/>
          </w:tcPr>
          <w:p w14:paraId="726EDC68" w14:textId="3C7C1850" w:rsidR="006F69F7" w:rsidRPr="00B6402E" w:rsidRDefault="00472211" w:rsidP="006F69F7">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8" w:space="0" w:color="auto"/>
              <w:left w:val="nil"/>
              <w:bottom w:val="single" w:sz="4" w:space="0" w:color="auto"/>
              <w:right w:val="nil"/>
            </w:tcBorders>
            <w:shd w:val="clear" w:color="auto" w:fill="auto"/>
            <w:noWrap/>
            <w:vAlign w:val="bottom"/>
          </w:tcPr>
          <w:p w14:paraId="220A7B18" w14:textId="7FBD8169" w:rsidR="006F69F7" w:rsidRDefault="00472211" w:rsidP="006F69F7">
            <w:pPr>
              <w:tabs>
                <w:tab w:val="decimal" w:pos="106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top w:val="single" w:sz="8" w:space="0" w:color="auto"/>
              <w:left w:val="nil"/>
              <w:bottom w:val="single" w:sz="4" w:space="0" w:color="auto"/>
              <w:right w:val="nil"/>
            </w:tcBorders>
            <w:shd w:val="clear" w:color="auto" w:fill="auto"/>
            <w:noWrap/>
            <w:vAlign w:val="bottom"/>
          </w:tcPr>
          <w:p w14:paraId="0720FE32" w14:textId="433B6B7F" w:rsidR="006F69F7" w:rsidRPr="00B6402E" w:rsidRDefault="006F69F7" w:rsidP="006F69F7">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8" w:space="0" w:color="auto"/>
              <w:left w:val="nil"/>
              <w:bottom w:val="single" w:sz="4" w:space="0" w:color="auto"/>
              <w:right w:val="nil"/>
            </w:tcBorders>
          </w:tcPr>
          <w:p w14:paraId="789B9089" w14:textId="77777777" w:rsidR="006F69F7" w:rsidRDefault="006F69F7" w:rsidP="006F69F7">
            <w:pPr>
              <w:tabs>
                <w:tab w:val="decimal" w:pos="780"/>
              </w:tabs>
              <w:jc w:val="right"/>
              <w:rPr>
                <w:rFonts w:ascii="Calibri" w:eastAsia="Times New Roman" w:hAnsi="Calibri" w:cs="Arial"/>
                <w:b/>
                <w:bCs/>
                <w:color w:val="000000"/>
                <w:sz w:val="20"/>
                <w:szCs w:val="18"/>
                <w:lang w:eastAsia="en-GB"/>
              </w:rPr>
            </w:pPr>
          </w:p>
          <w:p w14:paraId="6CC383B5" w14:textId="0304D341" w:rsidR="006F69F7" w:rsidRPr="00B6402E" w:rsidRDefault="006F69F7" w:rsidP="006F69F7">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8" w:space="0" w:color="auto"/>
              <w:left w:val="nil"/>
              <w:bottom w:val="single" w:sz="4" w:space="0" w:color="auto"/>
              <w:right w:val="nil"/>
            </w:tcBorders>
            <w:shd w:val="clear" w:color="auto" w:fill="auto"/>
            <w:noWrap/>
            <w:vAlign w:val="bottom"/>
          </w:tcPr>
          <w:p w14:paraId="17C479AA" w14:textId="65C47E16" w:rsidR="006F69F7" w:rsidRPr="00B6402E" w:rsidRDefault="006F69F7" w:rsidP="006F69F7">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0059230A">
              <w:rPr>
                <w:rFonts w:ascii="Calibri" w:eastAsia="Times New Roman" w:hAnsi="Calibri" w:cs="Arial"/>
                <w:b/>
                <w:bCs/>
                <w:color w:val="000000"/>
                <w:sz w:val="20"/>
                <w:szCs w:val="18"/>
                <w:lang w:eastAsia="en-GB"/>
              </w:rPr>
              <w:t>605</w:t>
            </w:r>
            <w:r>
              <w:rPr>
                <w:rFonts w:ascii="Calibri" w:eastAsia="Times New Roman" w:hAnsi="Calibri" w:cs="Arial"/>
                <w:b/>
                <w:bCs/>
                <w:color w:val="000000"/>
                <w:sz w:val="20"/>
                <w:szCs w:val="18"/>
                <w:lang w:eastAsia="en-GB"/>
              </w:rPr>
              <w:t>)</w:t>
            </w:r>
          </w:p>
        </w:tc>
      </w:tr>
      <w:tr w:rsidR="006F69F7" w:rsidRPr="0077388B" w14:paraId="0C1C6DD2" w14:textId="77777777" w:rsidTr="002429BB">
        <w:trPr>
          <w:trHeight w:val="253"/>
        </w:trPr>
        <w:tc>
          <w:tcPr>
            <w:tcW w:w="1338" w:type="pct"/>
            <w:tcBorders>
              <w:top w:val="nil"/>
              <w:left w:val="nil"/>
              <w:bottom w:val="nil"/>
              <w:right w:val="nil"/>
            </w:tcBorders>
            <w:shd w:val="clear" w:color="auto" w:fill="auto"/>
            <w:noWrap/>
            <w:vAlign w:val="bottom"/>
          </w:tcPr>
          <w:p w14:paraId="58DEC079" w14:textId="3B0E6241" w:rsidR="006F69F7" w:rsidRPr="00472211" w:rsidRDefault="00472211" w:rsidP="006F69F7">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Issue of ordinary shares</w:t>
            </w:r>
          </w:p>
        </w:tc>
        <w:tc>
          <w:tcPr>
            <w:tcW w:w="458" w:type="pct"/>
            <w:tcBorders>
              <w:top w:val="single" w:sz="8" w:space="0" w:color="auto"/>
              <w:left w:val="nil"/>
              <w:right w:val="nil"/>
            </w:tcBorders>
            <w:shd w:val="clear" w:color="auto" w:fill="auto"/>
            <w:noWrap/>
            <w:vAlign w:val="bottom"/>
          </w:tcPr>
          <w:p w14:paraId="748AD98A" w14:textId="3D1F6D30" w:rsidR="006F69F7" w:rsidRDefault="00472211" w:rsidP="006F69F7">
            <w:pPr>
              <w:tabs>
                <w:tab w:val="decimal" w:pos="77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33</w:t>
            </w:r>
          </w:p>
        </w:tc>
        <w:tc>
          <w:tcPr>
            <w:tcW w:w="458" w:type="pct"/>
            <w:tcBorders>
              <w:top w:val="single" w:sz="8" w:space="0" w:color="auto"/>
              <w:left w:val="nil"/>
              <w:right w:val="nil"/>
            </w:tcBorders>
            <w:shd w:val="clear" w:color="auto" w:fill="auto"/>
            <w:noWrap/>
            <w:vAlign w:val="bottom"/>
          </w:tcPr>
          <w:p w14:paraId="0DC87F71" w14:textId="42851910" w:rsidR="006F69F7" w:rsidRDefault="00472211" w:rsidP="006F69F7">
            <w:pPr>
              <w:tabs>
                <w:tab w:val="decimal" w:pos="883"/>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217</w:t>
            </w:r>
          </w:p>
        </w:tc>
        <w:tc>
          <w:tcPr>
            <w:tcW w:w="458" w:type="pct"/>
            <w:tcBorders>
              <w:top w:val="single" w:sz="8" w:space="0" w:color="auto"/>
              <w:left w:val="nil"/>
              <w:right w:val="nil"/>
            </w:tcBorders>
            <w:vAlign w:val="bottom"/>
          </w:tcPr>
          <w:p w14:paraId="5FCDD2B6" w14:textId="21FC213B" w:rsidR="006F69F7" w:rsidRDefault="006F69F7" w:rsidP="006F69F7">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8" w:space="0" w:color="auto"/>
              <w:left w:val="nil"/>
              <w:right w:val="nil"/>
            </w:tcBorders>
            <w:shd w:val="clear" w:color="auto" w:fill="auto"/>
            <w:noWrap/>
            <w:vAlign w:val="bottom"/>
          </w:tcPr>
          <w:p w14:paraId="761986F3" w14:textId="60939FCF" w:rsidR="006F69F7" w:rsidRDefault="006F69F7" w:rsidP="006F69F7">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8" w:space="0" w:color="auto"/>
              <w:left w:val="nil"/>
              <w:right w:val="nil"/>
            </w:tcBorders>
            <w:shd w:val="clear" w:color="auto" w:fill="auto"/>
            <w:noWrap/>
            <w:vAlign w:val="bottom"/>
          </w:tcPr>
          <w:p w14:paraId="4C5B1BA0" w14:textId="1A66BE10" w:rsidR="006F69F7" w:rsidRDefault="006F69F7" w:rsidP="006F69F7">
            <w:pPr>
              <w:tabs>
                <w:tab w:val="decimal" w:pos="106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top w:val="single" w:sz="8" w:space="0" w:color="auto"/>
              <w:left w:val="nil"/>
              <w:right w:val="nil"/>
            </w:tcBorders>
            <w:shd w:val="clear" w:color="auto" w:fill="auto"/>
            <w:noWrap/>
            <w:vAlign w:val="bottom"/>
          </w:tcPr>
          <w:p w14:paraId="5E3FB2FF" w14:textId="72963AEF" w:rsidR="006F69F7" w:rsidRDefault="006F69F7" w:rsidP="006F69F7">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8" w:space="0" w:color="auto"/>
              <w:left w:val="nil"/>
              <w:right w:val="nil"/>
            </w:tcBorders>
          </w:tcPr>
          <w:p w14:paraId="608161B4" w14:textId="77777777" w:rsidR="006F69F7" w:rsidRDefault="006F69F7" w:rsidP="006F69F7">
            <w:pPr>
              <w:tabs>
                <w:tab w:val="decimal" w:pos="780"/>
              </w:tabs>
              <w:jc w:val="right"/>
              <w:rPr>
                <w:rFonts w:ascii="Calibri" w:eastAsia="Times New Roman" w:hAnsi="Calibri" w:cs="Arial"/>
                <w:b/>
                <w:bCs/>
                <w:color w:val="000000"/>
                <w:sz w:val="20"/>
                <w:szCs w:val="18"/>
                <w:lang w:eastAsia="en-GB"/>
              </w:rPr>
            </w:pPr>
          </w:p>
          <w:p w14:paraId="4CC2D3BA" w14:textId="5E8E22BC" w:rsidR="006F69F7" w:rsidRDefault="006F69F7" w:rsidP="006F69F7">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8" w:space="0" w:color="auto"/>
              <w:left w:val="nil"/>
              <w:right w:val="nil"/>
            </w:tcBorders>
            <w:shd w:val="clear" w:color="auto" w:fill="auto"/>
            <w:noWrap/>
            <w:vAlign w:val="bottom"/>
          </w:tcPr>
          <w:p w14:paraId="69416068" w14:textId="4C9913E5" w:rsidR="006F69F7" w:rsidRDefault="00472211" w:rsidP="006F69F7">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250</w:t>
            </w:r>
          </w:p>
        </w:tc>
      </w:tr>
      <w:tr w:rsidR="006F69F7" w:rsidRPr="0077388B" w14:paraId="49869D2C" w14:textId="77777777" w:rsidTr="002429BB">
        <w:trPr>
          <w:trHeight w:val="253"/>
        </w:trPr>
        <w:tc>
          <w:tcPr>
            <w:tcW w:w="1338" w:type="pct"/>
            <w:tcBorders>
              <w:top w:val="nil"/>
              <w:left w:val="nil"/>
              <w:bottom w:val="nil"/>
              <w:right w:val="nil"/>
            </w:tcBorders>
            <w:shd w:val="clear" w:color="auto" w:fill="auto"/>
            <w:noWrap/>
            <w:vAlign w:val="bottom"/>
          </w:tcPr>
          <w:p w14:paraId="1AF6FD8A" w14:textId="18D69A81" w:rsidR="006F69F7" w:rsidRPr="00472211" w:rsidRDefault="00472211" w:rsidP="006F69F7">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Cost of share issues</w:t>
            </w:r>
          </w:p>
        </w:tc>
        <w:tc>
          <w:tcPr>
            <w:tcW w:w="458" w:type="pct"/>
            <w:tcBorders>
              <w:left w:val="nil"/>
              <w:right w:val="nil"/>
            </w:tcBorders>
            <w:shd w:val="clear" w:color="auto" w:fill="auto"/>
            <w:noWrap/>
            <w:vAlign w:val="bottom"/>
          </w:tcPr>
          <w:p w14:paraId="10694451" w14:textId="0894B3E7" w:rsidR="006F69F7" w:rsidRDefault="006F69F7" w:rsidP="006F69F7">
            <w:pPr>
              <w:tabs>
                <w:tab w:val="decimal" w:pos="77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left w:val="nil"/>
              <w:right w:val="nil"/>
            </w:tcBorders>
            <w:shd w:val="clear" w:color="auto" w:fill="auto"/>
            <w:noWrap/>
            <w:vAlign w:val="bottom"/>
          </w:tcPr>
          <w:p w14:paraId="316E9F35" w14:textId="4BC66308" w:rsidR="006F69F7" w:rsidRDefault="006F69F7" w:rsidP="006F69F7">
            <w:pPr>
              <w:tabs>
                <w:tab w:val="decimal" w:pos="883"/>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vAlign w:val="bottom"/>
          </w:tcPr>
          <w:p w14:paraId="7BDE8E8A" w14:textId="14D21A00" w:rsidR="006F69F7" w:rsidRDefault="006F69F7" w:rsidP="006F69F7">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shd w:val="clear" w:color="auto" w:fill="auto"/>
            <w:noWrap/>
            <w:vAlign w:val="bottom"/>
          </w:tcPr>
          <w:p w14:paraId="240F3F9E" w14:textId="5B3C41A6" w:rsidR="006F69F7" w:rsidRDefault="006F69F7" w:rsidP="006F69F7">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shd w:val="clear" w:color="auto" w:fill="auto"/>
            <w:noWrap/>
            <w:vAlign w:val="bottom"/>
          </w:tcPr>
          <w:p w14:paraId="7808510F" w14:textId="31AF5A5E" w:rsidR="006F69F7" w:rsidRDefault="006F69F7" w:rsidP="006F69F7">
            <w:pPr>
              <w:tabs>
                <w:tab w:val="decimal" w:pos="106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left w:val="nil"/>
              <w:right w:val="nil"/>
            </w:tcBorders>
            <w:shd w:val="clear" w:color="auto" w:fill="auto"/>
            <w:noWrap/>
            <w:vAlign w:val="bottom"/>
          </w:tcPr>
          <w:p w14:paraId="721AA348" w14:textId="2F2A928E" w:rsidR="006F69F7" w:rsidRDefault="006F69F7" w:rsidP="006F69F7">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tcPr>
          <w:p w14:paraId="02F704A9" w14:textId="0F45133A" w:rsidR="006F69F7" w:rsidRDefault="006F69F7" w:rsidP="006F69F7">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shd w:val="clear" w:color="auto" w:fill="auto"/>
            <w:noWrap/>
            <w:vAlign w:val="bottom"/>
          </w:tcPr>
          <w:p w14:paraId="597A727A" w14:textId="67FF500A" w:rsidR="006F69F7" w:rsidRDefault="006F69F7" w:rsidP="006F69F7">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r>
      <w:tr w:rsidR="006F69F7" w:rsidRPr="0077388B" w14:paraId="7DC6B261" w14:textId="77777777" w:rsidTr="002429BB">
        <w:trPr>
          <w:trHeight w:val="253"/>
        </w:trPr>
        <w:tc>
          <w:tcPr>
            <w:tcW w:w="1338" w:type="pct"/>
            <w:tcBorders>
              <w:top w:val="nil"/>
              <w:left w:val="nil"/>
              <w:bottom w:val="nil"/>
              <w:right w:val="nil"/>
            </w:tcBorders>
            <w:shd w:val="clear" w:color="auto" w:fill="auto"/>
            <w:noWrap/>
            <w:vAlign w:val="bottom"/>
          </w:tcPr>
          <w:p w14:paraId="4DE2BC83" w14:textId="4B78AF57" w:rsidR="006F69F7" w:rsidRPr="00472211" w:rsidRDefault="00472211" w:rsidP="006F69F7">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Share-based payments</w:t>
            </w:r>
          </w:p>
        </w:tc>
        <w:tc>
          <w:tcPr>
            <w:tcW w:w="458" w:type="pct"/>
            <w:tcBorders>
              <w:left w:val="nil"/>
              <w:bottom w:val="single" w:sz="4" w:space="0" w:color="auto"/>
              <w:right w:val="nil"/>
            </w:tcBorders>
            <w:shd w:val="clear" w:color="auto" w:fill="auto"/>
            <w:noWrap/>
            <w:vAlign w:val="bottom"/>
          </w:tcPr>
          <w:p w14:paraId="0E66BA8B" w14:textId="01D0E808" w:rsidR="006F69F7" w:rsidRDefault="006F69F7" w:rsidP="006F69F7">
            <w:pPr>
              <w:tabs>
                <w:tab w:val="decimal" w:pos="77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left w:val="nil"/>
              <w:bottom w:val="single" w:sz="4" w:space="0" w:color="auto"/>
              <w:right w:val="nil"/>
            </w:tcBorders>
            <w:shd w:val="clear" w:color="auto" w:fill="auto"/>
            <w:noWrap/>
            <w:vAlign w:val="bottom"/>
          </w:tcPr>
          <w:p w14:paraId="160F2EE1" w14:textId="46623892" w:rsidR="006F69F7" w:rsidRDefault="006F69F7" w:rsidP="006F69F7">
            <w:pPr>
              <w:tabs>
                <w:tab w:val="decimal" w:pos="883"/>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4" w:space="0" w:color="auto"/>
              <w:right w:val="nil"/>
            </w:tcBorders>
            <w:vAlign w:val="bottom"/>
          </w:tcPr>
          <w:p w14:paraId="5F86330C" w14:textId="412125B0" w:rsidR="006F69F7" w:rsidRDefault="006F69F7" w:rsidP="006F69F7">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4" w:space="0" w:color="auto"/>
              <w:right w:val="nil"/>
            </w:tcBorders>
            <w:shd w:val="clear" w:color="auto" w:fill="auto"/>
            <w:noWrap/>
            <w:vAlign w:val="bottom"/>
          </w:tcPr>
          <w:p w14:paraId="3A612DE0" w14:textId="3E260D06" w:rsidR="006F69F7" w:rsidRDefault="0059230A" w:rsidP="006F69F7">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42</w:t>
            </w:r>
          </w:p>
        </w:tc>
        <w:tc>
          <w:tcPr>
            <w:tcW w:w="458" w:type="pct"/>
            <w:tcBorders>
              <w:left w:val="nil"/>
              <w:bottom w:val="single" w:sz="4" w:space="0" w:color="auto"/>
              <w:right w:val="nil"/>
            </w:tcBorders>
            <w:shd w:val="clear" w:color="auto" w:fill="auto"/>
            <w:noWrap/>
            <w:vAlign w:val="bottom"/>
          </w:tcPr>
          <w:p w14:paraId="3D29AE09" w14:textId="0117C764" w:rsidR="006F69F7" w:rsidRDefault="006F69F7" w:rsidP="006F69F7">
            <w:pPr>
              <w:tabs>
                <w:tab w:val="decimal" w:pos="106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left w:val="nil"/>
              <w:bottom w:val="single" w:sz="4" w:space="0" w:color="auto"/>
              <w:right w:val="nil"/>
            </w:tcBorders>
            <w:shd w:val="clear" w:color="auto" w:fill="auto"/>
            <w:noWrap/>
            <w:vAlign w:val="bottom"/>
          </w:tcPr>
          <w:p w14:paraId="030669F0" w14:textId="08490154" w:rsidR="006F69F7" w:rsidRDefault="006F69F7" w:rsidP="006F69F7">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4" w:space="0" w:color="auto"/>
              <w:right w:val="nil"/>
            </w:tcBorders>
          </w:tcPr>
          <w:p w14:paraId="281AC76C" w14:textId="5177A9E1" w:rsidR="006F69F7" w:rsidRDefault="00472211" w:rsidP="006F69F7">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4" w:space="0" w:color="auto"/>
              <w:right w:val="nil"/>
            </w:tcBorders>
            <w:shd w:val="clear" w:color="auto" w:fill="auto"/>
            <w:noWrap/>
            <w:vAlign w:val="bottom"/>
          </w:tcPr>
          <w:p w14:paraId="26614CA9" w14:textId="54CE82C2" w:rsidR="006F69F7" w:rsidRDefault="0059230A" w:rsidP="006F69F7">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42</w:t>
            </w:r>
          </w:p>
        </w:tc>
      </w:tr>
      <w:tr w:rsidR="00472211" w:rsidRPr="0077388B" w14:paraId="55D7E645" w14:textId="77777777" w:rsidTr="002429BB">
        <w:trPr>
          <w:trHeight w:val="253"/>
        </w:trPr>
        <w:tc>
          <w:tcPr>
            <w:tcW w:w="1338" w:type="pct"/>
            <w:tcBorders>
              <w:top w:val="nil"/>
              <w:left w:val="nil"/>
              <w:bottom w:val="nil"/>
              <w:right w:val="nil"/>
            </w:tcBorders>
            <w:shd w:val="clear" w:color="auto" w:fill="auto"/>
            <w:noWrap/>
            <w:vAlign w:val="bottom"/>
          </w:tcPr>
          <w:p w14:paraId="47AC8527" w14:textId="77777777" w:rsidR="00472211" w:rsidRDefault="00472211" w:rsidP="006F69F7">
            <w:pPr>
              <w:rPr>
                <w:rFonts w:ascii="Calibri" w:eastAsia="Times New Roman" w:hAnsi="Calibri" w:cs="Arial"/>
                <w:b/>
                <w:bCs/>
                <w:color w:val="000000"/>
                <w:sz w:val="20"/>
                <w:szCs w:val="18"/>
                <w:lang w:eastAsia="en-GB"/>
              </w:rPr>
            </w:pPr>
          </w:p>
        </w:tc>
        <w:tc>
          <w:tcPr>
            <w:tcW w:w="458" w:type="pct"/>
            <w:tcBorders>
              <w:left w:val="nil"/>
              <w:bottom w:val="single" w:sz="8" w:space="0" w:color="auto"/>
              <w:right w:val="nil"/>
            </w:tcBorders>
            <w:shd w:val="clear" w:color="auto" w:fill="auto"/>
            <w:noWrap/>
            <w:vAlign w:val="bottom"/>
          </w:tcPr>
          <w:p w14:paraId="407D113E" w14:textId="49107BD3" w:rsidR="00472211" w:rsidRDefault="00472211" w:rsidP="006F69F7">
            <w:pPr>
              <w:tabs>
                <w:tab w:val="decimal" w:pos="770"/>
              </w:tabs>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33</w:t>
            </w:r>
          </w:p>
        </w:tc>
        <w:tc>
          <w:tcPr>
            <w:tcW w:w="458" w:type="pct"/>
            <w:tcBorders>
              <w:left w:val="nil"/>
              <w:bottom w:val="single" w:sz="8" w:space="0" w:color="auto"/>
              <w:right w:val="nil"/>
            </w:tcBorders>
            <w:shd w:val="clear" w:color="auto" w:fill="auto"/>
            <w:noWrap/>
            <w:vAlign w:val="bottom"/>
          </w:tcPr>
          <w:p w14:paraId="190B5CD4" w14:textId="171FED0F" w:rsidR="00472211" w:rsidRDefault="00472211" w:rsidP="006F69F7">
            <w:pPr>
              <w:tabs>
                <w:tab w:val="decimal" w:pos="883"/>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217</w:t>
            </w:r>
          </w:p>
        </w:tc>
        <w:tc>
          <w:tcPr>
            <w:tcW w:w="458" w:type="pct"/>
            <w:tcBorders>
              <w:left w:val="nil"/>
              <w:bottom w:val="single" w:sz="8" w:space="0" w:color="auto"/>
              <w:right w:val="nil"/>
            </w:tcBorders>
            <w:vAlign w:val="bottom"/>
          </w:tcPr>
          <w:p w14:paraId="63F4FAAB" w14:textId="3ED61B5C" w:rsidR="00472211" w:rsidRDefault="00472211" w:rsidP="006F69F7">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8" w:space="0" w:color="auto"/>
              <w:right w:val="nil"/>
            </w:tcBorders>
            <w:shd w:val="clear" w:color="auto" w:fill="auto"/>
            <w:noWrap/>
            <w:vAlign w:val="bottom"/>
          </w:tcPr>
          <w:p w14:paraId="4841612A" w14:textId="117B35AE" w:rsidR="00472211" w:rsidRDefault="00472211" w:rsidP="006F69F7">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4</w:t>
            </w:r>
            <w:r w:rsidR="0059230A">
              <w:rPr>
                <w:rFonts w:ascii="Calibri" w:eastAsia="Times New Roman" w:hAnsi="Calibri" w:cs="Arial"/>
                <w:b/>
                <w:bCs/>
                <w:color w:val="000000"/>
                <w:sz w:val="20"/>
                <w:szCs w:val="18"/>
                <w:lang w:eastAsia="en-GB"/>
              </w:rPr>
              <w:t>2</w:t>
            </w:r>
          </w:p>
        </w:tc>
        <w:tc>
          <w:tcPr>
            <w:tcW w:w="458" w:type="pct"/>
            <w:tcBorders>
              <w:left w:val="nil"/>
              <w:bottom w:val="single" w:sz="8" w:space="0" w:color="auto"/>
              <w:right w:val="nil"/>
            </w:tcBorders>
            <w:shd w:val="clear" w:color="auto" w:fill="auto"/>
            <w:noWrap/>
            <w:vAlign w:val="bottom"/>
          </w:tcPr>
          <w:p w14:paraId="0F396971" w14:textId="616C28FF" w:rsidR="00472211" w:rsidRDefault="00472211" w:rsidP="006F69F7">
            <w:pPr>
              <w:tabs>
                <w:tab w:val="decimal" w:pos="106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left w:val="nil"/>
              <w:bottom w:val="single" w:sz="8" w:space="0" w:color="auto"/>
              <w:right w:val="nil"/>
            </w:tcBorders>
            <w:shd w:val="clear" w:color="auto" w:fill="auto"/>
            <w:noWrap/>
            <w:vAlign w:val="bottom"/>
          </w:tcPr>
          <w:p w14:paraId="288EDE15" w14:textId="0D6DB45A" w:rsidR="00472211" w:rsidRDefault="00472211" w:rsidP="006F69F7">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8" w:space="0" w:color="auto"/>
              <w:right w:val="nil"/>
            </w:tcBorders>
          </w:tcPr>
          <w:p w14:paraId="0BEA90CB" w14:textId="44ACA1E2" w:rsidR="00472211" w:rsidRDefault="00472211" w:rsidP="006F69F7">
            <w:pPr>
              <w:tabs>
                <w:tab w:val="decimal" w:pos="780"/>
              </w:tabs>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8" w:space="0" w:color="auto"/>
              <w:right w:val="nil"/>
            </w:tcBorders>
            <w:shd w:val="clear" w:color="auto" w:fill="auto"/>
            <w:noWrap/>
            <w:vAlign w:val="bottom"/>
          </w:tcPr>
          <w:p w14:paraId="40C161F6" w14:textId="3EC70896" w:rsidR="00472211" w:rsidRDefault="00472211" w:rsidP="006F69F7">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29</w:t>
            </w:r>
            <w:r w:rsidR="0059230A">
              <w:rPr>
                <w:rFonts w:ascii="Calibri" w:eastAsia="Times New Roman" w:hAnsi="Calibri" w:cs="Arial"/>
                <w:b/>
                <w:bCs/>
                <w:color w:val="000000"/>
                <w:sz w:val="20"/>
                <w:szCs w:val="18"/>
                <w:lang w:eastAsia="en-GB"/>
              </w:rPr>
              <w:t>2</w:t>
            </w:r>
          </w:p>
        </w:tc>
      </w:tr>
      <w:tr w:rsidR="00472211" w:rsidRPr="0077388B" w14:paraId="00A441EA" w14:textId="77777777" w:rsidTr="002429BB">
        <w:trPr>
          <w:trHeight w:val="253"/>
        </w:trPr>
        <w:tc>
          <w:tcPr>
            <w:tcW w:w="1338" w:type="pct"/>
            <w:tcBorders>
              <w:top w:val="nil"/>
              <w:left w:val="nil"/>
              <w:bottom w:val="nil"/>
              <w:right w:val="nil"/>
            </w:tcBorders>
            <w:shd w:val="clear" w:color="auto" w:fill="auto"/>
            <w:noWrap/>
            <w:vAlign w:val="bottom"/>
          </w:tcPr>
          <w:p w14:paraId="4B6A01EC" w14:textId="77777777" w:rsidR="00472211" w:rsidRDefault="00472211" w:rsidP="006F69F7">
            <w:pPr>
              <w:rPr>
                <w:rFonts w:ascii="Calibri" w:eastAsia="Times New Roman" w:hAnsi="Calibri" w:cs="Arial"/>
                <w:b/>
                <w:bCs/>
                <w:color w:val="000000"/>
                <w:sz w:val="20"/>
                <w:szCs w:val="18"/>
                <w:lang w:eastAsia="en-GB"/>
              </w:rPr>
            </w:pPr>
          </w:p>
        </w:tc>
        <w:tc>
          <w:tcPr>
            <w:tcW w:w="458" w:type="pct"/>
            <w:tcBorders>
              <w:left w:val="nil"/>
              <w:bottom w:val="single" w:sz="8" w:space="0" w:color="auto"/>
              <w:right w:val="nil"/>
            </w:tcBorders>
            <w:shd w:val="clear" w:color="auto" w:fill="auto"/>
            <w:noWrap/>
            <w:vAlign w:val="bottom"/>
          </w:tcPr>
          <w:p w14:paraId="3CD893D3" w14:textId="77777777" w:rsidR="00472211" w:rsidRDefault="00472211" w:rsidP="006F69F7">
            <w:pPr>
              <w:tabs>
                <w:tab w:val="decimal" w:pos="770"/>
              </w:tabs>
              <w:rPr>
                <w:rFonts w:ascii="Calibri" w:eastAsia="Times New Roman" w:hAnsi="Calibri" w:cs="Arial"/>
                <w:b/>
                <w:bCs/>
                <w:color w:val="000000"/>
                <w:sz w:val="20"/>
                <w:szCs w:val="18"/>
                <w:lang w:eastAsia="en-GB"/>
              </w:rPr>
            </w:pPr>
          </w:p>
        </w:tc>
        <w:tc>
          <w:tcPr>
            <w:tcW w:w="458" w:type="pct"/>
            <w:tcBorders>
              <w:left w:val="nil"/>
              <w:bottom w:val="single" w:sz="8" w:space="0" w:color="auto"/>
              <w:right w:val="nil"/>
            </w:tcBorders>
            <w:shd w:val="clear" w:color="auto" w:fill="auto"/>
            <w:noWrap/>
            <w:vAlign w:val="bottom"/>
          </w:tcPr>
          <w:p w14:paraId="5BABDE5E" w14:textId="77777777" w:rsidR="00472211" w:rsidRDefault="00472211" w:rsidP="006F69F7">
            <w:pPr>
              <w:tabs>
                <w:tab w:val="decimal" w:pos="883"/>
              </w:tabs>
              <w:jc w:val="right"/>
              <w:rPr>
                <w:rFonts w:ascii="Calibri" w:eastAsia="Times New Roman" w:hAnsi="Calibri" w:cs="Arial"/>
                <w:b/>
                <w:bCs/>
                <w:color w:val="000000"/>
                <w:sz w:val="20"/>
                <w:szCs w:val="18"/>
                <w:lang w:eastAsia="en-GB"/>
              </w:rPr>
            </w:pPr>
          </w:p>
        </w:tc>
        <w:tc>
          <w:tcPr>
            <w:tcW w:w="458" w:type="pct"/>
            <w:tcBorders>
              <w:left w:val="nil"/>
              <w:bottom w:val="single" w:sz="8" w:space="0" w:color="auto"/>
              <w:right w:val="nil"/>
            </w:tcBorders>
            <w:vAlign w:val="bottom"/>
          </w:tcPr>
          <w:p w14:paraId="6B7E9862" w14:textId="77777777" w:rsidR="00472211" w:rsidRDefault="00472211" w:rsidP="006F69F7">
            <w:pPr>
              <w:tabs>
                <w:tab w:val="decimal" w:pos="780"/>
              </w:tabs>
              <w:ind w:right="-10"/>
              <w:jc w:val="right"/>
              <w:rPr>
                <w:rFonts w:ascii="Calibri" w:eastAsia="Times New Roman" w:hAnsi="Calibri" w:cs="Arial"/>
                <w:b/>
                <w:bCs/>
                <w:color w:val="000000"/>
                <w:sz w:val="20"/>
                <w:szCs w:val="18"/>
                <w:lang w:eastAsia="en-GB"/>
              </w:rPr>
            </w:pPr>
          </w:p>
        </w:tc>
        <w:tc>
          <w:tcPr>
            <w:tcW w:w="458" w:type="pct"/>
            <w:tcBorders>
              <w:left w:val="nil"/>
              <w:bottom w:val="single" w:sz="8" w:space="0" w:color="auto"/>
              <w:right w:val="nil"/>
            </w:tcBorders>
            <w:shd w:val="clear" w:color="auto" w:fill="auto"/>
            <w:noWrap/>
            <w:vAlign w:val="bottom"/>
          </w:tcPr>
          <w:p w14:paraId="72A8D871" w14:textId="77777777" w:rsidR="00472211" w:rsidRDefault="00472211" w:rsidP="006F69F7">
            <w:pPr>
              <w:tabs>
                <w:tab w:val="decimal" w:pos="780"/>
              </w:tabs>
              <w:ind w:right="-10"/>
              <w:jc w:val="right"/>
              <w:rPr>
                <w:rFonts w:ascii="Calibri" w:eastAsia="Times New Roman" w:hAnsi="Calibri" w:cs="Arial"/>
                <w:b/>
                <w:bCs/>
                <w:color w:val="000000"/>
                <w:sz w:val="20"/>
                <w:szCs w:val="18"/>
                <w:lang w:eastAsia="en-GB"/>
              </w:rPr>
            </w:pPr>
          </w:p>
        </w:tc>
        <w:tc>
          <w:tcPr>
            <w:tcW w:w="458" w:type="pct"/>
            <w:tcBorders>
              <w:left w:val="nil"/>
              <w:bottom w:val="single" w:sz="8" w:space="0" w:color="auto"/>
              <w:right w:val="nil"/>
            </w:tcBorders>
            <w:shd w:val="clear" w:color="auto" w:fill="auto"/>
            <w:noWrap/>
            <w:vAlign w:val="bottom"/>
          </w:tcPr>
          <w:p w14:paraId="5284562B" w14:textId="77777777" w:rsidR="00472211" w:rsidRDefault="00472211" w:rsidP="006F69F7">
            <w:pPr>
              <w:tabs>
                <w:tab w:val="decimal" w:pos="1060"/>
              </w:tabs>
              <w:jc w:val="right"/>
              <w:rPr>
                <w:rFonts w:ascii="Calibri" w:eastAsia="Times New Roman" w:hAnsi="Calibri" w:cs="Arial"/>
                <w:b/>
                <w:color w:val="000000"/>
                <w:sz w:val="20"/>
                <w:szCs w:val="18"/>
                <w:lang w:eastAsia="en-GB"/>
              </w:rPr>
            </w:pPr>
          </w:p>
        </w:tc>
        <w:tc>
          <w:tcPr>
            <w:tcW w:w="458" w:type="pct"/>
            <w:tcBorders>
              <w:left w:val="nil"/>
              <w:bottom w:val="single" w:sz="8" w:space="0" w:color="auto"/>
              <w:right w:val="nil"/>
            </w:tcBorders>
            <w:shd w:val="clear" w:color="auto" w:fill="auto"/>
            <w:noWrap/>
            <w:vAlign w:val="bottom"/>
          </w:tcPr>
          <w:p w14:paraId="39EA97D9" w14:textId="77777777" w:rsidR="00472211" w:rsidRDefault="00472211" w:rsidP="006F69F7">
            <w:pPr>
              <w:tabs>
                <w:tab w:val="decimal" w:pos="780"/>
              </w:tabs>
              <w:jc w:val="right"/>
              <w:rPr>
                <w:rFonts w:ascii="Calibri" w:eastAsia="Times New Roman" w:hAnsi="Calibri" w:cs="Arial"/>
                <w:b/>
                <w:bCs/>
                <w:color w:val="000000"/>
                <w:sz w:val="20"/>
                <w:szCs w:val="18"/>
                <w:lang w:eastAsia="en-GB"/>
              </w:rPr>
            </w:pPr>
          </w:p>
        </w:tc>
        <w:tc>
          <w:tcPr>
            <w:tcW w:w="458" w:type="pct"/>
            <w:tcBorders>
              <w:left w:val="nil"/>
              <w:bottom w:val="single" w:sz="8" w:space="0" w:color="auto"/>
              <w:right w:val="nil"/>
            </w:tcBorders>
          </w:tcPr>
          <w:p w14:paraId="77D02CB5" w14:textId="77777777" w:rsidR="00472211" w:rsidRDefault="00472211" w:rsidP="006F69F7">
            <w:pPr>
              <w:tabs>
                <w:tab w:val="decimal" w:pos="780"/>
              </w:tabs>
              <w:rPr>
                <w:rFonts w:ascii="Calibri" w:eastAsia="Times New Roman" w:hAnsi="Calibri" w:cs="Arial"/>
                <w:b/>
                <w:bCs/>
                <w:color w:val="000000"/>
                <w:sz w:val="20"/>
                <w:szCs w:val="18"/>
                <w:lang w:eastAsia="en-GB"/>
              </w:rPr>
            </w:pPr>
          </w:p>
        </w:tc>
        <w:tc>
          <w:tcPr>
            <w:tcW w:w="458" w:type="pct"/>
            <w:tcBorders>
              <w:left w:val="nil"/>
              <w:bottom w:val="single" w:sz="8" w:space="0" w:color="auto"/>
              <w:right w:val="nil"/>
            </w:tcBorders>
            <w:shd w:val="clear" w:color="auto" w:fill="auto"/>
            <w:noWrap/>
            <w:vAlign w:val="bottom"/>
          </w:tcPr>
          <w:p w14:paraId="08500389" w14:textId="77777777" w:rsidR="00472211" w:rsidRDefault="00472211" w:rsidP="006F69F7">
            <w:pPr>
              <w:tabs>
                <w:tab w:val="decimal" w:pos="780"/>
              </w:tabs>
              <w:jc w:val="right"/>
              <w:rPr>
                <w:rFonts w:ascii="Calibri" w:eastAsia="Times New Roman" w:hAnsi="Calibri" w:cs="Arial"/>
                <w:b/>
                <w:bCs/>
                <w:color w:val="000000"/>
                <w:sz w:val="20"/>
                <w:szCs w:val="18"/>
                <w:lang w:eastAsia="en-GB"/>
              </w:rPr>
            </w:pPr>
          </w:p>
        </w:tc>
      </w:tr>
      <w:tr w:rsidR="006F69F7" w:rsidRPr="0077388B" w14:paraId="7F536A96" w14:textId="77777777" w:rsidTr="002429BB">
        <w:trPr>
          <w:trHeight w:val="253"/>
        </w:trPr>
        <w:tc>
          <w:tcPr>
            <w:tcW w:w="1338" w:type="pct"/>
            <w:tcBorders>
              <w:top w:val="nil"/>
              <w:left w:val="nil"/>
              <w:right w:val="nil"/>
            </w:tcBorders>
            <w:shd w:val="clear" w:color="auto" w:fill="auto"/>
            <w:noWrap/>
            <w:vAlign w:val="bottom"/>
          </w:tcPr>
          <w:p w14:paraId="54722816" w14:textId="77F062F0" w:rsidR="006F69F7" w:rsidRDefault="006F69F7" w:rsidP="006F69F7">
            <w:pPr>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 xml:space="preserve">As at </w:t>
            </w:r>
            <w:r w:rsidR="00472211">
              <w:rPr>
                <w:rFonts w:ascii="Calibri" w:eastAsia="Times New Roman" w:hAnsi="Calibri" w:cs="Arial"/>
                <w:b/>
                <w:bCs/>
                <w:color w:val="000000"/>
                <w:sz w:val="20"/>
                <w:szCs w:val="18"/>
                <w:lang w:eastAsia="en-GB"/>
              </w:rPr>
              <w:t>30 June</w:t>
            </w:r>
            <w:r>
              <w:rPr>
                <w:rFonts w:ascii="Calibri" w:eastAsia="Times New Roman" w:hAnsi="Calibri" w:cs="Arial"/>
                <w:b/>
                <w:bCs/>
                <w:color w:val="000000"/>
                <w:sz w:val="20"/>
                <w:szCs w:val="18"/>
                <w:lang w:eastAsia="en-GB"/>
              </w:rPr>
              <w:t xml:space="preserve"> 2020</w:t>
            </w:r>
          </w:p>
        </w:tc>
        <w:tc>
          <w:tcPr>
            <w:tcW w:w="458" w:type="pct"/>
            <w:tcBorders>
              <w:top w:val="single" w:sz="8" w:space="0" w:color="auto"/>
              <w:left w:val="nil"/>
              <w:bottom w:val="single" w:sz="8" w:space="0" w:color="auto"/>
              <w:right w:val="nil"/>
            </w:tcBorders>
            <w:shd w:val="clear" w:color="auto" w:fill="auto"/>
            <w:noWrap/>
            <w:vAlign w:val="bottom"/>
          </w:tcPr>
          <w:p w14:paraId="3A78B909" w14:textId="51F2CCC5" w:rsidR="006F69F7" w:rsidRPr="00B6402E" w:rsidRDefault="00472211" w:rsidP="006F69F7">
            <w:pPr>
              <w:tabs>
                <w:tab w:val="decimal" w:pos="77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240</w:t>
            </w:r>
          </w:p>
        </w:tc>
        <w:tc>
          <w:tcPr>
            <w:tcW w:w="458" w:type="pct"/>
            <w:tcBorders>
              <w:top w:val="single" w:sz="8" w:space="0" w:color="auto"/>
              <w:left w:val="nil"/>
              <w:bottom w:val="single" w:sz="8" w:space="0" w:color="auto"/>
              <w:right w:val="nil"/>
            </w:tcBorders>
            <w:shd w:val="clear" w:color="auto" w:fill="auto"/>
            <w:noWrap/>
            <w:vAlign w:val="bottom"/>
          </w:tcPr>
          <w:p w14:paraId="445F52C1" w14:textId="15A9F154" w:rsidR="006F69F7" w:rsidRPr="00B6402E" w:rsidRDefault="00472211" w:rsidP="006F69F7">
            <w:pPr>
              <w:tabs>
                <w:tab w:val="decimal" w:pos="883"/>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6,084</w:t>
            </w:r>
          </w:p>
        </w:tc>
        <w:tc>
          <w:tcPr>
            <w:tcW w:w="458" w:type="pct"/>
            <w:tcBorders>
              <w:top w:val="single" w:sz="8" w:space="0" w:color="auto"/>
              <w:left w:val="nil"/>
              <w:bottom w:val="single" w:sz="8" w:space="0" w:color="auto"/>
              <w:right w:val="nil"/>
            </w:tcBorders>
            <w:vAlign w:val="bottom"/>
          </w:tcPr>
          <w:p w14:paraId="2001B8B6" w14:textId="373DBAE0" w:rsidR="006F69F7" w:rsidRDefault="006F69F7" w:rsidP="006F69F7">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(1,591)</w:t>
            </w:r>
          </w:p>
        </w:tc>
        <w:tc>
          <w:tcPr>
            <w:tcW w:w="458" w:type="pct"/>
            <w:tcBorders>
              <w:top w:val="single" w:sz="8" w:space="0" w:color="auto"/>
              <w:left w:val="nil"/>
              <w:bottom w:val="single" w:sz="8" w:space="0" w:color="auto"/>
              <w:right w:val="nil"/>
            </w:tcBorders>
            <w:shd w:val="clear" w:color="auto" w:fill="auto"/>
            <w:noWrap/>
            <w:vAlign w:val="bottom"/>
          </w:tcPr>
          <w:p w14:paraId="17F690B4" w14:textId="41FA8F43" w:rsidR="006F69F7" w:rsidRPr="00B6402E" w:rsidRDefault="00472211" w:rsidP="006F69F7">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289</w:t>
            </w:r>
          </w:p>
        </w:tc>
        <w:tc>
          <w:tcPr>
            <w:tcW w:w="458" w:type="pct"/>
            <w:tcBorders>
              <w:top w:val="single" w:sz="8" w:space="0" w:color="auto"/>
              <w:left w:val="nil"/>
              <w:bottom w:val="single" w:sz="8" w:space="0" w:color="auto"/>
              <w:right w:val="nil"/>
            </w:tcBorders>
            <w:shd w:val="clear" w:color="auto" w:fill="auto"/>
            <w:noWrap/>
            <w:vAlign w:val="bottom"/>
          </w:tcPr>
          <w:p w14:paraId="691A1404" w14:textId="54305E5F" w:rsidR="006F69F7" w:rsidRPr="00654AE8" w:rsidRDefault="00472211" w:rsidP="006F69F7">
            <w:pPr>
              <w:tabs>
                <w:tab w:val="decimal" w:pos="106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8" w:space="0" w:color="auto"/>
              <w:left w:val="nil"/>
              <w:bottom w:val="single" w:sz="8" w:space="0" w:color="auto"/>
              <w:right w:val="nil"/>
            </w:tcBorders>
            <w:shd w:val="clear" w:color="auto" w:fill="auto"/>
            <w:noWrap/>
            <w:vAlign w:val="bottom"/>
          </w:tcPr>
          <w:p w14:paraId="287EDA5C" w14:textId="2D070587" w:rsidR="006F69F7" w:rsidRPr="00B6402E" w:rsidRDefault="00472211" w:rsidP="006F69F7">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(484)</w:t>
            </w:r>
          </w:p>
        </w:tc>
        <w:tc>
          <w:tcPr>
            <w:tcW w:w="458" w:type="pct"/>
            <w:tcBorders>
              <w:top w:val="single" w:sz="8" w:space="0" w:color="auto"/>
              <w:left w:val="nil"/>
              <w:bottom w:val="single" w:sz="8" w:space="0" w:color="auto"/>
              <w:right w:val="nil"/>
            </w:tcBorders>
          </w:tcPr>
          <w:p w14:paraId="1F9FAEC4" w14:textId="323053B2" w:rsidR="006F69F7" w:rsidRDefault="00472211" w:rsidP="006F69F7">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(2,137)</w:t>
            </w:r>
          </w:p>
        </w:tc>
        <w:tc>
          <w:tcPr>
            <w:tcW w:w="458" w:type="pct"/>
            <w:tcBorders>
              <w:top w:val="single" w:sz="8" w:space="0" w:color="auto"/>
              <w:left w:val="nil"/>
              <w:bottom w:val="single" w:sz="8" w:space="0" w:color="auto"/>
              <w:right w:val="nil"/>
            </w:tcBorders>
            <w:shd w:val="clear" w:color="auto" w:fill="auto"/>
            <w:noWrap/>
            <w:vAlign w:val="bottom"/>
          </w:tcPr>
          <w:p w14:paraId="258BCD65" w14:textId="18C41F21" w:rsidR="006F69F7" w:rsidRPr="00B6402E" w:rsidRDefault="00472211" w:rsidP="006F69F7">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2,401</w:t>
            </w:r>
          </w:p>
        </w:tc>
      </w:tr>
      <w:tr w:rsidR="006F69F7" w:rsidRPr="0077388B" w14:paraId="109C0274" w14:textId="77777777" w:rsidTr="002429BB">
        <w:trPr>
          <w:trHeight w:val="253"/>
        </w:trPr>
        <w:tc>
          <w:tcPr>
            <w:tcW w:w="1338" w:type="pct"/>
            <w:tcBorders>
              <w:left w:val="nil"/>
              <w:right w:val="nil"/>
            </w:tcBorders>
            <w:shd w:val="clear" w:color="auto" w:fill="auto"/>
            <w:noWrap/>
            <w:vAlign w:val="bottom"/>
          </w:tcPr>
          <w:p w14:paraId="04A723ED" w14:textId="77777777" w:rsidR="006F69F7" w:rsidRDefault="006F69F7" w:rsidP="006F69F7">
            <w:pPr>
              <w:rPr>
                <w:rFonts w:ascii="Calibri" w:eastAsia="Times New Roman" w:hAnsi="Calibri" w:cs="Arial"/>
                <w:b/>
                <w:bCs/>
                <w:color w:val="000000"/>
                <w:sz w:val="20"/>
                <w:szCs w:val="18"/>
                <w:lang w:eastAsia="en-GB"/>
              </w:rPr>
            </w:pPr>
          </w:p>
        </w:tc>
        <w:tc>
          <w:tcPr>
            <w:tcW w:w="458" w:type="pct"/>
            <w:tcBorders>
              <w:top w:val="single" w:sz="8" w:space="0" w:color="auto"/>
              <w:left w:val="nil"/>
              <w:right w:val="nil"/>
            </w:tcBorders>
            <w:shd w:val="clear" w:color="auto" w:fill="auto"/>
            <w:noWrap/>
            <w:vAlign w:val="bottom"/>
          </w:tcPr>
          <w:p w14:paraId="1B19E3F0" w14:textId="77777777" w:rsidR="006F69F7" w:rsidRDefault="006F69F7" w:rsidP="006F69F7">
            <w:pPr>
              <w:tabs>
                <w:tab w:val="decimal" w:pos="770"/>
              </w:tabs>
              <w:jc w:val="right"/>
              <w:rPr>
                <w:rFonts w:ascii="Calibri" w:eastAsia="Times New Roman" w:hAnsi="Calibri" w:cs="Arial"/>
                <w:b/>
                <w:bCs/>
                <w:color w:val="000000"/>
                <w:sz w:val="20"/>
                <w:szCs w:val="18"/>
                <w:lang w:eastAsia="en-GB"/>
              </w:rPr>
            </w:pPr>
          </w:p>
        </w:tc>
        <w:tc>
          <w:tcPr>
            <w:tcW w:w="458" w:type="pct"/>
            <w:tcBorders>
              <w:top w:val="single" w:sz="8" w:space="0" w:color="auto"/>
              <w:left w:val="nil"/>
              <w:right w:val="nil"/>
            </w:tcBorders>
            <w:shd w:val="clear" w:color="auto" w:fill="auto"/>
            <w:noWrap/>
            <w:vAlign w:val="bottom"/>
          </w:tcPr>
          <w:p w14:paraId="4B4A2170" w14:textId="77777777" w:rsidR="006F69F7" w:rsidRDefault="006F69F7" w:rsidP="006F69F7">
            <w:pPr>
              <w:tabs>
                <w:tab w:val="decimal" w:pos="883"/>
              </w:tabs>
              <w:jc w:val="right"/>
              <w:rPr>
                <w:rFonts w:ascii="Calibri" w:eastAsia="Times New Roman" w:hAnsi="Calibri" w:cs="Arial"/>
                <w:b/>
                <w:bCs/>
                <w:color w:val="000000"/>
                <w:sz w:val="20"/>
                <w:szCs w:val="18"/>
                <w:lang w:eastAsia="en-GB"/>
              </w:rPr>
            </w:pPr>
          </w:p>
        </w:tc>
        <w:tc>
          <w:tcPr>
            <w:tcW w:w="458" w:type="pct"/>
            <w:tcBorders>
              <w:top w:val="single" w:sz="8" w:space="0" w:color="auto"/>
              <w:left w:val="nil"/>
              <w:right w:val="nil"/>
            </w:tcBorders>
            <w:vAlign w:val="bottom"/>
          </w:tcPr>
          <w:p w14:paraId="61FFDD0B" w14:textId="77777777" w:rsidR="006F69F7" w:rsidRDefault="006F69F7" w:rsidP="006F69F7">
            <w:pPr>
              <w:tabs>
                <w:tab w:val="decimal" w:pos="780"/>
              </w:tabs>
              <w:ind w:right="-10"/>
              <w:jc w:val="right"/>
              <w:rPr>
                <w:rFonts w:ascii="Calibri" w:eastAsia="Times New Roman" w:hAnsi="Calibri" w:cs="Arial"/>
                <w:b/>
                <w:bCs/>
                <w:color w:val="000000"/>
                <w:sz w:val="20"/>
                <w:szCs w:val="18"/>
                <w:lang w:eastAsia="en-GB"/>
              </w:rPr>
            </w:pPr>
          </w:p>
        </w:tc>
        <w:tc>
          <w:tcPr>
            <w:tcW w:w="458" w:type="pct"/>
            <w:tcBorders>
              <w:top w:val="single" w:sz="8" w:space="0" w:color="auto"/>
              <w:left w:val="nil"/>
              <w:right w:val="nil"/>
            </w:tcBorders>
            <w:shd w:val="clear" w:color="auto" w:fill="auto"/>
            <w:noWrap/>
            <w:vAlign w:val="bottom"/>
          </w:tcPr>
          <w:p w14:paraId="75F1A8D1" w14:textId="28E1301F" w:rsidR="006F69F7" w:rsidRDefault="006F69F7" w:rsidP="006F69F7">
            <w:pPr>
              <w:tabs>
                <w:tab w:val="decimal" w:pos="780"/>
              </w:tabs>
              <w:ind w:right="-10"/>
              <w:jc w:val="right"/>
              <w:rPr>
                <w:rFonts w:ascii="Calibri" w:eastAsia="Times New Roman" w:hAnsi="Calibri" w:cs="Arial"/>
                <w:b/>
                <w:bCs/>
                <w:color w:val="000000"/>
                <w:sz w:val="20"/>
                <w:szCs w:val="18"/>
                <w:lang w:eastAsia="en-GB"/>
              </w:rPr>
            </w:pPr>
          </w:p>
        </w:tc>
        <w:tc>
          <w:tcPr>
            <w:tcW w:w="458" w:type="pct"/>
            <w:tcBorders>
              <w:top w:val="single" w:sz="8" w:space="0" w:color="auto"/>
              <w:left w:val="nil"/>
              <w:right w:val="nil"/>
            </w:tcBorders>
            <w:shd w:val="clear" w:color="auto" w:fill="auto"/>
            <w:noWrap/>
            <w:vAlign w:val="bottom"/>
          </w:tcPr>
          <w:p w14:paraId="52E63FAD" w14:textId="77777777" w:rsidR="006F69F7" w:rsidRDefault="006F69F7" w:rsidP="006F69F7">
            <w:pPr>
              <w:tabs>
                <w:tab w:val="decimal" w:pos="1060"/>
              </w:tabs>
              <w:jc w:val="right"/>
              <w:rPr>
                <w:rFonts w:ascii="Calibri" w:eastAsia="Times New Roman" w:hAnsi="Calibri" w:cs="Arial"/>
                <w:b/>
                <w:color w:val="000000"/>
                <w:sz w:val="20"/>
                <w:szCs w:val="18"/>
                <w:lang w:eastAsia="en-GB"/>
              </w:rPr>
            </w:pPr>
          </w:p>
        </w:tc>
        <w:tc>
          <w:tcPr>
            <w:tcW w:w="458" w:type="pct"/>
            <w:tcBorders>
              <w:top w:val="single" w:sz="8" w:space="0" w:color="auto"/>
              <w:left w:val="nil"/>
              <w:right w:val="nil"/>
            </w:tcBorders>
            <w:shd w:val="clear" w:color="auto" w:fill="auto"/>
            <w:noWrap/>
            <w:vAlign w:val="bottom"/>
          </w:tcPr>
          <w:p w14:paraId="6625C376" w14:textId="77777777" w:rsidR="006F69F7" w:rsidRDefault="006F69F7" w:rsidP="006F69F7">
            <w:pPr>
              <w:tabs>
                <w:tab w:val="decimal" w:pos="780"/>
              </w:tabs>
              <w:jc w:val="right"/>
              <w:rPr>
                <w:rFonts w:ascii="Calibri" w:eastAsia="Times New Roman" w:hAnsi="Calibri" w:cs="Arial"/>
                <w:b/>
                <w:bCs/>
                <w:color w:val="000000"/>
                <w:sz w:val="20"/>
                <w:szCs w:val="18"/>
                <w:lang w:eastAsia="en-GB"/>
              </w:rPr>
            </w:pPr>
          </w:p>
        </w:tc>
        <w:tc>
          <w:tcPr>
            <w:tcW w:w="458" w:type="pct"/>
            <w:tcBorders>
              <w:top w:val="single" w:sz="8" w:space="0" w:color="auto"/>
              <w:left w:val="nil"/>
              <w:right w:val="nil"/>
            </w:tcBorders>
          </w:tcPr>
          <w:p w14:paraId="451308CD" w14:textId="77777777" w:rsidR="006F69F7" w:rsidRDefault="006F69F7" w:rsidP="006F69F7">
            <w:pPr>
              <w:tabs>
                <w:tab w:val="decimal" w:pos="780"/>
              </w:tabs>
              <w:jc w:val="right"/>
              <w:rPr>
                <w:rFonts w:ascii="Calibri" w:eastAsia="Times New Roman" w:hAnsi="Calibri" w:cs="Arial"/>
                <w:b/>
                <w:bCs/>
                <w:color w:val="000000"/>
                <w:sz w:val="20"/>
                <w:szCs w:val="18"/>
                <w:lang w:eastAsia="en-GB"/>
              </w:rPr>
            </w:pPr>
          </w:p>
        </w:tc>
        <w:tc>
          <w:tcPr>
            <w:tcW w:w="458" w:type="pct"/>
            <w:tcBorders>
              <w:top w:val="single" w:sz="8" w:space="0" w:color="auto"/>
              <w:left w:val="nil"/>
              <w:right w:val="nil"/>
            </w:tcBorders>
            <w:shd w:val="clear" w:color="auto" w:fill="auto"/>
            <w:noWrap/>
            <w:vAlign w:val="bottom"/>
          </w:tcPr>
          <w:p w14:paraId="51C86A1F" w14:textId="4C005D95" w:rsidR="006F69F7" w:rsidRDefault="006F69F7" w:rsidP="006F69F7">
            <w:pPr>
              <w:tabs>
                <w:tab w:val="decimal" w:pos="780"/>
              </w:tabs>
              <w:jc w:val="right"/>
              <w:rPr>
                <w:rFonts w:ascii="Calibri" w:eastAsia="Times New Roman" w:hAnsi="Calibri" w:cs="Arial"/>
                <w:b/>
                <w:bCs/>
                <w:color w:val="000000"/>
                <w:sz w:val="20"/>
                <w:szCs w:val="18"/>
                <w:lang w:eastAsia="en-GB"/>
              </w:rPr>
            </w:pPr>
          </w:p>
        </w:tc>
      </w:tr>
      <w:tr w:rsidR="00472211" w:rsidRPr="0077388B" w14:paraId="6ADF06AA" w14:textId="77777777" w:rsidTr="002429BB">
        <w:trPr>
          <w:trHeight w:val="253"/>
        </w:trPr>
        <w:tc>
          <w:tcPr>
            <w:tcW w:w="1338" w:type="pct"/>
            <w:tcBorders>
              <w:left w:val="nil"/>
              <w:right w:val="nil"/>
            </w:tcBorders>
            <w:shd w:val="clear" w:color="auto" w:fill="auto"/>
            <w:noWrap/>
            <w:vAlign w:val="bottom"/>
          </w:tcPr>
          <w:p w14:paraId="1B3FA7C0" w14:textId="6D56D588" w:rsidR="00472211" w:rsidRDefault="00472211" w:rsidP="00472211">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Balance at 01 July 2020</w:t>
            </w:r>
          </w:p>
        </w:tc>
        <w:tc>
          <w:tcPr>
            <w:tcW w:w="458" w:type="pct"/>
            <w:tcBorders>
              <w:left w:val="nil"/>
              <w:bottom w:val="single" w:sz="4" w:space="0" w:color="auto"/>
              <w:right w:val="nil"/>
            </w:tcBorders>
            <w:shd w:val="clear" w:color="auto" w:fill="auto"/>
            <w:noWrap/>
            <w:vAlign w:val="bottom"/>
          </w:tcPr>
          <w:p w14:paraId="741331C9" w14:textId="31DCC0BE" w:rsidR="00472211" w:rsidRDefault="00472211" w:rsidP="00472211">
            <w:pPr>
              <w:tabs>
                <w:tab w:val="decimal" w:pos="77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240</w:t>
            </w:r>
          </w:p>
        </w:tc>
        <w:tc>
          <w:tcPr>
            <w:tcW w:w="458" w:type="pct"/>
            <w:tcBorders>
              <w:left w:val="nil"/>
              <w:bottom w:val="single" w:sz="4" w:space="0" w:color="auto"/>
              <w:right w:val="nil"/>
            </w:tcBorders>
            <w:shd w:val="clear" w:color="auto" w:fill="auto"/>
            <w:noWrap/>
            <w:vAlign w:val="bottom"/>
          </w:tcPr>
          <w:p w14:paraId="1F69DF56" w14:textId="5CA84B75" w:rsidR="00472211" w:rsidRDefault="00472211" w:rsidP="00472211">
            <w:pPr>
              <w:tabs>
                <w:tab w:val="decimal" w:pos="883"/>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6,084</w:t>
            </w:r>
          </w:p>
        </w:tc>
        <w:tc>
          <w:tcPr>
            <w:tcW w:w="458" w:type="pct"/>
            <w:tcBorders>
              <w:left w:val="nil"/>
              <w:bottom w:val="single" w:sz="4" w:space="0" w:color="auto"/>
              <w:right w:val="nil"/>
            </w:tcBorders>
            <w:vAlign w:val="bottom"/>
          </w:tcPr>
          <w:p w14:paraId="3BA9AEB3" w14:textId="5B0ED9AD" w:rsidR="00472211" w:rsidRDefault="00472211" w:rsidP="00472211">
            <w:pPr>
              <w:tabs>
                <w:tab w:val="decimal" w:pos="780"/>
              </w:tabs>
              <w:ind w:right="-10"/>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(1,591)</w:t>
            </w:r>
          </w:p>
        </w:tc>
        <w:tc>
          <w:tcPr>
            <w:tcW w:w="458" w:type="pct"/>
            <w:tcBorders>
              <w:left w:val="nil"/>
              <w:bottom w:val="single" w:sz="4" w:space="0" w:color="auto"/>
              <w:right w:val="nil"/>
            </w:tcBorders>
            <w:shd w:val="clear" w:color="auto" w:fill="auto"/>
            <w:noWrap/>
            <w:vAlign w:val="bottom"/>
          </w:tcPr>
          <w:p w14:paraId="779FD54D" w14:textId="032A30AC" w:rsidR="00472211" w:rsidRDefault="00472211" w:rsidP="00472211">
            <w:pPr>
              <w:tabs>
                <w:tab w:val="decimal" w:pos="780"/>
              </w:tabs>
              <w:ind w:right="-10"/>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289</w:t>
            </w:r>
          </w:p>
        </w:tc>
        <w:tc>
          <w:tcPr>
            <w:tcW w:w="458" w:type="pct"/>
            <w:tcBorders>
              <w:left w:val="nil"/>
              <w:bottom w:val="single" w:sz="4" w:space="0" w:color="auto"/>
              <w:right w:val="nil"/>
            </w:tcBorders>
            <w:shd w:val="clear" w:color="auto" w:fill="auto"/>
            <w:noWrap/>
            <w:vAlign w:val="bottom"/>
          </w:tcPr>
          <w:p w14:paraId="49C6E7BA" w14:textId="0499EB63" w:rsidR="00472211" w:rsidRDefault="00472211" w:rsidP="00472211">
            <w:pPr>
              <w:tabs>
                <w:tab w:val="decimal" w:pos="106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left w:val="nil"/>
              <w:bottom w:val="single" w:sz="4" w:space="0" w:color="auto"/>
              <w:right w:val="nil"/>
            </w:tcBorders>
            <w:shd w:val="clear" w:color="auto" w:fill="auto"/>
            <w:noWrap/>
            <w:vAlign w:val="bottom"/>
          </w:tcPr>
          <w:p w14:paraId="6EB4B50A" w14:textId="34589E65" w:rsidR="00472211" w:rsidRDefault="00472211" w:rsidP="00472211">
            <w:pPr>
              <w:tabs>
                <w:tab w:val="decimal" w:pos="78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(484)</w:t>
            </w:r>
          </w:p>
        </w:tc>
        <w:tc>
          <w:tcPr>
            <w:tcW w:w="458" w:type="pct"/>
            <w:tcBorders>
              <w:left w:val="nil"/>
              <w:bottom w:val="single" w:sz="4" w:space="0" w:color="auto"/>
              <w:right w:val="nil"/>
            </w:tcBorders>
          </w:tcPr>
          <w:p w14:paraId="2592451C" w14:textId="0BABC7E4" w:rsidR="00472211" w:rsidRDefault="004200B9" w:rsidP="00472211">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(2,137)</w:t>
            </w:r>
          </w:p>
        </w:tc>
        <w:tc>
          <w:tcPr>
            <w:tcW w:w="458" w:type="pct"/>
            <w:tcBorders>
              <w:left w:val="nil"/>
              <w:bottom w:val="single" w:sz="4" w:space="0" w:color="auto"/>
              <w:right w:val="nil"/>
            </w:tcBorders>
            <w:shd w:val="clear" w:color="auto" w:fill="auto"/>
            <w:noWrap/>
            <w:vAlign w:val="bottom"/>
          </w:tcPr>
          <w:p w14:paraId="7771FC0A" w14:textId="7EB02C8D" w:rsidR="00472211" w:rsidRDefault="004200B9" w:rsidP="00472211">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2,401</w:t>
            </w:r>
          </w:p>
        </w:tc>
      </w:tr>
      <w:tr w:rsidR="00472211" w:rsidRPr="0077388B" w14:paraId="48E58931" w14:textId="77777777" w:rsidTr="002429BB">
        <w:trPr>
          <w:trHeight w:val="253"/>
        </w:trPr>
        <w:tc>
          <w:tcPr>
            <w:tcW w:w="1338" w:type="pct"/>
            <w:tcBorders>
              <w:left w:val="nil"/>
              <w:right w:val="nil"/>
            </w:tcBorders>
            <w:shd w:val="clear" w:color="auto" w:fill="auto"/>
            <w:noWrap/>
            <w:vAlign w:val="bottom"/>
          </w:tcPr>
          <w:p w14:paraId="0A6E3174" w14:textId="77777777" w:rsidR="00472211" w:rsidRDefault="00472211" w:rsidP="00472211">
            <w:pPr>
              <w:rPr>
                <w:rFonts w:ascii="Calibri" w:eastAsia="Times New Roman" w:hAnsi="Calibri" w:cs="Arial"/>
                <w:color w:val="000000"/>
                <w:sz w:val="20"/>
                <w:szCs w:val="18"/>
                <w:lang w:eastAsia="en-GB"/>
              </w:rPr>
            </w:pPr>
          </w:p>
        </w:tc>
        <w:tc>
          <w:tcPr>
            <w:tcW w:w="458" w:type="pct"/>
            <w:tcBorders>
              <w:top w:val="single" w:sz="4" w:space="0" w:color="auto"/>
              <w:left w:val="nil"/>
              <w:right w:val="nil"/>
            </w:tcBorders>
            <w:shd w:val="clear" w:color="auto" w:fill="auto"/>
            <w:noWrap/>
            <w:vAlign w:val="bottom"/>
          </w:tcPr>
          <w:p w14:paraId="406BD4C1" w14:textId="77777777" w:rsidR="00472211" w:rsidRDefault="00472211" w:rsidP="00472211">
            <w:pPr>
              <w:tabs>
                <w:tab w:val="decimal" w:pos="770"/>
              </w:tabs>
              <w:jc w:val="right"/>
              <w:rPr>
                <w:rFonts w:ascii="Calibri" w:eastAsia="Times New Roman" w:hAnsi="Calibri" w:cs="Arial"/>
                <w:b/>
                <w:color w:val="000000"/>
                <w:sz w:val="20"/>
                <w:szCs w:val="18"/>
                <w:lang w:eastAsia="en-GB"/>
              </w:rPr>
            </w:pPr>
          </w:p>
        </w:tc>
        <w:tc>
          <w:tcPr>
            <w:tcW w:w="458" w:type="pct"/>
            <w:tcBorders>
              <w:top w:val="single" w:sz="4" w:space="0" w:color="auto"/>
              <w:left w:val="nil"/>
              <w:right w:val="nil"/>
            </w:tcBorders>
            <w:shd w:val="clear" w:color="auto" w:fill="auto"/>
            <w:noWrap/>
            <w:vAlign w:val="bottom"/>
          </w:tcPr>
          <w:p w14:paraId="03CDD100" w14:textId="77777777" w:rsidR="00472211" w:rsidRDefault="00472211" w:rsidP="00472211">
            <w:pPr>
              <w:tabs>
                <w:tab w:val="decimal" w:pos="883"/>
              </w:tabs>
              <w:jc w:val="right"/>
              <w:rPr>
                <w:rFonts w:ascii="Calibri" w:eastAsia="Times New Roman" w:hAnsi="Calibri" w:cs="Arial"/>
                <w:b/>
                <w:color w:val="000000"/>
                <w:sz w:val="20"/>
                <w:szCs w:val="18"/>
                <w:lang w:eastAsia="en-GB"/>
              </w:rPr>
            </w:pPr>
          </w:p>
        </w:tc>
        <w:tc>
          <w:tcPr>
            <w:tcW w:w="458" w:type="pct"/>
            <w:tcBorders>
              <w:top w:val="single" w:sz="4" w:space="0" w:color="auto"/>
              <w:left w:val="nil"/>
              <w:right w:val="nil"/>
            </w:tcBorders>
            <w:vAlign w:val="bottom"/>
          </w:tcPr>
          <w:p w14:paraId="09D79B29" w14:textId="77777777" w:rsidR="00472211" w:rsidRDefault="00472211" w:rsidP="00472211">
            <w:pPr>
              <w:tabs>
                <w:tab w:val="decimal" w:pos="780"/>
              </w:tabs>
              <w:ind w:right="-10"/>
              <w:jc w:val="right"/>
              <w:rPr>
                <w:rFonts w:ascii="Calibri" w:eastAsia="Times New Roman" w:hAnsi="Calibri" w:cs="Arial"/>
                <w:b/>
                <w:color w:val="000000"/>
                <w:sz w:val="20"/>
                <w:szCs w:val="18"/>
                <w:lang w:eastAsia="en-GB"/>
              </w:rPr>
            </w:pPr>
          </w:p>
        </w:tc>
        <w:tc>
          <w:tcPr>
            <w:tcW w:w="458" w:type="pct"/>
            <w:tcBorders>
              <w:top w:val="single" w:sz="4" w:space="0" w:color="auto"/>
              <w:left w:val="nil"/>
              <w:right w:val="nil"/>
            </w:tcBorders>
            <w:shd w:val="clear" w:color="auto" w:fill="auto"/>
            <w:noWrap/>
            <w:vAlign w:val="bottom"/>
          </w:tcPr>
          <w:p w14:paraId="2F68232D" w14:textId="77777777" w:rsidR="00472211" w:rsidRDefault="00472211" w:rsidP="00472211">
            <w:pPr>
              <w:tabs>
                <w:tab w:val="decimal" w:pos="780"/>
              </w:tabs>
              <w:ind w:right="-10"/>
              <w:jc w:val="right"/>
              <w:rPr>
                <w:rFonts w:ascii="Calibri" w:eastAsia="Times New Roman" w:hAnsi="Calibri" w:cs="Arial"/>
                <w:b/>
                <w:color w:val="000000"/>
                <w:sz w:val="20"/>
                <w:szCs w:val="18"/>
                <w:lang w:eastAsia="en-GB"/>
              </w:rPr>
            </w:pPr>
          </w:p>
        </w:tc>
        <w:tc>
          <w:tcPr>
            <w:tcW w:w="458" w:type="pct"/>
            <w:tcBorders>
              <w:top w:val="single" w:sz="4" w:space="0" w:color="auto"/>
              <w:left w:val="nil"/>
              <w:right w:val="nil"/>
            </w:tcBorders>
            <w:shd w:val="clear" w:color="auto" w:fill="auto"/>
            <w:noWrap/>
            <w:vAlign w:val="bottom"/>
          </w:tcPr>
          <w:p w14:paraId="491A406D" w14:textId="77777777" w:rsidR="00472211" w:rsidRDefault="00472211" w:rsidP="00472211">
            <w:pPr>
              <w:tabs>
                <w:tab w:val="decimal" w:pos="1060"/>
              </w:tabs>
              <w:jc w:val="right"/>
              <w:rPr>
                <w:rFonts w:ascii="Calibri" w:eastAsia="Times New Roman" w:hAnsi="Calibri" w:cs="Arial"/>
                <w:b/>
                <w:color w:val="000000"/>
                <w:sz w:val="20"/>
                <w:szCs w:val="18"/>
                <w:lang w:eastAsia="en-GB"/>
              </w:rPr>
            </w:pPr>
          </w:p>
        </w:tc>
        <w:tc>
          <w:tcPr>
            <w:tcW w:w="458" w:type="pct"/>
            <w:tcBorders>
              <w:top w:val="single" w:sz="4" w:space="0" w:color="auto"/>
              <w:left w:val="nil"/>
              <w:right w:val="nil"/>
            </w:tcBorders>
            <w:shd w:val="clear" w:color="auto" w:fill="auto"/>
            <w:noWrap/>
            <w:vAlign w:val="bottom"/>
          </w:tcPr>
          <w:p w14:paraId="0F266F97" w14:textId="77777777" w:rsidR="00472211" w:rsidRDefault="00472211" w:rsidP="00472211">
            <w:pPr>
              <w:tabs>
                <w:tab w:val="decimal" w:pos="780"/>
              </w:tabs>
              <w:jc w:val="right"/>
              <w:rPr>
                <w:rFonts w:ascii="Calibri" w:eastAsia="Times New Roman" w:hAnsi="Calibri" w:cs="Arial"/>
                <w:b/>
                <w:color w:val="000000"/>
                <w:sz w:val="20"/>
                <w:szCs w:val="18"/>
                <w:lang w:eastAsia="en-GB"/>
              </w:rPr>
            </w:pPr>
          </w:p>
        </w:tc>
        <w:tc>
          <w:tcPr>
            <w:tcW w:w="458" w:type="pct"/>
            <w:tcBorders>
              <w:top w:val="single" w:sz="4" w:space="0" w:color="auto"/>
              <w:left w:val="nil"/>
              <w:right w:val="nil"/>
            </w:tcBorders>
          </w:tcPr>
          <w:p w14:paraId="5093AD1A" w14:textId="77777777" w:rsidR="00472211" w:rsidRDefault="00472211" w:rsidP="00472211">
            <w:pPr>
              <w:tabs>
                <w:tab w:val="decimal" w:pos="780"/>
              </w:tabs>
              <w:jc w:val="right"/>
              <w:rPr>
                <w:rFonts w:ascii="Calibri" w:eastAsia="Times New Roman" w:hAnsi="Calibri" w:cs="Arial"/>
                <w:b/>
                <w:bCs/>
                <w:color w:val="000000"/>
                <w:sz w:val="20"/>
                <w:szCs w:val="18"/>
                <w:lang w:eastAsia="en-GB"/>
              </w:rPr>
            </w:pPr>
          </w:p>
        </w:tc>
        <w:tc>
          <w:tcPr>
            <w:tcW w:w="458" w:type="pct"/>
            <w:tcBorders>
              <w:top w:val="single" w:sz="4" w:space="0" w:color="auto"/>
              <w:left w:val="nil"/>
              <w:right w:val="nil"/>
            </w:tcBorders>
            <w:shd w:val="clear" w:color="auto" w:fill="auto"/>
            <w:noWrap/>
            <w:vAlign w:val="bottom"/>
          </w:tcPr>
          <w:p w14:paraId="4C648F98" w14:textId="77777777" w:rsidR="00472211" w:rsidRDefault="00472211" w:rsidP="00472211">
            <w:pPr>
              <w:tabs>
                <w:tab w:val="decimal" w:pos="780"/>
              </w:tabs>
              <w:jc w:val="right"/>
              <w:rPr>
                <w:rFonts w:ascii="Calibri" w:eastAsia="Times New Roman" w:hAnsi="Calibri" w:cs="Arial"/>
                <w:b/>
                <w:bCs/>
                <w:color w:val="000000"/>
                <w:sz w:val="20"/>
                <w:szCs w:val="18"/>
                <w:lang w:eastAsia="en-GB"/>
              </w:rPr>
            </w:pPr>
          </w:p>
        </w:tc>
      </w:tr>
      <w:tr w:rsidR="004200B9" w:rsidRPr="0077388B" w14:paraId="396C442E" w14:textId="77777777" w:rsidTr="002429BB">
        <w:trPr>
          <w:trHeight w:val="253"/>
        </w:trPr>
        <w:tc>
          <w:tcPr>
            <w:tcW w:w="1338" w:type="pct"/>
            <w:tcBorders>
              <w:left w:val="nil"/>
              <w:right w:val="nil"/>
            </w:tcBorders>
            <w:shd w:val="clear" w:color="auto" w:fill="auto"/>
            <w:noWrap/>
            <w:vAlign w:val="bottom"/>
          </w:tcPr>
          <w:p w14:paraId="20CEAD1C" w14:textId="6E51BA26" w:rsidR="004200B9" w:rsidRDefault="004200B9" w:rsidP="004200B9">
            <w:pPr>
              <w:rPr>
                <w:rFonts w:ascii="Calibri" w:eastAsia="Times New Roman" w:hAnsi="Calibri" w:cs="Arial"/>
                <w:b/>
                <w:bCs/>
                <w:color w:val="000000"/>
                <w:sz w:val="20"/>
                <w:szCs w:val="18"/>
                <w:lang w:eastAsia="en-GB"/>
              </w:rPr>
            </w:pPr>
            <w:r>
              <w:rPr>
                <w:rFonts w:ascii="Calibri" w:eastAsia="Times New Roman" w:hAnsi="Calibri" w:cs="Arial"/>
                <w:color w:val="000000"/>
                <w:sz w:val="20"/>
                <w:szCs w:val="18"/>
                <w:lang w:eastAsia="en-GB"/>
              </w:rPr>
              <w:t>Loss for the period</w:t>
            </w:r>
          </w:p>
        </w:tc>
        <w:tc>
          <w:tcPr>
            <w:tcW w:w="458" w:type="pct"/>
            <w:tcBorders>
              <w:left w:val="nil"/>
              <w:right w:val="nil"/>
            </w:tcBorders>
            <w:shd w:val="clear" w:color="auto" w:fill="auto"/>
            <w:noWrap/>
            <w:vAlign w:val="bottom"/>
          </w:tcPr>
          <w:p w14:paraId="33D3C70A" w14:textId="2B993715" w:rsidR="004200B9" w:rsidRDefault="004200B9" w:rsidP="004200B9">
            <w:pPr>
              <w:tabs>
                <w:tab w:val="decimal" w:pos="770"/>
              </w:tabs>
              <w:jc w:val="right"/>
              <w:rPr>
                <w:rFonts w:ascii="Calibri" w:eastAsia="Times New Roman" w:hAnsi="Calibri" w:cs="Arial"/>
                <w:b/>
                <w:bCs/>
                <w:color w:val="000000"/>
                <w:sz w:val="20"/>
                <w:szCs w:val="18"/>
                <w:lang w:eastAsia="en-GB"/>
              </w:rPr>
            </w:pPr>
            <w:r>
              <w:rPr>
                <w:rFonts w:ascii="Calibri" w:eastAsia="Times New Roman" w:hAnsi="Calibri" w:cs="Arial"/>
                <w:b/>
                <w:color w:val="000000"/>
                <w:sz w:val="20"/>
                <w:szCs w:val="18"/>
                <w:lang w:eastAsia="en-GB"/>
              </w:rPr>
              <w:t>-</w:t>
            </w:r>
          </w:p>
        </w:tc>
        <w:tc>
          <w:tcPr>
            <w:tcW w:w="458" w:type="pct"/>
            <w:tcBorders>
              <w:left w:val="nil"/>
              <w:right w:val="nil"/>
            </w:tcBorders>
            <w:shd w:val="clear" w:color="auto" w:fill="auto"/>
            <w:noWrap/>
            <w:vAlign w:val="bottom"/>
          </w:tcPr>
          <w:p w14:paraId="5E87A97E" w14:textId="2FE2D84D" w:rsidR="004200B9" w:rsidRDefault="004200B9" w:rsidP="004200B9">
            <w:pPr>
              <w:tabs>
                <w:tab w:val="decimal" w:pos="883"/>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vAlign w:val="bottom"/>
          </w:tcPr>
          <w:p w14:paraId="157E1EF8" w14:textId="2C90DA3D" w:rsidR="004200B9" w:rsidRDefault="004200B9"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shd w:val="clear" w:color="auto" w:fill="auto"/>
            <w:noWrap/>
            <w:vAlign w:val="bottom"/>
          </w:tcPr>
          <w:p w14:paraId="2276BB8E" w14:textId="4C112EF3" w:rsidR="004200B9" w:rsidRDefault="004200B9"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shd w:val="clear" w:color="auto" w:fill="auto"/>
            <w:noWrap/>
            <w:vAlign w:val="bottom"/>
          </w:tcPr>
          <w:p w14:paraId="4005F78D" w14:textId="4A43037B" w:rsidR="004200B9" w:rsidRDefault="004200B9" w:rsidP="004200B9">
            <w:pPr>
              <w:tabs>
                <w:tab w:val="decimal" w:pos="106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left w:val="nil"/>
              <w:right w:val="nil"/>
            </w:tcBorders>
            <w:shd w:val="clear" w:color="auto" w:fill="auto"/>
            <w:noWrap/>
            <w:vAlign w:val="bottom"/>
          </w:tcPr>
          <w:p w14:paraId="3FF6A235" w14:textId="07E97269"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tcPr>
          <w:p w14:paraId="73B997C1" w14:textId="2CC97C98"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(454)</w:t>
            </w:r>
          </w:p>
        </w:tc>
        <w:tc>
          <w:tcPr>
            <w:tcW w:w="458" w:type="pct"/>
            <w:tcBorders>
              <w:left w:val="nil"/>
              <w:right w:val="nil"/>
            </w:tcBorders>
            <w:shd w:val="clear" w:color="auto" w:fill="auto"/>
            <w:noWrap/>
            <w:vAlign w:val="bottom"/>
          </w:tcPr>
          <w:p w14:paraId="31FFB269" w14:textId="03C9C140"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(454)</w:t>
            </w:r>
          </w:p>
        </w:tc>
      </w:tr>
      <w:tr w:rsidR="004200B9" w:rsidRPr="0077388B" w14:paraId="2500917E" w14:textId="77777777" w:rsidTr="002429BB">
        <w:trPr>
          <w:trHeight w:val="253"/>
        </w:trPr>
        <w:tc>
          <w:tcPr>
            <w:tcW w:w="1338" w:type="pct"/>
            <w:tcBorders>
              <w:left w:val="nil"/>
              <w:right w:val="nil"/>
            </w:tcBorders>
            <w:shd w:val="clear" w:color="auto" w:fill="auto"/>
            <w:noWrap/>
            <w:vAlign w:val="bottom"/>
          </w:tcPr>
          <w:p w14:paraId="7285C28E" w14:textId="6FA74A94" w:rsidR="004200B9" w:rsidRDefault="004200B9" w:rsidP="004200B9">
            <w:pPr>
              <w:rPr>
                <w:rFonts w:ascii="Calibri" w:eastAsia="Times New Roman" w:hAnsi="Calibri" w:cs="Arial"/>
                <w:b/>
                <w:bCs/>
                <w:color w:val="000000"/>
                <w:sz w:val="20"/>
                <w:szCs w:val="18"/>
                <w:lang w:eastAsia="en-GB"/>
              </w:rPr>
            </w:pPr>
            <w:r>
              <w:rPr>
                <w:rFonts w:ascii="Calibri" w:eastAsia="Times New Roman" w:hAnsi="Calibri" w:cs="Arial"/>
                <w:color w:val="000000"/>
                <w:sz w:val="20"/>
                <w:szCs w:val="18"/>
                <w:lang w:eastAsia="en-GB"/>
              </w:rPr>
              <w:t>Total other comprehensive income</w:t>
            </w:r>
          </w:p>
        </w:tc>
        <w:tc>
          <w:tcPr>
            <w:tcW w:w="458" w:type="pct"/>
            <w:tcBorders>
              <w:left w:val="nil"/>
              <w:bottom w:val="single" w:sz="4" w:space="0" w:color="auto"/>
              <w:right w:val="nil"/>
            </w:tcBorders>
            <w:shd w:val="clear" w:color="auto" w:fill="auto"/>
            <w:noWrap/>
            <w:vAlign w:val="bottom"/>
          </w:tcPr>
          <w:p w14:paraId="1085AC96" w14:textId="455E3615" w:rsidR="004200B9" w:rsidRDefault="004200B9" w:rsidP="004200B9">
            <w:pPr>
              <w:tabs>
                <w:tab w:val="decimal" w:pos="770"/>
              </w:tabs>
              <w:jc w:val="right"/>
              <w:rPr>
                <w:rFonts w:ascii="Calibri" w:eastAsia="Times New Roman" w:hAnsi="Calibri" w:cs="Arial"/>
                <w:b/>
                <w:bCs/>
                <w:color w:val="000000"/>
                <w:sz w:val="20"/>
                <w:szCs w:val="18"/>
                <w:lang w:eastAsia="en-GB"/>
              </w:rPr>
            </w:pPr>
            <w:r>
              <w:rPr>
                <w:rFonts w:ascii="Calibri" w:eastAsia="Times New Roman" w:hAnsi="Calibri" w:cs="Arial"/>
                <w:b/>
                <w:color w:val="000000"/>
                <w:sz w:val="20"/>
                <w:szCs w:val="18"/>
                <w:lang w:eastAsia="en-GB"/>
              </w:rPr>
              <w:t>-</w:t>
            </w:r>
          </w:p>
        </w:tc>
        <w:tc>
          <w:tcPr>
            <w:tcW w:w="458" w:type="pct"/>
            <w:tcBorders>
              <w:left w:val="nil"/>
              <w:bottom w:val="single" w:sz="4" w:space="0" w:color="auto"/>
              <w:right w:val="nil"/>
            </w:tcBorders>
            <w:shd w:val="clear" w:color="auto" w:fill="auto"/>
            <w:noWrap/>
            <w:vAlign w:val="bottom"/>
          </w:tcPr>
          <w:p w14:paraId="733AB8A7" w14:textId="4A4DA87B" w:rsidR="004200B9" w:rsidRDefault="004200B9" w:rsidP="004200B9">
            <w:pPr>
              <w:tabs>
                <w:tab w:val="decimal" w:pos="883"/>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4" w:space="0" w:color="auto"/>
              <w:right w:val="nil"/>
            </w:tcBorders>
            <w:vAlign w:val="bottom"/>
          </w:tcPr>
          <w:p w14:paraId="2ECAC76B" w14:textId="20456342" w:rsidR="004200B9" w:rsidRDefault="004200B9"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4" w:space="0" w:color="auto"/>
              <w:right w:val="nil"/>
            </w:tcBorders>
            <w:shd w:val="clear" w:color="auto" w:fill="auto"/>
            <w:noWrap/>
            <w:vAlign w:val="bottom"/>
          </w:tcPr>
          <w:p w14:paraId="34512B50" w14:textId="6C401024" w:rsidR="004200B9" w:rsidRDefault="004200B9"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4" w:space="0" w:color="auto"/>
              <w:right w:val="nil"/>
            </w:tcBorders>
            <w:shd w:val="clear" w:color="auto" w:fill="auto"/>
            <w:noWrap/>
            <w:vAlign w:val="bottom"/>
          </w:tcPr>
          <w:p w14:paraId="28F774EE" w14:textId="3B711CC0" w:rsidR="004200B9" w:rsidRDefault="004200B9" w:rsidP="004200B9">
            <w:pPr>
              <w:tabs>
                <w:tab w:val="decimal" w:pos="106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left w:val="nil"/>
              <w:bottom w:val="single" w:sz="4" w:space="0" w:color="auto"/>
              <w:right w:val="nil"/>
            </w:tcBorders>
            <w:shd w:val="clear" w:color="auto" w:fill="auto"/>
            <w:noWrap/>
            <w:vAlign w:val="bottom"/>
          </w:tcPr>
          <w:p w14:paraId="384D9246" w14:textId="3ED85FC2"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313</w:t>
            </w:r>
          </w:p>
        </w:tc>
        <w:tc>
          <w:tcPr>
            <w:tcW w:w="458" w:type="pct"/>
            <w:tcBorders>
              <w:left w:val="nil"/>
              <w:bottom w:val="single" w:sz="4" w:space="0" w:color="auto"/>
              <w:right w:val="nil"/>
            </w:tcBorders>
          </w:tcPr>
          <w:p w14:paraId="08B8EA1E" w14:textId="77777777" w:rsidR="004200B9" w:rsidRDefault="004200B9" w:rsidP="004200B9">
            <w:pPr>
              <w:tabs>
                <w:tab w:val="decimal" w:pos="780"/>
              </w:tabs>
              <w:jc w:val="right"/>
              <w:rPr>
                <w:rFonts w:ascii="Calibri" w:eastAsia="Times New Roman" w:hAnsi="Calibri" w:cs="Arial"/>
                <w:b/>
                <w:bCs/>
                <w:color w:val="000000"/>
                <w:sz w:val="20"/>
                <w:szCs w:val="18"/>
                <w:lang w:eastAsia="en-GB"/>
              </w:rPr>
            </w:pPr>
          </w:p>
          <w:p w14:paraId="12F149AB" w14:textId="2CC7EB1A"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4" w:space="0" w:color="auto"/>
              <w:right w:val="nil"/>
            </w:tcBorders>
            <w:shd w:val="clear" w:color="auto" w:fill="auto"/>
            <w:noWrap/>
            <w:vAlign w:val="bottom"/>
          </w:tcPr>
          <w:p w14:paraId="4DA3EE7A" w14:textId="2B76DA80" w:rsidR="004200B9" w:rsidRDefault="004200B9" w:rsidP="004200B9">
            <w:pPr>
              <w:tabs>
                <w:tab w:val="decimal" w:pos="780"/>
              </w:tabs>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313</w:t>
            </w:r>
          </w:p>
        </w:tc>
      </w:tr>
      <w:tr w:rsidR="004200B9" w:rsidRPr="0077388B" w14:paraId="054A0E85" w14:textId="77777777" w:rsidTr="002429BB">
        <w:trPr>
          <w:trHeight w:val="253"/>
        </w:trPr>
        <w:tc>
          <w:tcPr>
            <w:tcW w:w="1338" w:type="pct"/>
            <w:tcBorders>
              <w:left w:val="nil"/>
              <w:right w:val="nil"/>
            </w:tcBorders>
            <w:shd w:val="clear" w:color="auto" w:fill="auto"/>
            <w:noWrap/>
            <w:vAlign w:val="bottom"/>
          </w:tcPr>
          <w:p w14:paraId="402735B5" w14:textId="5EA105C5" w:rsidR="004200B9" w:rsidRDefault="004200B9" w:rsidP="004200B9">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Total comprehensive income for the period</w:t>
            </w:r>
          </w:p>
        </w:tc>
        <w:tc>
          <w:tcPr>
            <w:tcW w:w="458" w:type="pct"/>
            <w:tcBorders>
              <w:top w:val="single" w:sz="4" w:space="0" w:color="auto"/>
              <w:left w:val="nil"/>
              <w:bottom w:val="single" w:sz="4" w:space="0" w:color="auto"/>
              <w:right w:val="nil"/>
            </w:tcBorders>
            <w:shd w:val="clear" w:color="auto" w:fill="auto"/>
            <w:noWrap/>
            <w:vAlign w:val="bottom"/>
          </w:tcPr>
          <w:p w14:paraId="3B443E1D" w14:textId="0FB42A74" w:rsidR="004200B9" w:rsidRPr="004200B9" w:rsidRDefault="004200B9" w:rsidP="004200B9">
            <w:pPr>
              <w:tabs>
                <w:tab w:val="decimal" w:pos="770"/>
              </w:tabs>
              <w:jc w:val="right"/>
              <w:rPr>
                <w:rFonts w:ascii="Calibri" w:eastAsia="Times New Roman" w:hAnsi="Calibri" w:cs="Arial"/>
                <w:b/>
                <w:bCs/>
                <w:color w:val="000000"/>
                <w:sz w:val="20"/>
                <w:szCs w:val="18"/>
                <w:lang w:eastAsia="en-GB"/>
              </w:rPr>
            </w:pPr>
            <w:r w:rsidRPr="004200B9">
              <w:rPr>
                <w:rFonts w:ascii="Calibri" w:eastAsia="Times New Roman" w:hAnsi="Calibri" w:cs="Arial"/>
                <w:b/>
                <w:bCs/>
                <w:color w:val="000000"/>
                <w:sz w:val="20"/>
                <w:szCs w:val="18"/>
                <w:lang w:eastAsia="en-GB"/>
              </w:rPr>
              <w:t>-</w:t>
            </w:r>
          </w:p>
        </w:tc>
        <w:tc>
          <w:tcPr>
            <w:tcW w:w="458" w:type="pct"/>
            <w:tcBorders>
              <w:top w:val="single" w:sz="4" w:space="0" w:color="auto"/>
              <w:left w:val="nil"/>
              <w:bottom w:val="single" w:sz="4" w:space="0" w:color="auto"/>
              <w:right w:val="nil"/>
            </w:tcBorders>
            <w:shd w:val="clear" w:color="auto" w:fill="auto"/>
            <w:noWrap/>
            <w:vAlign w:val="bottom"/>
          </w:tcPr>
          <w:p w14:paraId="440FC4D0" w14:textId="4B91AAC0" w:rsidR="004200B9" w:rsidRPr="004200B9" w:rsidRDefault="004200B9" w:rsidP="004200B9">
            <w:pPr>
              <w:tabs>
                <w:tab w:val="decimal" w:pos="883"/>
              </w:tabs>
              <w:jc w:val="right"/>
              <w:rPr>
                <w:rFonts w:ascii="Calibri" w:eastAsia="Times New Roman" w:hAnsi="Calibri" w:cs="Arial"/>
                <w:b/>
                <w:bCs/>
                <w:color w:val="000000"/>
                <w:sz w:val="20"/>
                <w:szCs w:val="18"/>
                <w:lang w:eastAsia="en-GB"/>
              </w:rPr>
            </w:pPr>
            <w:r w:rsidRPr="004200B9">
              <w:rPr>
                <w:rFonts w:ascii="Calibri" w:eastAsia="Times New Roman" w:hAnsi="Calibri" w:cs="Arial"/>
                <w:b/>
                <w:bCs/>
                <w:color w:val="000000"/>
                <w:sz w:val="20"/>
                <w:szCs w:val="18"/>
                <w:lang w:eastAsia="en-GB"/>
              </w:rPr>
              <w:t>-</w:t>
            </w:r>
          </w:p>
        </w:tc>
        <w:tc>
          <w:tcPr>
            <w:tcW w:w="458" w:type="pct"/>
            <w:tcBorders>
              <w:top w:val="single" w:sz="4" w:space="0" w:color="auto"/>
              <w:left w:val="nil"/>
              <w:bottom w:val="single" w:sz="4" w:space="0" w:color="auto"/>
              <w:right w:val="nil"/>
            </w:tcBorders>
            <w:vAlign w:val="bottom"/>
          </w:tcPr>
          <w:p w14:paraId="2BFE3715" w14:textId="2E5074FF" w:rsidR="004200B9" w:rsidRPr="004200B9" w:rsidRDefault="004200B9" w:rsidP="004200B9">
            <w:pPr>
              <w:tabs>
                <w:tab w:val="decimal" w:pos="780"/>
              </w:tabs>
              <w:ind w:right="-10"/>
              <w:jc w:val="right"/>
              <w:rPr>
                <w:rFonts w:ascii="Calibri" w:eastAsia="Times New Roman" w:hAnsi="Calibri" w:cs="Arial"/>
                <w:b/>
                <w:bCs/>
                <w:color w:val="000000"/>
                <w:sz w:val="20"/>
                <w:szCs w:val="18"/>
                <w:lang w:eastAsia="en-GB"/>
              </w:rPr>
            </w:pPr>
            <w:r w:rsidRPr="004200B9">
              <w:rPr>
                <w:rFonts w:ascii="Calibri" w:eastAsia="Times New Roman" w:hAnsi="Calibri" w:cs="Arial"/>
                <w:b/>
                <w:bCs/>
                <w:color w:val="000000"/>
                <w:sz w:val="20"/>
                <w:szCs w:val="18"/>
                <w:lang w:eastAsia="en-GB"/>
              </w:rPr>
              <w:t>-</w:t>
            </w:r>
          </w:p>
        </w:tc>
        <w:tc>
          <w:tcPr>
            <w:tcW w:w="458" w:type="pct"/>
            <w:tcBorders>
              <w:top w:val="single" w:sz="4" w:space="0" w:color="auto"/>
              <w:left w:val="nil"/>
              <w:bottom w:val="single" w:sz="4" w:space="0" w:color="auto"/>
              <w:right w:val="nil"/>
            </w:tcBorders>
            <w:shd w:val="clear" w:color="auto" w:fill="auto"/>
            <w:noWrap/>
            <w:vAlign w:val="bottom"/>
          </w:tcPr>
          <w:p w14:paraId="5293DA19" w14:textId="5FA52E08" w:rsidR="004200B9" w:rsidRPr="004200B9" w:rsidRDefault="004200B9" w:rsidP="004200B9">
            <w:pPr>
              <w:tabs>
                <w:tab w:val="decimal" w:pos="780"/>
              </w:tabs>
              <w:ind w:right="-10"/>
              <w:jc w:val="right"/>
              <w:rPr>
                <w:rFonts w:ascii="Calibri" w:eastAsia="Times New Roman" w:hAnsi="Calibri" w:cs="Arial"/>
                <w:b/>
                <w:bCs/>
                <w:color w:val="000000"/>
                <w:sz w:val="20"/>
                <w:szCs w:val="18"/>
                <w:lang w:eastAsia="en-GB"/>
              </w:rPr>
            </w:pPr>
            <w:r w:rsidRPr="004200B9">
              <w:rPr>
                <w:rFonts w:ascii="Calibri" w:eastAsia="Times New Roman" w:hAnsi="Calibri" w:cs="Arial"/>
                <w:b/>
                <w:bCs/>
                <w:color w:val="000000"/>
                <w:sz w:val="20"/>
                <w:szCs w:val="18"/>
                <w:lang w:eastAsia="en-GB"/>
              </w:rPr>
              <w:t>-</w:t>
            </w:r>
          </w:p>
        </w:tc>
        <w:tc>
          <w:tcPr>
            <w:tcW w:w="458" w:type="pct"/>
            <w:tcBorders>
              <w:top w:val="single" w:sz="4" w:space="0" w:color="auto"/>
              <w:left w:val="nil"/>
              <w:bottom w:val="single" w:sz="4" w:space="0" w:color="auto"/>
              <w:right w:val="nil"/>
            </w:tcBorders>
            <w:shd w:val="clear" w:color="auto" w:fill="auto"/>
            <w:noWrap/>
            <w:vAlign w:val="bottom"/>
          </w:tcPr>
          <w:p w14:paraId="0D22D723" w14:textId="5EE3C91D" w:rsidR="004200B9" w:rsidRPr="004200B9" w:rsidRDefault="004200B9" w:rsidP="004200B9">
            <w:pPr>
              <w:tabs>
                <w:tab w:val="decimal" w:pos="1060"/>
              </w:tabs>
              <w:jc w:val="right"/>
              <w:rPr>
                <w:rFonts w:ascii="Calibri" w:eastAsia="Times New Roman" w:hAnsi="Calibri" w:cs="Arial"/>
                <w:b/>
                <w:bCs/>
                <w:color w:val="000000"/>
                <w:sz w:val="20"/>
                <w:szCs w:val="18"/>
                <w:lang w:eastAsia="en-GB"/>
              </w:rPr>
            </w:pPr>
            <w:r w:rsidRPr="004200B9">
              <w:rPr>
                <w:rFonts w:ascii="Calibri" w:eastAsia="Times New Roman" w:hAnsi="Calibri" w:cs="Arial"/>
                <w:b/>
                <w:bCs/>
                <w:color w:val="000000"/>
                <w:sz w:val="20"/>
                <w:szCs w:val="18"/>
                <w:lang w:eastAsia="en-GB"/>
              </w:rPr>
              <w:t>-</w:t>
            </w:r>
          </w:p>
        </w:tc>
        <w:tc>
          <w:tcPr>
            <w:tcW w:w="458" w:type="pct"/>
            <w:tcBorders>
              <w:top w:val="single" w:sz="4" w:space="0" w:color="auto"/>
              <w:left w:val="nil"/>
              <w:bottom w:val="single" w:sz="4" w:space="0" w:color="auto"/>
              <w:right w:val="nil"/>
            </w:tcBorders>
            <w:shd w:val="clear" w:color="auto" w:fill="auto"/>
            <w:noWrap/>
            <w:vAlign w:val="bottom"/>
          </w:tcPr>
          <w:p w14:paraId="0CA41C54" w14:textId="0DDE7577" w:rsidR="004200B9" w:rsidRPr="004200B9" w:rsidRDefault="004200B9" w:rsidP="004200B9">
            <w:pPr>
              <w:tabs>
                <w:tab w:val="decimal" w:pos="780"/>
              </w:tabs>
              <w:jc w:val="right"/>
              <w:rPr>
                <w:rFonts w:ascii="Calibri" w:eastAsia="Times New Roman" w:hAnsi="Calibri" w:cs="Arial"/>
                <w:b/>
                <w:bCs/>
                <w:color w:val="000000"/>
                <w:sz w:val="20"/>
                <w:szCs w:val="18"/>
                <w:lang w:eastAsia="en-GB"/>
              </w:rPr>
            </w:pPr>
            <w:r w:rsidRPr="004200B9">
              <w:rPr>
                <w:rFonts w:ascii="Calibri" w:eastAsia="Times New Roman" w:hAnsi="Calibri" w:cs="Arial"/>
                <w:b/>
                <w:bCs/>
                <w:color w:val="000000"/>
                <w:sz w:val="20"/>
                <w:szCs w:val="18"/>
                <w:lang w:eastAsia="en-GB"/>
              </w:rPr>
              <w:t>313</w:t>
            </w:r>
          </w:p>
        </w:tc>
        <w:tc>
          <w:tcPr>
            <w:tcW w:w="458" w:type="pct"/>
            <w:tcBorders>
              <w:top w:val="single" w:sz="4" w:space="0" w:color="auto"/>
              <w:left w:val="nil"/>
              <w:bottom w:val="single" w:sz="4" w:space="0" w:color="auto"/>
              <w:right w:val="nil"/>
            </w:tcBorders>
          </w:tcPr>
          <w:p w14:paraId="60733D1F" w14:textId="77777777" w:rsidR="004200B9" w:rsidRDefault="004200B9" w:rsidP="004200B9">
            <w:pPr>
              <w:tabs>
                <w:tab w:val="decimal" w:pos="780"/>
              </w:tabs>
              <w:jc w:val="right"/>
              <w:rPr>
                <w:rFonts w:ascii="Calibri" w:eastAsia="Times New Roman" w:hAnsi="Calibri" w:cs="Arial"/>
                <w:b/>
                <w:bCs/>
                <w:color w:val="000000"/>
                <w:sz w:val="20"/>
                <w:szCs w:val="18"/>
                <w:lang w:eastAsia="en-GB"/>
              </w:rPr>
            </w:pPr>
          </w:p>
          <w:p w14:paraId="0EDF885A" w14:textId="46E5296E" w:rsidR="004200B9" w:rsidRPr="004200B9" w:rsidRDefault="004200B9" w:rsidP="004200B9">
            <w:pPr>
              <w:tabs>
                <w:tab w:val="decimal" w:pos="780"/>
              </w:tabs>
              <w:jc w:val="right"/>
              <w:rPr>
                <w:rFonts w:ascii="Calibri" w:eastAsia="Times New Roman" w:hAnsi="Calibri" w:cs="Arial"/>
                <w:b/>
                <w:bCs/>
                <w:color w:val="000000"/>
                <w:sz w:val="20"/>
                <w:szCs w:val="18"/>
                <w:lang w:eastAsia="en-GB"/>
              </w:rPr>
            </w:pPr>
            <w:r w:rsidRPr="004200B9">
              <w:rPr>
                <w:rFonts w:ascii="Calibri" w:eastAsia="Times New Roman" w:hAnsi="Calibri" w:cs="Arial"/>
                <w:b/>
                <w:bCs/>
                <w:color w:val="000000"/>
                <w:sz w:val="20"/>
                <w:szCs w:val="18"/>
                <w:lang w:eastAsia="en-GB"/>
              </w:rPr>
              <w:t>(454)</w:t>
            </w:r>
          </w:p>
        </w:tc>
        <w:tc>
          <w:tcPr>
            <w:tcW w:w="458" w:type="pct"/>
            <w:tcBorders>
              <w:top w:val="single" w:sz="4" w:space="0" w:color="auto"/>
              <w:left w:val="nil"/>
              <w:bottom w:val="single" w:sz="4" w:space="0" w:color="auto"/>
              <w:right w:val="nil"/>
            </w:tcBorders>
            <w:shd w:val="clear" w:color="auto" w:fill="auto"/>
            <w:noWrap/>
            <w:vAlign w:val="bottom"/>
          </w:tcPr>
          <w:p w14:paraId="307EA343" w14:textId="74A13B0E" w:rsidR="004200B9" w:rsidRPr="004200B9" w:rsidRDefault="004200B9" w:rsidP="004200B9">
            <w:pPr>
              <w:tabs>
                <w:tab w:val="decimal" w:pos="780"/>
              </w:tabs>
              <w:jc w:val="right"/>
              <w:rPr>
                <w:rFonts w:ascii="Calibri" w:eastAsia="Times New Roman" w:hAnsi="Calibri" w:cs="Arial"/>
                <w:b/>
                <w:bCs/>
                <w:color w:val="000000"/>
                <w:sz w:val="20"/>
                <w:szCs w:val="18"/>
                <w:lang w:eastAsia="en-GB"/>
              </w:rPr>
            </w:pPr>
            <w:r w:rsidRPr="004200B9">
              <w:rPr>
                <w:rFonts w:ascii="Calibri" w:eastAsia="Times New Roman" w:hAnsi="Calibri" w:cs="Arial"/>
                <w:b/>
                <w:bCs/>
                <w:color w:val="000000"/>
                <w:sz w:val="20"/>
                <w:szCs w:val="18"/>
                <w:lang w:eastAsia="en-GB"/>
              </w:rPr>
              <w:t>(</w:t>
            </w:r>
            <w:r w:rsidR="00582D02" w:rsidRPr="004200B9">
              <w:rPr>
                <w:rFonts w:ascii="Calibri" w:eastAsia="Times New Roman" w:hAnsi="Calibri" w:cs="Arial"/>
                <w:b/>
                <w:bCs/>
                <w:color w:val="000000"/>
                <w:sz w:val="20"/>
                <w:szCs w:val="18"/>
                <w:lang w:eastAsia="en-GB"/>
              </w:rPr>
              <w:t>14</w:t>
            </w:r>
            <w:r w:rsidR="00582D02">
              <w:rPr>
                <w:rFonts w:ascii="Calibri" w:eastAsia="Times New Roman" w:hAnsi="Calibri" w:cs="Arial"/>
                <w:b/>
                <w:bCs/>
                <w:color w:val="000000"/>
                <w:sz w:val="20"/>
                <w:szCs w:val="18"/>
                <w:lang w:eastAsia="en-GB"/>
              </w:rPr>
              <w:t>1</w:t>
            </w:r>
            <w:r w:rsidRPr="004200B9">
              <w:rPr>
                <w:rFonts w:ascii="Calibri" w:eastAsia="Times New Roman" w:hAnsi="Calibri" w:cs="Arial"/>
                <w:b/>
                <w:bCs/>
                <w:color w:val="000000"/>
                <w:sz w:val="20"/>
                <w:szCs w:val="18"/>
                <w:lang w:eastAsia="en-GB"/>
              </w:rPr>
              <w:t>)</w:t>
            </w:r>
          </w:p>
        </w:tc>
      </w:tr>
      <w:tr w:rsidR="004200B9" w:rsidRPr="0077388B" w14:paraId="167E8686" w14:textId="77777777" w:rsidTr="002429BB">
        <w:trPr>
          <w:trHeight w:val="253"/>
        </w:trPr>
        <w:tc>
          <w:tcPr>
            <w:tcW w:w="1338" w:type="pct"/>
            <w:tcBorders>
              <w:left w:val="nil"/>
              <w:right w:val="nil"/>
            </w:tcBorders>
            <w:shd w:val="clear" w:color="auto" w:fill="auto"/>
            <w:noWrap/>
            <w:vAlign w:val="bottom"/>
          </w:tcPr>
          <w:p w14:paraId="48F7F1E2" w14:textId="77777777" w:rsidR="004200B9" w:rsidRDefault="004200B9" w:rsidP="004200B9">
            <w:pPr>
              <w:rPr>
                <w:rFonts w:ascii="Calibri" w:eastAsia="Times New Roman" w:hAnsi="Calibri" w:cs="Arial"/>
                <w:b/>
                <w:bCs/>
                <w:color w:val="000000"/>
                <w:sz w:val="20"/>
                <w:szCs w:val="18"/>
                <w:lang w:eastAsia="en-GB"/>
              </w:rPr>
            </w:pPr>
          </w:p>
        </w:tc>
        <w:tc>
          <w:tcPr>
            <w:tcW w:w="458" w:type="pct"/>
            <w:tcBorders>
              <w:top w:val="single" w:sz="4" w:space="0" w:color="auto"/>
              <w:left w:val="nil"/>
              <w:right w:val="nil"/>
            </w:tcBorders>
            <w:shd w:val="clear" w:color="auto" w:fill="auto"/>
            <w:noWrap/>
            <w:vAlign w:val="bottom"/>
          </w:tcPr>
          <w:p w14:paraId="6B073A60" w14:textId="77777777" w:rsidR="004200B9" w:rsidRDefault="004200B9" w:rsidP="004200B9">
            <w:pPr>
              <w:tabs>
                <w:tab w:val="decimal" w:pos="770"/>
              </w:tabs>
              <w:jc w:val="right"/>
              <w:rPr>
                <w:rFonts w:ascii="Calibri" w:eastAsia="Times New Roman" w:hAnsi="Calibri" w:cs="Arial"/>
                <w:b/>
                <w:bCs/>
                <w:color w:val="000000"/>
                <w:sz w:val="20"/>
                <w:szCs w:val="18"/>
                <w:lang w:eastAsia="en-GB"/>
              </w:rPr>
            </w:pPr>
          </w:p>
        </w:tc>
        <w:tc>
          <w:tcPr>
            <w:tcW w:w="458" w:type="pct"/>
            <w:tcBorders>
              <w:top w:val="single" w:sz="4" w:space="0" w:color="auto"/>
              <w:left w:val="nil"/>
              <w:right w:val="nil"/>
            </w:tcBorders>
            <w:shd w:val="clear" w:color="auto" w:fill="auto"/>
            <w:noWrap/>
            <w:vAlign w:val="bottom"/>
          </w:tcPr>
          <w:p w14:paraId="0F575576" w14:textId="77777777" w:rsidR="004200B9" w:rsidRDefault="004200B9" w:rsidP="004200B9">
            <w:pPr>
              <w:tabs>
                <w:tab w:val="decimal" w:pos="883"/>
              </w:tabs>
              <w:jc w:val="right"/>
              <w:rPr>
                <w:rFonts w:ascii="Calibri" w:eastAsia="Times New Roman" w:hAnsi="Calibri" w:cs="Arial"/>
                <w:b/>
                <w:bCs/>
                <w:color w:val="000000"/>
                <w:sz w:val="20"/>
                <w:szCs w:val="18"/>
                <w:lang w:eastAsia="en-GB"/>
              </w:rPr>
            </w:pPr>
          </w:p>
        </w:tc>
        <w:tc>
          <w:tcPr>
            <w:tcW w:w="458" w:type="pct"/>
            <w:tcBorders>
              <w:top w:val="single" w:sz="4" w:space="0" w:color="auto"/>
              <w:left w:val="nil"/>
              <w:right w:val="nil"/>
            </w:tcBorders>
            <w:vAlign w:val="bottom"/>
          </w:tcPr>
          <w:p w14:paraId="24764897" w14:textId="77777777" w:rsidR="004200B9" w:rsidRDefault="004200B9" w:rsidP="004200B9">
            <w:pPr>
              <w:tabs>
                <w:tab w:val="decimal" w:pos="780"/>
              </w:tabs>
              <w:ind w:right="-10"/>
              <w:jc w:val="right"/>
              <w:rPr>
                <w:rFonts w:ascii="Calibri" w:eastAsia="Times New Roman" w:hAnsi="Calibri" w:cs="Arial"/>
                <w:b/>
                <w:bCs/>
                <w:color w:val="000000"/>
                <w:sz w:val="20"/>
                <w:szCs w:val="18"/>
                <w:lang w:eastAsia="en-GB"/>
              </w:rPr>
            </w:pPr>
          </w:p>
        </w:tc>
        <w:tc>
          <w:tcPr>
            <w:tcW w:w="458" w:type="pct"/>
            <w:tcBorders>
              <w:top w:val="single" w:sz="4" w:space="0" w:color="auto"/>
              <w:left w:val="nil"/>
              <w:right w:val="nil"/>
            </w:tcBorders>
            <w:shd w:val="clear" w:color="auto" w:fill="auto"/>
            <w:noWrap/>
            <w:vAlign w:val="bottom"/>
          </w:tcPr>
          <w:p w14:paraId="68CB8F96" w14:textId="77777777" w:rsidR="004200B9" w:rsidRDefault="004200B9" w:rsidP="004200B9">
            <w:pPr>
              <w:tabs>
                <w:tab w:val="decimal" w:pos="780"/>
              </w:tabs>
              <w:ind w:right="-10"/>
              <w:jc w:val="right"/>
              <w:rPr>
                <w:rFonts w:ascii="Calibri" w:eastAsia="Times New Roman" w:hAnsi="Calibri" w:cs="Arial"/>
                <w:b/>
                <w:bCs/>
                <w:color w:val="000000"/>
                <w:sz w:val="20"/>
                <w:szCs w:val="18"/>
                <w:lang w:eastAsia="en-GB"/>
              </w:rPr>
            </w:pPr>
          </w:p>
        </w:tc>
        <w:tc>
          <w:tcPr>
            <w:tcW w:w="458" w:type="pct"/>
            <w:tcBorders>
              <w:top w:val="single" w:sz="4" w:space="0" w:color="auto"/>
              <w:left w:val="nil"/>
              <w:right w:val="nil"/>
            </w:tcBorders>
            <w:shd w:val="clear" w:color="auto" w:fill="auto"/>
            <w:noWrap/>
            <w:vAlign w:val="bottom"/>
          </w:tcPr>
          <w:p w14:paraId="64505950" w14:textId="77777777" w:rsidR="004200B9" w:rsidRDefault="004200B9" w:rsidP="004200B9">
            <w:pPr>
              <w:tabs>
                <w:tab w:val="decimal" w:pos="1060"/>
              </w:tabs>
              <w:jc w:val="right"/>
              <w:rPr>
                <w:rFonts w:ascii="Calibri" w:eastAsia="Times New Roman" w:hAnsi="Calibri" w:cs="Arial"/>
                <w:b/>
                <w:color w:val="000000"/>
                <w:sz w:val="20"/>
                <w:szCs w:val="18"/>
                <w:lang w:eastAsia="en-GB"/>
              </w:rPr>
            </w:pPr>
          </w:p>
        </w:tc>
        <w:tc>
          <w:tcPr>
            <w:tcW w:w="458" w:type="pct"/>
            <w:tcBorders>
              <w:top w:val="single" w:sz="4" w:space="0" w:color="auto"/>
              <w:left w:val="nil"/>
              <w:right w:val="nil"/>
            </w:tcBorders>
            <w:shd w:val="clear" w:color="auto" w:fill="auto"/>
            <w:noWrap/>
            <w:vAlign w:val="bottom"/>
          </w:tcPr>
          <w:p w14:paraId="797F3A82" w14:textId="77777777" w:rsidR="004200B9" w:rsidRDefault="004200B9" w:rsidP="004200B9">
            <w:pPr>
              <w:tabs>
                <w:tab w:val="decimal" w:pos="780"/>
              </w:tabs>
              <w:jc w:val="right"/>
              <w:rPr>
                <w:rFonts w:ascii="Calibri" w:eastAsia="Times New Roman" w:hAnsi="Calibri" w:cs="Arial"/>
                <w:b/>
                <w:bCs/>
                <w:color w:val="000000"/>
                <w:sz w:val="20"/>
                <w:szCs w:val="18"/>
                <w:lang w:eastAsia="en-GB"/>
              </w:rPr>
            </w:pPr>
          </w:p>
        </w:tc>
        <w:tc>
          <w:tcPr>
            <w:tcW w:w="458" w:type="pct"/>
            <w:tcBorders>
              <w:top w:val="single" w:sz="4" w:space="0" w:color="auto"/>
              <w:left w:val="nil"/>
              <w:right w:val="nil"/>
            </w:tcBorders>
          </w:tcPr>
          <w:p w14:paraId="20F49560" w14:textId="77777777" w:rsidR="004200B9" w:rsidRDefault="004200B9" w:rsidP="004200B9">
            <w:pPr>
              <w:tabs>
                <w:tab w:val="decimal" w:pos="780"/>
              </w:tabs>
              <w:jc w:val="right"/>
              <w:rPr>
                <w:rFonts w:ascii="Calibri" w:eastAsia="Times New Roman" w:hAnsi="Calibri" w:cs="Arial"/>
                <w:b/>
                <w:bCs/>
                <w:color w:val="000000"/>
                <w:sz w:val="20"/>
                <w:szCs w:val="18"/>
                <w:lang w:eastAsia="en-GB"/>
              </w:rPr>
            </w:pPr>
          </w:p>
        </w:tc>
        <w:tc>
          <w:tcPr>
            <w:tcW w:w="458" w:type="pct"/>
            <w:tcBorders>
              <w:top w:val="single" w:sz="4" w:space="0" w:color="auto"/>
              <w:left w:val="nil"/>
              <w:right w:val="nil"/>
            </w:tcBorders>
            <w:shd w:val="clear" w:color="auto" w:fill="auto"/>
            <w:noWrap/>
            <w:vAlign w:val="bottom"/>
          </w:tcPr>
          <w:p w14:paraId="621338FF" w14:textId="77777777" w:rsidR="004200B9" w:rsidRDefault="004200B9" w:rsidP="004200B9">
            <w:pPr>
              <w:tabs>
                <w:tab w:val="decimal" w:pos="780"/>
              </w:tabs>
              <w:jc w:val="right"/>
              <w:rPr>
                <w:rFonts w:ascii="Calibri" w:eastAsia="Times New Roman" w:hAnsi="Calibri" w:cs="Arial"/>
                <w:b/>
                <w:bCs/>
                <w:color w:val="000000"/>
                <w:sz w:val="20"/>
                <w:szCs w:val="18"/>
                <w:lang w:eastAsia="en-GB"/>
              </w:rPr>
            </w:pPr>
          </w:p>
        </w:tc>
      </w:tr>
      <w:tr w:rsidR="004200B9" w:rsidRPr="0077388B" w14:paraId="4D7542A1" w14:textId="77777777" w:rsidTr="002429BB">
        <w:trPr>
          <w:trHeight w:val="253"/>
        </w:trPr>
        <w:tc>
          <w:tcPr>
            <w:tcW w:w="1338" w:type="pct"/>
            <w:tcBorders>
              <w:left w:val="nil"/>
              <w:right w:val="nil"/>
            </w:tcBorders>
            <w:shd w:val="clear" w:color="auto" w:fill="auto"/>
            <w:noWrap/>
            <w:vAlign w:val="bottom"/>
          </w:tcPr>
          <w:p w14:paraId="1C9CA580" w14:textId="188291E2" w:rsidR="004200B9" w:rsidRDefault="004200B9" w:rsidP="004200B9">
            <w:pPr>
              <w:rPr>
                <w:rFonts w:ascii="Calibri" w:eastAsia="Times New Roman" w:hAnsi="Calibri" w:cs="Arial"/>
                <w:b/>
                <w:bCs/>
                <w:color w:val="000000"/>
                <w:sz w:val="20"/>
                <w:szCs w:val="18"/>
                <w:lang w:eastAsia="en-GB"/>
              </w:rPr>
            </w:pPr>
            <w:r>
              <w:rPr>
                <w:rFonts w:ascii="Calibri" w:eastAsia="Times New Roman" w:hAnsi="Calibri" w:cs="Arial"/>
                <w:color w:val="000000"/>
                <w:sz w:val="20"/>
                <w:szCs w:val="18"/>
                <w:lang w:eastAsia="en-GB"/>
              </w:rPr>
              <w:t>Issue of ordinary shares</w:t>
            </w:r>
          </w:p>
        </w:tc>
        <w:tc>
          <w:tcPr>
            <w:tcW w:w="458" w:type="pct"/>
            <w:tcBorders>
              <w:left w:val="nil"/>
              <w:right w:val="nil"/>
            </w:tcBorders>
            <w:shd w:val="clear" w:color="auto" w:fill="auto"/>
            <w:noWrap/>
            <w:vAlign w:val="bottom"/>
          </w:tcPr>
          <w:p w14:paraId="4085EC27" w14:textId="426DE511" w:rsidR="004200B9" w:rsidRDefault="004200B9" w:rsidP="004200B9">
            <w:pPr>
              <w:tabs>
                <w:tab w:val="decimal" w:pos="77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150</w:t>
            </w:r>
          </w:p>
        </w:tc>
        <w:tc>
          <w:tcPr>
            <w:tcW w:w="458" w:type="pct"/>
            <w:tcBorders>
              <w:left w:val="nil"/>
              <w:right w:val="nil"/>
            </w:tcBorders>
            <w:shd w:val="clear" w:color="auto" w:fill="auto"/>
            <w:noWrap/>
            <w:vAlign w:val="bottom"/>
          </w:tcPr>
          <w:p w14:paraId="6CC16709" w14:textId="10368074" w:rsidR="004200B9" w:rsidRDefault="004200B9" w:rsidP="004200B9">
            <w:pPr>
              <w:tabs>
                <w:tab w:val="decimal" w:pos="883"/>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2,188</w:t>
            </w:r>
          </w:p>
        </w:tc>
        <w:tc>
          <w:tcPr>
            <w:tcW w:w="458" w:type="pct"/>
            <w:tcBorders>
              <w:left w:val="nil"/>
              <w:right w:val="nil"/>
            </w:tcBorders>
            <w:vAlign w:val="bottom"/>
          </w:tcPr>
          <w:p w14:paraId="529AC06D" w14:textId="15EAA9C6" w:rsidR="004200B9" w:rsidRDefault="004200B9"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shd w:val="clear" w:color="auto" w:fill="auto"/>
            <w:noWrap/>
            <w:vAlign w:val="bottom"/>
          </w:tcPr>
          <w:p w14:paraId="15D4EEB1" w14:textId="645BA468" w:rsidR="004200B9" w:rsidRDefault="004200B9"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shd w:val="clear" w:color="auto" w:fill="auto"/>
            <w:noWrap/>
            <w:vAlign w:val="bottom"/>
          </w:tcPr>
          <w:p w14:paraId="24D5AEA8" w14:textId="2ABF0EB6" w:rsidR="004200B9" w:rsidRDefault="004200B9" w:rsidP="004200B9">
            <w:pPr>
              <w:tabs>
                <w:tab w:val="decimal" w:pos="106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left w:val="nil"/>
              <w:right w:val="nil"/>
            </w:tcBorders>
            <w:shd w:val="clear" w:color="auto" w:fill="auto"/>
            <w:noWrap/>
            <w:vAlign w:val="bottom"/>
          </w:tcPr>
          <w:p w14:paraId="349A18E8" w14:textId="0336AAA5"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tcPr>
          <w:p w14:paraId="16BA46C3" w14:textId="633D27C6"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shd w:val="clear" w:color="auto" w:fill="auto"/>
            <w:noWrap/>
            <w:vAlign w:val="bottom"/>
          </w:tcPr>
          <w:p w14:paraId="03396F73" w14:textId="795113B9"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2,338</w:t>
            </w:r>
          </w:p>
        </w:tc>
      </w:tr>
      <w:tr w:rsidR="004200B9" w:rsidRPr="0077388B" w14:paraId="78E735CD" w14:textId="77777777" w:rsidTr="002429BB">
        <w:trPr>
          <w:trHeight w:val="253"/>
        </w:trPr>
        <w:tc>
          <w:tcPr>
            <w:tcW w:w="1338" w:type="pct"/>
            <w:tcBorders>
              <w:left w:val="nil"/>
              <w:right w:val="nil"/>
            </w:tcBorders>
            <w:shd w:val="clear" w:color="auto" w:fill="auto"/>
            <w:noWrap/>
            <w:vAlign w:val="bottom"/>
          </w:tcPr>
          <w:p w14:paraId="6B7C9B10" w14:textId="03C0F984" w:rsidR="004200B9" w:rsidRDefault="004200B9" w:rsidP="004200B9">
            <w:pPr>
              <w:rPr>
                <w:rFonts w:ascii="Calibri" w:eastAsia="Times New Roman" w:hAnsi="Calibri" w:cs="Arial"/>
                <w:b/>
                <w:bCs/>
                <w:color w:val="000000"/>
                <w:sz w:val="20"/>
                <w:szCs w:val="18"/>
                <w:lang w:eastAsia="en-GB"/>
              </w:rPr>
            </w:pPr>
            <w:r>
              <w:rPr>
                <w:rFonts w:ascii="Calibri" w:eastAsia="Times New Roman" w:hAnsi="Calibri" w:cs="Arial"/>
                <w:color w:val="000000"/>
                <w:sz w:val="20"/>
                <w:szCs w:val="18"/>
                <w:lang w:eastAsia="en-GB"/>
              </w:rPr>
              <w:t>Share options granted</w:t>
            </w:r>
          </w:p>
        </w:tc>
        <w:tc>
          <w:tcPr>
            <w:tcW w:w="458" w:type="pct"/>
            <w:tcBorders>
              <w:left w:val="nil"/>
              <w:right w:val="nil"/>
            </w:tcBorders>
            <w:shd w:val="clear" w:color="auto" w:fill="auto"/>
            <w:noWrap/>
            <w:vAlign w:val="bottom"/>
          </w:tcPr>
          <w:p w14:paraId="2655B039" w14:textId="0CF98BA1" w:rsidR="004200B9" w:rsidRDefault="004200B9" w:rsidP="004200B9">
            <w:pPr>
              <w:tabs>
                <w:tab w:val="decimal" w:pos="77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shd w:val="clear" w:color="auto" w:fill="auto"/>
            <w:noWrap/>
            <w:vAlign w:val="bottom"/>
          </w:tcPr>
          <w:p w14:paraId="4056347A" w14:textId="4804AFDC" w:rsidR="004200B9" w:rsidRDefault="004200B9" w:rsidP="004200B9">
            <w:pPr>
              <w:tabs>
                <w:tab w:val="decimal" w:pos="883"/>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vAlign w:val="bottom"/>
          </w:tcPr>
          <w:p w14:paraId="462807E2" w14:textId="667FDD48" w:rsidR="004200B9" w:rsidRDefault="004200B9"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shd w:val="clear" w:color="auto" w:fill="auto"/>
            <w:noWrap/>
            <w:vAlign w:val="bottom"/>
          </w:tcPr>
          <w:p w14:paraId="08C34198" w14:textId="06D2E9AF" w:rsidR="004200B9" w:rsidRDefault="004200B9"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(12)</w:t>
            </w:r>
          </w:p>
        </w:tc>
        <w:tc>
          <w:tcPr>
            <w:tcW w:w="458" w:type="pct"/>
            <w:tcBorders>
              <w:left w:val="nil"/>
              <w:right w:val="nil"/>
            </w:tcBorders>
            <w:shd w:val="clear" w:color="auto" w:fill="auto"/>
            <w:noWrap/>
            <w:vAlign w:val="bottom"/>
          </w:tcPr>
          <w:p w14:paraId="45B82B8D" w14:textId="7EA4294A" w:rsidR="004200B9" w:rsidRDefault="004200B9" w:rsidP="004200B9">
            <w:pPr>
              <w:tabs>
                <w:tab w:val="decimal" w:pos="106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left w:val="nil"/>
              <w:right w:val="nil"/>
            </w:tcBorders>
            <w:shd w:val="clear" w:color="auto" w:fill="auto"/>
            <w:noWrap/>
            <w:vAlign w:val="bottom"/>
          </w:tcPr>
          <w:p w14:paraId="456B9711" w14:textId="3A9863BA"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tcPr>
          <w:p w14:paraId="4B8F2EA8" w14:textId="5FA6444E"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shd w:val="clear" w:color="auto" w:fill="auto"/>
            <w:noWrap/>
            <w:vAlign w:val="bottom"/>
          </w:tcPr>
          <w:p w14:paraId="4EFDC7CF" w14:textId="74A4EB53"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(12)</w:t>
            </w:r>
          </w:p>
        </w:tc>
      </w:tr>
      <w:tr w:rsidR="004200B9" w:rsidRPr="0077388B" w14:paraId="65F14B22" w14:textId="77777777" w:rsidTr="002429BB">
        <w:trPr>
          <w:trHeight w:val="253"/>
        </w:trPr>
        <w:tc>
          <w:tcPr>
            <w:tcW w:w="1338" w:type="pct"/>
            <w:tcBorders>
              <w:left w:val="nil"/>
              <w:right w:val="nil"/>
            </w:tcBorders>
            <w:shd w:val="clear" w:color="auto" w:fill="auto"/>
            <w:noWrap/>
            <w:vAlign w:val="bottom"/>
          </w:tcPr>
          <w:p w14:paraId="7BFCE647" w14:textId="66FB679F" w:rsidR="004200B9" w:rsidRDefault="004200B9" w:rsidP="004200B9">
            <w:pPr>
              <w:rPr>
                <w:rFonts w:ascii="Calibri" w:eastAsia="Times New Roman" w:hAnsi="Calibri" w:cs="Arial"/>
                <w:b/>
                <w:bCs/>
                <w:color w:val="000000"/>
                <w:sz w:val="20"/>
                <w:szCs w:val="18"/>
                <w:lang w:eastAsia="en-GB"/>
              </w:rPr>
            </w:pPr>
            <w:r>
              <w:rPr>
                <w:rFonts w:ascii="Calibri" w:eastAsia="Times New Roman" w:hAnsi="Calibri" w:cs="Arial"/>
                <w:color w:val="000000"/>
                <w:sz w:val="20"/>
                <w:szCs w:val="18"/>
                <w:lang w:eastAsia="en-GB"/>
              </w:rPr>
              <w:t>Warrants issued</w:t>
            </w:r>
          </w:p>
        </w:tc>
        <w:tc>
          <w:tcPr>
            <w:tcW w:w="458" w:type="pct"/>
            <w:tcBorders>
              <w:left w:val="nil"/>
              <w:bottom w:val="single" w:sz="4" w:space="0" w:color="auto"/>
              <w:right w:val="nil"/>
            </w:tcBorders>
            <w:shd w:val="clear" w:color="auto" w:fill="auto"/>
            <w:noWrap/>
            <w:vAlign w:val="bottom"/>
          </w:tcPr>
          <w:p w14:paraId="301B2C14" w14:textId="5C6E59C8" w:rsidR="004200B9" w:rsidRDefault="004200B9" w:rsidP="004200B9">
            <w:pPr>
              <w:tabs>
                <w:tab w:val="decimal" w:pos="77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4" w:space="0" w:color="auto"/>
              <w:right w:val="nil"/>
            </w:tcBorders>
            <w:shd w:val="clear" w:color="auto" w:fill="auto"/>
            <w:noWrap/>
            <w:vAlign w:val="bottom"/>
          </w:tcPr>
          <w:p w14:paraId="1D76BF87" w14:textId="107733A3" w:rsidR="004200B9" w:rsidRDefault="004200B9" w:rsidP="004200B9">
            <w:pPr>
              <w:tabs>
                <w:tab w:val="decimal" w:pos="883"/>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4" w:space="0" w:color="auto"/>
              <w:right w:val="nil"/>
            </w:tcBorders>
            <w:vAlign w:val="bottom"/>
          </w:tcPr>
          <w:p w14:paraId="6F9E63B9" w14:textId="5258F084" w:rsidR="004200B9" w:rsidRDefault="004200B9"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4" w:space="0" w:color="auto"/>
              <w:right w:val="nil"/>
            </w:tcBorders>
            <w:shd w:val="clear" w:color="auto" w:fill="auto"/>
            <w:noWrap/>
            <w:vAlign w:val="bottom"/>
          </w:tcPr>
          <w:p w14:paraId="2A64AD90" w14:textId="390FDE3B" w:rsidR="004200B9" w:rsidRDefault="004200B9"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4" w:space="0" w:color="auto"/>
              <w:right w:val="nil"/>
            </w:tcBorders>
            <w:shd w:val="clear" w:color="auto" w:fill="auto"/>
            <w:noWrap/>
            <w:vAlign w:val="bottom"/>
          </w:tcPr>
          <w:p w14:paraId="736342CE" w14:textId="611A9F10" w:rsidR="004200B9" w:rsidRDefault="004200B9" w:rsidP="004200B9">
            <w:pPr>
              <w:tabs>
                <w:tab w:val="decimal" w:pos="106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404</w:t>
            </w:r>
          </w:p>
        </w:tc>
        <w:tc>
          <w:tcPr>
            <w:tcW w:w="458" w:type="pct"/>
            <w:tcBorders>
              <w:left w:val="nil"/>
              <w:bottom w:val="single" w:sz="4" w:space="0" w:color="auto"/>
              <w:right w:val="nil"/>
            </w:tcBorders>
            <w:shd w:val="clear" w:color="auto" w:fill="auto"/>
            <w:noWrap/>
            <w:vAlign w:val="bottom"/>
          </w:tcPr>
          <w:p w14:paraId="4206BC57" w14:textId="55550B1E"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4" w:space="0" w:color="auto"/>
              <w:right w:val="nil"/>
            </w:tcBorders>
          </w:tcPr>
          <w:p w14:paraId="177437D7" w14:textId="08973EEE"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4" w:space="0" w:color="auto"/>
              <w:right w:val="nil"/>
            </w:tcBorders>
            <w:shd w:val="clear" w:color="auto" w:fill="auto"/>
            <w:noWrap/>
            <w:vAlign w:val="bottom"/>
          </w:tcPr>
          <w:p w14:paraId="608EEB9A" w14:textId="25C6BC82"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404</w:t>
            </w:r>
          </w:p>
        </w:tc>
      </w:tr>
      <w:tr w:rsidR="004200B9" w:rsidRPr="0077388B" w14:paraId="4CED2D51" w14:textId="77777777" w:rsidTr="002429BB">
        <w:trPr>
          <w:trHeight w:val="253"/>
        </w:trPr>
        <w:tc>
          <w:tcPr>
            <w:tcW w:w="1338" w:type="pct"/>
            <w:tcBorders>
              <w:left w:val="nil"/>
              <w:right w:val="nil"/>
            </w:tcBorders>
            <w:shd w:val="clear" w:color="auto" w:fill="auto"/>
            <w:noWrap/>
            <w:vAlign w:val="bottom"/>
          </w:tcPr>
          <w:p w14:paraId="02D94718" w14:textId="77777777" w:rsidR="004200B9" w:rsidRDefault="004200B9" w:rsidP="004200B9">
            <w:pPr>
              <w:rPr>
                <w:rFonts w:ascii="Calibri" w:eastAsia="Times New Roman" w:hAnsi="Calibri" w:cs="Arial"/>
                <w:color w:val="000000"/>
                <w:sz w:val="20"/>
                <w:szCs w:val="18"/>
                <w:lang w:eastAsia="en-GB"/>
              </w:rPr>
            </w:pPr>
          </w:p>
        </w:tc>
        <w:tc>
          <w:tcPr>
            <w:tcW w:w="458" w:type="pct"/>
            <w:tcBorders>
              <w:top w:val="single" w:sz="4" w:space="0" w:color="auto"/>
              <w:left w:val="nil"/>
              <w:bottom w:val="single" w:sz="4" w:space="0" w:color="auto"/>
              <w:right w:val="nil"/>
            </w:tcBorders>
            <w:shd w:val="clear" w:color="auto" w:fill="auto"/>
            <w:noWrap/>
            <w:vAlign w:val="bottom"/>
          </w:tcPr>
          <w:p w14:paraId="64891C70" w14:textId="3EAAD901" w:rsidR="004200B9" w:rsidRDefault="004200B9" w:rsidP="004200B9">
            <w:pPr>
              <w:tabs>
                <w:tab w:val="decimal" w:pos="77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150</w:t>
            </w:r>
          </w:p>
        </w:tc>
        <w:tc>
          <w:tcPr>
            <w:tcW w:w="458" w:type="pct"/>
            <w:tcBorders>
              <w:top w:val="single" w:sz="4" w:space="0" w:color="auto"/>
              <w:left w:val="nil"/>
              <w:bottom w:val="single" w:sz="4" w:space="0" w:color="auto"/>
              <w:right w:val="nil"/>
            </w:tcBorders>
            <w:shd w:val="clear" w:color="auto" w:fill="auto"/>
            <w:noWrap/>
            <w:vAlign w:val="bottom"/>
          </w:tcPr>
          <w:p w14:paraId="7B14E1C8" w14:textId="6C5FAC5B" w:rsidR="004200B9" w:rsidRDefault="004200B9" w:rsidP="004200B9">
            <w:pPr>
              <w:tabs>
                <w:tab w:val="decimal" w:pos="883"/>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2,188</w:t>
            </w:r>
          </w:p>
        </w:tc>
        <w:tc>
          <w:tcPr>
            <w:tcW w:w="458" w:type="pct"/>
            <w:tcBorders>
              <w:top w:val="single" w:sz="4" w:space="0" w:color="auto"/>
              <w:left w:val="nil"/>
              <w:bottom w:val="single" w:sz="4" w:space="0" w:color="auto"/>
              <w:right w:val="nil"/>
            </w:tcBorders>
            <w:vAlign w:val="bottom"/>
          </w:tcPr>
          <w:p w14:paraId="6B26B87B" w14:textId="2D63FFDE" w:rsidR="004200B9" w:rsidRDefault="004200B9"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4" w:space="0" w:color="auto"/>
              <w:left w:val="nil"/>
              <w:bottom w:val="single" w:sz="4" w:space="0" w:color="auto"/>
              <w:right w:val="nil"/>
            </w:tcBorders>
            <w:shd w:val="clear" w:color="auto" w:fill="auto"/>
            <w:noWrap/>
            <w:vAlign w:val="bottom"/>
          </w:tcPr>
          <w:p w14:paraId="47802638" w14:textId="704B0987" w:rsidR="004200B9" w:rsidRDefault="004200B9"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(12)</w:t>
            </w:r>
          </w:p>
        </w:tc>
        <w:tc>
          <w:tcPr>
            <w:tcW w:w="458" w:type="pct"/>
            <w:tcBorders>
              <w:top w:val="single" w:sz="4" w:space="0" w:color="auto"/>
              <w:left w:val="nil"/>
              <w:bottom w:val="single" w:sz="4" w:space="0" w:color="auto"/>
              <w:right w:val="nil"/>
            </w:tcBorders>
            <w:shd w:val="clear" w:color="auto" w:fill="auto"/>
            <w:noWrap/>
            <w:vAlign w:val="bottom"/>
          </w:tcPr>
          <w:p w14:paraId="1A46FC9A" w14:textId="6475C682" w:rsidR="004200B9" w:rsidRDefault="004200B9" w:rsidP="004200B9">
            <w:pPr>
              <w:tabs>
                <w:tab w:val="decimal" w:pos="106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404</w:t>
            </w:r>
          </w:p>
        </w:tc>
        <w:tc>
          <w:tcPr>
            <w:tcW w:w="458" w:type="pct"/>
            <w:tcBorders>
              <w:top w:val="single" w:sz="4" w:space="0" w:color="auto"/>
              <w:left w:val="nil"/>
              <w:bottom w:val="single" w:sz="4" w:space="0" w:color="auto"/>
              <w:right w:val="nil"/>
            </w:tcBorders>
            <w:shd w:val="clear" w:color="auto" w:fill="auto"/>
            <w:noWrap/>
            <w:vAlign w:val="bottom"/>
          </w:tcPr>
          <w:p w14:paraId="305553A6" w14:textId="154D6862"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4" w:space="0" w:color="auto"/>
              <w:left w:val="nil"/>
              <w:bottom w:val="single" w:sz="4" w:space="0" w:color="auto"/>
              <w:right w:val="nil"/>
            </w:tcBorders>
          </w:tcPr>
          <w:p w14:paraId="5476C784" w14:textId="55AA3471"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4" w:space="0" w:color="auto"/>
              <w:left w:val="nil"/>
              <w:bottom w:val="single" w:sz="4" w:space="0" w:color="auto"/>
              <w:right w:val="nil"/>
            </w:tcBorders>
            <w:shd w:val="clear" w:color="auto" w:fill="auto"/>
            <w:noWrap/>
            <w:vAlign w:val="bottom"/>
          </w:tcPr>
          <w:p w14:paraId="6BD10657" w14:textId="359C059C"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2,730</w:t>
            </w:r>
          </w:p>
        </w:tc>
      </w:tr>
      <w:tr w:rsidR="004200B9" w:rsidRPr="0077388B" w14:paraId="3E4B0377" w14:textId="77777777" w:rsidTr="002429BB">
        <w:trPr>
          <w:trHeight w:val="253"/>
        </w:trPr>
        <w:tc>
          <w:tcPr>
            <w:tcW w:w="1338" w:type="pct"/>
            <w:tcBorders>
              <w:left w:val="nil"/>
              <w:right w:val="nil"/>
            </w:tcBorders>
            <w:shd w:val="clear" w:color="auto" w:fill="auto"/>
            <w:noWrap/>
            <w:vAlign w:val="bottom"/>
          </w:tcPr>
          <w:p w14:paraId="3AE8DE3C" w14:textId="77777777" w:rsidR="004200B9" w:rsidRDefault="004200B9" w:rsidP="004200B9">
            <w:pPr>
              <w:rPr>
                <w:rFonts w:ascii="Calibri" w:eastAsia="Times New Roman" w:hAnsi="Calibri" w:cs="Arial"/>
                <w:b/>
                <w:bCs/>
                <w:color w:val="000000"/>
                <w:sz w:val="20"/>
                <w:szCs w:val="18"/>
                <w:lang w:eastAsia="en-GB"/>
              </w:rPr>
            </w:pPr>
          </w:p>
        </w:tc>
        <w:tc>
          <w:tcPr>
            <w:tcW w:w="458" w:type="pct"/>
            <w:tcBorders>
              <w:top w:val="single" w:sz="4" w:space="0" w:color="auto"/>
              <w:left w:val="nil"/>
              <w:right w:val="nil"/>
            </w:tcBorders>
            <w:shd w:val="clear" w:color="auto" w:fill="auto"/>
            <w:noWrap/>
            <w:vAlign w:val="bottom"/>
          </w:tcPr>
          <w:p w14:paraId="12A275FF" w14:textId="77777777" w:rsidR="004200B9" w:rsidRDefault="004200B9" w:rsidP="004200B9">
            <w:pPr>
              <w:tabs>
                <w:tab w:val="decimal" w:pos="770"/>
              </w:tabs>
              <w:jc w:val="right"/>
              <w:rPr>
                <w:rFonts w:ascii="Calibri" w:eastAsia="Times New Roman" w:hAnsi="Calibri" w:cs="Arial"/>
                <w:b/>
                <w:bCs/>
                <w:color w:val="000000"/>
                <w:sz w:val="20"/>
                <w:szCs w:val="18"/>
                <w:lang w:eastAsia="en-GB"/>
              </w:rPr>
            </w:pPr>
          </w:p>
        </w:tc>
        <w:tc>
          <w:tcPr>
            <w:tcW w:w="458" w:type="pct"/>
            <w:tcBorders>
              <w:top w:val="single" w:sz="4" w:space="0" w:color="auto"/>
              <w:left w:val="nil"/>
              <w:right w:val="nil"/>
            </w:tcBorders>
            <w:shd w:val="clear" w:color="auto" w:fill="auto"/>
            <w:noWrap/>
            <w:vAlign w:val="bottom"/>
          </w:tcPr>
          <w:p w14:paraId="7D957513" w14:textId="77777777" w:rsidR="004200B9" w:rsidRDefault="004200B9" w:rsidP="004200B9">
            <w:pPr>
              <w:tabs>
                <w:tab w:val="decimal" w:pos="883"/>
              </w:tabs>
              <w:jc w:val="right"/>
              <w:rPr>
                <w:rFonts w:ascii="Calibri" w:eastAsia="Times New Roman" w:hAnsi="Calibri" w:cs="Arial"/>
                <w:b/>
                <w:bCs/>
                <w:color w:val="000000"/>
                <w:sz w:val="20"/>
                <w:szCs w:val="18"/>
                <w:lang w:eastAsia="en-GB"/>
              </w:rPr>
            </w:pPr>
          </w:p>
        </w:tc>
        <w:tc>
          <w:tcPr>
            <w:tcW w:w="458" w:type="pct"/>
            <w:tcBorders>
              <w:top w:val="single" w:sz="4" w:space="0" w:color="auto"/>
              <w:left w:val="nil"/>
              <w:right w:val="nil"/>
            </w:tcBorders>
            <w:vAlign w:val="bottom"/>
          </w:tcPr>
          <w:p w14:paraId="69B95801" w14:textId="77777777" w:rsidR="004200B9" w:rsidRDefault="004200B9" w:rsidP="004200B9">
            <w:pPr>
              <w:tabs>
                <w:tab w:val="decimal" w:pos="780"/>
              </w:tabs>
              <w:ind w:right="-10"/>
              <w:jc w:val="right"/>
              <w:rPr>
                <w:rFonts w:ascii="Calibri" w:eastAsia="Times New Roman" w:hAnsi="Calibri" w:cs="Arial"/>
                <w:b/>
                <w:bCs/>
                <w:color w:val="000000"/>
                <w:sz w:val="20"/>
                <w:szCs w:val="18"/>
                <w:lang w:eastAsia="en-GB"/>
              </w:rPr>
            </w:pPr>
          </w:p>
        </w:tc>
        <w:tc>
          <w:tcPr>
            <w:tcW w:w="458" w:type="pct"/>
            <w:tcBorders>
              <w:top w:val="single" w:sz="4" w:space="0" w:color="auto"/>
              <w:left w:val="nil"/>
              <w:right w:val="nil"/>
            </w:tcBorders>
            <w:shd w:val="clear" w:color="auto" w:fill="auto"/>
            <w:noWrap/>
            <w:vAlign w:val="bottom"/>
          </w:tcPr>
          <w:p w14:paraId="0672132E" w14:textId="77777777" w:rsidR="004200B9" w:rsidRDefault="004200B9" w:rsidP="004200B9">
            <w:pPr>
              <w:tabs>
                <w:tab w:val="decimal" w:pos="780"/>
              </w:tabs>
              <w:ind w:right="-10"/>
              <w:jc w:val="right"/>
              <w:rPr>
                <w:rFonts w:ascii="Calibri" w:eastAsia="Times New Roman" w:hAnsi="Calibri" w:cs="Arial"/>
                <w:b/>
                <w:bCs/>
                <w:color w:val="000000"/>
                <w:sz w:val="20"/>
                <w:szCs w:val="18"/>
                <w:lang w:eastAsia="en-GB"/>
              </w:rPr>
            </w:pPr>
          </w:p>
        </w:tc>
        <w:tc>
          <w:tcPr>
            <w:tcW w:w="458" w:type="pct"/>
            <w:tcBorders>
              <w:top w:val="single" w:sz="4" w:space="0" w:color="auto"/>
              <w:left w:val="nil"/>
              <w:right w:val="nil"/>
            </w:tcBorders>
            <w:shd w:val="clear" w:color="auto" w:fill="auto"/>
            <w:noWrap/>
            <w:vAlign w:val="bottom"/>
          </w:tcPr>
          <w:p w14:paraId="61568601" w14:textId="77777777" w:rsidR="004200B9" w:rsidRDefault="004200B9" w:rsidP="004200B9">
            <w:pPr>
              <w:tabs>
                <w:tab w:val="decimal" w:pos="1060"/>
              </w:tabs>
              <w:jc w:val="right"/>
              <w:rPr>
                <w:rFonts w:ascii="Calibri" w:eastAsia="Times New Roman" w:hAnsi="Calibri" w:cs="Arial"/>
                <w:b/>
                <w:color w:val="000000"/>
                <w:sz w:val="20"/>
                <w:szCs w:val="18"/>
                <w:lang w:eastAsia="en-GB"/>
              </w:rPr>
            </w:pPr>
          </w:p>
        </w:tc>
        <w:tc>
          <w:tcPr>
            <w:tcW w:w="458" w:type="pct"/>
            <w:tcBorders>
              <w:top w:val="single" w:sz="4" w:space="0" w:color="auto"/>
              <w:left w:val="nil"/>
              <w:right w:val="nil"/>
            </w:tcBorders>
            <w:shd w:val="clear" w:color="auto" w:fill="auto"/>
            <w:noWrap/>
            <w:vAlign w:val="bottom"/>
          </w:tcPr>
          <w:p w14:paraId="4F5FBA57" w14:textId="77777777" w:rsidR="004200B9" w:rsidRDefault="004200B9" w:rsidP="004200B9">
            <w:pPr>
              <w:tabs>
                <w:tab w:val="decimal" w:pos="780"/>
              </w:tabs>
              <w:jc w:val="right"/>
              <w:rPr>
                <w:rFonts w:ascii="Calibri" w:eastAsia="Times New Roman" w:hAnsi="Calibri" w:cs="Arial"/>
                <w:b/>
                <w:bCs/>
                <w:color w:val="000000"/>
                <w:sz w:val="20"/>
                <w:szCs w:val="18"/>
                <w:lang w:eastAsia="en-GB"/>
              </w:rPr>
            </w:pPr>
          </w:p>
        </w:tc>
        <w:tc>
          <w:tcPr>
            <w:tcW w:w="458" w:type="pct"/>
            <w:tcBorders>
              <w:top w:val="single" w:sz="4" w:space="0" w:color="auto"/>
              <w:left w:val="nil"/>
              <w:right w:val="nil"/>
            </w:tcBorders>
          </w:tcPr>
          <w:p w14:paraId="267C7D9D" w14:textId="77777777" w:rsidR="004200B9" w:rsidRDefault="004200B9" w:rsidP="004200B9">
            <w:pPr>
              <w:tabs>
                <w:tab w:val="decimal" w:pos="780"/>
              </w:tabs>
              <w:jc w:val="right"/>
              <w:rPr>
                <w:rFonts w:ascii="Calibri" w:eastAsia="Times New Roman" w:hAnsi="Calibri" w:cs="Arial"/>
                <w:b/>
                <w:bCs/>
                <w:color w:val="000000"/>
                <w:sz w:val="20"/>
                <w:szCs w:val="18"/>
                <w:lang w:eastAsia="en-GB"/>
              </w:rPr>
            </w:pPr>
          </w:p>
        </w:tc>
        <w:tc>
          <w:tcPr>
            <w:tcW w:w="458" w:type="pct"/>
            <w:tcBorders>
              <w:top w:val="single" w:sz="4" w:space="0" w:color="auto"/>
              <w:left w:val="nil"/>
              <w:right w:val="nil"/>
            </w:tcBorders>
            <w:shd w:val="clear" w:color="auto" w:fill="auto"/>
            <w:noWrap/>
            <w:vAlign w:val="bottom"/>
          </w:tcPr>
          <w:p w14:paraId="10EBB9FE" w14:textId="77777777" w:rsidR="004200B9" w:rsidRDefault="004200B9" w:rsidP="004200B9">
            <w:pPr>
              <w:tabs>
                <w:tab w:val="decimal" w:pos="780"/>
              </w:tabs>
              <w:jc w:val="right"/>
              <w:rPr>
                <w:rFonts w:ascii="Calibri" w:eastAsia="Times New Roman" w:hAnsi="Calibri" w:cs="Arial"/>
                <w:b/>
                <w:bCs/>
                <w:color w:val="000000"/>
                <w:sz w:val="20"/>
                <w:szCs w:val="18"/>
                <w:lang w:eastAsia="en-GB"/>
              </w:rPr>
            </w:pPr>
          </w:p>
        </w:tc>
      </w:tr>
      <w:tr w:rsidR="004200B9" w:rsidRPr="0077388B" w14:paraId="36DE912E" w14:textId="77777777" w:rsidTr="002429BB">
        <w:trPr>
          <w:trHeight w:val="253"/>
        </w:trPr>
        <w:tc>
          <w:tcPr>
            <w:tcW w:w="1338" w:type="pct"/>
            <w:tcBorders>
              <w:left w:val="nil"/>
              <w:right w:val="nil"/>
            </w:tcBorders>
            <w:shd w:val="clear" w:color="auto" w:fill="auto"/>
            <w:noWrap/>
            <w:vAlign w:val="bottom"/>
          </w:tcPr>
          <w:p w14:paraId="3ED58ADC" w14:textId="5EFF86CC" w:rsidR="004200B9" w:rsidRDefault="004200B9" w:rsidP="004200B9">
            <w:pPr>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As at 31 December 2020</w:t>
            </w:r>
          </w:p>
        </w:tc>
        <w:tc>
          <w:tcPr>
            <w:tcW w:w="458" w:type="pct"/>
            <w:tcBorders>
              <w:left w:val="nil"/>
              <w:right w:val="nil"/>
            </w:tcBorders>
            <w:shd w:val="clear" w:color="auto" w:fill="auto"/>
            <w:noWrap/>
            <w:vAlign w:val="bottom"/>
          </w:tcPr>
          <w:p w14:paraId="213CEB39" w14:textId="1066921B" w:rsidR="004200B9" w:rsidRDefault="004200B9" w:rsidP="004200B9">
            <w:pPr>
              <w:tabs>
                <w:tab w:val="decimal" w:pos="770"/>
              </w:tabs>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390</w:t>
            </w:r>
          </w:p>
        </w:tc>
        <w:tc>
          <w:tcPr>
            <w:tcW w:w="458" w:type="pct"/>
            <w:tcBorders>
              <w:left w:val="nil"/>
              <w:right w:val="nil"/>
            </w:tcBorders>
            <w:shd w:val="clear" w:color="auto" w:fill="auto"/>
            <w:noWrap/>
            <w:vAlign w:val="bottom"/>
          </w:tcPr>
          <w:p w14:paraId="3918A041" w14:textId="54764E37" w:rsidR="004200B9" w:rsidRDefault="004200B9" w:rsidP="004200B9">
            <w:pPr>
              <w:tabs>
                <w:tab w:val="decimal" w:pos="883"/>
              </w:tabs>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8,272</w:t>
            </w:r>
          </w:p>
        </w:tc>
        <w:tc>
          <w:tcPr>
            <w:tcW w:w="458" w:type="pct"/>
            <w:tcBorders>
              <w:left w:val="nil"/>
              <w:right w:val="nil"/>
            </w:tcBorders>
            <w:vAlign w:val="bottom"/>
          </w:tcPr>
          <w:p w14:paraId="00C8C073" w14:textId="718CB1F2" w:rsidR="004200B9" w:rsidRDefault="004200B9" w:rsidP="004200B9">
            <w:pPr>
              <w:tabs>
                <w:tab w:val="decimal" w:pos="780"/>
              </w:tabs>
              <w:ind w:right="-10"/>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(1,591)</w:t>
            </w:r>
          </w:p>
        </w:tc>
        <w:tc>
          <w:tcPr>
            <w:tcW w:w="458" w:type="pct"/>
            <w:tcBorders>
              <w:left w:val="nil"/>
              <w:right w:val="nil"/>
            </w:tcBorders>
            <w:shd w:val="clear" w:color="auto" w:fill="auto"/>
            <w:noWrap/>
            <w:vAlign w:val="bottom"/>
          </w:tcPr>
          <w:p w14:paraId="308B9F4B" w14:textId="6EBB9A0D" w:rsidR="004200B9" w:rsidRDefault="004200B9" w:rsidP="004200B9">
            <w:pPr>
              <w:tabs>
                <w:tab w:val="decimal" w:pos="780"/>
              </w:tabs>
              <w:ind w:right="-10"/>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277</w:t>
            </w:r>
          </w:p>
        </w:tc>
        <w:tc>
          <w:tcPr>
            <w:tcW w:w="458" w:type="pct"/>
            <w:tcBorders>
              <w:left w:val="nil"/>
              <w:right w:val="nil"/>
            </w:tcBorders>
            <w:shd w:val="clear" w:color="auto" w:fill="auto"/>
            <w:noWrap/>
            <w:vAlign w:val="bottom"/>
          </w:tcPr>
          <w:p w14:paraId="776ADDD4" w14:textId="36E0124A" w:rsidR="004200B9" w:rsidRPr="004200B9" w:rsidRDefault="004200B9" w:rsidP="004200B9">
            <w:pPr>
              <w:tabs>
                <w:tab w:val="decimal" w:pos="1060"/>
              </w:tabs>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404</w:t>
            </w:r>
          </w:p>
        </w:tc>
        <w:tc>
          <w:tcPr>
            <w:tcW w:w="458" w:type="pct"/>
            <w:tcBorders>
              <w:left w:val="nil"/>
              <w:right w:val="nil"/>
            </w:tcBorders>
            <w:shd w:val="clear" w:color="auto" w:fill="auto"/>
            <w:noWrap/>
            <w:vAlign w:val="bottom"/>
          </w:tcPr>
          <w:p w14:paraId="59CD14B3" w14:textId="49F37C5B" w:rsidR="004200B9" w:rsidRDefault="004200B9" w:rsidP="004200B9">
            <w:pPr>
              <w:tabs>
                <w:tab w:val="decimal" w:pos="780"/>
              </w:tabs>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(171)</w:t>
            </w:r>
          </w:p>
        </w:tc>
        <w:tc>
          <w:tcPr>
            <w:tcW w:w="458" w:type="pct"/>
            <w:tcBorders>
              <w:left w:val="nil"/>
              <w:right w:val="nil"/>
            </w:tcBorders>
          </w:tcPr>
          <w:p w14:paraId="2B9FF0DE" w14:textId="0CDC2A50" w:rsidR="004200B9" w:rsidRDefault="004200B9" w:rsidP="004200B9">
            <w:pPr>
              <w:tabs>
                <w:tab w:val="decimal" w:pos="780"/>
              </w:tabs>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(2,591)</w:t>
            </w:r>
          </w:p>
        </w:tc>
        <w:tc>
          <w:tcPr>
            <w:tcW w:w="458" w:type="pct"/>
            <w:tcBorders>
              <w:left w:val="nil"/>
              <w:right w:val="nil"/>
            </w:tcBorders>
            <w:shd w:val="clear" w:color="auto" w:fill="auto"/>
            <w:noWrap/>
            <w:vAlign w:val="bottom"/>
          </w:tcPr>
          <w:p w14:paraId="31E84652" w14:textId="37B9AD42" w:rsidR="004200B9" w:rsidRDefault="004200B9" w:rsidP="004200B9">
            <w:pPr>
              <w:tabs>
                <w:tab w:val="decimal" w:pos="780"/>
              </w:tabs>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4,990</w:t>
            </w:r>
          </w:p>
        </w:tc>
      </w:tr>
      <w:tr w:rsidR="004200B9" w:rsidRPr="0077388B" w14:paraId="186CD8DA" w14:textId="77777777" w:rsidTr="002429BB">
        <w:trPr>
          <w:trHeight w:val="253"/>
        </w:trPr>
        <w:tc>
          <w:tcPr>
            <w:tcW w:w="1338" w:type="pct"/>
            <w:tcBorders>
              <w:left w:val="nil"/>
              <w:right w:val="nil"/>
            </w:tcBorders>
            <w:shd w:val="clear" w:color="auto" w:fill="auto"/>
            <w:noWrap/>
            <w:vAlign w:val="bottom"/>
          </w:tcPr>
          <w:p w14:paraId="0E4967B9" w14:textId="77777777" w:rsidR="004200B9" w:rsidRDefault="004200B9" w:rsidP="004200B9">
            <w:pPr>
              <w:rPr>
                <w:rFonts w:ascii="Calibri" w:eastAsia="Times New Roman" w:hAnsi="Calibri" w:cs="Arial"/>
                <w:b/>
                <w:bCs/>
                <w:color w:val="000000"/>
                <w:sz w:val="20"/>
                <w:szCs w:val="18"/>
                <w:lang w:eastAsia="en-GB"/>
              </w:rPr>
            </w:pPr>
          </w:p>
        </w:tc>
        <w:tc>
          <w:tcPr>
            <w:tcW w:w="458" w:type="pct"/>
            <w:tcBorders>
              <w:top w:val="single" w:sz="8" w:space="0" w:color="auto"/>
              <w:left w:val="nil"/>
              <w:right w:val="nil"/>
            </w:tcBorders>
            <w:shd w:val="clear" w:color="auto" w:fill="auto"/>
            <w:noWrap/>
            <w:vAlign w:val="bottom"/>
          </w:tcPr>
          <w:p w14:paraId="311CD1FD" w14:textId="77777777" w:rsidR="004200B9" w:rsidRDefault="004200B9" w:rsidP="004200B9">
            <w:pPr>
              <w:tabs>
                <w:tab w:val="decimal" w:pos="770"/>
              </w:tabs>
              <w:jc w:val="right"/>
              <w:rPr>
                <w:rFonts w:ascii="Calibri" w:eastAsia="Times New Roman" w:hAnsi="Calibri" w:cs="Arial"/>
                <w:b/>
                <w:bCs/>
                <w:color w:val="000000"/>
                <w:sz w:val="20"/>
                <w:szCs w:val="18"/>
                <w:lang w:eastAsia="en-GB"/>
              </w:rPr>
            </w:pPr>
          </w:p>
        </w:tc>
        <w:tc>
          <w:tcPr>
            <w:tcW w:w="458" w:type="pct"/>
            <w:tcBorders>
              <w:top w:val="single" w:sz="8" w:space="0" w:color="auto"/>
              <w:left w:val="nil"/>
              <w:right w:val="nil"/>
            </w:tcBorders>
            <w:shd w:val="clear" w:color="auto" w:fill="auto"/>
            <w:noWrap/>
            <w:vAlign w:val="bottom"/>
          </w:tcPr>
          <w:p w14:paraId="39B0B013" w14:textId="77777777" w:rsidR="004200B9" w:rsidRDefault="004200B9" w:rsidP="004200B9">
            <w:pPr>
              <w:tabs>
                <w:tab w:val="decimal" w:pos="883"/>
              </w:tabs>
              <w:jc w:val="right"/>
              <w:rPr>
                <w:rFonts w:ascii="Calibri" w:eastAsia="Times New Roman" w:hAnsi="Calibri" w:cs="Arial"/>
                <w:b/>
                <w:bCs/>
                <w:color w:val="000000"/>
                <w:sz w:val="20"/>
                <w:szCs w:val="18"/>
                <w:lang w:eastAsia="en-GB"/>
              </w:rPr>
            </w:pPr>
          </w:p>
        </w:tc>
        <w:tc>
          <w:tcPr>
            <w:tcW w:w="458" w:type="pct"/>
            <w:tcBorders>
              <w:top w:val="single" w:sz="8" w:space="0" w:color="auto"/>
              <w:left w:val="nil"/>
              <w:right w:val="nil"/>
            </w:tcBorders>
            <w:vAlign w:val="bottom"/>
          </w:tcPr>
          <w:p w14:paraId="4A5FA896" w14:textId="77777777" w:rsidR="004200B9" w:rsidRDefault="004200B9" w:rsidP="004200B9">
            <w:pPr>
              <w:tabs>
                <w:tab w:val="decimal" w:pos="780"/>
              </w:tabs>
              <w:ind w:right="-10"/>
              <w:jc w:val="right"/>
              <w:rPr>
                <w:rFonts w:ascii="Calibri" w:eastAsia="Times New Roman" w:hAnsi="Calibri" w:cs="Arial"/>
                <w:b/>
                <w:bCs/>
                <w:color w:val="000000"/>
                <w:sz w:val="20"/>
                <w:szCs w:val="18"/>
                <w:lang w:eastAsia="en-GB"/>
              </w:rPr>
            </w:pPr>
          </w:p>
        </w:tc>
        <w:tc>
          <w:tcPr>
            <w:tcW w:w="458" w:type="pct"/>
            <w:tcBorders>
              <w:top w:val="single" w:sz="8" w:space="0" w:color="auto"/>
              <w:left w:val="nil"/>
              <w:right w:val="nil"/>
            </w:tcBorders>
            <w:shd w:val="clear" w:color="auto" w:fill="auto"/>
            <w:noWrap/>
            <w:vAlign w:val="bottom"/>
          </w:tcPr>
          <w:p w14:paraId="52D35A9B" w14:textId="77777777" w:rsidR="004200B9" w:rsidRDefault="004200B9" w:rsidP="004200B9">
            <w:pPr>
              <w:tabs>
                <w:tab w:val="decimal" w:pos="780"/>
              </w:tabs>
              <w:ind w:right="-10"/>
              <w:jc w:val="right"/>
              <w:rPr>
                <w:rFonts w:ascii="Calibri" w:eastAsia="Times New Roman" w:hAnsi="Calibri" w:cs="Arial"/>
                <w:b/>
                <w:bCs/>
                <w:color w:val="000000"/>
                <w:sz w:val="20"/>
                <w:szCs w:val="18"/>
                <w:lang w:eastAsia="en-GB"/>
              </w:rPr>
            </w:pPr>
          </w:p>
        </w:tc>
        <w:tc>
          <w:tcPr>
            <w:tcW w:w="458" w:type="pct"/>
            <w:tcBorders>
              <w:top w:val="single" w:sz="8" w:space="0" w:color="auto"/>
              <w:left w:val="nil"/>
              <w:right w:val="nil"/>
            </w:tcBorders>
            <w:shd w:val="clear" w:color="auto" w:fill="auto"/>
            <w:noWrap/>
            <w:vAlign w:val="bottom"/>
          </w:tcPr>
          <w:p w14:paraId="1147DD87" w14:textId="77777777" w:rsidR="004200B9" w:rsidRDefault="004200B9" w:rsidP="004200B9">
            <w:pPr>
              <w:tabs>
                <w:tab w:val="decimal" w:pos="1060"/>
              </w:tabs>
              <w:jc w:val="right"/>
              <w:rPr>
                <w:rFonts w:ascii="Calibri" w:eastAsia="Times New Roman" w:hAnsi="Calibri" w:cs="Arial"/>
                <w:b/>
                <w:color w:val="000000"/>
                <w:sz w:val="20"/>
                <w:szCs w:val="18"/>
                <w:lang w:eastAsia="en-GB"/>
              </w:rPr>
            </w:pPr>
          </w:p>
        </w:tc>
        <w:tc>
          <w:tcPr>
            <w:tcW w:w="458" w:type="pct"/>
            <w:tcBorders>
              <w:top w:val="single" w:sz="8" w:space="0" w:color="auto"/>
              <w:left w:val="nil"/>
              <w:right w:val="nil"/>
            </w:tcBorders>
            <w:shd w:val="clear" w:color="auto" w:fill="auto"/>
            <w:noWrap/>
            <w:vAlign w:val="bottom"/>
          </w:tcPr>
          <w:p w14:paraId="0D0A4921" w14:textId="77777777" w:rsidR="004200B9" w:rsidRDefault="004200B9" w:rsidP="004200B9">
            <w:pPr>
              <w:tabs>
                <w:tab w:val="decimal" w:pos="780"/>
              </w:tabs>
              <w:jc w:val="right"/>
              <w:rPr>
                <w:rFonts w:ascii="Calibri" w:eastAsia="Times New Roman" w:hAnsi="Calibri" w:cs="Arial"/>
                <w:b/>
                <w:bCs/>
                <w:color w:val="000000"/>
                <w:sz w:val="20"/>
                <w:szCs w:val="18"/>
                <w:lang w:eastAsia="en-GB"/>
              </w:rPr>
            </w:pPr>
          </w:p>
        </w:tc>
        <w:tc>
          <w:tcPr>
            <w:tcW w:w="458" w:type="pct"/>
            <w:tcBorders>
              <w:top w:val="single" w:sz="8" w:space="0" w:color="auto"/>
              <w:left w:val="nil"/>
              <w:right w:val="nil"/>
            </w:tcBorders>
          </w:tcPr>
          <w:p w14:paraId="5EA43C98" w14:textId="77777777" w:rsidR="004200B9" w:rsidRDefault="004200B9" w:rsidP="004200B9">
            <w:pPr>
              <w:tabs>
                <w:tab w:val="decimal" w:pos="780"/>
              </w:tabs>
              <w:jc w:val="right"/>
              <w:rPr>
                <w:rFonts w:ascii="Calibri" w:eastAsia="Times New Roman" w:hAnsi="Calibri" w:cs="Arial"/>
                <w:b/>
                <w:bCs/>
                <w:color w:val="000000"/>
                <w:sz w:val="20"/>
                <w:szCs w:val="18"/>
                <w:lang w:eastAsia="en-GB"/>
              </w:rPr>
            </w:pPr>
          </w:p>
        </w:tc>
        <w:tc>
          <w:tcPr>
            <w:tcW w:w="458" w:type="pct"/>
            <w:tcBorders>
              <w:top w:val="single" w:sz="8" w:space="0" w:color="auto"/>
              <w:left w:val="nil"/>
              <w:right w:val="nil"/>
            </w:tcBorders>
            <w:shd w:val="clear" w:color="auto" w:fill="auto"/>
            <w:noWrap/>
            <w:vAlign w:val="bottom"/>
          </w:tcPr>
          <w:p w14:paraId="5DB5899B" w14:textId="77777777" w:rsidR="004200B9" w:rsidRDefault="004200B9" w:rsidP="004200B9">
            <w:pPr>
              <w:tabs>
                <w:tab w:val="decimal" w:pos="780"/>
              </w:tabs>
              <w:jc w:val="right"/>
              <w:rPr>
                <w:rFonts w:ascii="Calibri" w:eastAsia="Times New Roman" w:hAnsi="Calibri" w:cs="Arial"/>
                <w:b/>
                <w:bCs/>
                <w:color w:val="000000"/>
                <w:sz w:val="20"/>
                <w:szCs w:val="18"/>
                <w:lang w:eastAsia="en-GB"/>
              </w:rPr>
            </w:pPr>
          </w:p>
        </w:tc>
      </w:tr>
      <w:tr w:rsidR="004200B9" w:rsidRPr="0077388B" w14:paraId="2478DD29" w14:textId="77777777" w:rsidTr="002429BB">
        <w:trPr>
          <w:trHeight w:val="253"/>
        </w:trPr>
        <w:tc>
          <w:tcPr>
            <w:tcW w:w="1338" w:type="pct"/>
            <w:tcBorders>
              <w:left w:val="nil"/>
              <w:right w:val="nil"/>
            </w:tcBorders>
            <w:shd w:val="clear" w:color="auto" w:fill="auto"/>
            <w:noWrap/>
            <w:vAlign w:val="bottom"/>
          </w:tcPr>
          <w:p w14:paraId="12632FB5" w14:textId="77777777" w:rsidR="004200B9" w:rsidRDefault="004200B9" w:rsidP="004200B9">
            <w:pPr>
              <w:rPr>
                <w:rFonts w:ascii="Calibri" w:eastAsia="Times New Roman" w:hAnsi="Calibri" w:cs="Arial"/>
                <w:b/>
                <w:bCs/>
                <w:color w:val="000000"/>
                <w:sz w:val="20"/>
                <w:szCs w:val="18"/>
                <w:lang w:eastAsia="en-GB"/>
              </w:rPr>
            </w:pPr>
          </w:p>
        </w:tc>
        <w:tc>
          <w:tcPr>
            <w:tcW w:w="458" w:type="pct"/>
            <w:tcBorders>
              <w:left w:val="nil"/>
              <w:right w:val="nil"/>
            </w:tcBorders>
            <w:shd w:val="clear" w:color="auto" w:fill="auto"/>
            <w:noWrap/>
            <w:vAlign w:val="bottom"/>
          </w:tcPr>
          <w:p w14:paraId="0229E3C3" w14:textId="77777777" w:rsidR="004200B9" w:rsidRDefault="004200B9" w:rsidP="004200B9">
            <w:pPr>
              <w:tabs>
                <w:tab w:val="decimal" w:pos="770"/>
              </w:tabs>
              <w:jc w:val="right"/>
              <w:rPr>
                <w:rFonts w:ascii="Calibri" w:eastAsia="Times New Roman" w:hAnsi="Calibri" w:cs="Arial"/>
                <w:b/>
                <w:bCs/>
                <w:color w:val="000000"/>
                <w:sz w:val="20"/>
                <w:szCs w:val="18"/>
                <w:lang w:eastAsia="en-GB"/>
              </w:rPr>
            </w:pPr>
          </w:p>
        </w:tc>
        <w:tc>
          <w:tcPr>
            <w:tcW w:w="458" w:type="pct"/>
            <w:tcBorders>
              <w:left w:val="nil"/>
              <w:right w:val="nil"/>
            </w:tcBorders>
            <w:shd w:val="clear" w:color="auto" w:fill="auto"/>
            <w:noWrap/>
            <w:vAlign w:val="bottom"/>
          </w:tcPr>
          <w:p w14:paraId="1C135B60" w14:textId="77777777" w:rsidR="004200B9" w:rsidRDefault="004200B9" w:rsidP="004200B9">
            <w:pPr>
              <w:tabs>
                <w:tab w:val="decimal" w:pos="883"/>
              </w:tabs>
              <w:jc w:val="right"/>
              <w:rPr>
                <w:rFonts w:ascii="Calibri" w:eastAsia="Times New Roman" w:hAnsi="Calibri" w:cs="Arial"/>
                <w:b/>
                <w:bCs/>
                <w:color w:val="000000"/>
                <w:sz w:val="20"/>
                <w:szCs w:val="18"/>
                <w:lang w:eastAsia="en-GB"/>
              </w:rPr>
            </w:pPr>
          </w:p>
        </w:tc>
        <w:tc>
          <w:tcPr>
            <w:tcW w:w="458" w:type="pct"/>
            <w:tcBorders>
              <w:left w:val="nil"/>
              <w:right w:val="nil"/>
            </w:tcBorders>
            <w:vAlign w:val="bottom"/>
          </w:tcPr>
          <w:p w14:paraId="3E4F38FF" w14:textId="77777777" w:rsidR="004200B9" w:rsidRDefault="004200B9" w:rsidP="004200B9">
            <w:pPr>
              <w:tabs>
                <w:tab w:val="decimal" w:pos="780"/>
              </w:tabs>
              <w:ind w:right="-10"/>
              <w:jc w:val="right"/>
              <w:rPr>
                <w:rFonts w:ascii="Calibri" w:eastAsia="Times New Roman" w:hAnsi="Calibri" w:cs="Arial"/>
                <w:b/>
                <w:bCs/>
                <w:color w:val="000000"/>
                <w:sz w:val="20"/>
                <w:szCs w:val="18"/>
                <w:lang w:eastAsia="en-GB"/>
              </w:rPr>
            </w:pPr>
          </w:p>
        </w:tc>
        <w:tc>
          <w:tcPr>
            <w:tcW w:w="458" w:type="pct"/>
            <w:tcBorders>
              <w:left w:val="nil"/>
              <w:right w:val="nil"/>
            </w:tcBorders>
            <w:shd w:val="clear" w:color="auto" w:fill="auto"/>
            <w:noWrap/>
            <w:vAlign w:val="bottom"/>
          </w:tcPr>
          <w:p w14:paraId="2DA539CF" w14:textId="628FB63D" w:rsidR="004200B9" w:rsidRDefault="004200B9" w:rsidP="004200B9">
            <w:pPr>
              <w:tabs>
                <w:tab w:val="decimal" w:pos="780"/>
              </w:tabs>
              <w:ind w:right="-10"/>
              <w:jc w:val="right"/>
              <w:rPr>
                <w:rFonts w:ascii="Calibri" w:eastAsia="Times New Roman" w:hAnsi="Calibri" w:cs="Arial"/>
                <w:b/>
                <w:bCs/>
                <w:color w:val="000000"/>
                <w:sz w:val="20"/>
                <w:szCs w:val="18"/>
                <w:lang w:eastAsia="en-GB"/>
              </w:rPr>
            </w:pPr>
          </w:p>
        </w:tc>
        <w:tc>
          <w:tcPr>
            <w:tcW w:w="458" w:type="pct"/>
            <w:tcBorders>
              <w:left w:val="nil"/>
              <w:right w:val="nil"/>
            </w:tcBorders>
            <w:shd w:val="clear" w:color="auto" w:fill="auto"/>
            <w:noWrap/>
            <w:vAlign w:val="bottom"/>
          </w:tcPr>
          <w:p w14:paraId="36A79311" w14:textId="77777777" w:rsidR="004200B9" w:rsidRDefault="004200B9" w:rsidP="004200B9">
            <w:pPr>
              <w:tabs>
                <w:tab w:val="decimal" w:pos="1060"/>
              </w:tabs>
              <w:jc w:val="right"/>
              <w:rPr>
                <w:rFonts w:ascii="Calibri" w:eastAsia="Times New Roman" w:hAnsi="Calibri" w:cs="Arial"/>
                <w:b/>
                <w:color w:val="000000"/>
                <w:sz w:val="20"/>
                <w:szCs w:val="18"/>
                <w:lang w:eastAsia="en-GB"/>
              </w:rPr>
            </w:pPr>
          </w:p>
        </w:tc>
        <w:tc>
          <w:tcPr>
            <w:tcW w:w="458" w:type="pct"/>
            <w:tcBorders>
              <w:left w:val="nil"/>
              <w:right w:val="nil"/>
            </w:tcBorders>
            <w:shd w:val="clear" w:color="auto" w:fill="auto"/>
            <w:noWrap/>
            <w:vAlign w:val="bottom"/>
          </w:tcPr>
          <w:p w14:paraId="55C1B6FC" w14:textId="77777777" w:rsidR="004200B9" w:rsidRDefault="004200B9" w:rsidP="004200B9">
            <w:pPr>
              <w:tabs>
                <w:tab w:val="decimal" w:pos="780"/>
              </w:tabs>
              <w:jc w:val="right"/>
              <w:rPr>
                <w:rFonts w:ascii="Calibri" w:eastAsia="Times New Roman" w:hAnsi="Calibri" w:cs="Arial"/>
                <w:b/>
                <w:bCs/>
                <w:color w:val="000000"/>
                <w:sz w:val="20"/>
                <w:szCs w:val="18"/>
                <w:lang w:eastAsia="en-GB"/>
              </w:rPr>
            </w:pPr>
          </w:p>
        </w:tc>
        <w:tc>
          <w:tcPr>
            <w:tcW w:w="458" w:type="pct"/>
            <w:tcBorders>
              <w:left w:val="nil"/>
              <w:right w:val="nil"/>
            </w:tcBorders>
          </w:tcPr>
          <w:p w14:paraId="328BFF92" w14:textId="77777777" w:rsidR="004200B9" w:rsidRDefault="004200B9" w:rsidP="004200B9">
            <w:pPr>
              <w:tabs>
                <w:tab w:val="decimal" w:pos="780"/>
              </w:tabs>
              <w:jc w:val="right"/>
              <w:rPr>
                <w:rFonts w:ascii="Calibri" w:eastAsia="Times New Roman" w:hAnsi="Calibri" w:cs="Arial"/>
                <w:b/>
                <w:bCs/>
                <w:color w:val="000000"/>
                <w:sz w:val="20"/>
                <w:szCs w:val="18"/>
                <w:lang w:eastAsia="en-GB"/>
              </w:rPr>
            </w:pPr>
          </w:p>
        </w:tc>
        <w:tc>
          <w:tcPr>
            <w:tcW w:w="458" w:type="pct"/>
            <w:tcBorders>
              <w:left w:val="nil"/>
              <w:right w:val="nil"/>
            </w:tcBorders>
            <w:shd w:val="clear" w:color="auto" w:fill="auto"/>
            <w:noWrap/>
            <w:vAlign w:val="bottom"/>
          </w:tcPr>
          <w:p w14:paraId="0395CA27" w14:textId="06457AFD" w:rsidR="004200B9" w:rsidRDefault="004200B9" w:rsidP="004200B9">
            <w:pPr>
              <w:tabs>
                <w:tab w:val="decimal" w:pos="780"/>
              </w:tabs>
              <w:jc w:val="right"/>
              <w:rPr>
                <w:rFonts w:ascii="Calibri" w:eastAsia="Times New Roman" w:hAnsi="Calibri" w:cs="Arial"/>
                <w:b/>
                <w:bCs/>
                <w:color w:val="000000"/>
                <w:sz w:val="20"/>
                <w:szCs w:val="18"/>
                <w:lang w:eastAsia="en-GB"/>
              </w:rPr>
            </w:pPr>
          </w:p>
        </w:tc>
      </w:tr>
      <w:tr w:rsidR="004200B9" w:rsidRPr="0077388B" w14:paraId="550AC147" w14:textId="77777777" w:rsidTr="002429BB">
        <w:trPr>
          <w:trHeight w:val="253"/>
        </w:trPr>
        <w:tc>
          <w:tcPr>
            <w:tcW w:w="1338" w:type="pct"/>
            <w:tcBorders>
              <w:left w:val="nil"/>
              <w:right w:val="nil"/>
            </w:tcBorders>
            <w:shd w:val="clear" w:color="auto" w:fill="auto"/>
            <w:noWrap/>
            <w:vAlign w:val="bottom"/>
          </w:tcPr>
          <w:p w14:paraId="1DB5199F" w14:textId="1A410CFF" w:rsidR="004200B9" w:rsidRDefault="004200B9" w:rsidP="004200B9">
            <w:pPr>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A</w:t>
            </w:r>
            <w:r w:rsidRPr="0077388B">
              <w:rPr>
                <w:rFonts w:ascii="Calibri" w:eastAsia="Times New Roman" w:hAnsi="Calibri" w:cs="Arial"/>
                <w:b/>
                <w:bCs/>
                <w:color w:val="000000"/>
                <w:sz w:val="20"/>
                <w:szCs w:val="18"/>
                <w:lang w:eastAsia="en-GB"/>
              </w:rPr>
              <w:t xml:space="preserve">s at </w:t>
            </w:r>
            <w:r>
              <w:rPr>
                <w:rFonts w:ascii="Calibri" w:eastAsia="Times New Roman" w:hAnsi="Calibri" w:cs="Arial"/>
                <w:b/>
                <w:bCs/>
                <w:color w:val="000000"/>
                <w:sz w:val="20"/>
                <w:szCs w:val="18"/>
                <w:lang w:eastAsia="en-GB"/>
              </w:rPr>
              <w:t>01 January 2021</w:t>
            </w:r>
          </w:p>
        </w:tc>
        <w:tc>
          <w:tcPr>
            <w:tcW w:w="458" w:type="pct"/>
            <w:tcBorders>
              <w:left w:val="nil"/>
              <w:bottom w:val="single" w:sz="4" w:space="0" w:color="auto"/>
              <w:right w:val="nil"/>
            </w:tcBorders>
            <w:shd w:val="clear" w:color="auto" w:fill="auto"/>
            <w:noWrap/>
            <w:vAlign w:val="bottom"/>
          </w:tcPr>
          <w:p w14:paraId="47A4AF32" w14:textId="439C97DF" w:rsidR="004200B9" w:rsidRDefault="004200B9" w:rsidP="004200B9">
            <w:pPr>
              <w:tabs>
                <w:tab w:val="decimal" w:pos="77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390</w:t>
            </w:r>
          </w:p>
        </w:tc>
        <w:tc>
          <w:tcPr>
            <w:tcW w:w="458" w:type="pct"/>
            <w:tcBorders>
              <w:left w:val="nil"/>
              <w:bottom w:val="single" w:sz="4" w:space="0" w:color="auto"/>
              <w:right w:val="nil"/>
            </w:tcBorders>
            <w:shd w:val="clear" w:color="auto" w:fill="auto"/>
            <w:noWrap/>
            <w:vAlign w:val="bottom"/>
          </w:tcPr>
          <w:p w14:paraId="13E1E11E" w14:textId="697B2338" w:rsidR="004200B9" w:rsidRDefault="004200B9" w:rsidP="004200B9">
            <w:pPr>
              <w:tabs>
                <w:tab w:val="decimal" w:pos="883"/>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8,272</w:t>
            </w:r>
          </w:p>
        </w:tc>
        <w:tc>
          <w:tcPr>
            <w:tcW w:w="458" w:type="pct"/>
            <w:tcBorders>
              <w:left w:val="nil"/>
              <w:bottom w:val="single" w:sz="4" w:space="0" w:color="auto"/>
              <w:right w:val="nil"/>
            </w:tcBorders>
            <w:vAlign w:val="bottom"/>
          </w:tcPr>
          <w:p w14:paraId="5853CCE2" w14:textId="34031A0C" w:rsidR="004200B9" w:rsidRDefault="004200B9"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(1,591)</w:t>
            </w:r>
          </w:p>
        </w:tc>
        <w:tc>
          <w:tcPr>
            <w:tcW w:w="458" w:type="pct"/>
            <w:tcBorders>
              <w:left w:val="nil"/>
              <w:bottom w:val="single" w:sz="4" w:space="0" w:color="auto"/>
              <w:right w:val="nil"/>
            </w:tcBorders>
            <w:shd w:val="clear" w:color="auto" w:fill="auto"/>
            <w:noWrap/>
            <w:vAlign w:val="bottom"/>
          </w:tcPr>
          <w:p w14:paraId="5B85E81B" w14:textId="3F014FD2" w:rsidR="004200B9" w:rsidRDefault="0011792C"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277</w:t>
            </w:r>
          </w:p>
        </w:tc>
        <w:tc>
          <w:tcPr>
            <w:tcW w:w="458" w:type="pct"/>
            <w:tcBorders>
              <w:left w:val="nil"/>
              <w:bottom w:val="single" w:sz="4" w:space="0" w:color="auto"/>
              <w:right w:val="nil"/>
            </w:tcBorders>
            <w:shd w:val="clear" w:color="auto" w:fill="auto"/>
            <w:noWrap/>
            <w:vAlign w:val="bottom"/>
          </w:tcPr>
          <w:p w14:paraId="3B263418" w14:textId="59BBCAA0" w:rsidR="004200B9" w:rsidRDefault="0011792C" w:rsidP="004200B9">
            <w:pPr>
              <w:tabs>
                <w:tab w:val="decimal" w:pos="1060"/>
              </w:tabs>
              <w:jc w:val="right"/>
              <w:rPr>
                <w:rFonts w:ascii="Calibri" w:eastAsia="Times New Roman" w:hAnsi="Calibri" w:cs="Arial"/>
                <w:b/>
                <w:color w:val="000000"/>
                <w:sz w:val="20"/>
                <w:szCs w:val="18"/>
                <w:lang w:eastAsia="en-GB"/>
              </w:rPr>
            </w:pPr>
            <w:r>
              <w:rPr>
                <w:rFonts w:ascii="Calibri" w:eastAsia="Times New Roman" w:hAnsi="Calibri" w:cs="Arial"/>
                <w:b/>
                <w:bCs/>
                <w:color w:val="000000"/>
                <w:sz w:val="20"/>
                <w:szCs w:val="18"/>
                <w:lang w:eastAsia="en-GB"/>
              </w:rPr>
              <w:t>404</w:t>
            </w:r>
          </w:p>
        </w:tc>
        <w:tc>
          <w:tcPr>
            <w:tcW w:w="458" w:type="pct"/>
            <w:tcBorders>
              <w:left w:val="nil"/>
              <w:bottom w:val="single" w:sz="4" w:space="0" w:color="auto"/>
              <w:right w:val="nil"/>
            </w:tcBorders>
            <w:shd w:val="clear" w:color="auto" w:fill="auto"/>
            <w:noWrap/>
            <w:vAlign w:val="bottom"/>
          </w:tcPr>
          <w:p w14:paraId="43A93FDB" w14:textId="2809077A" w:rsidR="004200B9" w:rsidRDefault="00210EFE"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(171)</w:t>
            </w:r>
          </w:p>
        </w:tc>
        <w:tc>
          <w:tcPr>
            <w:tcW w:w="458" w:type="pct"/>
            <w:tcBorders>
              <w:left w:val="nil"/>
              <w:bottom w:val="single" w:sz="4" w:space="0" w:color="auto"/>
              <w:right w:val="nil"/>
            </w:tcBorders>
          </w:tcPr>
          <w:p w14:paraId="6AB5F0FC" w14:textId="3BF6D271" w:rsidR="004200B9" w:rsidRDefault="00210EFE"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(2,591)</w:t>
            </w:r>
          </w:p>
        </w:tc>
        <w:tc>
          <w:tcPr>
            <w:tcW w:w="458" w:type="pct"/>
            <w:tcBorders>
              <w:left w:val="nil"/>
              <w:bottom w:val="single" w:sz="4" w:space="0" w:color="auto"/>
              <w:right w:val="nil"/>
            </w:tcBorders>
            <w:shd w:val="clear" w:color="auto" w:fill="auto"/>
            <w:noWrap/>
            <w:vAlign w:val="bottom"/>
          </w:tcPr>
          <w:p w14:paraId="4F0384CE" w14:textId="59832928"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4,99</w:t>
            </w:r>
            <w:r w:rsidR="00210EFE">
              <w:rPr>
                <w:rFonts w:ascii="Calibri" w:eastAsia="Times New Roman" w:hAnsi="Calibri" w:cs="Arial"/>
                <w:b/>
                <w:bCs/>
                <w:color w:val="000000"/>
                <w:sz w:val="20"/>
                <w:szCs w:val="18"/>
                <w:lang w:eastAsia="en-GB"/>
              </w:rPr>
              <w:t>0</w:t>
            </w:r>
          </w:p>
        </w:tc>
      </w:tr>
      <w:tr w:rsidR="004200B9" w:rsidRPr="0077388B" w14:paraId="5E1AE668" w14:textId="77777777" w:rsidTr="002429BB">
        <w:trPr>
          <w:trHeight w:val="253"/>
        </w:trPr>
        <w:tc>
          <w:tcPr>
            <w:tcW w:w="1338" w:type="pct"/>
            <w:tcBorders>
              <w:left w:val="nil"/>
              <w:right w:val="nil"/>
            </w:tcBorders>
            <w:shd w:val="clear" w:color="auto" w:fill="auto"/>
            <w:noWrap/>
            <w:vAlign w:val="bottom"/>
          </w:tcPr>
          <w:p w14:paraId="1607BAA3" w14:textId="1C48316A" w:rsidR="004200B9" w:rsidRDefault="004200B9" w:rsidP="004200B9">
            <w:pPr>
              <w:rPr>
                <w:rFonts w:ascii="Calibri" w:eastAsia="Times New Roman" w:hAnsi="Calibri" w:cs="Arial"/>
                <w:b/>
                <w:bCs/>
                <w:color w:val="000000"/>
                <w:sz w:val="20"/>
                <w:szCs w:val="18"/>
                <w:lang w:eastAsia="en-GB"/>
              </w:rPr>
            </w:pPr>
            <w:r w:rsidRPr="0077388B">
              <w:rPr>
                <w:rFonts w:ascii="Calibri" w:eastAsia="Times New Roman" w:hAnsi="Calibri" w:cs="Arial"/>
                <w:color w:val="000000"/>
                <w:sz w:val="20"/>
                <w:szCs w:val="18"/>
                <w:lang w:eastAsia="en-GB"/>
              </w:rPr>
              <w:t>Loss for the period</w:t>
            </w:r>
          </w:p>
        </w:tc>
        <w:tc>
          <w:tcPr>
            <w:tcW w:w="458" w:type="pct"/>
            <w:tcBorders>
              <w:top w:val="single" w:sz="4" w:space="0" w:color="auto"/>
              <w:left w:val="nil"/>
              <w:right w:val="nil"/>
            </w:tcBorders>
            <w:shd w:val="clear" w:color="auto" w:fill="auto"/>
            <w:noWrap/>
            <w:vAlign w:val="bottom"/>
          </w:tcPr>
          <w:p w14:paraId="418FBFBA" w14:textId="0BEBC609" w:rsidR="004200B9" w:rsidRDefault="004200B9" w:rsidP="004200B9">
            <w:pPr>
              <w:tabs>
                <w:tab w:val="decimal" w:pos="77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4" w:space="0" w:color="auto"/>
              <w:left w:val="nil"/>
              <w:right w:val="nil"/>
            </w:tcBorders>
            <w:shd w:val="clear" w:color="auto" w:fill="auto"/>
            <w:noWrap/>
            <w:vAlign w:val="bottom"/>
          </w:tcPr>
          <w:p w14:paraId="42BB2B78" w14:textId="449ECBC4" w:rsidR="004200B9" w:rsidRDefault="004200B9" w:rsidP="004200B9">
            <w:pPr>
              <w:tabs>
                <w:tab w:val="decimal" w:pos="883"/>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4" w:space="0" w:color="auto"/>
              <w:left w:val="nil"/>
              <w:right w:val="nil"/>
            </w:tcBorders>
            <w:vAlign w:val="bottom"/>
          </w:tcPr>
          <w:p w14:paraId="6D14EB6F" w14:textId="1AFBE922" w:rsidR="004200B9" w:rsidRDefault="004200B9"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4" w:space="0" w:color="auto"/>
              <w:left w:val="nil"/>
              <w:right w:val="nil"/>
            </w:tcBorders>
            <w:shd w:val="clear" w:color="auto" w:fill="auto"/>
            <w:noWrap/>
            <w:vAlign w:val="bottom"/>
          </w:tcPr>
          <w:p w14:paraId="217F7FD3" w14:textId="7DC4A8CE" w:rsidR="004200B9" w:rsidRDefault="004200B9"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4" w:space="0" w:color="auto"/>
              <w:left w:val="nil"/>
              <w:right w:val="nil"/>
            </w:tcBorders>
            <w:shd w:val="clear" w:color="auto" w:fill="auto"/>
            <w:noWrap/>
            <w:vAlign w:val="bottom"/>
          </w:tcPr>
          <w:p w14:paraId="33578457" w14:textId="166289BF" w:rsidR="004200B9" w:rsidRDefault="00210EFE" w:rsidP="004200B9">
            <w:pPr>
              <w:tabs>
                <w:tab w:val="decimal" w:pos="106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top w:val="single" w:sz="4" w:space="0" w:color="auto"/>
              <w:left w:val="nil"/>
              <w:right w:val="nil"/>
            </w:tcBorders>
            <w:shd w:val="clear" w:color="auto" w:fill="auto"/>
            <w:noWrap/>
            <w:vAlign w:val="bottom"/>
          </w:tcPr>
          <w:p w14:paraId="3F7CCA68" w14:textId="5635B4D2"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4" w:space="0" w:color="auto"/>
              <w:left w:val="nil"/>
              <w:right w:val="nil"/>
            </w:tcBorders>
          </w:tcPr>
          <w:p w14:paraId="2F794B3A" w14:textId="0DA778C3" w:rsidR="004200B9" w:rsidRDefault="00210EFE"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(776)</w:t>
            </w:r>
          </w:p>
        </w:tc>
        <w:tc>
          <w:tcPr>
            <w:tcW w:w="458" w:type="pct"/>
            <w:tcBorders>
              <w:top w:val="single" w:sz="4" w:space="0" w:color="auto"/>
              <w:left w:val="nil"/>
              <w:right w:val="nil"/>
            </w:tcBorders>
            <w:shd w:val="clear" w:color="auto" w:fill="auto"/>
            <w:noWrap/>
            <w:vAlign w:val="bottom"/>
          </w:tcPr>
          <w:p w14:paraId="316DD897" w14:textId="4D87A654"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(776)</w:t>
            </w:r>
          </w:p>
        </w:tc>
      </w:tr>
      <w:tr w:rsidR="004200B9" w:rsidRPr="0077388B" w14:paraId="4D4EBFA6" w14:textId="77777777" w:rsidTr="002429BB">
        <w:trPr>
          <w:trHeight w:val="253"/>
        </w:trPr>
        <w:tc>
          <w:tcPr>
            <w:tcW w:w="1338" w:type="pct"/>
            <w:tcBorders>
              <w:left w:val="nil"/>
              <w:right w:val="nil"/>
            </w:tcBorders>
            <w:shd w:val="clear" w:color="auto" w:fill="auto"/>
            <w:noWrap/>
            <w:vAlign w:val="bottom"/>
          </w:tcPr>
          <w:p w14:paraId="7A546793" w14:textId="3B02E9F6" w:rsidR="004200B9" w:rsidRPr="0077388B" w:rsidRDefault="004200B9" w:rsidP="004200B9">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Total other comprehensive income</w:t>
            </w:r>
          </w:p>
        </w:tc>
        <w:tc>
          <w:tcPr>
            <w:tcW w:w="458" w:type="pct"/>
            <w:tcBorders>
              <w:left w:val="nil"/>
              <w:bottom w:val="single" w:sz="8" w:space="0" w:color="auto"/>
              <w:right w:val="nil"/>
            </w:tcBorders>
            <w:shd w:val="clear" w:color="auto" w:fill="auto"/>
            <w:noWrap/>
            <w:vAlign w:val="bottom"/>
          </w:tcPr>
          <w:p w14:paraId="13167D06" w14:textId="79D64919" w:rsidR="004200B9" w:rsidRDefault="004200B9" w:rsidP="004200B9">
            <w:pPr>
              <w:tabs>
                <w:tab w:val="decimal" w:pos="77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8" w:space="0" w:color="auto"/>
              <w:right w:val="nil"/>
            </w:tcBorders>
            <w:shd w:val="clear" w:color="auto" w:fill="auto"/>
            <w:noWrap/>
            <w:vAlign w:val="bottom"/>
          </w:tcPr>
          <w:p w14:paraId="60C70427" w14:textId="62146CCC" w:rsidR="004200B9" w:rsidRDefault="004200B9" w:rsidP="004200B9">
            <w:pPr>
              <w:tabs>
                <w:tab w:val="decimal" w:pos="883"/>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8" w:space="0" w:color="auto"/>
              <w:right w:val="nil"/>
            </w:tcBorders>
            <w:vAlign w:val="bottom"/>
          </w:tcPr>
          <w:p w14:paraId="4DF7361E" w14:textId="4D2B8967" w:rsidR="004200B9" w:rsidRDefault="004200B9"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8" w:space="0" w:color="auto"/>
              <w:right w:val="nil"/>
            </w:tcBorders>
            <w:shd w:val="clear" w:color="auto" w:fill="auto"/>
            <w:noWrap/>
            <w:vAlign w:val="bottom"/>
          </w:tcPr>
          <w:p w14:paraId="1FE3F098" w14:textId="27E7680A" w:rsidR="004200B9" w:rsidRDefault="00210EFE"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8" w:space="0" w:color="auto"/>
              <w:right w:val="nil"/>
            </w:tcBorders>
            <w:shd w:val="clear" w:color="auto" w:fill="auto"/>
            <w:noWrap/>
            <w:vAlign w:val="bottom"/>
          </w:tcPr>
          <w:p w14:paraId="0691CCF1" w14:textId="7FD3658E" w:rsidR="004200B9" w:rsidRDefault="004200B9" w:rsidP="004200B9">
            <w:pPr>
              <w:tabs>
                <w:tab w:val="decimal" w:pos="106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left w:val="nil"/>
              <w:bottom w:val="single" w:sz="8" w:space="0" w:color="auto"/>
              <w:right w:val="nil"/>
            </w:tcBorders>
            <w:shd w:val="clear" w:color="auto" w:fill="auto"/>
            <w:noWrap/>
            <w:vAlign w:val="bottom"/>
          </w:tcPr>
          <w:p w14:paraId="226FE53C" w14:textId="0A157ACE" w:rsidR="004200B9" w:rsidRDefault="00210EFE"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164</w:t>
            </w:r>
          </w:p>
        </w:tc>
        <w:tc>
          <w:tcPr>
            <w:tcW w:w="458" w:type="pct"/>
            <w:tcBorders>
              <w:left w:val="nil"/>
              <w:bottom w:val="single" w:sz="8" w:space="0" w:color="auto"/>
              <w:right w:val="nil"/>
            </w:tcBorders>
          </w:tcPr>
          <w:p w14:paraId="506A8773" w14:textId="77777777" w:rsidR="004200B9" w:rsidRDefault="004200B9" w:rsidP="004200B9">
            <w:pPr>
              <w:tabs>
                <w:tab w:val="decimal" w:pos="780"/>
              </w:tabs>
              <w:jc w:val="right"/>
              <w:rPr>
                <w:rFonts w:ascii="Calibri" w:eastAsia="Times New Roman" w:hAnsi="Calibri" w:cs="Arial"/>
                <w:b/>
                <w:bCs/>
                <w:color w:val="000000"/>
                <w:sz w:val="20"/>
                <w:szCs w:val="18"/>
                <w:lang w:eastAsia="en-GB"/>
              </w:rPr>
            </w:pPr>
          </w:p>
          <w:p w14:paraId="39BA04AA" w14:textId="21DB366C"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8" w:space="0" w:color="auto"/>
              <w:right w:val="nil"/>
            </w:tcBorders>
            <w:shd w:val="clear" w:color="auto" w:fill="auto"/>
            <w:noWrap/>
            <w:vAlign w:val="bottom"/>
          </w:tcPr>
          <w:p w14:paraId="3051CDBE" w14:textId="72C8D27D" w:rsidR="004200B9" w:rsidRDefault="00210EFE"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164</w:t>
            </w:r>
          </w:p>
        </w:tc>
      </w:tr>
      <w:tr w:rsidR="004200B9" w:rsidRPr="00D53972" w14:paraId="5C76ACAD" w14:textId="77777777" w:rsidTr="002429BB">
        <w:trPr>
          <w:trHeight w:val="253"/>
        </w:trPr>
        <w:tc>
          <w:tcPr>
            <w:tcW w:w="1338" w:type="pct"/>
            <w:tcBorders>
              <w:left w:val="nil"/>
              <w:right w:val="nil"/>
            </w:tcBorders>
            <w:shd w:val="clear" w:color="auto" w:fill="auto"/>
            <w:noWrap/>
            <w:vAlign w:val="bottom"/>
          </w:tcPr>
          <w:p w14:paraId="6C1F4BA5" w14:textId="24C5863F" w:rsidR="004200B9" w:rsidRPr="00D53972" w:rsidRDefault="004200B9" w:rsidP="004200B9">
            <w:pPr>
              <w:rPr>
                <w:rFonts w:ascii="Calibri" w:eastAsia="Times New Roman" w:hAnsi="Calibri" w:cs="Arial"/>
                <w:b/>
                <w:bCs/>
                <w:color w:val="000000"/>
                <w:sz w:val="20"/>
                <w:szCs w:val="18"/>
                <w:lang w:eastAsia="en-GB"/>
              </w:rPr>
            </w:pPr>
            <w:r w:rsidRPr="00D53972">
              <w:rPr>
                <w:rFonts w:ascii="Calibri" w:eastAsia="Times New Roman" w:hAnsi="Calibri" w:cs="Arial"/>
                <w:b/>
                <w:bCs/>
                <w:color w:val="000000"/>
                <w:sz w:val="20"/>
                <w:szCs w:val="18"/>
                <w:lang w:eastAsia="en-GB"/>
              </w:rPr>
              <w:t>Total Comprehensive Income for Period</w:t>
            </w:r>
          </w:p>
        </w:tc>
        <w:tc>
          <w:tcPr>
            <w:tcW w:w="458" w:type="pct"/>
            <w:tcBorders>
              <w:top w:val="single" w:sz="8" w:space="0" w:color="auto"/>
              <w:left w:val="nil"/>
              <w:bottom w:val="single" w:sz="4" w:space="0" w:color="auto"/>
              <w:right w:val="nil"/>
            </w:tcBorders>
            <w:shd w:val="clear" w:color="auto" w:fill="auto"/>
            <w:noWrap/>
            <w:vAlign w:val="bottom"/>
          </w:tcPr>
          <w:p w14:paraId="07A5F7A6" w14:textId="2CBF2FE8" w:rsidR="004200B9" w:rsidRPr="00D53972" w:rsidRDefault="004200B9" w:rsidP="004200B9">
            <w:pPr>
              <w:tabs>
                <w:tab w:val="decimal" w:pos="77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8" w:space="0" w:color="auto"/>
              <w:left w:val="nil"/>
              <w:bottom w:val="single" w:sz="4" w:space="0" w:color="auto"/>
              <w:right w:val="nil"/>
            </w:tcBorders>
            <w:shd w:val="clear" w:color="auto" w:fill="auto"/>
            <w:noWrap/>
            <w:vAlign w:val="bottom"/>
          </w:tcPr>
          <w:p w14:paraId="051A54C7" w14:textId="3D9D9972" w:rsidR="004200B9" w:rsidRPr="00D53972" w:rsidRDefault="004200B9" w:rsidP="004200B9">
            <w:pPr>
              <w:tabs>
                <w:tab w:val="decimal" w:pos="883"/>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8" w:space="0" w:color="auto"/>
              <w:left w:val="nil"/>
              <w:bottom w:val="single" w:sz="4" w:space="0" w:color="auto"/>
              <w:right w:val="nil"/>
            </w:tcBorders>
            <w:vAlign w:val="bottom"/>
          </w:tcPr>
          <w:p w14:paraId="5EEDC2F0" w14:textId="1A431C45" w:rsidR="004200B9" w:rsidRPr="00D53972" w:rsidRDefault="004200B9"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8" w:space="0" w:color="auto"/>
              <w:left w:val="nil"/>
              <w:bottom w:val="single" w:sz="4" w:space="0" w:color="auto"/>
              <w:right w:val="nil"/>
            </w:tcBorders>
            <w:shd w:val="clear" w:color="auto" w:fill="auto"/>
            <w:noWrap/>
            <w:vAlign w:val="bottom"/>
          </w:tcPr>
          <w:p w14:paraId="5E3315FB" w14:textId="5E613846" w:rsidR="004200B9" w:rsidRPr="00D53972" w:rsidRDefault="00210EFE"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8" w:space="0" w:color="auto"/>
              <w:left w:val="nil"/>
              <w:bottom w:val="single" w:sz="4" w:space="0" w:color="auto"/>
              <w:right w:val="nil"/>
            </w:tcBorders>
            <w:shd w:val="clear" w:color="auto" w:fill="auto"/>
            <w:noWrap/>
            <w:vAlign w:val="bottom"/>
          </w:tcPr>
          <w:p w14:paraId="68DF2728" w14:textId="52B8B018" w:rsidR="004200B9" w:rsidRPr="00D53972" w:rsidRDefault="00210EFE" w:rsidP="004200B9">
            <w:pPr>
              <w:tabs>
                <w:tab w:val="decimal" w:pos="106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8" w:space="0" w:color="auto"/>
              <w:left w:val="nil"/>
              <w:bottom w:val="single" w:sz="4" w:space="0" w:color="auto"/>
              <w:right w:val="nil"/>
            </w:tcBorders>
            <w:shd w:val="clear" w:color="auto" w:fill="auto"/>
            <w:noWrap/>
            <w:vAlign w:val="bottom"/>
          </w:tcPr>
          <w:p w14:paraId="53EE15BA" w14:textId="43A96A2A" w:rsidR="004200B9" w:rsidRPr="00D53972" w:rsidRDefault="00210EFE"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164</w:t>
            </w:r>
          </w:p>
        </w:tc>
        <w:tc>
          <w:tcPr>
            <w:tcW w:w="458" w:type="pct"/>
            <w:tcBorders>
              <w:top w:val="single" w:sz="8" w:space="0" w:color="auto"/>
              <w:left w:val="nil"/>
              <w:bottom w:val="single" w:sz="4" w:space="0" w:color="auto"/>
              <w:right w:val="nil"/>
            </w:tcBorders>
          </w:tcPr>
          <w:p w14:paraId="1D7DFBC9" w14:textId="77777777" w:rsidR="004200B9" w:rsidRDefault="004200B9" w:rsidP="004200B9">
            <w:pPr>
              <w:tabs>
                <w:tab w:val="decimal" w:pos="780"/>
              </w:tabs>
              <w:rPr>
                <w:rFonts w:ascii="Calibri" w:eastAsia="Times New Roman" w:hAnsi="Calibri" w:cs="Arial"/>
                <w:b/>
                <w:bCs/>
                <w:color w:val="000000"/>
                <w:sz w:val="20"/>
                <w:szCs w:val="18"/>
                <w:lang w:eastAsia="en-GB"/>
              </w:rPr>
            </w:pPr>
          </w:p>
          <w:p w14:paraId="0ED4BE05" w14:textId="2703405C" w:rsidR="004200B9" w:rsidRPr="00D53972" w:rsidRDefault="00210EFE"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(776)</w:t>
            </w:r>
          </w:p>
        </w:tc>
        <w:tc>
          <w:tcPr>
            <w:tcW w:w="458" w:type="pct"/>
            <w:tcBorders>
              <w:top w:val="single" w:sz="8" w:space="0" w:color="auto"/>
              <w:left w:val="nil"/>
              <w:bottom w:val="single" w:sz="4" w:space="0" w:color="auto"/>
              <w:right w:val="nil"/>
            </w:tcBorders>
            <w:shd w:val="clear" w:color="auto" w:fill="auto"/>
            <w:noWrap/>
            <w:vAlign w:val="bottom"/>
          </w:tcPr>
          <w:p w14:paraId="6FC4657F" w14:textId="04F68027" w:rsidR="004200B9" w:rsidRPr="00D53972"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00210EFE">
              <w:rPr>
                <w:rFonts w:ascii="Calibri" w:eastAsia="Times New Roman" w:hAnsi="Calibri" w:cs="Arial"/>
                <w:b/>
                <w:bCs/>
                <w:color w:val="000000"/>
                <w:sz w:val="20"/>
                <w:szCs w:val="18"/>
                <w:lang w:eastAsia="en-GB"/>
              </w:rPr>
              <w:t>61</w:t>
            </w:r>
            <w:r w:rsidR="009D2A38">
              <w:rPr>
                <w:rFonts w:ascii="Calibri" w:eastAsia="Times New Roman" w:hAnsi="Calibri" w:cs="Arial"/>
                <w:b/>
                <w:bCs/>
                <w:color w:val="000000"/>
                <w:sz w:val="20"/>
                <w:szCs w:val="18"/>
                <w:lang w:eastAsia="en-GB"/>
              </w:rPr>
              <w:t>2</w:t>
            </w:r>
            <w:r>
              <w:rPr>
                <w:rFonts w:ascii="Calibri" w:eastAsia="Times New Roman" w:hAnsi="Calibri" w:cs="Arial"/>
                <w:b/>
                <w:bCs/>
                <w:color w:val="000000"/>
                <w:sz w:val="20"/>
                <w:szCs w:val="18"/>
                <w:lang w:eastAsia="en-GB"/>
              </w:rPr>
              <w:t>)</w:t>
            </w:r>
          </w:p>
        </w:tc>
      </w:tr>
      <w:tr w:rsidR="004200B9" w:rsidRPr="00D53972" w14:paraId="454D74F4" w14:textId="77777777" w:rsidTr="002429BB">
        <w:trPr>
          <w:trHeight w:val="253"/>
        </w:trPr>
        <w:tc>
          <w:tcPr>
            <w:tcW w:w="1338" w:type="pct"/>
            <w:tcBorders>
              <w:left w:val="nil"/>
              <w:right w:val="nil"/>
            </w:tcBorders>
            <w:shd w:val="clear" w:color="auto" w:fill="auto"/>
            <w:noWrap/>
            <w:vAlign w:val="bottom"/>
          </w:tcPr>
          <w:p w14:paraId="3A6E57B6" w14:textId="77777777" w:rsidR="004200B9" w:rsidRPr="00D53972" w:rsidRDefault="004200B9" w:rsidP="004200B9">
            <w:pPr>
              <w:rPr>
                <w:rFonts w:ascii="Calibri" w:eastAsia="Times New Roman" w:hAnsi="Calibri" w:cs="Arial"/>
                <w:b/>
                <w:bCs/>
                <w:color w:val="000000"/>
                <w:sz w:val="20"/>
                <w:szCs w:val="18"/>
                <w:lang w:eastAsia="en-GB"/>
              </w:rPr>
            </w:pPr>
          </w:p>
        </w:tc>
        <w:tc>
          <w:tcPr>
            <w:tcW w:w="458" w:type="pct"/>
            <w:tcBorders>
              <w:top w:val="single" w:sz="8" w:space="0" w:color="auto"/>
              <w:left w:val="nil"/>
              <w:right w:val="nil"/>
            </w:tcBorders>
            <w:shd w:val="clear" w:color="auto" w:fill="auto"/>
            <w:noWrap/>
            <w:vAlign w:val="bottom"/>
          </w:tcPr>
          <w:p w14:paraId="3627A634" w14:textId="77777777" w:rsidR="004200B9" w:rsidRDefault="004200B9" w:rsidP="004200B9">
            <w:pPr>
              <w:tabs>
                <w:tab w:val="decimal" w:pos="770"/>
              </w:tabs>
              <w:jc w:val="right"/>
              <w:rPr>
                <w:rFonts w:ascii="Calibri" w:eastAsia="Times New Roman" w:hAnsi="Calibri" w:cs="Arial"/>
                <w:b/>
                <w:bCs/>
                <w:color w:val="000000"/>
                <w:sz w:val="20"/>
                <w:szCs w:val="18"/>
                <w:lang w:eastAsia="en-GB"/>
              </w:rPr>
            </w:pPr>
          </w:p>
        </w:tc>
        <w:tc>
          <w:tcPr>
            <w:tcW w:w="458" w:type="pct"/>
            <w:tcBorders>
              <w:top w:val="single" w:sz="8" w:space="0" w:color="auto"/>
              <w:left w:val="nil"/>
              <w:right w:val="nil"/>
            </w:tcBorders>
            <w:shd w:val="clear" w:color="auto" w:fill="auto"/>
            <w:noWrap/>
            <w:vAlign w:val="bottom"/>
          </w:tcPr>
          <w:p w14:paraId="2A1FDE80" w14:textId="77777777" w:rsidR="004200B9" w:rsidRDefault="004200B9" w:rsidP="004200B9">
            <w:pPr>
              <w:tabs>
                <w:tab w:val="decimal" w:pos="883"/>
              </w:tabs>
              <w:jc w:val="right"/>
              <w:rPr>
                <w:rFonts w:ascii="Calibri" w:eastAsia="Times New Roman" w:hAnsi="Calibri" w:cs="Arial"/>
                <w:b/>
                <w:bCs/>
                <w:color w:val="000000"/>
                <w:sz w:val="20"/>
                <w:szCs w:val="18"/>
                <w:lang w:eastAsia="en-GB"/>
              </w:rPr>
            </w:pPr>
          </w:p>
        </w:tc>
        <w:tc>
          <w:tcPr>
            <w:tcW w:w="458" w:type="pct"/>
            <w:tcBorders>
              <w:top w:val="single" w:sz="8" w:space="0" w:color="auto"/>
              <w:left w:val="nil"/>
              <w:right w:val="nil"/>
            </w:tcBorders>
            <w:vAlign w:val="bottom"/>
          </w:tcPr>
          <w:p w14:paraId="23A7A487" w14:textId="77777777" w:rsidR="004200B9" w:rsidRDefault="004200B9" w:rsidP="004200B9">
            <w:pPr>
              <w:tabs>
                <w:tab w:val="decimal" w:pos="780"/>
              </w:tabs>
              <w:ind w:right="-10"/>
              <w:jc w:val="right"/>
              <w:rPr>
                <w:rFonts w:ascii="Calibri" w:eastAsia="Times New Roman" w:hAnsi="Calibri" w:cs="Arial"/>
                <w:b/>
                <w:bCs/>
                <w:color w:val="000000"/>
                <w:sz w:val="20"/>
                <w:szCs w:val="18"/>
                <w:lang w:eastAsia="en-GB"/>
              </w:rPr>
            </w:pPr>
          </w:p>
        </w:tc>
        <w:tc>
          <w:tcPr>
            <w:tcW w:w="458" w:type="pct"/>
            <w:tcBorders>
              <w:top w:val="single" w:sz="8" w:space="0" w:color="auto"/>
              <w:left w:val="nil"/>
              <w:right w:val="nil"/>
            </w:tcBorders>
            <w:shd w:val="clear" w:color="auto" w:fill="auto"/>
            <w:noWrap/>
            <w:vAlign w:val="bottom"/>
          </w:tcPr>
          <w:p w14:paraId="715F8237" w14:textId="77777777" w:rsidR="004200B9" w:rsidRDefault="004200B9" w:rsidP="004200B9">
            <w:pPr>
              <w:tabs>
                <w:tab w:val="decimal" w:pos="780"/>
              </w:tabs>
              <w:ind w:right="-10"/>
              <w:jc w:val="right"/>
              <w:rPr>
                <w:rFonts w:ascii="Calibri" w:eastAsia="Times New Roman" w:hAnsi="Calibri" w:cs="Arial"/>
                <w:b/>
                <w:bCs/>
                <w:color w:val="000000"/>
                <w:sz w:val="20"/>
                <w:szCs w:val="18"/>
                <w:lang w:eastAsia="en-GB"/>
              </w:rPr>
            </w:pPr>
          </w:p>
        </w:tc>
        <w:tc>
          <w:tcPr>
            <w:tcW w:w="458" w:type="pct"/>
            <w:tcBorders>
              <w:top w:val="single" w:sz="8" w:space="0" w:color="auto"/>
              <w:left w:val="nil"/>
              <w:right w:val="nil"/>
            </w:tcBorders>
            <w:shd w:val="clear" w:color="auto" w:fill="auto"/>
            <w:noWrap/>
            <w:vAlign w:val="bottom"/>
          </w:tcPr>
          <w:p w14:paraId="78137A81" w14:textId="77777777" w:rsidR="004200B9" w:rsidRDefault="004200B9" w:rsidP="004200B9">
            <w:pPr>
              <w:tabs>
                <w:tab w:val="decimal" w:pos="1060"/>
              </w:tabs>
              <w:jc w:val="right"/>
              <w:rPr>
                <w:rFonts w:ascii="Calibri" w:eastAsia="Times New Roman" w:hAnsi="Calibri" w:cs="Arial"/>
                <w:b/>
                <w:bCs/>
                <w:color w:val="000000"/>
                <w:sz w:val="20"/>
                <w:szCs w:val="18"/>
                <w:lang w:eastAsia="en-GB"/>
              </w:rPr>
            </w:pPr>
          </w:p>
        </w:tc>
        <w:tc>
          <w:tcPr>
            <w:tcW w:w="458" w:type="pct"/>
            <w:tcBorders>
              <w:top w:val="single" w:sz="8" w:space="0" w:color="auto"/>
              <w:left w:val="nil"/>
              <w:right w:val="nil"/>
            </w:tcBorders>
            <w:shd w:val="clear" w:color="auto" w:fill="auto"/>
            <w:noWrap/>
            <w:vAlign w:val="bottom"/>
          </w:tcPr>
          <w:p w14:paraId="1E4F90E4" w14:textId="77777777" w:rsidR="004200B9" w:rsidRDefault="004200B9" w:rsidP="004200B9">
            <w:pPr>
              <w:tabs>
                <w:tab w:val="decimal" w:pos="780"/>
              </w:tabs>
              <w:jc w:val="right"/>
              <w:rPr>
                <w:rFonts w:ascii="Calibri" w:eastAsia="Times New Roman" w:hAnsi="Calibri" w:cs="Arial"/>
                <w:b/>
                <w:bCs/>
                <w:color w:val="000000"/>
                <w:sz w:val="20"/>
                <w:szCs w:val="18"/>
                <w:lang w:eastAsia="en-GB"/>
              </w:rPr>
            </w:pPr>
          </w:p>
        </w:tc>
        <w:tc>
          <w:tcPr>
            <w:tcW w:w="458" w:type="pct"/>
            <w:tcBorders>
              <w:top w:val="single" w:sz="8" w:space="0" w:color="auto"/>
              <w:left w:val="nil"/>
              <w:right w:val="nil"/>
            </w:tcBorders>
          </w:tcPr>
          <w:p w14:paraId="6D762F33" w14:textId="77777777" w:rsidR="004200B9" w:rsidRDefault="004200B9" w:rsidP="004200B9">
            <w:pPr>
              <w:tabs>
                <w:tab w:val="decimal" w:pos="780"/>
              </w:tabs>
              <w:rPr>
                <w:rFonts w:ascii="Calibri" w:eastAsia="Times New Roman" w:hAnsi="Calibri" w:cs="Arial"/>
                <w:b/>
                <w:bCs/>
                <w:color w:val="000000"/>
                <w:sz w:val="20"/>
                <w:szCs w:val="18"/>
                <w:lang w:eastAsia="en-GB"/>
              </w:rPr>
            </w:pPr>
          </w:p>
        </w:tc>
        <w:tc>
          <w:tcPr>
            <w:tcW w:w="458" w:type="pct"/>
            <w:tcBorders>
              <w:top w:val="single" w:sz="8" w:space="0" w:color="auto"/>
              <w:left w:val="nil"/>
              <w:right w:val="nil"/>
            </w:tcBorders>
            <w:shd w:val="clear" w:color="auto" w:fill="auto"/>
            <w:noWrap/>
            <w:vAlign w:val="bottom"/>
          </w:tcPr>
          <w:p w14:paraId="69FDB674" w14:textId="77777777" w:rsidR="004200B9" w:rsidRDefault="004200B9" w:rsidP="004200B9">
            <w:pPr>
              <w:tabs>
                <w:tab w:val="decimal" w:pos="780"/>
              </w:tabs>
              <w:jc w:val="right"/>
              <w:rPr>
                <w:rFonts w:ascii="Calibri" w:eastAsia="Times New Roman" w:hAnsi="Calibri" w:cs="Arial"/>
                <w:b/>
                <w:bCs/>
                <w:color w:val="000000"/>
                <w:sz w:val="20"/>
                <w:szCs w:val="18"/>
                <w:lang w:eastAsia="en-GB"/>
              </w:rPr>
            </w:pPr>
          </w:p>
        </w:tc>
      </w:tr>
      <w:tr w:rsidR="004200B9" w:rsidRPr="0077388B" w14:paraId="683BAAA5" w14:textId="77777777" w:rsidTr="002429BB">
        <w:trPr>
          <w:trHeight w:val="253"/>
        </w:trPr>
        <w:tc>
          <w:tcPr>
            <w:tcW w:w="1338" w:type="pct"/>
            <w:tcBorders>
              <w:left w:val="nil"/>
              <w:right w:val="nil"/>
            </w:tcBorders>
            <w:shd w:val="clear" w:color="auto" w:fill="auto"/>
            <w:noWrap/>
            <w:vAlign w:val="bottom"/>
          </w:tcPr>
          <w:p w14:paraId="4BCCD6DE" w14:textId="4455BBF7" w:rsidR="004200B9" w:rsidRPr="00E258DB" w:rsidRDefault="004200B9" w:rsidP="004200B9">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Issue of ordinary shares</w:t>
            </w:r>
          </w:p>
        </w:tc>
        <w:tc>
          <w:tcPr>
            <w:tcW w:w="458" w:type="pct"/>
            <w:tcBorders>
              <w:left w:val="nil"/>
              <w:right w:val="nil"/>
            </w:tcBorders>
            <w:shd w:val="clear" w:color="auto" w:fill="auto"/>
            <w:noWrap/>
            <w:vAlign w:val="bottom"/>
          </w:tcPr>
          <w:p w14:paraId="0C5BE170" w14:textId="5CBCF411" w:rsidR="004200B9" w:rsidRDefault="004200B9" w:rsidP="004200B9">
            <w:pPr>
              <w:tabs>
                <w:tab w:val="decimal" w:pos="77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96</w:t>
            </w:r>
          </w:p>
        </w:tc>
        <w:tc>
          <w:tcPr>
            <w:tcW w:w="458" w:type="pct"/>
            <w:tcBorders>
              <w:left w:val="nil"/>
              <w:right w:val="nil"/>
            </w:tcBorders>
            <w:shd w:val="clear" w:color="auto" w:fill="auto"/>
            <w:noWrap/>
            <w:vAlign w:val="bottom"/>
          </w:tcPr>
          <w:p w14:paraId="3BE4308C" w14:textId="28962D2E" w:rsidR="004200B9" w:rsidRDefault="004200B9" w:rsidP="004200B9">
            <w:pPr>
              <w:tabs>
                <w:tab w:val="decimal" w:pos="883"/>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1,273</w:t>
            </w:r>
          </w:p>
        </w:tc>
        <w:tc>
          <w:tcPr>
            <w:tcW w:w="458" w:type="pct"/>
            <w:tcBorders>
              <w:left w:val="nil"/>
              <w:right w:val="nil"/>
            </w:tcBorders>
            <w:vAlign w:val="bottom"/>
          </w:tcPr>
          <w:p w14:paraId="2234AB9B" w14:textId="24501587" w:rsidR="004200B9" w:rsidRDefault="004200B9"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shd w:val="clear" w:color="auto" w:fill="auto"/>
            <w:noWrap/>
            <w:vAlign w:val="bottom"/>
          </w:tcPr>
          <w:p w14:paraId="3C2740CD" w14:textId="2F56B163" w:rsidR="004200B9" w:rsidRDefault="004200B9"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shd w:val="clear" w:color="auto" w:fill="auto"/>
            <w:noWrap/>
            <w:vAlign w:val="bottom"/>
          </w:tcPr>
          <w:p w14:paraId="48EDDF6D" w14:textId="2BDFF889" w:rsidR="004200B9" w:rsidRDefault="004200B9" w:rsidP="004200B9">
            <w:pPr>
              <w:tabs>
                <w:tab w:val="decimal" w:pos="106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left w:val="nil"/>
              <w:right w:val="nil"/>
            </w:tcBorders>
            <w:shd w:val="clear" w:color="auto" w:fill="auto"/>
            <w:noWrap/>
            <w:vAlign w:val="bottom"/>
          </w:tcPr>
          <w:p w14:paraId="68A1221A" w14:textId="4A4E63E1"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tcPr>
          <w:p w14:paraId="675E8CC4" w14:textId="3C5A8CD9"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shd w:val="clear" w:color="auto" w:fill="auto"/>
            <w:noWrap/>
            <w:vAlign w:val="bottom"/>
          </w:tcPr>
          <w:p w14:paraId="08A6208E" w14:textId="75494608"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1,36</w:t>
            </w:r>
            <w:r w:rsidR="009D2A38">
              <w:rPr>
                <w:rFonts w:ascii="Calibri" w:eastAsia="Times New Roman" w:hAnsi="Calibri" w:cs="Arial"/>
                <w:b/>
                <w:bCs/>
                <w:color w:val="000000"/>
                <w:sz w:val="20"/>
                <w:szCs w:val="18"/>
                <w:lang w:eastAsia="en-GB"/>
              </w:rPr>
              <w:t>9</w:t>
            </w:r>
          </w:p>
        </w:tc>
      </w:tr>
      <w:tr w:rsidR="004200B9" w:rsidRPr="0077388B" w14:paraId="5A10681C" w14:textId="77777777" w:rsidTr="002429BB">
        <w:trPr>
          <w:trHeight w:val="253"/>
        </w:trPr>
        <w:tc>
          <w:tcPr>
            <w:tcW w:w="1338" w:type="pct"/>
            <w:tcBorders>
              <w:left w:val="nil"/>
              <w:right w:val="nil"/>
            </w:tcBorders>
            <w:shd w:val="clear" w:color="auto" w:fill="auto"/>
            <w:noWrap/>
            <w:vAlign w:val="bottom"/>
          </w:tcPr>
          <w:p w14:paraId="0F63227C" w14:textId="703553BF" w:rsidR="004200B9" w:rsidRDefault="004200B9" w:rsidP="004200B9">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Cost of share issues</w:t>
            </w:r>
          </w:p>
        </w:tc>
        <w:tc>
          <w:tcPr>
            <w:tcW w:w="458" w:type="pct"/>
            <w:tcBorders>
              <w:left w:val="nil"/>
              <w:right w:val="nil"/>
            </w:tcBorders>
            <w:shd w:val="clear" w:color="auto" w:fill="auto"/>
            <w:noWrap/>
            <w:vAlign w:val="bottom"/>
          </w:tcPr>
          <w:p w14:paraId="692EB6C0" w14:textId="48DAC1C2" w:rsidR="004200B9" w:rsidRDefault="004200B9" w:rsidP="004200B9">
            <w:pPr>
              <w:tabs>
                <w:tab w:val="decimal" w:pos="77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shd w:val="clear" w:color="auto" w:fill="auto"/>
            <w:noWrap/>
            <w:vAlign w:val="bottom"/>
          </w:tcPr>
          <w:p w14:paraId="4025DD6F" w14:textId="0B47F8FC" w:rsidR="004200B9" w:rsidRDefault="004200B9" w:rsidP="004200B9">
            <w:pPr>
              <w:tabs>
                <w:tab w:val="decimal" w:pos="883"/>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vAlign w:val="bottom"/>
          </w:tcPr>
          <w:p w14:paraId="07ACC491" w14:textId="6327964A" w:rsidR="004200B9" w:rsidRDefault="004200B9"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shd w:val="clear" w:color="auto" w:fill="auto"/>
            <w:noWrap/>
            <w:vAlign w:val="bottom"/>
          </w:tcPr>
          <w:p w14:paraId="09FDAEF8" w14:textId="00BD7E50" w:rsidR="004200B9" w:rsidRDefault="004200B9"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shd w:val="clear" w:color="auto" w:fill="auto"/>
            <w:noWrap/>
            <w:vAlign w:val="bottom"/>
          </w:tcPr>
          <w:p w14:paraId="642E0DB9" w14:textId="00A365FC" w:rsidR="004200B9" w:rsidRDefault="004200B9" w:rsidP="004200B9">
            <w:pPr>
              <w:tabs>
                <w:tab w:val="decimal" w:pos="106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left w:val="nil"/>
              <w:right w:val="nil"/>
            </w:tcBorders>
            <w:shd w:val="clear" w:color="auto" w:fill="auto"/>
            <w:noWrap/>
            <w:vAlign w:val="bottom"/>
          </w:tcPr>
          <w:p w14:paraId="55D163CC" w14:textId="178C1A64"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tcPr>
          <w:p w14:paraId="5CEE7109" w14:textId="74DD22E3"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right w:val="nil"/>
            </w:tcBorders>
            <w:shd w:val="clear" w:color="auto" w:fill="auto"/>
            <w:noWrap/>
            <w:vAlign w:val="bottom"/>
          </w:tcPr>
          <w:p w14:paraId="42733DA3" w14:textId="629044A1"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r>
      <w:tr w:rsidR="004200B9" w:rsidRPr="0077388B" w14:paraId="5C479E1D" w14:textId="77777777" w:rsidTr="002429BB">
        <w:trPr>
          <w:trHeight w:val="253"/>
        </w:trPr>
        <w:tc>
          <w:tcPr>
            <w:tcW w:w="1338" w:type="pct"/>
            <w:tcBorders>
              <w:left w:val="nil"/>
              <w:right w:val="nil"/>
            </w:tcBorders>
            <w:shd w:val="clear" w:color="auto" w:fill="auto"/>
            <w:noWrap/>
            <w:vAlign w:val="bottom"/>
          </w:tcPr>
          <w:p w14:paraId="53A60AC2" w14:textId="6D99BFE2" w:rsidR="004200B9" w:rsidRDefault="004200B9" w:rsidP="004200B9">
            <w:pPr>
              <w:rPr>
                <w:rFonts w:ascii="Calibri" w:eastAsia="Times New Roman" w:hAnsi="Calibri" w:cs="Arial"/>
                <w:b/>
                <w:bCs/>
                <w:color w:val="000000"/>
                <w:sz w:val="20"/>
                <w:szCs w:val="18"/>
                <w:lang w:eastAsia="en-GB"/>
              </w:rPr>
            </w:pPr>
            <w:r w:rsidRPr="002C125F">
              <w:rPr>
                <w:rFonts w:ascii="Calibri" w:eastAsia="Times New Roman" w:hAnsi="Calibri" w:cs="Arial"/>
                <w:color w:val="000000"/>
                <w:sz w:val="20"/>
                <w:szCs w:val="18"/>
                <w:lang w:eastAsia="en-GB"/>
              </w:rPr>
              <w:t>S</w:t>
            </w:r>
            <w:r>
              <w:rPr>
                <w:rFonts w:ascii="Calibri" w:eastAsia="Times New Roman" w:hAnsi="Calibri" w:cs="Arial"/>
                <w:color w:val="000000"/>
                <w:sz w:val="20"/>
                <w:szCs w:val="18"/>
                <w:lang w:eastAsia="en-GB"/>
              </w:rPr>
              <w:t>hare-based payments</w:t>
            </w:r>
          </w:p>
        </w:tc>
        <w:tc>
          <w:tcPr>
            <w:tcW w:w="458" w:type="pct"/>
            <w:tcBorders>
              <w:left w:val="nil"/>
              <w:bottom w:val="single" w:sz="4" w:space="0" w:color="auto"/>
              <w:right w:val="nil"/>
            </w:tcBorders>
            <w:shd w:val="clear" w:color="auto" w:fill="auto"/>
            <w:noWrap/>
            <w:vAlign w:val="bottom"/>
          </w:tcPr>
          <w:p w14:paraId="23F795F6" w14:textId="3E632548" w:rsidR="004200B9" w:rsidRDefault="004200B9" w:rsidP="004200B9">
            <w:pPr>
              <w:tabs>
                <w:tab w:val="decimal" w:pos="77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4" w:space="0" w:color="auto"/>
              <w:right w:val="nil"/>
            </w:tcBorders>
            <w:shd w:val="clear" w:color="auto" w:fill="auto"/>
            <w:noWrap/>
            <w:vAlign w:val="bottom"/>
          </w:tcPr>
          <w:p w14:paraId="6C40BDE7" w14:textId="7C9A0F72" w:rsidR="004200B9" w:rsidRDefault="004200B9" w:rsidP="004200B9">
            <w:pPr>
              <w:tabs>
                <w:tab w:val="decimal" w:pos="883"/>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4" w:space="0" w:color="auto"/>
              <w:right w:val="nil"/>
            </w:tcBorders>
            <w:vAlign w:val="bottom"/>
          </w:tcPr>
          <w:p w14:paraId="32EB4873" w14:textId="3D4F95E1" w:rsidR="004200B9" w:rsidRDefault="004200B9"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4" w:space="0" w:color="auto"/>
              <w:right w:val="nil"/>
            </w:tcBorders>
            <w:shd w:val="clear" w:color="auto" w:fill="auto"/>
            <w:noWrap/>
            <w:vAlign w:val="bottom"/>
          </w:tcPr>
          <w:p w14:paraId="0AC24853" w14:textId="0EBC283F" w:rsidR="004200B9" w:rsidRDefault="00471825"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11</w:t>
            </w:r>
          </w:p>
        </w:tc>
        <w:tc>
          <w:tcPr>
            <w:tcW w:w="458" w:type="pct"/>
            <w:tcBorders>
              <w:left w:val="nil"/>
              <w:bottom w:val="single" w:sz="4" w:space="0" w:color="auto"/>
              <w:right w:val="nil"/>
            </w:tcBorders>
            <w:shd w:val="clear" w:color="auto" w:fill="auto"/>
            <w:noWrap/>
            <w:vAlign w:val="bottom"/>
          </w:tcPr>
          <w:p w14:paraId="5A5D3FF0" w14:textId="73B4AD93" w:rsidR="004200B9" w:rsidRDefault="004200B9" w:rsidP="004200B9">
            <w:pPr>
              <w:tabs>
                <w:tab w:val="decimal" w:pos="106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left w:val="nil"/>
              <w:bottom w:val="single" w:sz="4" w:space="0" w:color="auto"/>
              <w:right w:val="nil"/>
            </w:tcBorders>
            <w:shd w:val="clear" w:color="auto" w:fill="auto"/>
            <w:noWrap/>
            <w:vAlign w:val="bottom"/>
          </w:tcPr>
          <w:p w14:paraId="466AC556" w14:textId="128F7C58" w:rsidR="004200B9" w:rsidRDefault="00471825"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4" w:space="0" w:color="auto"/>
              <w:right w:val="nil"/>
            </w:tcBorders>
          </w:tcPr>
          <w:p w14:paraId="2CD1465D" w14:textId="613DF16A"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left w:val="nil"/>
              <w:bottom w:val="single" w:sz="4" w:space="0" w:color="auto"/>
              <w:right w:val="nil"/>
            </w:tcBorders>
            <w:shd w:val="clear" w:color="auto" w:fill="auto"/>
            <w:noWrap/>
            <w:vAlign w:val="bottom"/>
          </w:tcPr>
          <w:p w14:paraId="09214458" w14:textId="1ED32C8C" w:rsidR="004200B9" w:rsidRDefault="004200B9"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11</w:t>
            </w:r>
          </w:p>
        </w:tc>
      </w:tr>
      <w:tr w:rsidR="00471825" w:rsidRPr="0077388B" w14:paraId="7BF002D7" w14:textId="77777777" w:rsidTr="002429BB">
        <w:trPr>
          <w:trHeight w:val="253"/>
        </w:trPr>
        <w:tc>
          <w:tcPr>
            <w:tcW w:w="1338" w:type="pct"/>
            <w:tcBorders>
              <w:left w:val="nil"/>
              <w:right w:val="nil"/>
            </w:tcBorders>
            <w:shd w:val="clear" w:color="auto" w:fill="auto"/>
            <w:noWrap/>
            <w:vAlign w:val="bottom"/>
          </w:tcPr>
          <w:p w14:paraId="4A160668" w14:textId="77777777" w:rsidR="00471825" w:rsidRPr="002C125F" w:rsidRDefault="00471825" w:rsidP="004200B9">
            <w:pPr>
              <w:rPr>
                <w:rFonts w:ascii="Calibri" w:eastAsia="Times New Roman" w:hAnsi="Calibri" w:cs="Arial"/>
                <w:color w:val="000000"/>
                <w:sz w:val="20"/>
                <w:szCs w:val="18"/>
                <w:lang w:eastAsia="en-GB"/>
              </w:rPr>
            </w:pPr>
          </w:p>
        </w:tc>
        <w:tc>
          <w:tcPr>
            <w:tcW w:w="458" w:type="pct"/>
            <w:tcBorders>
              <w:top w:val="single" w:sz="4" w:space="0" w:color="auto"/>
              <w:left w:val="nil"/>
              <w:bottom w:val="single" w:sz="4" w:space="0" w:color="auto"/>
              <w:right w:val="nil"/>
            </w:tcBorders>
            <w:shd w:val="clear" w:color="auto" w:fill="auto"/>
            <w:noWrap/>
            <w:vAlign w:val="bottom"/>
          </w:tcPr>
          <w:p w14:paraId="4A008F02" w14:textId="2FCD11EE" w:rsidR="00471825" w:rsidRDefault="00471825" w:rsidP="004200B9">
            <w:pPr>
              <w:tabs>
                <w:tab w:val="decimal" w:pos="77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96</w:t>
            </w:r>
          </w:p>
        </w:tc>
        <w:tc>
          <w:tcPr>
            <w:tcW w:w="458" w:type="pct"/>
            <w:tcBorders>
              <w:top w:val="single" w:sz="4" w:space="0" w:color="auto"/>
              <w:left w:val="nil"/>
              <w:bottom w:val="single" w:sz="4" w:space="0" w:color="auto"/>
              <w:right w:val="nil"/>
            </w:tcBorders>
            <w:shd w:val="clear" w:color="auto" w:fill="auto"/>
            <w:noWrap/>
            <w:vAlign w:val="bottom"/>
          </w:tcPr>
          <w:p w14:paraId="127B27A8" w14:textId="3610257C" w:rsidR="00471825" w:rsidRDefault="00471825" w:rsidP="004200B9">
            <w:pPr>
              <w:tabs>
                <w:tab w:val="decimal" w:pos="883"/>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1.273</w:t>
            </w:r>
          </w:p>
        </w:tc>
        <w:tc>
          <w:tcPr>
            <w:tcW w:w="458" w:type="pct"/>
            <w:tcBorders>
              <w:top w:val="single" w:sz="4" w:space="0" w:color="auto"/>
              <w:left w:val="nil"/>
              <w:bottom w:val="single" w:sz="4" w:space="0" w:color="auto"/>
              <w:right w:val="nil"/>
            </w:tcBorders>
            <w:vAlign w:val="bottom"/>
          </w:tcPr>
          <w:p w14:paraId="19AD0909" w14:textId="247AE2BC" w:rsidR="00471825" w:rsidRDefault="00471825"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4" w:space="0" w:color="auto"/>
              <w:left w:val="nil"/>
              <w:bottom w:val="single" w:sz="4" w:space="0" w:color="auto"/>
              <w:right w:val="nil"/>
            </w:tcBorders>
            <w:shd w:val="clear" w:color="auto" w:fill="auto"/>
            <w:noWrap/>
            <w:vAlign w:val="bottom"/>
          </w:tcPr>
          <w:p w14:paraId="1E40702B" w14:textId="0969A4F4" w:rsidR="00471825" w:rsidRDefault="00471825"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11</w:t>
            </w:r>
          </w:p>
        </w:tc>
        <w:tc>
          <w:tcPr>
            <w:tcW w:w="458" w:type="pct"/>
            <w:tcBorders>
              <w:top w:val="single" w:sz="4" w:space="0" w:color="auto"/>
              <w:left w:val="nil"/>
              <w:bottom w:val="single" w:sz="4" w:space="0" w:color="auto"/>
              <w:right w:val="nil"/>
            </w:tcBorders>
            <w:shd w:val="clear" w:color="auto" w:fill="auto"/>
            <w:noWrap/>
            <w:vAlign w:val="bottom"/>
          </w:tcPr>
          <w:p w14:paraId="291BE98E" w14:textId="34E9DABD" w:rsidR="00471825" w:rsidRDefault="00471825" w:rsidP="004200B9">
            <w:pPr>
              <w:tabs>
                <w:tab w:val="decimal" w:pos="1060"/>
              </w:tabs>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458" w:type="pct"/>
            <w:tcBorders>
              <w:top w:val="single" w:sz="4" w:space="0" w:color="auto"/>
              <w:left w:val="nil"/>
              <w:bottom w:val="single" w:sz="4" w:space="0" w:color="auto"/>
              <w:right w:val="nil"/>
            </w:tcBorders>
            <w:shd w:val="clear" w:color="auto" w:fill="auto"/>
            <w:noWrap/>
            <w:vAlign w:val="bottom"/>
          </w:tcPr>
          <w:p w14:paraId="2EDBAE73" w14:textId="0A79640C" w:rsidR="00471825" w:rsidRDefault="00471825"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4" w:space="0" w:color="auto"/>
              <w:left w:val="nil"/>
              <w:bottom w:val="single" w:sz="4" w:space="0" w:color="auto"/>
              <w:right w:val="nil"/>
            </w:tcBorders>
          </w:tcPr>
          <w:p w14:paraId="3CC03EA7" w14:textId="6DFFDC99" w:rsidR="00471825" w:rsidRDefault="00471825"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458" w:type="pct"/>
            <w:tcBorders>
              <w:top w:val="single" w:sz="4" w:space="0" w:color="auto"/>
              <w:left w:val="nil"/>
              <w:bottom w:val="single" w:sz="4" w:space="0" w:color="auto"/>
              <w:right w:val="nil"/>
            </w:tcBorders>
            <w:shd w:val="clear" w:color="auto" w:fill="auto"/>
            <w:noWrap/>
            <w:vAlign w:val="bottom"/>
          </w:tcPr>
          <w:p w14:paraId="36307472" w14:textId="78B3AB60" w:rsidR="00471825" w:rsidRDefault="00471825"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1,3</w:t>
            </w:r>
            <w:r w:rsidR="009D2A38">
              <w:rPr>
                <w:rFonts w:ascii="Calibri" w:eastAsia="Times New Roman" w:hAnsi="Calibri" w:cs="Arial"/>
                <w:b/>
                <w:bCs/>
                <w:color w:val="000000"/>
                <w:sz w:val="20"/>
                <w:szCs w:val="18"/>
                <w:lang w:eastAsia="en-GB"/>
              </w:rPr>
              <w:t>80</w:t>
            </w:r>
          </w:p>
        </w:tc>
      </w:tr>
      <w:tr w:rsidR="004200B9" w:rsidRPr="0077388B" w14:paraId="3C175F6D" w14:textId="77777777" w:rsidTr="002429BB">
        <w:trPr>
          <w:trHeight w:val="253"/>
        </w:trPr>
        <w:tc>
          <w:tcPr>
            <w:tcW w:w="1338" w:type="pct"/>
            <w:tcBorders>
              <w:left w:val="nil"/>
              <w:right w:val="nil"/>
            </w:tcBorders>
            <w:shd w:val="clear" w:color="auto" w:fill="auto"/>
            <w:noWrap/>
            <w:vAlign w:val="bottom"/>
          </w:tcPr>
          <w:p w14:paraId="738659FF" w14:textId="77777777" w:rsidR="004200B9" w:rsidRPr="002C125F" w:rsidRDefault="004200B9" w:rsidP="004200B9">
            <w:pPr>
              <w:rPr>
                <w:rFonts w:ascii="Calibri" w:eastAsia="Times New Roman" w:hAnsi="Calibri" w:cs="Arial"/>
                <w:color w:val="000000"/>
                <w:sz w:val="20"/>
                <w:szCs w:val="18"/>
                <w:lang w:eastAsia="en-GB"/>
              </w:rPr>
            </w:pPr>
          </w:p>
        </w:tc>
        <w:tc>
          <w:tcPr>
            <w:tcW w:w="458" w:type="pct"/>
            <w:tcBorders>
              <w:top w:val="single" w:sz="4" w:space="0" w:color="auto"/>
              <w:left w:val="nil"/>
              <w:bottom w:val="single" w:sz="4" w:space="0" w:color="auto"/>
              <w:right w:val="nil"/>
            </w:tcBorders>
            <w:shd w:val="clear" w:color="auto" w:fill="auto"/>
            <w:noWrap/>
            <w:vAlign w:val="bottom"/>
          </w:tcPr>
          <w:p w14:paraId="0437724B" w14:textId="77777777" w:rsidR="004200B9" w:rsidRDefault="004200B9" w:rsidP="004200B9">
            <w:pPr>
              <w:tabs>
                <w:tab w:val="decimal" w:pos="770"/>
              </w:tabs>
              <w:jc w:val="right"/>
              <w:rPr>
                <w:rFonts w:ascii="Calibri" w:eastAsia="Times New Roman" w:hAnsi="Calibri" w:cs="Arial"/>
                <w:b/>
                <w:bCs/>
                <w:color w:val="000000"/>
                <w:sz w:val="20"/>
                <w:szCs w:val="18"/>
                <w:lang w:eastAsia="en-GB"/>
              </w:rPr>
            </w:pPr>
          </w:p>
        </w:tc>
        <w:tc>
          <w:tcPr>
            <w:tcW w:w="458" w:type="pct"/>
            <w:tcBorders>
              <w:top w:val="single" w:sz="4" w:space="0" w:color="auto"/>
              <w:left w:val="nil"/>
              <w:bottom w:val="single" w:sz="4" w:space="0" w:color="auto"/>
              <w:right w:val="nil"/>
            </w:tcBorders>
            <w:shd w:val="clear" w:color="auto" w:fill="auto"/>
            <w:noWrap/>
            <w:vAlign w:val="bottom"/>
          </w:tcPr>
          <w:p w14:paraId="5E285507" w14:textId="77777777" w:rsidR="004200B9" w:rsidRDefault="004200B9" w:rsidP="004200B9">
            <w:pPr>
              <w:tabs>
                <w:tab w:val="decimal" w:pos="883"/>
              </w:tabs>
              <w:jc w:val="right"/>
              <w:rPr>
                <w:rFonts w:ascii="Calibri" w:eastAsia="Times New Roman" w:hAnsi="Calibri" w:cs="Arial"/>
                <w:b/>
                <w:bCs/>
                <w:color w:val="000000"/>
                <w:sz w:val="20"/>
                <w:szCs w:val="18"/>
                <w:lang w:eastAsia="en-GB"/>
              </w:rPr>
            </w:pPr>
          </w:p>
        </w:tc>
        <w:tc>
          <w:tcPr>
            <w:tcW w:w="458" w:type="pct"/>
            <w:tcBorders>
              <w:top w:val="single" w:sz="4" w:space="0" w:color="auto"/>
              <w:left w:val="nil"/>
              <w:bottom w:val="single" w:sz="4" w:space="0" w:color="auto"/>
              <w:right w:val="nil"/>
            </w:tcBorders>
            <w:vAlign w:val="bottom"/>
          </w:tcPr>
          <w:p w14:paraId="4C52C6B5" w14:textId="77777777" w:rsidR="004200B9" w:rsidRDefault="004200B9" w:rsidP="004200B9">
            <w:pPr>
              <w:tabs>
                <w:tab w:val="decimal" w:pos="780"/>
              </w:tabs>
              <w:ind w:right="-10"/>
              <w:jc w:val="right"/>
              <w:rPr>
                <w:rFonts w:ascii="Calibri" w:eastAsia="Times New Roman" w:hAnsi="Calibri" w:cs="Arial"/>
                <w:b/>
                <w:bCs/>
                <w:color w:val="000000"/>
                <w:sz w:val="20"/>
                <w:szCs w:val="18"/>
                <w:lang w:eastAsia="en-GB"/>
              </w:rPr>
            </w:pPr>
          </w:p>
        </w:tc>
        <w:tc>
          <w:tcPr>
            <w:tcW w:w="458" w:type="pct"/>
            <w:tcBorders>
              <w:top w:val="single" w:sz="4" w:space="0" w:color="auto"/>
              <w:left w:val="nil"/>
              <w:bottom w:val="single" w:sz="4" w:space="0" w:color="auto"/>
              <w:right w:val="nil"/>
            </w:tcBorders>
            <w:shd w:val="clear" w:color="auto" w:fill="auto"/>
            <w:noWrap/>
            <w:vAlign w:val="bottom"/>
          </w:tcPr>
          <w:p w14:paraId="1E9DED71" w14:textId="77777777" w:rsidR="004200B9" w:rsidRDefault="004200B9" w:rsidP="004200B9">
            <w:pPr>
              <w:tabs>
                <w:tab w:val="decimal" w:pos="780"/>
              </w:tabs>
              <w:ind w:right="-10"/>
              <w:jc w:val="right"/>
              <w:rPr>
                <w:rFonts w:ascii="Calibri" w:eastAsia="Times New Roman" w:hAnsi="Calibri" w:cs="Arial"/>
                <w:b/>
                <w:bCs/>
                <w:color w:val="000000"/>
                <w:sz w:val="20"/>
                <w:szCs w:val="18"/>
                <w:lang w:eastAsia="en-GB"/>
              </w:rPr>
            </w:pPr>
          </w:p>
        </w:tc>
        <w:tc>
          <w:tcPr>
            <w:tcW w:w="458" w:type="pct"/>
            <w:tcBorders>
              <w:top w:val="single" w:sz="4" w:space="0" w:color="auto"/>
              <w:left w:val="nil"/>
              <w:bottom w:val="single" w:sz="4" w:space="0" w:color="auto"/>
              <w:right w:val="nil"/>
            </w:tcBorders>
            <w:shd w:val="clear" w:color="auto" w:fill="auto"/>
            <w:noWrap/>
            <w:vAlign w:val="bottom"/>
          </w:tcPr>
          <w:p w14:paraId="2BAAB9CE" w14:textId="77777777" w:rsidR="004200B9" w:rsidRDefault="004200B9" w:rsidP="004200B9">
            <w:pPr>
              <w:tabs>
                <w:tab w:val="decimal" w:pos="1060"/>
              </w:tabs>
              <w:jc w:val="right"/>
              <w:rPr>
                <w:rFonts w:ascii="Calibri" w:eastAsia="Times New Roman" w:hAnsi="Calibri" w:cs="Arial"/>
                <w:b/>
                <w:color w:val="000000"/>
                <w:sz w:val="20"/>
                <w:szCs w:val="18"/>
                <w:lang w:eastAsia="en-GB"/>
              </w:rPr>
            </w:pPr>
          </w:p>
        </w:tc>
        <w:tc>
          <w:tcPr>
            <w:tcW w:w="458" w:type="pct"/>
            <w:tcBorders>
              <w:top w:val="single" w:sz="4" w:space="0" w:color="auto"/>
              <w:left w:val="nil"/>
              <w:bottom w:val="single" w:sz="4" w:space="0" w:color="auto"/>
              <w:right w:val="nil"/>
            </w:tcBorders>
            <w:shd w:val="clear" w:color="auto" w:fill="auto"/>
            <w:noWrap/>
            <w:vAlign w:val="bottom"/>
          </w:tcPr>
          <w:p w14:paraId="4FA6DEB0" w14:textId="77777777" w:rsidR="004200B9" w:rsidRDefault="004200B9" w:rsidP="004200B9">
            <w:pPr>
              <w:tabs>
                <w:tab w:val="decimal" w:pos="780"/>
              </w:tabs>
              <w:jc w:val="right"/>
              <w:rPr>
                <w:rFonts w:ascii="Calibri" w:eastAsia="Times New Roman" w:hAnsi="Calibri" w:cs="Arial"/>
                <w:b/>
                <w:bCs/>
                <w:color w:val="000000"/>
                <w:sz w:val="20"/>
                <w:szCs w:val="18"/>
                <w:lang w:eastAsia="en-GB"/>
              </w:rPr>
            </w:pPr>
          </w:p>
        </w:tc>
        <w:tc>
          <w:tcPr>
            <w:tcW w:w="458" w:type="pct"/>
            <w:tcBorders>
              <w:top w:val="single" w:sz="4" w:space="0" w:color="auto"/>
              <w:left w:val="nil"/>
              <w:bottom w:val="single" w:sz="4" w:space="0" w:color="auto"/>
              <w:right w:val="nil"/>
            </w:tcBorders>
          </w:tcPr>
          <w:p w14:paraId="4FB9F162" w14:textId="77777777" w:rsidR="004200B9" w:rsidRDefault="004200B9" w:rsidP="004200B9">
            <w:pPr>
              <w:tabs>
                <w:tab w:val="decimal" w:pos="780"/>
              </w:tabs>
              <w:jc w:val="right"/>
              <w:rPr>
                <w:rFonts w:ascii="Calibri" w:eastAsia="Times New Roman" w:hAnsi="Calibri" w:cs="Arial"/>
                <w:b/>
                <w:bCs/>
                <w:color w:val="000000"/>
                <w:sz w:val="20"/>
                <w:szCs w:val="18"/>
                <w:lang w:eastAsia="en-GB"/>
              </w:rPr>
            </w:pPr>
          </w:p>
        </w:tc>
        <w:tc>
          <w:tcPr>
            <w:tcW w:w="458" w:type="pct"/>
            <w:tcBorders>
              <w:top w:val="single" w:sz="4" w:space="0" w:color="auto"/>
              <w:left w:val="nil"/>
              <w:bottom w:val="single" w:sz="4" w:space="0" w:color="auto"/>
              <w:right w:val="nil"/>
            </w:tcBorders>
            <w:shd w:val="clear" w:color="auto" w:fill="auto"/>
            <w:noWrap/>
            <w:vAlign w:val="bottom"/>
          </w:tcPr>
          <w:p w14:paraId="2B6E2893" w14:textId="77777777" w:rsidR="004200B9" w:rsidRDefault="004200B9" w:rsidP="004200B9">
            <w:pPr>
              <w:tabs>
                <w:tab w:val="decimal" w:pos="780"/>
              </w:tabs>
              <w:jc w:val="right"/>
              <w:rPr>
                <w:rFonts w:ascii="Calibri" w:eastAsia="Times New Roman" w:hAnsi="Calibri" w:cs="Arial"/>
                <w:b/>
                <w:bCs/>
                <w:color w:val="000000"/>
                <w:sz w:val="20"/>
                <w:szCs w:val="18"/>
                <w:lang w:eastAsia="en-GB"/>
              </w:rPr>
            </w:pPr>
          </w:p>
        </w:tc>
      </w:tr>
      <w:tr w:rsidR="004200B9" w:rsidRPr="0077388B" w14:paraId="24C8FCFA" w14:textId="77777777" w:rsidTr="002429BB">
        <w:trPr>
          <w:trHeight w:val="253"/>
        </w:trPr>
        <w:tc>
          <w:tcPr>
            <w:tcW w:w="1338" w:type="pct"/>
            <w:tcBorders>
              <w:top w:val="nil"/>
              <w:left w:val="nil"/>
              <w:right w:val="nil"/>
            </w:tcBorders>
            <w:shd w:val="clear" w:color="auto" w:fill="auto"/>
            <w:noWrap/>
            <w:vAlign w:val="bottom"/>
          </w:tcPr>
          <w:p w14:paraId="5C58DF8D" w14:textId="4AC32359" w:rsidR="004200B9" w:rsidRDefault="004200B9" w:rsidP="004200B9">
            <w:pPr>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As at 30 June 20</w:t>
            </w:r>
            <w:r w:rsidR="00471825">
              <w:rPr>
                <w:rFonts w:ascii="Calibri" w:eastAsia="Times New Roman" w:hAnsi="Calibri" w:cs="Arial"/>
                <w:b/>
                <w:bCs/>
                <w:color w:val="000000"/>
                <w:sz w:val="20"/>
                <w:szCs w:val="18"/>
                <w:lang w:eastAsia="en-GB"/>
              </w:rPr>
              <w:t>21</w:t>
            </w:r>
          </w:p>
        </w:tc>
        <w:tc>
          <w:tcPr>
            <w:tcW w:w="458" w:type="pct"/>
            <w:tcBorders>
              <w:top w:val="single" w:sz="8" w:space="0" w:color="auto"/>
              <w:left w:val="nil"/>
              <w:bottom w:val="single" w:sz="8" w:space="0" w:color="auto"/>
              <w:right w:val="nil"/>
            </w:tcBorders>
            <w:shd w:val="clear" w:color="auto" w:fill="auto"/>
            <w:noWrap/>
            <w:vAlign w:val="bottom"/>
          </w:tcPr>
          <w:p w14:paraId="58851A29" w14:textId="534491B4" w:rsidR="004200B9" w:rsidRPr="00B6402E" w:rsidRDefault="004200B9" w:rsidP="004200B9">
            <w:pPr>
              <w:tabs>
                <w:tab w:val="decimal" w:pos="77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486</w:t>
            </w:r>
          </w:p>
        </w:tc>
        <w:tc>
          <w:tcPr>
            <w:tcW w:w="458" w:type="pct"/>
            <w:tcBorders>
              <w:top w:val="single" w:sz="8" w:space="0" w:color="auto"/>
              <w:left w:val="nil"/>
              <w:bottom w:val="single" w:sz="8" w:space="0" w:color="auto"/>
              <w:right w:val="nil"/>
            </w:tcBorders>
            <w:shd w:val="clear" w:color="auto" w:fill="auto"/>
            <w:noWrap/>
            <w:vAlign w:val="bottom"/>
          </w:tcPr>
          <w:p w14:paraId="05496CFE" w14:textId="4828FD2C" w:rsidR="004200B9" w:rsidRPr="00B6402E" w:rsidRDefault="004200B9" w:rsidP="004200B9">
            <w:pPr>
              <w:tabs>
                <w:tab w:val="decimal" w:pos="883"/>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9,545</w:t>
            </w:r>
          </w:p>
        </w:tc>
        <w:tc>
          <w:tcPr>
            <w:tcW w:w="458" w:type="pct"/>
            <w:tcBorders>
              <w:top w:val="single" w:sz="8" w:space="0" w:color="auto"/>
              <w:left w:val="nil"/>
              <w:bottom w:val="single" w:sz="8" w:space="0" w:color="auto"/>
              <w:right w:val="nil"/>
            </w:tcBorders>
            <w:vAlign w:val="bottom"/>
          </w:tcPr>
          <w:p w14:paraId="6CE6F46F" w14:textId="1E1B4CC4" w:rsidR="004200B9" w:rsidRDefault="004200B9"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(1,591)</w:t>
            </w:r>
          </w:p>
        </w:tc>
        <w:tc>
          <w:tcPr>
            <w:tcW w:w="458" w:type="pct"/>
            <w:tcBorders>
              <w:top w:val="single" w:sz="8" w:space="0" w:color="auto"/>
              <w:left w:val="nil"/>
              <w:bottom w:val="single" w:sz="8" w:space="0" w:color="auto"/>
              <w:right w:val="nil"/>
            </w:tcBorders>
            <w:shd w:val="clear" w:color="auto" w:fill="auto"/>
            <w:noWrap/>
            <w:vAlign w:val="bottom"/>
          </w:tcPr>
          <w:p w14:paraId="733C2DF2" w14:textId="2796FC5D" w:rsidR="004200B9" w:rsidRPr="00B6402E" w:rsidRDefault="00471825" w:rsidP="004200B9">
            <w:pPr>
              <w:tabs>
                <w:tab w:val="decimal" w:pos="780"/>
              </w:tabs>
              <w:ind w:right="-10"/>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288</w:t>
            </w:r>
          </w:p>
        </w:tc>
        <w:tc>
          <w:tcPr>
            <w:tcW w:w="458" w:type="pct"/>
            <w:tcBorders>
              <w:top w:val="single" w:sz="8" w:space="0" w:color="auto"/>
              <w:left w:val="nil"/>
              <w:bottom w:val="single" w:sz="8" w:space="0" w:color="auto"/>
              <w:right w:val="nil"/>
            </w:tcBorders>
            <w:shd w:val="clear" w:color="auto" w:fill="auto"/>
            <w:noWrap/>
            <w:vAlign w:val="bottom"/>
          </w:tcPr>
          <w:p w14:paraId="66BBA535" w14:textId="38D7137D" w:rsidR="004200B9" w:rsidRPr="00654AE8" w:rsidRDefault="00471825" w:rsidP="004200B9">
            <w:pPr>
              <w:tabs>
                <w:tab w:val="decimal" w:pos="106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404</w:t>
            </w:r>
          </w:p>
        </w:tc>
        <w:tc>
          <w:tcPr>
            <w:tcW w:w="458" w:type="pct"/>
            <w:tcBorders>
              <w:top w:val="single" w:sz="8" w:space="0" w:color="auto"/>
              <w:left w:val="nil"/>
              <w:bottom w:val="single" w:sz="8" w:space="0" w:color="auto"/>
              <w:right w:val="nil"/>
            </w:tcBorders>
            <w:shd w:val="clear" w:color="auto" w:fill="auto"/>
            <w:noWrap/>
            <w:vAlign w:val="bottom"/>
          </w:tcPr>
          <w:p w14:paraId="47BDCBAE" w14:textId="772AF8D5" w:rsidR="004200B9" w:rsidRPr="00B6402E" w:rsidRDefault="00210EFE"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(7)</w:t>
            </w:r>
          </w:p>
        </w:tc>
        <w:tc>
          <w:tcPr>
            <w:tcW w:w="458" w:type="pct"/>
            <w:tcBorders>
              <w:top w:val="single" w:sz="8" w:space="0" w:color="auto"/>
              <w:left w:val="nil"/>
              <w:bottom w:val="single" w:sz="8" w:space="0" w:color="auto"/>
              <w:right w:val="nil"/>
            </w:tcBorders>
          </w:tcPr>
          <w:p w14:paraId="3F330EAA" w14:textId="101DF645" w:rsidR="004200B9" w:rsidRDefault="00471825"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(3,367)</w:t>
            </w:r>
          </w:p>
        </w:tc>
        <w:tc>
          <w:tcPr>
            <w:tcW w:w="458" w:type="pct"/>
            <w:tcBorders>
              <w:top w:val="single" w:sz="8" w:space="0" w:color="auto"/>
              <w:left w:val="nil"/>
              <w:bottom w:val="single" w:sz="8" w:space="0" w:color="auto"/>
              <w:right w:val="nil"/>
            </w:tcBorders>
            <w:shd w:val="clear" w:color="auto" w:fill="auto"/>
            <w:noWrap/>
            <w:vAlign w:val="bottom"/>
          </w:tcPr>
          <w:p w14:paraId="573B9B7D" w14:textId="2502BDFC" w:rsidR="004200B9" w:rsidRPr="00B6402E" w:rsidRDefault="00210EFE" w:rsidP="004200B9">
            <w:pPr>
              <w:tabs>
                <w:tab w:val="decimal" w:pos="780"/>
              </w:tabs>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5,758</w:t>
            </w:r>
          </w:p>
        </w:tc>
      </w:tr>
    </w:tbl>
    <w:p w14:paraId="3B7EA90B" w14:textId="0E6804DA" w:rsidR="00DF6B2E" w:rsidRDefault="00DF6B2E" w:rsidP="00F53910">
      <w:pPr>
        <w:rPr>
          <w:rFonts w:ascii="Calibri" w:hAnsi="Calibri"/>
        </w:rPr>
      </w:pPr>
    </w:p>
    <w:p w14:paraId="478EE315" w14:textId="4FAA65D5" w:rsidR="00F53910" w:rsidRDefault="00F53910" w:rsidP="00F53910">
      <w:pPr>
        <w:rPr>
          <w:rFonts w:ascii="Calibri" w:hAnsi="Calibri"/>
        </w:rPr>
      </w:pPr>
    </w:p>
    <w:p w14:paraId="0CC64D72" w14:textId="63F354E6" w:rsidR="00F53910" w:rsidRPr="0077388B" w:rsidRDefault="00F53910" w:rsidP="00F53910">
      <w:pPr>
        <w:rPr>
          <w:rFonts w:ascii="Calibri" w:hAnsi="Calibri"/>
        </w:rPr>
        <w:sectPr w:rsidR="00F53910" w:rsidRPr="0077388B" w:rsidSect="00AE0CD8">
          <w:pgSz w:w="11907" w:h="16840" w:code="9"/>
          <w:pgMar w:top="720" w:right="1134" w:bottom="1440" w:left="1134" w:header="720" w:footer="720" w:gutter="0"/>
          <w:cols w:space="720"/>
          <w:noEndnote/>
        </w:sectPr>
      </w:pPr>
    </w:p>
    <w:p w14:paraId="2E95D90B" w14:textId="06C6FFA7" w:rsidR="00DF6B2E" w:rsidRPr="002429BB" w:rsidRDefault="00732C9A" w:rsidP="008438CA">
      <w:pPr>
        <w:pStyle w:val="Heading2"/>
        <w:spacing w:after="240"/>
        <w:rPr>
          <w:rFonts w:ascii="Calibri" w:hAnsi="Calibri"/>
          <w:i w:val="0"/>
          <w:iCs w:val="0"/>
          <w:sz w:val="24"/>
          <w:szCs w:val="24"/>
          <w:lang w:eastAsia="ja-JP"/>
        </w:rPr>
      </w:pPr>
      <w:r w:rsidRPr="002429BB">
        <w:rPr>
          <w:rFonts w:ascii="Calibri" w:hAnsi="Calibri"/>
          <w:i w:val="0"/>
          <w:iCs w:val="0"/>
          <w:sz w:val="24"/>
          <w:szCs w:val="24"/>
          <w:lang w:eastAsia="ja-JP"/>
        </w:rPr>
        <w:lastRenderedPageBreak/>
        <w:t xml:space="preserve">Group </w:t>
      </w:r>
      <w:r w:rsidR="00DF6B2E" w:rsidRPr="002429BB">
        <w:rPr>
          <w:rFonts w:ascii="Calibri" w:hAnsi="Calibri"/>
          <w:i w:val="0"/>
          <w:iCs w:val="0"/>
          <w:sz w:val="24"/>
          <w:szCs w:val="24"/>
          <w:lang w:eastAsia="ja-JP"/>
        </w:rPr>
        <w:t xml:space="preserve">Cash Flow Statement for the Interim Period Ended 30 </w:t>
      </w:r>
      <w:r w:rsidR="00FB3DEC" w:rsidRPr="002429BB">
        <w:rPr>
          <w:rFonts w:ascii="Calibri" w:hAnsi="Calibri"/>
          <w:i w:val="0"/>
          <w:iCs w:val="0"/>
          <w:sz w:val="24"/>
          <w:szCs w:val="24"/>
          <w:lang w:eastAsia="ja-JP"/>
        </w:rPr>
        <w:t>June</w:t>
      </w:r>
      <w:r w:rsidR="00621845" w:rsidRPr="002429BB">
        <w:rPr>
          <w:rFonts w:ascii="Calibri" w:hAnsi="Calibri"/>
          <w:i w:val="0"/>
          <w:iCs w:val="0"/>
          <w:sz w:val="24"/>
          <w:szCs w:val="24"/>
          <w:lang w:eastAsia="ja-JP"/>
        </w:rPr>
        <w:t xml:space="preserve"> 20</w:t>
      </w:r>
      <w:r w:rsidR="000C15B2" w:rsidRPr="002429BB">
        <w:rPr>
          <w:rFonts w:ascii="Calibri" w:hAnsi="Calibri"/>
          <w:i w:val="0"/>
          <w:iCs w:val="0"/>
          <w:sz w:val="24"/>
          <w:szCs w:val="24"/>
          <w:lang w:eastAsia="ja-JP"/>
        </w:rPr>
        <w:t>2</w:t>
      </w:r>
      <w:r w:rsidR="00403C3B" w:rsidRPr="002429BB">
        <w:rPr>
          <w:rFonts w:ascii="Calibri" w:hAnsi="Calibri"/>
          <w:i w:val="0"/>
          <w:iCs w:val="0"/>
          <w:sz w:val="24"/>
          <w:szCs w:val="24"/>
          <w:lang w:eastAsia="ja-JP"/>
        </w:rPr>
        <w:t>1</w:t>
      </w:r>
    </w:p>
    <w:tbl>
      <w:tblPr>
        <w:tblW w:w="5000" w:type="pct"/>
        <w:tblLook w:val="04A0" w:firstRow="1" w:lastRow="0" w:firstColumn="1" w:lastColumn="0" w:noHBand="0" w:noVBand="1"/>
      </w:tblPr>
      <w:tblGrid>
        <w:gridCol w:w="4982"/>
        <w:gridCol w:w="441"/>
        <w:gridCol w:w="1407"/>
        <w:gridCol w:w="1407"/>
        <w:gridCol w:w="1402"/>
      </w:tblGrid>
      <w:tr w:rsidR="00463B2D" w:rsidRPr="0077388B" w14:paraId="08CAA72D" w14:textId="77777777" w:rsidTr="00A20F4C">
        <w:trPr>
          <w:trHeight w:val="275"/>
        </w:trPr>
        <w:tc>
          <w:tcPr>
            <w:tcW w:w="2584" w:type="pct"/>
            <w:tcBorders>
              <w:top w:val="nil"/>
              <w:left w:val="nil"/>
              <w:bottom w:val="nil"/>
              <w:right w:val="nil"/>
            </w:tcBorders>
            <w:shd w:val="clear" w:color="auto" w:fill="auto"/>
            <w:noWrap/>
            <w:vAlign w:val="bottom"/>
            <w:hideMark/>
          </w:tcPr>
          <w:p w14:paraId="45B4518A" w14:textId="77777777" w:rsidR="00463B2D" w:rsidRPr="0077388B" w:rsidRDefault="00463B2D" w:rsidP="00463B2D">
            <w:pPr>
              <w:rPr>
                <w:rFonts w:ascii="Calibri" w:eastAsia="Times New Roman" w:hAnsi="Calibri"/>
                <w:sz w:val="20"/>
                <w:szCs w:val="20"/>
                <w:lang w:eastAsia="en-GB"/>
              </w:rPr>
            </w:pPr>
          </w:p>
        </w:tc>
        <w:tc>
          <w:tcPr>
            <w:tcW w:w="229" w:type="pct"/>
            <w:tcBorders>
              <w:top w:val="nil"/>
              <w:left w:val="nil"/>
              <w:bottom w:val="nil"/>
              <w:right w:val="nil"/>
            </w:tcBorders>
            <w:shd w:val="clear" w:color="auto" w:fill="auto"/>
            <w:noWrap/>
            <w:vAlign w:val="bottom"/>
            <w:hideMark/>
          </w:tcPr>
          <w:p w14:paraId="31A8ED1B" w14:textId="77777777" w:rsidR="00463B2D" w:rsidRPr="0077388B" w:rsidRDefault="00463B2D" w:rsidP="00463B2D">
            <w:pPr>
              <w:rPr>
                <w:rFonts w:ascii="Calibri" w:eastAsia="Times New Roman" w:hAnsi="Calibri"/>
                <w:sz w:val="20"/>
                <w:szCs w:val="20"/>
                <w:lang w:eastAsia="en-GB"/>
              </w:rPr>
            </w:pPr>
          </w:p>
        </w:tc>
        <w:tc>
          <w:tcPr>
            <w:tcW w:w="730" w:type="pct"/>
            <w:tcBorders>
              <w:top w:val="nil"/>
              <w:left w:val="nil"/>
              <w:bottom w:val="nil"/>
              <w:right w:val="nil"/>
            </w:tcBorders>
            <w:shd w:val="clear" w:color="auto" w:fill="auto"/>
            <w:noWrap/>
            <w:vAlign w:val="bottom"/>
            <w:hideMark/>
          </w:tcPr>
          <w:p w14:paraId="389CF3B5" w14:textId="77777777" w:rsidR="00463B2D" w:rsidRPr="0077388B" w:rsidRDefault="00463B2D" w:rsidP="002429BB">
            <w:pPr>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 xml:space="preserve">Six Months to </w:t>
            </w:r>
          </w:p>
        </w:tc>
        <w:tc>
          <w:tcPr>
            <w:tcW w:w="730" w:type="pct"/>
            <w:tcBorders>
              <w:top w:val="nil"/>
              <w:left w:val="nil"/>
              <w:bottom w:val="nil"/>
              <w:right w:val="nil"/>
            </w:tcBorders>
            <w:vAlign w:val="bottom"/>
          </w:tcPr>
          <w:p w14:paraId="0805E19C" w14:textId="1BE38497" w:rsidR="00463B2D" w:rsidRPr="0077388B" w:rsidRDefault="00463B2D" w:rsidP="002429BB">
            <w:pPr>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 xml:space="preserve">Six Months to </w:t>
            </w:r>
          </w:p>
        </w:tc>
        <w:tc>
          <w:tcPr>
            <w:tcW w:w="727" w:type="pct"/>
            <w:tcBorders>
              <w:top w:val="nil"/>
              <w:left w:val="nil"/>
              <w:bottom w:val="nil"/>
              <w:right w:val="nil"/>
            </w:tcBorders>
            <w:shd w:val="clear" w:color="auto" w:fill="auto"/>
            <w:noWrap/>
            <w:vAlign w:val="bottom"/>
          </w:tcPr>
          <w:p w14:paraId="783E4ADB" w14:textId="1D287CC0" w:rsidR="00463B2D" w:rsidRPr="0077388B" w:rsidRDefault="00C8733D" w:rsidP="002429BB">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Year</w:t>
            </w:r>
            <w:r w:rsidR="00463B2D" w:rsidRPr="0077388B">
              <w:rPr>
                <w:rFonts w:ascii="Calibri" w:eastAsia="Times New Roman" w:hAnsi="Calibri" w:cs="Arial"/>
                <w:b/>
                <w:bCs/>
                <w:color w:val="000000"/>
                <w:sz w:val="20"/>
                <w:szCs w:val="18"/>
                <w:lang w:eastAsia="en-GB"/>
              </w:rPr>
              <w:t xml:space="preserve"> to </w:t>
            </w:r>
          </w:p>
        </w:tc>
      </w:tr>
      <w:tr w:rsidR="00463B2D" w:rsidRPr="0077388B" w14:paraId="12196391" w14:textId="77777777" w:rsidTr="00A20F4C">
        <w:trPr>
          <w:trHeight w:val="275"/>
        </w:trPr>
        <w:tc>
          <w:tcPr>
            <w:tcW w:w="2584" w:type="pct"/>
            <w:tcBorders>
              <w:top w:val="nil"/>
              <w:left w:val="nil"/>
              <w:bottom w:val="nil"/>
              <w:right w:val="nil"/>
            </w:tcBorders>
            <w:shd w:val="clear" w:color="auto" w:fill="auto"/>
            <w:noWrap/>
            <w:vAlign w:val="bottom"/>
            <w:hideMark/>
          </w:tcPr>
          <w:p w14:paraId="617C2750" w14:textId="77777777" w:rsidR="00463B2D" w:rsidRPr="0077388B" w:rsidRDefault="00463B2D" w:rsidP="00463B2D">
            <w:pPr>
              <w:jc w:val="center"/>
              <w:rPr>
                <w:rFonts w:ascii="Calibri" w:eastAsia="Times New Roman" w:hAnsi="Calibri" w:cs="Arial"/>
                <w:b/>
                <w:bCs/>
                <w:color w:val="000000"/>
                <w:sz w:val="20"/>
                <w:szCs w:val="18"/>
                <w:lang w:eastAsia="en-GB"/>
              </w:rPr>
            </w:pPr>
          </w:p>
        </w:tc>
        <w:tc>
          <w:tcPr>
            <w:tcW w:w="229" w:type="pct"/>
            <w:tcBorders>
              <w:top w:val="nil"/>
              <w:left w:val="nil"/>
              <w:bottom w:val="nil"/>
              <w:right w:val="nil"/>
            </w:tcBorders>
            <w:shd w:val="clear" w:color="auto" w:fill="auto"/>
            <w:noWrap/>
            <w:vAlign w:val="bottom"/>
            <w:hideMark/>
          </w:tcPr>
          <w:p w14:paraId="72FD0A37" w14:textId="77777777" w:rsidR="00463B2D" w:rsidRPr="0077388B" w:rsidRDefault="00463B2D" w:rsidP="00463B2D">
            <w:pPr>
              <w:rPr>
                <w:rFonts w:ascii="Calibri" w:eastAsia="Times New Roman" w:hAnsi="Calibri"/>
                <w:sz w:val="20"/>
                <w:szCs w:val="20"/>
                <w:lang w:eastAsia="en-GB"/>
              </w:rPr>
            </w:pPr>
          </w:p>
        </w:tc>
        <w:tc>
          <w:tcPr>
            <w:tcW w:w="730" w:type="pct"/>
            <w:tcBorders>
              <w:top w:val="nil"/>
              <w:left w:val="nil"/>
              <w:bottom w:val="nil"/>
              <w:right w:val="nil"/>
            </w:tcBorders>
            <w:shd w:val="clear" w:color="auto" w:fill="auto"/>
            <w:noWrap/>
            <w:vAlign w:val="bottom"/>
            <w:hideMark/>
          </w:tcPr>
          <w:p w14:paraId="707DDE3B" w14:textId="77777777" w:rsidR="00463B2D" w:rsidRPr="0077388B" w:rsidRDefault="00463B2D" w:rsidP="002429BB">
            <w:pPr>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 xml:space="preserve">30 </w:t>
            </w:r>
            <w:r>
              <w:rPr>
                <w:rFonts w:ascii="Calibri" w:eastAsia="Times New Roman" w:hAnsi="Calibri" w:cs="Arial"/>
                <w:b/>
                <w:bCs/>
                <w:color w:val="000000"/>
                <w:sz w:val="20"/>
                <w:szCs w:val="18"/>
                <w:lang w:eastAsia="en-GB"/>
              </w:rPr>
              <w:t>June</w:t>
            </w:r>
          </w:p>
        </w:tc>
        <w:tc>
          <w:tcPr>
            <w:tcW w:w="730" w:type="pct"/>
            <w:tcBorders>
              <w:top w:val="nil"/>
              <w:left w:val="nil"/>
              <w:bottom w:val="nil"/>
              <w:right w:val="nil"/>
            </w:tcBorders>
            <w:vAlign w:val="bottom"/>
          </w:tcPr>
          <w:p w14:paraId="56619F25" w14:textId="12075954" w:rsidR="00463B2D" w:rsidRPr="0077388B" w:rsidRDefault="00463B2D" w:rsidP="002429BB">
            <w:pPr>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 xml:space="preserve">30 </w:t>
            </w:r>
            <w:r>
              <w:rPr>
                <w:rFonts w:ascii="Calibri" w:eastAsia="Times New Roman" w:hAnsi="Calibri" w:cs="Arial"/>
                <w:b/>
                <w:bCs/>
                <w:color w:val="000000"/>
                <w:sz w:val="20"/>
                <w:szCs w:val="18"/>
                <w:lang w:eastAsia="en-GB"/>
              </w:rPr>
              <w:t>June</w:t>
            </w:r>
          </w:p>
        </w:tc>
        <w:tc>
          <w:tcPr>
            <w:tcW w:w="727" w:type="pct"/>
            <w:tcBorders>
              <w:top w:val="nil"/>
              <w:left w:val="nil"/>
              <w:bottom w:val="nil"/>
              <w:right w:val="nil"/>
            </w:tcBorders>
            <w:shd w:val="clear" w:color="auto" w:fill="auto"/>
            <w:noWrap/>
            <w:vAlign w:val="bottom"/>
          </w:tcPr>
          <w:p w14:paraId="27C3802F" w14:textId="624C0520" w:rsidR="00463B2D" w:rsidRPr="0077388B" w:rsidRDefault="00463B2D" w:rsidP="002429BB">
            <w:pPr>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3</w:t>
            </w:r>
            <w:r w:rsidR="00C8733D">
              <w:rPr>
                <w:rFonts w:ascii="Calibri" w:eastAsia="Times New Roman" w:hAnsi="Calibri" w:cs="Arial"/>
                <w:b/>
                <w:bCs/>
                <w:color w:val="000000"/>
                <w:sz w:val="20"/>
                <w:szCs w:val="18"/>
                <w:lang w:eastAsia="en-GB"/>
              </w:rPr>
              <w:t>1 December</w:t>
            </w:r>
          </w:p>
        </w:tc>
      </w:tr>
      <w:tr w:rsidR="00463B2D" w:rsidRPr="0077388B" w14:paraId="1D1BEF5D" w14:textId="77777777" w:rsidTr="00A20F4C">
        <w:trPr>
          <w:trHeight w:val="275"/>
        </w:trPr>
        <w:tc>
          <w:tcPr>
            <w:tcW w:w="2584" w:type="pct"/>
            <w:tcBorders>
              <w:top w:val="nil"/>
              <w:left w:val="nil"/>
              <w:bottom w:val="nil"/>
              <w:right w:val="nil"/>
            </w:tcBorders>
            <w:shd w:val="clear" w:color="auto" w:fill="auto"/>
            <w:noWrap/>
            <w:vAlign w:val="bottom"/>
            <w:hideMark/>
          </w:tcPr>
          <w:p w14:paraId="730D7901" w14:textId="77777777" w:rsidR="00463B2D" w:rsidRPr="0077388B" w:rsidRDefault="00463B2D" w:rsidP="00463B2D">
            <w:pPr>
              <w:jc w:val="center"/>
              <w:rPr>
                <w:rFonts w:ascii="Calibri" w:eastAsia="Times New Roman" w:hAnsi="Calibri" w:cs="Arial"/>
                <w:b/>
                <w:bCs/>
                <w:color w:val="000000"/>
                <w:sz w:val="20"/>
                <w:szCs w:val="18"/>
                <w:lang w:eastAsia="en-GB"/>
              </w:rPr>
            </w:pPr>
          </w:p>
        </w:tc>
        <w:tc>
          <w:tcPr>
            <w:tcW w:w="229" w:type="pct"/>
            <w:tcBorders>
              <w:top w:val="nil"/>
              <w:left w:val="nil"/>
              <w:bottom w:val="nil"/>
              <w:right w:val="nil"/>
            </w:tcBorders>
            <w:shd w:val="clear" w:color="auto" w:fill="auto"/>
            <w:noWrap/>
            <w:vAlign w:val="bottom"/>
            <w:hideMark/>
          </w:tcPr>
          <w:p w14:paraId="66E81891" w14:textId="77777777" w:rsidR="00463B2D" w:rsidRPr="0077388B" w:rsidRDefault="00463B2D" w:rsidP="00463B2D">
            <w:pPr>
              <w:rPr>
                <w:rFonts w:ascii="Calibri" w:eastAsia="Times New Roman" w:hAnsi="Calibri"/>
                <w:sz w:val="20"/>
                <w:szCs w:val="20"/>
                <w:lang w:eastAsia="en-GB"/>
              </w:rPr>
            </w:pPr>
          </w:p>
        </w:tc>
        <w:tc>
          <w:tcPr>
            <w:tcW w:w="730" w:type="pct"/>
            <w:tcBorders>
              <w:top w:val="nil"/>
              <w:left w:val="nil"/>
              <w:bottom w:val="nil"/>
              <w:right w:val="nil"/>
            </w:tcBorders>
            <w:shd w:val="clear" w:color="auto" w:fill="auto"/>
            <w:noWrap/>
            <w:vAlign w:val="bottom"/>
            <w:hideMark/>
          </w:tcPr>
          <w:p w14:paraId="71036098" w14:textId="038D3D50" w:rsidR="00463B2D" w:rsidRPr="0077388B" w:rsidRDefault="00463B2D" w:rsidP="002429BB">
            <w:pPr>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20</w:t>
            </w:r>
            <w:r w:rsidR="000C15B2">
              <w:rPr>
                <w:rFonts w:ascii="Calibri" w:eastAsia="Times New Roman" w:hAnsi="Calibri" w:cs="Arial"/>
                <w:b/>
                <w:bCs/>
                <w:color w:val="000000"/>
                <w:sz w:val="20"/>
                <w:szCs w:val="18"/>
                <w:lang w:eastAsia="en-GB"/>
              </w:rPr>
              <w:t>2</w:t>
            </w:r>
            <w:r w:rsidR="00763235">
              <w:rPr>
                <w:rFonts w:ascii="Calibri" w:eastAsia="Times New Roman" w:hAnsi="Calibri" w:cs="Arial"/>
                <w:b/>
                <w:bCs/>
                <w:color w:val="000000"/>
                <w:sz w:val="20"/>
                <w:szCs w:val="18"/>
                <w:lang w:eastAsia="en-GB"/>
              </w:rPr>
              <w:t>1</w:t>
            </w:r>
          </w:p>
        </w:tc>
        <w:tc>
          <w:tcPr>
            <w:tcW w:w="730" w:type="pct"/>
            <w:tcBorders>
              <w:top w:val="nil"/>
              <w:left w:val="nil"/>
              <w:bottom w:val="nil"/>
              <w:right w:val="nil"/>
            </w:tcBorders>
            <w:vAlign w:val="bottom"/>
          </w:tcPr>
          <w:p w14:paraId="3536FC84" w14:textId="61953A3E" w:rsidR="00463B2D" w:rsidRPr="0077388B" w:rsidRDefault="00463B2D" w:rsidP="002429BB">
            <w:pPr>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20</w:t>
            </w:r>
            <w:r w:rsidR="00763235">
              <w:rPr>
                <w:rFonts w:ascii="Calibri" w:eastAsia="Times New Roman" w:hAnsi="Calibri" w:cs="Arial"/>
                <w:b/>
                <w:bCs/>
                <w:color w:val="000000"/>
                <w:sz w:val="20"/>
                <w:szCs w:val="18"/>
                <w:lang w:eastAsia="en-GB"/>
              </w:rPr>
              <w:t>20</w:t>
            </w:r>
          </w:p>
        </w:tc>
        <w:tc>
          <w:tcPr>
            <w:tcW w:w="727" w:type="pct"/>
            <w:tcBorders>
              <w:top w:val="nil"/>
              <w:left w:val="nil"/>
              <w:bottom w:val="nil"/>
              <w:right w:val="nil"/>
            </w:tcBorders>
            <w:shd w:val="clear" w:color="auto" w:fill="auto"/>
            <w:noWrap/>
            <w:vAlign w:val="bottom"/>
          </w:tcPr>
          <w:p w14:paraId="299D92F8" w14:textId="61C18142" w:rsidR="00463B2D" w:rsidRPr="0077388B" w:rsidRDefault="00463B2D" w:rsidP="002429BB">
            <w:pPr>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20</w:t>
            </w:r>
            <w:r w:rsidR="00763235">
              <w:rPr>
                <w:rFonts w:ascii="Calibri" w:eastAsia="Times New Roman" w:hAnsi="Calibri" w:cs="Arial"/>
                <w:b/>
                <w:bCs/>
                <w:color w:val="000000"/>
                <w:sz w:val="20"/>
                <w:szCs w:val="18"/>
                <w:lang w:eastAsia="en-GB"/>
              </w:rPr>
              <w:t>20</w:t>
            </w:r>
          </w:p>
        </w:tc>
      </w:tr>
      <w:tr w:rsidR="00463B2D" w:rsidRPr="0077388B" w14:paraId="2F07BD71" w14:textId="77777777" w:rsidTr="00A20F4C">
        <w:trPr>
          <w:trHeight w:val="275"/>
        </w:trPr>
        <w:tc>
          <w:tcPr>
            <w:tcW w:w="2584" w:type="pct"/>
            <w:tcBorders>
              <w:top w:val="nil"/>
              <w:left w:val="nil"/>
              <w:bottom w:val="nil"/>
              <w:right w:val="nil"/>
            </w:tcBorders>
            <w:shd w:val="clear" w:color="auto" w:fill="auto"/>
            <w:noWrap/>
            <w:vAlign w:val="bottom"/>
            <w:hideMark/>
          </w:tcPr>
          <w:p w14:paraId="53BA9043" w14:textId="77777777" w:rsidR="00463B2D" w:rsidRPr="0077388B" w:rsidRDefault="00463B2D" w:rsidP="00463B2D">
            <w:pPr>
              <w:jc w:val="center"/>
              <w:rPr>
                <w:rFonts w:ascii="Calibri" w:eastAsia="Times New Roman" w:hAnsi="Calibri" w:cs="Arial"/>
                <w:b/>
                <w:bCs/>
                <w:color w:val="000000"/>
                <w:sz w:val="20"/>
                <w:szCs w:val="18"/>
                <w:lang w:eastAsia="en-GB"/>
              </w:rPr>
            </w:pPr>
          </w:p>
        </w:tc>
        <w:tc>
          <w:tcPr>
            <w:tcW w:w="229" w:type="pct"/>
            <w:tcBorders>
              <w:top w:val="nil"/>
              <w:left w:val="nil"/>
              <w:bottom w:val="nil"/>
              <w:right w:val="nil"/>
            </w:tcBorders>
            <w:shd w:val="clear" w:color="auto" w:fill="auto"/>
            <w:noWrap/>
            <w:vAlign w:val="bottom"/>
            <w:hideMark/>
          </w:tcPr>
          <w:p w14:paraId="373D2D23" w14:textId="77777777" w:rsidR="00463B2D" w:rsidRPr="0077388B" w:rsidRDefault="00463B2D" w:rsidP="00463B2D">
            <w:pPr>
              <w:rPr>
                <w:rFonts w:ascii="Calibri" w:eastAsia="Times New Roman" w:hAnsi="Calibri"/>
                <w:sz w:val="20"/>
                <w:szCs w:val="20"/>
                <w:lang w:eastAsia="en-GB"/>
              </w:rPr>
            </w:pPr>
          </w:p>
        </w:tc>
        <w:tc>
          <w:tcPr>
            <w:tcW w:w="730" w:type="pct"/>
            <w:tcBorders>
              <w:top w:val="nil"/>
              <w:left w:val="nil"/>
              <w:bottom w:val="nil"/>
              <w:right w:val="nil"/>
            </w:tcBorders>
            <w:shd w:val="clear" w:color="auto" w:fill="auto"/>
            <w:noWrap/>
            <w:vAlign w:val="bottom"/>
            <w:hideMark/>
          </w:tcPr>
          <w:p w14:paraId="40F9668A" w14:textId="77777777" w:rsidR="00463B2D" w:rsidRPr="0077388B" w:rsidRDefault="00463B2D" w:rsidP="002429BB">
            <w:pPr>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(Unaudited)</w:t>
            </w:r>
          </w:p>
        </w:tc>
        <w:tc>
          <w:tcPr>
            <w:tcW w:w="730" w:type="pct"/>
            <w:tcBorders>
              <w:top w:val="nil"/>
              <w:left w:val="nil"/>
              <w:bottom w:val="nil"/>
              <w:right w:val="nil"/>
            </w:tcBorders>
            <w:vAlign w:val="bottom"/>
          </w:tcPr>
          <w:p w14:paraId="2E524264" w14:textId="2E08F217" w:rsidR="00463B2D" w:rsidRPr="0077388B" w:rsidRDefault="00463B2D" w:rsidP="002429BB">
            <w:pPr>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(Unaudited)</w:t>
            </w:r>
          </w:p>
        </w:tc>
        <w:tc>
          <w:tcPr>
            <w:tcW w:w="727" w:type="pct"/>
            <w:tcBorders>
              <w:top w:val="nil"/>
              <w:left w:val="nil"/>
              <w:bottom w:val="nil"/>
              <w:right w:val="nil"/>
            </w:tcBorders>
            <w:shd w:val="clear" w:color="auto" w:fill="auto"/>
            <w:noWrap/>
            <w:vAlign w:val="bottom"/>
          </w:tcPr>
          <w:p w14:paraId="3ADF9945" w14:textId="7C58C0DA" w:rsidR="00463B2D" w:rsidRPr="0077388B" w:rsidRDefault="00463B2D" w:rsidP="002429BB">
            <w:pPr>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w:t>
            </w:r>
            <w:r w:rsidR="00795C6F">
              <w:rPr>
                <w:rFonts w:ascii="Calibri" w:eastAsia="Times New Roman" w:hAnsi="Calibri" w:cs="Arial"/>
                <w:b/>
                <w:bCs/>
                <w:color w:val="000000"/>
                <w:sz w:val="20"/>
                <w:szCs w:val="18"/>
                <w:lang w:eastAsia="en-GB"/>
              </w:rPr>
              <w:t>A</w:t>
            </w:r>
            <w:r w:rsidR="00795C6F" w:rsidRPr="0077388B">
              <w:rPr>
                <w:rFonts w:ascii="Calibri" w:eastAsia="Times New Roman" w:hAnsi="Calibri" w:cs="Arial"/>
                <w:b/>
                <w:bCs/>
                <w:color w:val="000000"/>
                <w:sz w:val="20"/>
                <w:szCs w:val="18"/>
                <w:lang w:eastAsia="en-GB"/>
              </w:rPr>
              <w:t>udited</w:t>
            </w:r>
            <w:r w:rsidRPr="0077388B">
              <w:rPr>
                <w:rFonts w:ascii="Calibri" w:eastAsia="Times New Roman" w:hAnsi="Calibri" w:cs="Arial"/>
                <w:b/>
                <w:bCs/>
                <w:color w:val="000000"/>
                <w:sz w:val="20"/>
                <w:szCs w:val="18"/>
                <w:lang w:eastAsia="en-GB"/>
              </w:rPr>
              <w:t>)</w:t>
            </w:r>
          </w:p>
        </w:tc>
      </w:tr>
      <w:tr w:rsidR="00463B2D" w:rsidRPr="0077388B" w14:paraId="13711B5D" w14:textId="77777777" w:rsidTr="00A20F4C">
        <w:trPr>
          <w:trHeight w:val="275"/>
        </w:trPr>
        <w:tc>
          <w:tcPr>
            <w:tcW w:w="2584" w:type="pct"/>
            <w:tcBorders>
              <w:top w:val="nil"/>
              <w:left w:val="nil"/>
              <w:bottom w:val="nil"/>
              <w:right w:val="nil"/>
            </w:tcBorders>
            <w:shd w:val="clear" w:color="auto" w:fill="auto"/>
            <w:noWrap/>
            <w:vAlign w:val="bottom"/>
            <w:hideMark/>
          </w:tcPr>
          <w:p w14:paraId="56FB5591" w14:textId="77777777" w:rsidR="00463B2D" w:rsidRPr="0077388B" w:rsidRDefault="00463B2D" w:rsidP="00463B2D">
            <w:pPr>
              <w:jc w:val="center"/>
              <w:rPr>
                <w:rFonts w:ascii="Calibri" w:eastAsia="Times New Roman" w:hAnsi="Calibri" w:cs="Arial"/>
                <w:b/>
                <w:bCs/>
                <w:color w:val="000000"/>
                <w:sz w:val="20"/>
                <w:szCs w:val="18"/>
                <w:lang w:eastAsia="en-GB"/>
              </w:rPr>
            </w:pPr>
          </w:p>
        </w:tc>
        <w:tc>
          <w:tcPr>
            <w:tcW w:w="229" w:type="pct"/>
            <w:tcBorders>
              <w:top w:val="nil"/>
              <w:left w:val="nil"/>
              <w:bottom w:val="nil"/>
              <w:right w:val="nil"/>
            </w:tcBorders>
            <w:shd w:val="clear" w:color="auto" w:fill="auto"/>
            <w:noWrap/>
            <w:vAlign w:val="bottom"/>
            <w:hideMark/>
          </w:tcPr>
          <w:p w14:paraId="030E7A64" w14:textId="77777777" w:rsidR="00463B2D" w:rsidRPr="0077388B" w:rsidRDefault="00463B2D" w:rsidP="00463B2D">
            <w:pPr>
              <w:rPr>
                <w:rFonts w:ascii="Calibri" w:eastAsia="Times New Roman" w:hAnsi="Calibri"/>
                <w:sz w:val="20"/>
                <w:szCs w:val="20"/>
                <w:lang w:eastAsia="en-GB"/>
              </w:rPr>
            </w:pPr>
          </w:p>
        </w:tc>
        <w:tc>
          <w:tcPr>
            <w:tcW w:w="730" w:type="pct"/>
            <w:tcBorders>
              <w:top w:val="nil"/>
              <w:left w:val="nil"/>
              <w:bottom w:val="nil"/>
              <w:right w:val="nil"/>
            </w:tcBorders>
            <w:shd w:val="clear" w:color="auto" w:fill="auto"/>
            <w:noWrap/>
            <w:vAlign w:val="bottom"/>
            <w:hideMark/>
          </w:tcPr>
          <w:p w14:paraId="5D79F238" w14:textId="77777777" w:rsidR="00463B2D" w:rsidRPr="0077388B" w:rsidRDefault="00463B2D" w:rsidP="002429BB">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Pr="0077388B">
              <w:rPr>
                <w:rFonts w:ascii="Calibri" w:eastAsia="Times New Roman" w:hAnsi="Calibri" w:cs="Arial"/>
                <w:b/>
                <w:bCs/>
                <w:color w:val="000000"/>
                <w:sz w:val="20"/>
                <w:szCs w:val="18"/>
                <w:lang w:eastAsia="en-GB"/>
              </w:rPr>
              <w:t xml:space="preserve"> 000’s</w:t>
            </w:r>
          </w:p>
        </w:tc>
        <w:tc>
          <w:tcPr>
            <w:tcW w:w="730" w:type="pct"/>
            <w:tcBorders>
              <w:top w:val="nil"/>
              <w:left w:val="nil"/>
              <w:bottom w:val="nil"/>
              <w:right w:val="nil"/>
            </w:tcBorders>
            <w:vAlign w:val="bottom"/>
          </w:tcPr>
          <w:p w14:paraId="6A75339F" w14:textId="283C28C9" w:rsidR="00463B2D" w:rsidRDefault="00463B2D" w:rsidP="002429BB">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Pr="0077388B">
              <w:rPr>
                <w:rFonts w:ascii="Calibri" w:eastAsia="Times New Roman" w:hAnsi="Calibri" w:cs="Arial"/>
                <w:b/>
                <w:bCs/>
                <w:color w:val="000000"/>
                <w:sz w:val="20"/>
                <w:szCs w:val="18"/>
                <w:lang w:eastAsia="en-GB"/>
              </w:rPr>
              <w:t xml:space="preserve"> 000’s</w:t>
            </w:r>
          </w:p>
        </w:tc>
        <w:tc>
          <w:tcPr>
            <w:tcW w:w="727" w:type="pct"/>
            <w:tcBorders>
              <w:top w:val="nil"/>
              <w:left w:val="nil"/>
              <w:bottom w:val="nil"/>
              <w:right w:val="nil"/>
            </w:tcBorders>
            <w:shd w:val="clear" w:color="auto" w:fill="auto"/>
            <w:noWrap/>
            <w:vAlign w:val="bottom"/>
          </w:tcPr>
          <w:p w14:paraId="2A4E2869" w14:textId="24C9BD70" w:rsidR="00463B2D" w:rsidRPr="0077388B" w:rsidRDefault="00463B2D" w:rsidP="002429BB">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Pr="0077388B">
              <w:rPr>
                <w:rFonts w:ascii="Calibri" w:eastAsia="Times New Roman" w:hAnsi="Calibri" w:cs="Arial"/>
                <w:b/>
                <w:bCs/>
                <w:color w:val="000000"/>
                <w:sz w:val="20"/>
                <w:szCs w:val="18"/>
                <w:lang w:eastAsia="en-GB"/>
              </w:rPr>
              <w:t xml:space="preserve"> 000’s</w:t>
            </w:r>
          </w:p>
        </w:tc>
      </w:tr>
      <w:tr w:rsidR="00463B2D" w:rsidRPr="0077388B" w14:paraId="42F3755C" w14:textId="77777777" w:rsidTr="00A20F4C">
        <w:trPr>
          <w:trHeight w:val="275"/>
        </w:trPr>
        <w:tc>
          <w:tcPr>
            <w:tcW w:w="2584" w:type="pct"/>
            <w:tcBorders>
              <w:top w:val="single" w:sz="4" w:space="0" w:color="auto"/>
              <w:left w:val="nil"/>
              <w:bottom w:val="nil"/>
              <w:right w:val="nil"/>
            </w:tcBorders>
            <w:shd w:val="clear" w:color="auto" w:fill="auto"/>
            <w:noWrap/>
            <w:vAlign w:val="bottom"/>
            <w:hideMark/>
          </w:tcPr>
          <w:p w14:paraId="753382BE" w14:textId="77777777" w:rsidR="00463B2D" w:rsidRPr="0077388B" w:rsidRDefault="00463B2D" w:rsidP="00463B2D">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Cash flows from operating activities</w:t>
            </w:r>
          </w:p>
        </w:tc>
        <w:tc>
          <w:tcPr>
            <w:tcW w:w="229" w:type="pct"/>
            <w:tcBorders>
              <w:top w:val="single" w:sz="4" w:space="0" w:color="auto"/>
              <w:left w:val="nil"/>
              <w:bottom w:val="nil"/>
              <w:right w:val="nil"/>
            </w:tcBorders>
            <w:shd w:val="clear" w:color="auto" w:fill="auto"/>
            <w:noWrap/>
            <w:vAlign w:val="bottom"/>
            <w:hideMark/>
          </w:tcPr>
          <w:p w14:paraId="542BA98F" w14:textId="77777777" w:rsidR="00463B2D" w:rsidRPr="0077388B" w:rsidRDefault="00463B2D" w:rsidP="00463B2D">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 </w:t>
            </w:r>
          </w:p>
        </w:tc>
        <w:tc>
          <w:tcPr>
            <w:tcW w:w="730" w:type="pct"/>
            <w:tcBorders>
              <w:top w:val="single" w:sz="4" w:space="0" w:color="auto"/>
              <w:left w:val="nil"/>
              <w:bottom w:val="nil"/>
              <w:right w:val="nil"/>
            </w:tcBorders>
            <w:shd w:val="clear" w:color="auto" w:fill="auto"/>
            <w:noWrap/>
            <w:vAlign w:val="bottom"/>
            <w:hideMark/>
          </w:tcPr>
          <w:p w14:paraId="2A14BA94" w14:textId="77777777" w:rsidR="00463B2D" w:rsidRPr="0077388B" w:rsidRDefault="00463B2D" w:rsidP="00463B2D">
            <w:pPr>
              <w:ind w:firstLineChars="100" w:firstLine="200"/>
              <w:jc w:val="right"/>
              <w:rPr>
                <w:rFonts w:ascii="Calibri" w:eastAsia="Times New Roman" w:hAnsi="Calibri" w:cs="Arial"/>
                <w:color w:val="000000"/>
                <w:sz w:val="20"/>
                <w:szCs w:val="18"/>
                <w:lang w:eastAsia="en-GB"/>
              </w:rPr>
            </w:pPr>
            <w:r w:rsidRPr="0077388B">
              <w:rPr>
                <w:rFonts w:ascii="Calibri" w:eastAsia="Times New Roman" w:hAnsi="Calibri" w:cs="Arial"/>
                <w:color w:val="000000"/>
                <w:sz w:val="20"/>
                <w:szCs w:val="18"/>
                <w:lang w:eastAsia="en-GB"/>
              </w:rPr>
              <w:t> </w:t>
            </w:r>
          </w:p>
        </w:tc>
        <w:tc>
          <w:tcPr>
            <w:tcW w:w="730" w:type="pct"/>
            <w:tcBorders>
              <w:top w:val="single" w:sz="4" w:space="0" w:color="auto"/>
              <w:left w:val="nil"/>
              <w:bottom w:val="nil"/>
              <w:right w:val="nil"/>
            </w:tcBorders>
            <w:vAlign w:val="bottom"/>
          </w:tcPr>
          <w:p w14:paraId="17AA91C0" w14:textId="77777777" w:rsidR="00463B2D" w:rsidRPr="0077388B" w:rsidRDefault="00463B2D" w:rsidP="00463B2D">
            <w:pPr>
              <w:ind w:firstLineChars="100" w:firstLine="200"/>
              <w:jc w:val="right"/>
              <w:rPr>
                <w:rFonts w:ascii="Calibri" w:eastAsia="Times New Roman" w:hAnsi="Calibri" w:cs="Arial"/>
                <w:color w:val="000000"/>
                <w:sz w:val="20"/>
                <w:szCs w:val="18"/>
                <w:lang w:eastAsia="en-GB"/>
              </w:rPr>
            </w:pPr>
          </w:p>
        </w:tc>
        <w:tc>
          <w:tcPr>
            <w:tcW w:w="727" w:type="pct"/>
            <w:tcBorders>
              <w:top w:val="single" w:sz="4" w:space="0" w:color="auto"/>
              <w:left w:val="nil"/>
              <w:bottom w:val="nil"/>
              <w:right w:val="nil"/>
            </w:tcBorders>
            <w:shd w:val="clear" w:color="auto" w:fill="auto"/>
            <w:noWrap/>
            <w:vAlign w:val="bottom"/>
          </w:tcPr>
          <w:p w14:paraId="78467B41" w14:textId="2D4A54F9" w:rsidR="00463B2D" w:rsidRPr="0077388B" w:rsidRDefault="00463B2D" w:rsidP="00463B2D">
            <w:pPr>
              <w:ind w:firstLineChars="100" w:firstLine="200"/>
              <w:jc w:val="right"/>
              <w:rPr>
                <w:rFonts w:ascii="Calibri" w:eastAsia="Times New Roman" w:hAnsi="Calibri" w:cs="Arial"/>
                <w:color w:val="000000"/>
                <w:sz w:val="20"/>
                <w:szCs w:val="18"/>
                <w:lang w:eastAsia="en-GB"/>
              </w:rPr>
            </w:pPr>
          </w:p>
        </w:tc>
      </w:tr>
      <w:tr w:rsidR="00463B2D" w:rsidRPr="0077388B" w14:paraId="67DCB111" w14:textId="77777777" w:rsidTr="00A20F4C">
        <w:trPr>
          <w:trHeight w:val="275"/>
        </w:trPr>
        <w:tc>
          <w:tcPr>
            <w:tcW w:w="2584" w:type="pct"/>
            <w:tcBorders>
              <w:top w:val="nil"/>
              <w:left w:val="nil"/>
              <w:bottom w:val="nil"/>
              <w:right w:val="nil"/>
            </w:tcBorders>
            <w:shd w:val="clear" w:color="auto" w:fill="auto"/>
            <w:noWrap/>
            <w:vAlign w:val="bottom"/>
            <w:hideMark/>
          </w:tcPr>
          <w:p w14:paraId="10EA10EF" w14:textId="77777777" w:rsidR="00463B2D" w:rsidRPr="0077388B" w:rsidRDefault="00463B2D" w:rsidP="00463B2D">
            <w:pPr>
              <w:ind w:firstLineChars="100" w:firstLine="200"/>
              <w:jc w:val="right"/>
              <w:rPr>
                <w:rFonts w:ascii="Calibri" w:eastAsia="Times New Roman" w:hAnsi="Calibri" w:cs="Arial"/>
                <w:color w:val="000000"/>
                <w:sz w:val="20"/>
                <w:szCs w:val="18"/>
                <w:lang w:eastAsia="en-GB"/>
              </w:rPr>
            </w:pPr>
          </w:p>
        </w:tc>
        <w:tc>
          <w:tcPr>
            <w:tcW w:w="229" w:type="pct"/>
            <w:tcBorders>
              <w:top w:val="nil"/>
              <w:left w:val="nil"/>
              <w:bottom w:val="nil"/>
              <w:right w:val="nil"/>
            </w:tcBorders>
            <w:shd w:val="clear" w:color="auto" w:fill="auto"/>
            <w:noWrap/>
            <w:vAlign w:val="bottom"/>
            <w:hideMark/>
          </w:tcPr>
          <w:p w14:paraId="7E985160" w14:textId="77777777" w:rsidR="00463B2D" w:rsidRPr="0077388B" w:rsidRDefault="00463B2D" w:rsidP="00463B2D">
            <w:pPr>
              <w:rPr>
                <w:rFonts w:ascii="Calibri" w:eastAsia="Times New Roman" w:hAnsi="Calibri"/>
                <w:sz w:val="20"/>
                <w:szCs w:val="20"/>
                <w:lang w:eastAsia="en-GB"/>
              </w:rPr>
            </w:pPr>
          </w:p>
        </w:tc>
        <w:tc>
          <w:tcPr>
            <w:tcW w:w="730" w:type="pct"/>
            <w:tcBorders>
              <w:top w:val="nil"/>
              <w:left w:val="nil"/>
              <w:bottom w:val="nil"/>
              <w:right w:val="nil"/>
            </w:tcBorders>
            <w:shd w:val="clear" w:color="auto" w:fill="auto"/>
            <w:noWrap/>
            <w:vAlign w:val="bottom"/>
            <w:hideMark/>
          </w:tcPr>
          <w:p w14:paraId="3476C4B0" w14:textId="77777777" w:rsidR="00463B2D" w:rsidRPr="0077388B" w:rsidRDefault="00463B2D" w:rsidP="00463B2D">
            <w:pPr>
              <w:rPr>
                <w:rFonts w:ascii="Calibri" w:eastAsia="Times New Roman" w:hAnsi="Calibri"/>
                <w:sz w:val="20"/>
                <w:szCs w:val="20"/>
                <w:lang w:eastAsia="en-GB"/>
              </w:rPr>
            </w:pPr>
          </w:p>
        </w:tc>
        <w:tc>
          <w:tcPr>
            <w:tcW w:w="730" w:type="pct"/>
            <w:tcBorders>
              <w:top w:val="nil"/>
              <w:left w:val="nil"/>
              <w:bottom w:val="nil"/>
              <w:right w:val="nil"/>
            </w:tcBorders>
            <w:vAlign w:val="bottom"/>
          </w:tcPr>
          <w:p w14:paraId="556DEA34" w14:textId="77777777" w:rsidR="00463B2D" w:rsidRPr="0077388B" w:rsidRDefault="00463B2D" w:rsidP="00463B2D">
            <w:pPr>
              <w:rPr>
                <w:rFonts w:ascii="Calibri" w:eastAsia="Times New Roman" w:hAnsi="Calibri"/>
                <w:sz w:val="20"/>
                <w:szCs w:val="20"/>
                <w:lang w:eastAsia="en-GB"/>
              </w:rPr>
            </w:pPr>
          </w:p>
        </w:tc>
        <w:tc>
          <w:tcPr>
            <w:tcW w:w="727" w:type="pct"/>
            <w:tcBorders>
              <w:top w:val="nil"/>
              <w:left w:val="nil"/>
              <w:bottom w:val="nil"/>
              <w:right w:val="nil"/>
            </w:tcBorders>
            <w:shd w:val="clear" w:color="auto" w:fill="auto"/>
            <w:noWrap/>
            <w:vAlign w:val="bottom"/>
          </w:tcPr>
          <w:p w14:paraId="4B6474AB" w14:textId="05A63C8F" w:rsidR="00463B2D" w:rsidRPr="0077388B" w:rsidRDefault="00463B2D" w:rsidP="00463B2D">
            <w:pPr>
              <w:rPr>
                <w:rFonts w:ascii="Calibri" w:eastAsia="Times New Roman" w:hAnsi="Calibri"/>
                <w:sz w:val="20"/>
                <w:szCs w:val="20"/>
                <w:lang w:eastAsia="en-GB"/>
              </w:rPr>
            </w:pPr>
          </w:p>
        </w:tc>
      </w:tr>
      <w:tr w:rsidR="00463B2D" w:rsidRPr="0077388B" w14:paraId="79AB7EE3" w14:textId="77777777" w:rsidTr="00A20F4C">
        <w:trPr>
          <w:trHeight w:val="275"/>
        </w:trPr>
        <w:tc>
          <w:tcPr>
            <w:tcW w:w="2584" w:type="pct"/>
            <w:tcBorders>
              <w:top w:val="nil"/>
              <w:left w:val="nil"/>
              <w:bottom w:val="nil"/>
              <w:right w:val="nil"/>
            </w:tcBorders>
            <w:shd w:val="clear" w:color="auto" w:fill="auto"/>
            <w:noWrap/>
            <w:vAlign w:val="bottom"/>
            <w:hideMark/>
          </w:tcPr>
          <w:p w14:paraId="1881B710" w14:textId="77777777" w:rsidR="00463B2D" w:rsidRPr="0077388B" w:rsidRDefault="00463B2D" w:rsidP="00463B2D">
            <w:pPr>
              <w:rPr>
                <w:rFonts w:ascii="Calibri" w:eastAsia="Times New Roman" w:hAnsi="Calibri" w:cs="Arial"/>
                <w:color w:val="000000"/>
                <w:sz w:val="20"/>
                <w:szCs w:val="18"/>
                <w:lang w:eastAsia="en-GB"/>
              </w:rPr>
            </w:pPr>
            <w:r w:rsidRPr="0077388B">
              <w:rPr>
                <w:rFonts w:ascii="Calibri" w:eastAsia="Times New Roman" w:hAnsi="Calibri" w:cs="Arial"/>
                <w:color w:val="000000"/>
                <w:sz w:val="20"/>
                <w:szCs w:val="18"/>
                <w:lang w:eastAsia="en-GB"/>
              </w:rPr>
              <w:t>(Loss) before tax</w:t>
            </w:r>
          </w:p>
        </w:tc>
        <w:tc>
          <w:tcPr>
            <w:tcW w:w="229" w:type="pct"/>
            <w:tcBorders>
              <w:top w:val="nil"/>
              <w:left w:val="nil"/>
              <w:bottom w:val="nil"/>
              <w:right w:val="nil"/>
            </w:tcBorders>
            <w:shd w:val="clear" w:color="auto" w:fill="auto"/>
            <w:noWrap/>
            <w:vAlign w:val="bottom"/>
            <w:hideMark/>
          </w:tcPr>
          <w:p w14:paraId="4358AB24" w14:textId="77777777" w:rsidR="00463B2D" w:rsidRPr="0077388B" w:rsidRDefault="00463B2D" w:rsidP="00463B2D">
            <w:pPr>
              <w:rPr>
                <w:rFonts w:ascii="Calibri" w:eastAsia="Times New Roman" w:hAnsi="Calibri" w:cs="Arial"/>
                <w:color w:val="000000"/>
                <w:sz w:val="20"/>
                <w:szCs w:val="18"/>
                <w:lang w:eastAsia="en-GB"/>
              </w:rPr>
            </w:pPr>
          </w:p>
        </w:tc>
        <w:tc>
          <w:tcPr>
            <w:tcW w:w="730" w:type="pct"/>
            <w:tcBorders>
              <w:top w:val="nil"/>
              <w:left w:val="nil"/>
              <w:bottom w:val="nil"/>
              <w:right w:val="nil"/>
            </w:tcBorders>
            <w:shd w:val="clear" w:color="auto" w:fill="auto"/>
            <w:noWrap/>
            <w:vAlign w:val="bottom"/>
          </w:tcPr>
          <w:p w14:paraId="3BAA651C" w14:textId="15327550" w:rsidR="00463B2D" w:rsidRPr="0077388B" w:rsidRDefault="00015CB6" w:rsidP="00763235">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(776)</w:t>
            </w:r>
          </w:p>
        </w:tc>
        <w:tc>
          <w:tcPr>
            <w:tcW w:w="730" w:type="pct"/>
            <w:tcBorders>
              <w:top w:val="nil"/>
              <w:left w:val="nil"/>
              <w:bottom w:val="nil"/>
              <w:right w:val="nil"/>
            </w:tcBorders>
            <w:vAlign w:val="bottom"/>
          </w:tcPr>
          <w:p w14:paraId="50ECA728" w14:textId="42D4B995" w:rsidR="00463B2D" w:rsidRDefault="00463B2D" w:rsidP="00763235">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00763235">
              <w:rPr>
                <w:rFonts w:ascii="Calibri" w:eastAsia="Times New Roman" w:hAnsi="Calibri" w:cs="Arial"/>
                <w:b/>
                <w:bCs/>
                <w:color w:val="000000"/>
                <w:sz w:val="20"/>
                <w:szCs w:val="18"/>
                <w:lang w:eastAsia="en-GB"/>
              </w:rPr>
              <w:t>2</w:t>
            </w:r>
            <w:r w:rsidR="00015CB6">
              <w:rPr>
                <w:rFonts w:ascii="Calibri" w:eastAsia="Times New Roman" w:hAnsi="Calibri" w:cs="Arial"/>
                <w:b/>
                <w:bCs/>
                <w:color w:val="000000"/>
                <w:sz w:val="20"/>
                <w:szCs w:val="18"/>
                <w:lang w:eastAsia="en-GB"/>
              </w:rPr>
              <w:t>54</w:t>
            </w:r>
            <w:r>
              <w:rPr>
                <w:rFonts w:ascii="Calibri" w:eastAsia="Times New Roman" w:hAnsi="Calibri" w:cs="Arial"/>
                <w:b/>
                <w:bCs/>
                <w:color w:val="000000"/>
                <w:sz w:val="20"/>
                <w:szCs w:val="18"/>
                <w:lang w:eastAsia="en-GB"/>
              </w:rPr>
              <w:t>)</w:t>
            </w:r>
          </w:p>
        </w:tc>
        <w:tc>
          <w:tcPr>
            <w:tcW w:w="727" w:type="pct"/>
            <w:tcBorders>
              <w:top w:val="nil"/>
              <w:left w:val="nil"/>
              <w:bottom w:val="nil"/>
              <w:right w:val="nil"/>
            </w:tcBorders>
            <w:shd w:val="clear" w:color="auto" w:fill="auto"/>
            <w:noWrap/>
            <w:vAlign w:val="bottom"/>
          </w:tcPr>
          <w:p w14:paraId="12F5C5A1" w14:textId="5B2199D6" w:rsidR="00463B2D" w:rsidRPr="004617E7" w:rsidRDefault="00015CB6"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(708)</w:t>
            </w:r>
          </w:p>
        </w:tc>
      </w:tr>
      <w:tr w:rsidR="00015CB6" w:rsidRPr="0077388B" w14:paraId="3574685F" w14:textId="77777777" w:rsidTr="00A20F4C">
        <w:trPr>
          <w:trHeight w:val="275"/>
        </w:trPr>
        <w:tc>
          <w:tcPr>
            <w:tcW w:w="2584" w:type="pct"/>
            <w:tcBorders>
              <w:top w:val="nil"/>
              <w:left w:val="nil"/>
              <w:bottom w:val="nil"/>
              <w:right w:val="nil"/>
            </w:tcBorders>
            <w:shd w:val="clear" w:color="auto" w:fill="auto"/>
            <w:noWrap/>
            <w:vAlign w:val="bottom"/>
          </w:tcPr>
          <w:p w14:paraId="265D4AD6" w14:textId="106C1472" w:rsidR="00015CB6" w:rsidRPr="0077388B" w:rsidRDefault="00015CB6" w:rsidP="00463B2D">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 xml:space="preserve">Adjustments for: </w:t>
            </w:r>
          </w:p>
        </w:tc>
        <w:tc>
          <w:tcPr>
            <w:tcW w:w="229" w:type="pct"/>
            <w:tcBorders>
              <w:top w:val="nil"/>
              <w:left w:val="nil"/>
              <w:bottom w:val="nil"/>
              <w:right w:val="nil"/>
            </w:tcBorders>
            <w:shd w:val="clear" w:color="auto" w:fill="auto"/>
            <w:noWrap/>
            <w:vAlign w:val="bottom"/>
          </w:tcPr>
          <w:p w14:paraId="640CB5D4" w14:textId="77777777" w:rsidR="00015CB6" w:rsidRPr="0077388B" w:rsidRDefault="00015CB6" w:rsidP="00463B2D">
            <w:pPr>
              <w:rPr>
                <w:rFonts w:ascii="Calibri" w:eastAsia="Times New Roman" w:hAnsi="Calibri" w:cs="Arial"/>
                <w:color w:val="000000"/>
                <w:sz w:val="20"/>
                <w:szCs w:val="18"/>
                <w:lang w:eastAsia="en-GB"/>
              </w:rPr>
            </w:pPr>
          </w:p>
        </w:tc>
        <w:tc>
          <w:tcPr>
            <w:tcW w:w="730" w:type="pct"/>
            <w:tcBorders>
              <w:top w:val="nil"/>
              <w:left w:val="nil"/>
              <w:bottom w:val="nil"/>
              <w:right w:val="nil"/>
            </w:tcBorders>
            <w:shd w:val="clear" w:color="auto" w:fill="auto"/>
            <w:noWrap/>
            <w:vAlign w:val="bottom"/>
          </w:tcPr>
          <w:p w14:paraId="56A867CC" w14:textId="77777777" w:rsidR="00015CB6" w:rsidRDefault="00015CB6" w:rsidP="00763235">
            <w:pPr>
              <w:jc w:val="right"/>
              <w:rPr>
                <w:rFonts w:ascii="Calibri" w:eastAsia="Times New Roman" w:hAnsi="Calibri" w:cs="Arial"/>
                <w:b/>
                <w:bCs/>
                <w:color w:val="000000"/>
                <w:sz w:val="20"/>
                <w:szCs w:val="18"/>
                <w:lang w:eastAsia="en-GB"/>
              </w:rPr>
            </w:pPr>
          </w:p>
        </w:tc>
        <w:tc>
          <w:tcPr>
            <w:tcW w:w="730" w:type="pct"/>
            <w:tcBorders>
              <w:top w:val="nil"/>
              <w:left w:val="nil"/>
              <w:bottom w:val="nil"/>
              <w:right w:val="nil"/>
            </w:tcBorders>
            <w:vAlign w:val="bottom"/>
          </w:tcPr>
          <w:p w14:paraId="15A2D886" w14:textId="77777777" w:rsidR="00015CB6" w:rsidRDefault="00015CB6" w:rsidP="00763235">
            <w:pPr>
              <w:jc w:val="right"/>
              <w:rPr>
                <w:rFonts w:ascii="Calibri" w:eastAsia="Times New Roman" w:hAnsi="Calibri" w:cs="Arial"/>
                <w:b/>
                <w:bCs/>
                <w:color w:val="000000"/>
                <w:sz w:val="20"/>
                <w:szCs w:val="18"/>
                <w:lang w:eastAsia="en-GB"/>
              </w:rPr>
            </w:pPr>
          </w:p>
        </w:tc>
        <w:tc>
          <w:tcPr>
            <w:tcW w:w="727" w:type="pct"/>
            <w:tcBorders>
              <w:top w:val="nil"/>
              <w:left w:val="nil"/>
              <w:bottom w:val="nil"/>
              <w:right w:val="nil"/>
            </w:tcBorders>
            <w:shd w:val="clear" w:color="auto" w:fill="auto"/>
            <w:noWrap/>
            <w:vAlign w:val="bottom"/>
          </w:tcPr>
          <w:p w14:paraId="2359573C" w14:textId="77777777" w:rsidR="00015CB6" w:rsidRDefault="00015CB6" w:rsidP="00763235">
            <w:pPr>
              <w:jc w:val="right"/>
              <w:rPr>
                <w:rFonts w:ascii="Calibri" w:eastAsia="Times New Roman" w:hAnsi="Calibri" w:cs="Arial"/>
                <w:b/>
                <w:color w:val="000000"/>
                <w:sz w:val="20"/>
                <w:szCs w:val="18"/>
                <w:lang w:eastAsia="en-GB"/>
              </w:rPr>
            </w:pPr>
          </w:p>
        </w:tc>
      </w:tr>
      <w:tr w:rsidR="00015CB6" w:rsidRPr="0077388B" w14:paraId="5C271E1D" w14:textId="77777777" w:rsidTr="00A20F4C">
        <w:trPr>
          <w:trHeight w:val="275"/>
        </w:trPr>
        <w:tc>
          <w:tcPr>
            <w:tcW w:w="2584" w:type="pct"/>
            <w:tcBorders>
              <w:top w:val="nil"/>
              <w:left w:val="nil"/>
              <w:bottom w:val="nil"/>
              <w:right w:val="nil"/>
            </w:tcBorders>
            <w:shd w:val="clear" w:color="auto" w:fill="auto"/>
            <w:noWrap/>
            <w:vAlign w:val="bottom"/>
          </w:tcPr>
          <w:p w14:paraId="6112DEC8" w14:textId="4FD2AD36" w:rsidR="00015CB6" w:rsidRDefault="00015CB6" w:rsidP="00463B2D">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 xml:space="preserve">Fair value adjustments </w:t>
            </w:r>
          </w:p>
        </w:tc>
        <w:tc>
          <w:tcPr>
            <w:tcW w:w="229" w:type="pct"/>
            <w:tcBorders>
              <w:top w:val="nil"/>
              <w:left w:val="nil"/>
              <w:bottom w:val="nil"/>
              <w:right w:val="nil"/>
            </w:tcBorders>
            <w:shd w:val="clear" w:color="auto" w:fill="auto"/>
            <w:noWrap/>
            <w:vAlign w:val="bottom"/>
          </w:tcPr>
          <w:p w14:paraId="2BF9933F" w14:textId="77777777" w:rsidR="00015CB6" w:rsidRPr="0077388B" w:rsidRDefault="00015CB6" w:rsidP="00463B2D">
            <w:pPr>
              <w:rPr>
                <w:rFonts w:ascii="Calibri" w:eastAsia="Times New Roman" w:hAnsi="Calibri" w:cs="Arial"/>
                <w:color w:val="000000"/>
                <w:sz w:val="20"/>
                <w:szCs w:val="18"/>
                <w:lang w:eastAsia="en-GB"/>
              </w:rPr>
            </w:pPr>
          </w:p>
        </w:tc>
        <w:tc>
          <w:tcPr>
            <w:tcW w:w="730" w:type="pct"/>
            <w:tcBorders>
              <w:top w:val="nil"/>
              <w:left w:val="nil"/>
              <w:bottom w:val="nil"/>
              <w:right w:val="nil"/>
            </w:tcBorders>
            <w:shd w:val="clear" w:color="auto" w:fill="auto"/>
            <w:noWrap/>
            <w:vAlign w:val="bottom"/>
          </w:tcPr>
          <w:p w14:paraId="2092A3A4" w14:textId="2BCE8611" w:rsidR="00015CB6" w:rsidRPr="0077388B" w:rsidRDefault="00882A11" w:rsidP="00763235">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51</w:t>
            </w:r>
          </w:p>
        </w:tc>
        <w:tc>
          <w:tcPr>
            <w:tcW w:w="730" w:type="pct"/>
            <w:tcBorders>
              <w:top w:val="nil"/>
              <w:left w:val="nil"/>
              <w:bottom w:val="nil"/>
              <w:right w:val="nil"/>
            </w:tcBorders>
            <w:vAlign w:val="bottom"/>
          </w:tcPr>
          <w:p w14:paraId="349C968E" w14:textId="7CEC1D2C" w:rsidR="00015CB6" w:rsidRDefault="00015CB6"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727" w:type="pct"/>
            <w:tcBorders>
              <w:top w:val="nil"/>
              <w:left w:val="nil"/>
              <w:bottom w:val="nil"/>
              <w:right w:val="nil"/>
            </w:tcBorders>
            <w:shd w:val="clear" w:color="auto" w:fill="auto"/>
            <w:noWrap/>
            <w:vAlign w:val="bottom"/>
          </w:tcPr>
          <w:p w14:paraId="7648A677" w14:textId="67BE9498" w:rsidR="00015CB6" w:rsidRPr="004617E7" w:rsidRDefault="00015CB6"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8</w:t>
            </w:r>
          </w:p>
        </w:tc>
      </w:tr>
      <w:tr w:rsidR="00015CB6" w:rsidRPr="0077388B" w14:paraId="65529355" w14:textId="77777777" w:rsidTr="00A20F4C">
        <w:trPr>
          <w:trHeight w:val="275"/>
        </w:trPr>
        <w:tc>
          <w:tcPr>
            <w:tcW w:w="2584" w:type="pct"/>
            <w:tcBorders>
              <w:top w:val="nil"/>
              <w:left w:val="nil"/>
              <w:bottom w:val="nil"/>
              <w:right w:val="nil"/>
            </w:tcBorders>
            <w:shd w:val="clear" w:color="auto" w:fill="auto"/>
            <w:noWrap/>
            <w:vAlign w:val="bottom"/>
          </w:tcPr>
          <w:p w14:paraId="5CC566CE" w14:textId="09D23BD1" w:rsidR="00015CB6" w:rsidRDefault="00015CB6" w:rsidP="00463B2D">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Depreciation</w:t>
            </w:r>
          </w:p>
        </w:tc>
        <w:tc>
          <w:tcPr>
            <w:tcW w:w="229" w:type="pct"/>
            <w:tcBorders>
              <w:top w:val="nil"/>
              <w:left w:val="nil"/>
              <w:bottom w:val="nil"/>
              <w:right w:val="nil"/>
            </w:tcBorders>
            <w:shd w:val="clear" w:color="auto" w:fill="auto"/>
            <w:noWrap/>
            <w:vAlign w:val="bottom"/>
          </w:tcPr>
          <w:p w14:paraId="1C05D151" w14:textId="77777777" w:rsidR="00015CB6" w:rsidRPr="0077388B" w:rsidRDefault="00015CB6" w:rsidP="00463B2D">
            <w:pPr>
              <w:rPr>
                <w:rFonts w:ascii="Calibri" w:eastAsia="Times New Roman" w:hAnsi="Calibri" w:cs="Arial"/>
                <w:color w:val="000000"/>
                <w:sz w:val="20"/>
                <w:szCs w:val="18"/>
                <w:lang w:eastAsia="en-GB"/>
              </w:rPr>
            </w:pPr>
          </w:p>
        </w:tc>
        <w:tc>
          <w:tcPr>
            <w:tcW w:w="730" w:type="pct"/>
            <w:tcBorders>
              <w:top w:val="nil"/>
              <w:left w:val="nil"/>
              <w:bottom w:val="nil"/>
              <w:right w:val="nil"/>
            </w:tcBorders>
            <w:shd w:val="clear" w:color="auto" w:fill="auto"/>
            <w:noWrap/>
            <w:vAlign w:val="bottom"/>
          </w:tcPr>
          <w:p w14:paraId="263BDA28" w14:textId="3F3F4704" w:rsidR="00015CB6" w:rsidRPr="0077388B" w:rsidRDefault="00015CB6" w:rsidP="00763235">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730" w:type="pct"/>
            <w:tcBorders>
              <w:top w:val="nil"/>
              <w:left w:val="nil"/>
              <w:bottom w:val="nil"/>
              <w:right w:val="nil"/>
            </w:tcBorders>
            <w:vAlign w:val="bottom"/>
          </w:tcPr>
          <w:p w14:paraId="612D002E" w14:textId="09281667" w:rsidR="00015CB6" w:rsidRDefault="00015CB6"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727" w:type="pct"/>
            <w:tcBorders>
              <w:top w:val="nil"/>
              <w:left w:val="nil"/>
              <w:bottom w:val="nil"/>
              <w:right w:val="nil"/>
            </w:tcBorders>
            <w:shd w:val="clear" w:color="auto" w:fill="auto"/>
            <w:noWrap/>
            <w:vAlign w:val="bottom"/>
          </w:tcPr>
          <w:p w14:paraId="166CC1C6" w14:textId="56E929CF" w:rsidR="00015CB6" w:rsidRPr="004617E7" w:rsidRDefault="00015CB6"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21</w:t>
            </w:r>
          </w:p>
        </w:tc>
      </w:tr>
      <w:tr w:rsidR="00015CB6" w:rsidRPr="0077388B" w14:paraId="2E9D03E7" w14:textId="77777777" w:rsidTr="00A20F4C">
        <w:trPr>
          <w:trHeight w:val="275"/>
        </w:trPr>
        <w:tc>
          <w:tcPr>
            <w:tcW w:w="2584" w:type="pct"/>
            <w:tcBorders>
              <w:top w:val="nil"/>
              <w:left w:val="nil"/>
              <w:bottom w:val="nil"/>
              <w:right w:val="nil"/>
            </w:tcBorders>
            <w:shd w:val="clear" w:color="auto" w:fill="auto"/>
            <w:noWrap/>
            <w:vAlign w:val="bottom"/>
          </w:tcPr>
          <w:p w14:paraId="577C7A61" w14:textId="33AB644B" w:rsidR="00015CB6" w:rsidRDefault="00015CB6" w:rsidP="00463B2D">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Prospectus costs</w:t>
            </w:r>
          </w:p>
        </w:tc>
        <w:tc>
          <w:tcPr>
            <w:tcW w:w="229" w:type="pct"/>
            <w:tcBorders>
              <w:top w:val="nil"/>
              <w:left w:val="nil"/>
              <w:bottom w:val="nil"/>
              <w:right w:val="nil"/>
            </w:tcBorders>
            <w:shd w:val="clear" w:color="auto" w:fill="auto"/>
            <w:noWrap/>
            <w:vAlign w:val="bottom"/>
          </w:tcPr>
          <w:p w14:paraId="5D6FC004" w14:textId="77777777" w:rsidR="00015CB6" w:rsidRPr="0077388B" w:rsidRDefault="00015CB6" w:rsidP="00463B2D">
            <w:pPr>
              <w:rPr>
                <w:rFonts w:ascii="Calibri" w:eastAsia="Times New Roman" w:hAnsi="Calibri" w:cs="Arial"/>
                <w:color w:val="000000"/>
                <w:sz w:val="20"/>
                <w:szCs w:val="18"/>
                <w:lang w:eastAsia="en-GB"/>
              </w:rPr>
            </w:pPr>
          </w:p>
        </w:tc>
        <w:tc>
          <w:tcPr>
            <w:tcW w:w="730" w:type="pct"/>
            <w:tcBorders>
              <w:top w:val="nil"/>
              <w:left w:val="nil"/>
              <w:bottom w:val="nil"/>
              <w:right w:val="nil"/>
            </w:tcBorders>
            <w:shd w:val="clear" w:color="auto" w:fill="auto"/>
            <w:noWrap/>
            <w:vAlign w:val="bottom"/>
          </w:tcPr>
          <w:p w14:paraId="23263F0F" w14:textId="384E3056" w:rsidR="00015CB6" w:rsidRPr="0077388B" w:rsidRDefault="00015CB6" w:rsidP="00763235">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730" w:type="pct"/>
            <w:tcBorders>
              <w:top w:val="nil"/>
              <w:left w:val="nil"/>
              <w:bottom w:val="nil"/>
              <w:right w:val="nil"/>
            </w:tcBorders>
            <w:vAlign w:val="bottom"/>
          </w:tcPr>
          <w:p w14:paraId="0D4DE19E" w14:textId="61F012CE" w:rsidR="00015CB6" w:rsidRDefault="00015CB6"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727" w:type="pct"/>
            <w:tcBorders>
              <w:top w:val="nil"/>
              <w:left w:val="nil"/>
              <w:bottom w:val="nil"/>
              <w:right w:val="nil"/>
            </w:tcBorders>
            <w:shd w:val="clear" w:color="auto" w:fill="auto"/>
            <w:noWrap/>
            <w:vAlign w:val="bottom"/>
          </w:tcPr>
          <w:p w14:paraId="7FD52297" w14:textId="733DD303" w:rsidR="00015CB6" w:rsidRPr="004617E7" w:rsidRDefault="00015CB6"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96</w:t>
            </w:r>
          </w:p>
        </w:tc>
      </w:tr>
      <w:tr w:rsidR="00015CB6" w:rsidRPr="0077388B" w14:paraId="1003FCDA" w14:textId="77777777" w:rsidTr="00A20F4C">
        <w:trPr>
          <w:trHeight w:val="275"/>
        </w:trPr>
        <w:tc>
          <w:tcPr>
            <w:tcW w:w="2584" w:type="pct"/>
            <w:tcBorders>
              <w:top w:val="nil"/>
              <w:left w:val="nil"/>
              <w:bottom w:val="nil"/>
              <w:right w:val="nil"/>
            </w:tcBorders>
            <w:shd w:val="clear" w:color="auto" w:fill="auto"/>
            <w:noWrap/>
            <w:vAlign w:val="bottom"/>
          </w:tcPr>
          <w:p w14:paraId="28B0C46E" w14:textId="026C197C" w:rsidR="00015CB6" w:rsidRDefault="00015CB6" w:rsidP="00463B2D">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Fees settles in shares</w:t>
            </w:r>
          </w:p>
        </w:tc>
        <w:tc>
          <w:tcPr>
            <w:tcW w:w="229" w:type="pct"/>
            <w:tcBorders>
              <w:top w:val="nil"/>
              <w:left w:val="nil"/>
              <w:bottom w:val="nil"/>
              <w:right w:val="nil"/>
            </w:tcBorders>
            <w:shd w:val="clear" w:color="auto" w:fill="auto"/>
            <w:noWrap/>
            <w:vAlign w:val="bottom"/>
          </w:tcPr>
          <w:p w14:paraId="206C7B31" w14:textId="77777777" w:rsidR="00015CB6" w:rsidRPr="0077388B" w:rsidRDefault="00015CB6" w:rsidP="00463B2D">
            <w:pPr>
              <w:rPr>
                <w:rFonts w:ascii="Calibri" w:eastAsia="Times New Roman" w:hAnsi="Calibri" w:cs="Arial"/>
                <w:color w:val="000000"/>
                <w:sz w:val="20"/>
                <w:szCs w:val="18"/>
                <w:lang w:eastAsia="en-GB"/>
              </w:rPr>
            </w:pPr>
          </w:p>
        </w:tc>
        <w:tc>
          <w:tcPr>
            <w:tcW w:w="730" w:type="pct"/>
            <w:tcBorders>
              <w:top w:val="nil"/>
              <w:left w:val="nil"/>
              <w:bottom w:val="nil"/>
              <w:right w:val="nil"/>
            </w:tcBorders>
            <w:shd w:val="clear" w:color="auto" w:fill="auto"/>
            <w:noWrap/>
            <w:vAlign w:val="bottom"/>
          </w:tcPr>
          <w:p w14:paraId="7CBEC85C" w14:textId="2AA13686" w:rsidR="00015CB6" w:rsidRPr="0077388B" w:rsidRDefault="00015CB6" w:rsidP="00763235">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730" w:type="pct"/>
            <w:tcBorders>
              <w:top w:val="nil"/>
              <w:left w:val="nil"/>
              <w:bottom w:val="nil"/>
              <w:right w:val="nil"/>
            </w:tcBorders>
            <w:vAlign w:val="bottom"/>
          </w:tcPr>
          <w:p w14:paraId="3E196F27" w14:textId="0BCCAE3C" w:rsidR="00015CB6" w:rsidRDefault="00015CB6"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727" w:type="pct"/>
            <w:tcBorders>
              <w:top w:val="nil"/>
              <w:left w:val="nil"/>
              <w:bottom w:val="nil"/>
              <w:right w:val="nil"/>
            </w:tcBorders>
            <w:shd w:val="clear" w:color="auto" w:fill="auto"/>
            <w:noWrap/>
            <w:vAlign w:val="bottom"/>
          </w:tcPr>
          <w:p w14:paraId="70C9FD36" w14:textId="0E948039" w:rsidR="00015CB6" w:rsidRPr="004617E7" w:rsidRDefault="00015CB6"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131</w:t>
            </w:r>
          </w:p>
        </w:tc>
      </w:tr>
      <w:tr w:rsidR="00015CB6" w:rsidRPr="0077388B" w14:paraId="1F54C0A7" w14:textId="77777777" w:rsidTr="00A20F4C">
        <w:trPr>
          <w:trHeight w:val="275"/>
        </w:trPr>
        <w:tc>
          <w:tcPr>
            <w:tcW w:w="2584" w:type="pct"/>
            <w:tcBorders>
              <w:top w:val="nil"/>
              <w:left w:val="nil"/>
              <w:bottom w:val="nil"/>
              <w:right w:val="nil"/>
            </w:tcBorders>
            <w:shd w:val="clear" w:color="auto" w:fill="auto"/>
            <w:noWrap/>
            <w:vAlign w:val="bottom"/>
          </w:tcPr>
          <w:p w14:paraId="37B97282" w14:textId="5E7F9764" w:rsidR="00015CB6" w:rsidRDefault="00015CB6" w:rsidP="00463B2D">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 xml:space="preserve">Share based payment expense </w:t>
            </w:r>
          </w:p>
        </w:tc>
        <w:tc>
          <w:tcPr>
            <w:tcW w:w="229" w:type="pct"/>
            <w:tcBorders>
              <w:top w:val="nil"/>
              <w:left w:val="nil"/>
              <w:bottom w:val="nil"/>
              <w:right w:val="nil"/>
            </w:tcBorders>
            <w:shd w:val="clear" w:color="auto" w:fill="auto"/>
            <w:noWrap/>
            <w:vAlign w:val="bottom"/>
          </w:tcPr>
          <w:p w14:paraId="606AB014" w14:textId="77777777" w:rsidR="00015CB6" w:rsidRPr="0077388B" w:rsidRDefault="00015CB6" w:rsidP="00463B2D">
            <w:pPr>
              <w:rPr>
                <w:rFonts w:ascii="Calibri" w:eastAsia="Times New Roman" w:hAnsi="Calibri" w:cs="Arial"/>
                <w:color w:val="000000"/>
                <w:sz w:val="20"/>
                <w:szCs w:val="18"/>
                <w:lang w:eastAsia="en-GB"/>
              </w:rPr>
            </w:pPr>
          </w:p>
        </w:tc>
        <w:tc>
          <w:tcPr>
            <w:tcW w:w="730" w:type="pct"/>
            <w:tcBorders>
              <w:top w:val="nil"/>
              <w:left w:val="nil"/>
              <w:bottom w:val="nil"/>
              <w:right w:val="nil"/>
            </w:tcBorders>
            <w:shd w:val="clear" w:color="auto" w:fill="auto"/>
            <w:noWrap/>
            <w:vAlign w:val="bottom"/>
          </w:tcPr>
          <w:p w14:paraId="77F1DAB6" w14:textId="1EFC9197" w:rsidR="00015CB6" w:rsidRPr="0077388B" w:rsidRDefault="00015CB6" w:rsidP="00763235">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11</w:t>
            </w:r>
          </w:p>
        </w:tc>
        <w:tc>
          <w:tcPr>
            <w:tcW w:w="730" w:type="pct"/>
            <w:tcBorders>
              <w:top w:val="nil"/>
              <w:left w:val="nil"/>
              <w:bottom w:val="nil"/>
              <w:right w:val="nil"/>
            </w:tcBorders>
            <w:vAlign w:val="bottom"/>
          </w:tcPr>
          <w:p w14:paraId="14606418" w14:textId="6834EA73" w:rsidR="00015CB6" w:rsidRDefault="00015CB6"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43</w:t>
            </w:r>
          </w:p>
        </w:tc>
        <w:tc>
          <w:tcPr>
            <w:tcW w:w="727" w:type="pct"/>
            <w:tcBorders>
              <w:top w:val="nil"/>
              <w:left w:val="nil"/>
              <w:bottom w:val="nil"/>
              <w:right w:val="nil"/>
            </w:tcBorders>
            <w:shd w:val="clear" w:color="auto" w:fill="auto"/>
            <w:noWrap/>
            <w:vAlign w:val="bottom"/>
          </w:tcPr>
          <w:p w14:paraId="50EC9674" w14:textId="73EB537E" w:rsidR="00015CB6" w:rsidRPr="004617E7" w:rsidRDefault="00015CB6"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3</w:t>
            </w:r>
            <w:r w:rsidR="0060237D">
              <w:rPr>
                <w:rFonts w:ascii="Calibri" w:eastAsia="Times New Roman" w:hAnsi="Calibri" w:cs="Arial"/>
                <w:b/>
                <w:color w:val="000000"/>
                <w:sz w:val="20"/>
                <w:szCs w:val="18"/>
                <w:lang w:eastAsia="en-GB"/>
              </w:rPr>
              <w:t>1</w:t>
            </w:r>
          </w:p>
        </w:tc>
      </w:tr>
      <w:tr w:rsidR="00463B2D" w:rsidRPr="0077388B" w14:paraId="436F6CB5" w14:textId="77777777" w:rsidTr="00A20F4C">
        <w:trPr>
          <w:trHeight w:val="275"/>
        </w:trPr>
        <w:tc>
          <w:tcPr>
            <w:tcW w:w="2584" w:type="pct"/>
            <w:tcBorders>
              <w:top w:val="nil"/>
              <w:left w:val="nil"/>
              <w:bottom w:val="nil"/>
              <w:right w:val="nil"/>
            </w:tcBorders>
            <w:shd w:val="clear" w:color="auto" w:fill="auto"/>
            <w:noWrap/>
            <w:vAlign w:val="bottom"/>
          </w:tcPr>
          <w:p w14:paraId="3F3C63B2" w14:textId="70D5E745" w:rsidR="00463B2D" w:rsidRPr="0077388B" w:rsidRDefault="00015CB6" w:rsidP="00463B2D">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Forex</w:t>
            </w:r>
          </w:p>
        </w:tc>
        <w:tc>
          <w:tcPr>
            <w:tcW w:w="229" w:type="pct"/>
            <w:tcBorders>
              <w:top w:val="nil"/>
              <w:left w:val="nil"/>
              <w:bottom w:val="nil"/>
              <w:right w:val="nil"/>
            </w:tcBorders>
            <w:shd w:val="clear" w:color="auto" w:fill="auto"/>
            <w:noWrap/>
            <w:vAlign w:val="bottom"/>
          </w:tcPr>
          <w:p w14:paraId="0AC973B1" w14:textId="77777777" w:rsidR="00463B2D" w:rsidRPr="0077388B" w:rsidRDefault="00463B2D" w:rsidP="00463B2D">
            <w:pPr>
              <w:rPr>
                <w:rFonts w:ascii="Calibri" w:eastAsia="Times New Roman" w:hAnsi="Calibri" w:cs="Arial"/>
                <w:color w:val="000000"/>
                <w:sz w:val="20"/>
                <w:szCs w:val="18"/>
                <w:lang w:eastAsia="en-GB"/>
              </w:rPr>
            </w:pPr>
          </w:p>
        </w:tc>
        <w:tc>
          <w:tcPr>
            <w:tcW w:w="730" w:type="pct"/>
            <w:tcBorders>
              <w:top w:val="nil"/>
              <w:left w:val="nil"/>
              <w:bottom w:val="nil"/>
              <w:right w:val="nil"/>
            </w:tcBorders>
            <w:shd w:val="clear" w:color="auto" w:fill="auto"/>
            <w:noWrap/>
            <w:vAlign w:val="bottom"/>
          </w:tcPr>
          <w:p w14:paraId="6D680079" w14:textId="45B4F919" w:rsidR="00463B2D" w:rsidRPr="0077388B" w:rsidRDefault="00882A11" w:rsidP="00763235">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139</w:t>
            </w:r>
          </w:p>
        </w:tc>
        <w:tc>
          <w:tcPr>
            <w:tcW w:w="730" w:type="pct"/>
            <w:tcBorders>
              <w:top w:val="nil"/>
              <w:left w:val="nil"/>
              <w:bottom w:val="nil"/>
              <w:right w:val="nil"/>
            </w:tcBorders>
            <w:vAlign w:val="bottom"/>
          </w:tcPr>
          <w:p w14:paraId="643521A7" w14:textId="72ED6C4D" w:rsidR="00463B2D" w:rsidRPr="004617E7" w:rsidRDefault="00015CB6"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(23)</w:t>
            </w:r>
          </w:p>
        </w:tc>
        <w:tc>
          <w:tcPr>
            <w:tcW w:w="727" w:type="pct"/>
            <w:tcBorders>
              <w:top w:val="nil"/>
              <w:left w:val="nil"/>
              <w:bottom w:val="nil"/>
              <w:right w:val="nil"/>
            </w:tcBorders>
            <w:shd w:val="clear" w:color="auto" w:fill="auto"/>
            <w:noWrap/>
            <w:vAlign w:val="bottom"/>
          </w:tcPr>
          <w:p w14:paraId="49E7247B" w14:textId="0692B297" w:rsidR="00463B2D" w:rsidRPr="004617E7" w:rsidRDefault="00015CB6"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(350)</w:t>
            </w:r>
          </w:p>
        </w:tc>
      </w:tr>
      <w:tr w:rsidR="00463B2D" w:rsidRPr="0077388B" w14:paraId="329A772F" w14:textId="77777777" w:rsidTr="00A20F4C">
        <w:trPr>
          <w:trHeight w:val="288"/>
        </w:trPr>
        <w:tc>
          <w:tcPr>
            <w:tcW w:w="2584" w:type="pct"/>
            <w:tcBorders>
              <w:top w:val="nil"/>
              <w:left w:val="nil"/>
              <w:bottom w:val="nil"/>
              <w:right w:val="nil"/>
            </w:tcBorders>
            <w:shd w:val="clear" w:color="auto" w:fill="auto"/>
            <w:noWrap/>
            <w:vAlign w:val="bottom"/>
          </w:tcPr>
          <w:p w14:paraId="7002F2A3" w14:textId="77777777" w:rsidR="00463B2D" w:rsidRPr="0077388B" w:rsidRDefault="00463B2D" w:rsidP="00463B2D">
            <w:pPr>
              <w:rPr>
                <w:rFonts w:ascii="Calibri" w:eastAsia="Times New Roman" w:hAnsi="Calibri" w:cs="Arial"/>
                <w:color w:val="000000"/>
                <w:sz w:val="20"/>
                <w:szCs w:val="18"/>
                <w:lang w:eastAsia="en-GB"/>
              </w:rPr>
            </w:pPr>
          </w:p>
        </w:tc>
        <w:tc>
          <w:tcPr>
            <w:tcW w:w="229" w:type="pct"/>
            <w:tcBorders>
              <w:top w:val="nil"/>
              <w:left w:val="nil"/>
              <w:bottom w:val="nil"/>
              <w:right w:val="nil"/>
            </w:tcBorders>
            <w:shd w:val="clear" w:color="auto" w:fill="auto"/>
            <w:noWrap/>
            <w:vAlign w:val="bottom"/>
          </w:tcPr>
          <w:p w14:paraId="3C234F8D" w14:textId="77777777" w:rsidR="00463B2D" w:rsidRPr="0077388B" w:rsidRDefault="00463B2D" w:rsidP="00463B2D">
            <w:pPr>
              <w:rPr>
                <w:rFonts w:ascii="Calibri" w:eastAsia="Times New Roman" w:hAnsi="Calibri" w:cs="Arial"/>
                <w:color w:val="000000"/>
                <w:sz w:val="20"/>
                <w:szCs w:val="18"/>
                <w:lang w:eastAsia="en-GB"/>
              </w:rPr>
            </w:pPr>
          </w:p>
        </w:tc>
        <w:tc>
          <w:tcPr>
            <w:tcW w:w="730" w:type="pct"/>
            <w:tcBorders>
              <w:top w:val="nil"/>
              <w:left w:val="nil"/>
              <w:bottom w:val="nil"/>
              <w:right w:val="nil"/>
            </w:tcBorders>
            <w:shd w:val="clear" w:color="auto" w:fill="auto"/>
            <w:noWrap/>
            <w:vAlign w:val="bottom"/>
          </w:tcPr>
          <w:p w14:paraId="31AFA346" w14:textId="77777777" w:rsidR="00463B2D" w:rsidRPr="0077388B" w:rsidRDefault="00463B2D" w:rsidP="00763235">
            <w:pPr>
              <w:jc w:val="right"/>
              <w:rPr>
                <w:rFonts w:ascii="Calibri" w:eastAsia="Times New Roman" w:hAnsi="Calibri" w:cs="Arial"/>
                <w:b/>
                <w:bCs/>
                <w:color w:val="000000"/>
                <w:sz w:val="20"/>
                <w:szCs w:val="18"/>
                <w:lang w:eastAsia="en-GB"/>
              </w:rPr>
            </w:pPr>
          </w:p>
        </w:tc>
        <w:tc>
          <w:tcPr>
            <w:tcW w:w="730" w:type="pct"/>
            <w:tcBorders>
              <w:top w:val="nil"/>
              <w:left w:val="nil"/>
              <w:bottom w:val="nil"/>
              <w:right w:val="nil"/>
            </w:tcBorders>
            <w:vAlign w:val="bottom"/>
          </w:tcPr>
          <w:p w14:paraId="234F8A21" w14:textId="77777777" w:rsidR="00463B2D" w:rsidRPr="004617E7" w:rsidRDefault="00463B2D" w:rsidP="00763235">
            <w:pPr>
              <w:jc w:val="right"/>
              <w:rPr>
                <w:rFonts w:ascii="Calibri" w:eastAsia="Times New Roman" w:hAnsi="Calibri" w:cs="Arial"/>
                <w:b/>
                <w:color w:val="000000"/>
                <w:sz w:val="20"/>
                <w:szCs w:val="18"/>
                <w:lang w:eastAsia="en-GB"/>
              </w:rPr>
            </w:pPr>
          </w:p>
        </w:tc>
        <w:tc>
          <w:tcPr>
            <w:tcW w:w="727" w:type="pct"/>
            <w:tcBorders>
              <w:top w:val="nil"/>
              <w:left w:val="nil"/>
              <w:bottom w:val="nil"/>
              <w:right w:val="nil"/>
            </w:tcBorders>
            <w:shd w:val="clear" w:color="auto" w:fill="auto"/>
            <w:noWrap/>
            <w:vAlign w:val="bottom"/>
          </w:tcPr>
          <w:p w14:paraId="3A17801C" w14:textId="247122C4" w:rsidR="00463B2D" w:rsidRPr="004617E7" w:rsidRDefault="00463B2D" w:rsidP="00763235">
            <w:pPr>
              <w:jc w:val="right"/>
              <w:rPr>
                <w:rFonts w:ascii="Calibri" w:eastAsia="Times New Roman" w:hAnsi="Calibri" w:cs="Arial"/>
                <w:b/>
                <w:color w:val="000000"/>
                <w:sz w:val="20"/>
                <w:szCs w:val="18"/>
                <w:lang w:eastAsia="en-GB"/>
              </w:rPr>
            </w:pPr>
          </w:p>
        </w:tc>
      </w:tr>
      <w:tr w:rsidR="00463B2D" w:rsidRPr="0077388B" w14:paraId="7188698D" w14:textId="77777777" w:rsidTr="00A20F4C">
        <w:trPr>
          <w:trHeight w:val="288"/>
        </w:trPr>
        <w:tc>
          <w:tcPr>
            <w:tcW w:w="2584" w:type="pct"/>
            <w:tcBorders>
              <w:top w:val="nil"/>
              <w:left w:val="nil"/>
              <w:bottom w:val="nil"/>
              <w:right w:val="nil"/>
            </w:tcBorders>
            <w:shd w:val="clear" w:color="auto" w:fill="auto"/>
            <w:noWrap/>
            <w:vAlign w:val="bottom"/>
            <w:hideMark/>
          </w:tcPr>
          <w:p w14:paraId="6ADB04B6" w14:textId="77777777" w:rsidR="00463B2D" w:rsidRPr="0077388B" w:rsidRDefault="00463B2D" w:rsidP="00463B2D">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Operating loss before changes in working capital</w:t>
            </w:r>
          </w:p>
        </w:tc>
        <w:tc>
          <w:tcPr>
            <w:tcW w:w="229" w:type="pct"/>
            <w:tcBorders>
              <w:top w:val="nil"/>
              <w:left w:val="nil"/>
              <w:bottom w:val="nil"/>
              <w:right w:val="nil"/>
            </w:tcBorders>
            <w:shd w:val="clear" w:color="auto" w:fill="auto"/>
            <w:noWrap/>
            <w:vAlign w:val="bottom"/>
            <w:hideMark/>
          </w:tcPr>
          <w:p w14:paraId="6F50B49F" w14:textId="77777777" w:rsidR="00463B2D" w:rsidRPr="0077388B" w:rsidRDefault="00463B2D" w:rsidP="00463B2D">
            <w:pPr>
              <w:rPr>
                <w:rFonts w:ascii="Calibri" w:eastAsia="Times New Roman" w:hAnsi="Calibri" w:cs="Arial"/>
                <w:b/>
                <w:bCs/>
                <w:color w:val="000000"/>
                <w:sz w:val="20"/>
                <w:szCs w:val="18"/>
                <w:lang w:eastAsia="en-GB"/>
              </w:rPr>
            </w:pPr>
          </w:p>
        </w:tc>
        <w:tc>
          <w:tcPr>
            <w:tcW w:w="730" w:type="pct"/>
            <w:tcBorders>
              <w:top w:val="single" w:sz="8" w:space="0" w:color="auto"/>
              <w:left w:val="nil"/>
              <w:bottom w:val="single" w:sz="8" w:space="0" w:color="auto"/>
              <w:right w:val="nil"/>
            </w:tcBorders>
            <w:shd w:val="clear" w:color="auto" w:fill="auto"/>
            <w:noWrap/>
            <w:vAlign w:val="bottom"/>
          </w:tcPr>
          <w:p w14:paraId="062E375E" w14:textId="297B9F92" w:rsidR="00463B2D" w:rsidRPr="0077388B" w:rsidRDefault="00015CB6" w:rsidP="00763235">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00882A11">
              <w:rPr>
                <w:rFonts w:ascii="Calibri" w:eastAsia="Times New Roman" w:hAnsi="Calibri" w:cs="Arial"/>
                <w:b/>
                <w:bCs/>
                <w:color w:val="000000"/>
                <w:sz w:val="20"/>
                <w:szCs w:val="18"/>
                <w:lang w:eastAsia="en-GB"/>
              </w:rPr>
              <w:t>575</w:t>
            </w:r>
            <w:r>
              <w:rPr>
                <w:rFonts w:ascii="Calibri" w:eastAsia="Times New Roman" w:hAnsi="Calibri" w:cs="Arial"/>
                <w:b/>
                <w:bCs/>
                <w:color w:val="000000"/>
                <w:sz w:val="20"/>
                <w:szCs w:val="18"/>
                <w:lang w:eastAsia="en-GB"/>
              </w:rPr>
              <w:t>)</w:t>
            </w:r>
          </w:p>
        </w:tc>
        <w:tc>
          <w:tcPr>
            <w:tcW w:w="730" w:type="pct"/>
            <w:tcBorders>
              <w:top w:val="single" w:sz="8" w:space="0" w:color="auto"/>
              <w:left w:val="nil"/>
              <w:bottom w:val="single" w:sz="8" w:space="0" w:color="auto"/>
              <w:right w:val="nil"/>
            </w:tcBorders>
            <w:vAlign w:val="bottom"/>
          </w:tcPr>
          <w:p w14:paraId="7857E685" w14:textId="34CDCF63" w:rsidR="00463B2D" w:rsidRDefault="00463B2D" w:rsidP="00763235">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00763235">
              <w:rPr>
                <w:rFonts w:ascii="Calibri" w:eastAsia="Times New Roman" w:hAnsi="Calibri" w:cs="Arial"/>
                <w:b/>
                <w:bCs/>
                <w:color w:val="000000"/>
                <w:sz w:val="20"/>
                <w:szCs w:val="18"/>
                <w:lang w:eastAsia="en-GB"/>
              </w:rPr>
              <w:t>2</w:t>
            </w:r>
            <w:r w:rsidR="00015CB6">
              <w:rPr>
                <w:rFonts w:ascii="Calibri" w:eastAsia="Times New Roman" w:hAnsi="Calibri" w:cs="Arial"/>
                <w:b/>
                <w:bCs/>
                <w:color w:val="000000"/>
                <w:sz w:val="20"/>
                <w:szCs w:val="18"/>
                <w:lang w:eastAsia="en-GB"/>
              </w:rPr>
              <w:t>34</w:t>
            </w:r>
            <w:r>
              <w:rPr>
                <w:rFonts w:ascii="Calibri" w:eastAsia="Times New Roman" w:hAnsi="Calibri" w:cs="Arial"/>
                <w:b/>
                <w:bCs/>
                <w:color w:val="000000"/>
                <w:sz w:val="20"/>
                <w:szCs w:val="18"/>
                <w:lang w:eastAsia="en-GB"/>
              </w:rPr>
              <w:t>)</w:t>
            </w:r>
          </w:p>
        </w:tc>
        <w:tc>
          <w:tcPr>
            <w:tcW w:w="727" w:type="pct"/>
            <w:tcBorders>
              <w:top w:val="single" w:sz="8" w:space="0" w:color="auto"/>
              <w:left w:val="nil"/>
              <w:bottom w:val="single" w:sz="8" w:space="0" w:color="auto"/>
              <w:right w:val="nil"/>
            </w:tcBorders>
            <w:shd w:val="clear" w:color="auto" w:fill="auto"/>
            <w:noWrap/>
            <w:vAlign w:val="bottom"/>
          </w:tcPr>
          <w:p w14:paraId="360ED183" w14:textId="6F718DBD" w:rsidR="00463B2D" w:rsidRPr="004617E7" w:rsidRDefault="00015CB6"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(771)</w:t>
            </w:r>
          </w:p>
        </w:tc>
      </w:tr>
      <w:tr w:rsidR="00463B2D" w:rsidRPr="0077388B" w14:paraId="4F63A6A4" w14:textId="77777777" w:rsidTr="00A20F4C">
        <w:trPr>
          <w:trHeight w:val="275"/>
        </w:trPr>
        <w:tc>
          <w:tcPr>
            <w:tcW w:w="2584" w:type="pct"/>
            <w:tcBorders>
              <w:top w:val="nil"/>
              <w:left w:val="nil"/>
              <w:bottom w:val="nil"/>
              <w:right w:val="nil"/>
            </w:tcBorders>
            <w:shd w:val="clear" w:color="auto" w:fill="auto"/>
            <w:noWrap/>
            <w:vAlign w:val="bottom"/>
            <w:hideMark/>
          </w:tcPr>
          <w:p w14:paraId="194633B2" w14:textId="77777777" w:rsidR="00463B2D" w:rsidRPr="0077388B" w:rsidRDefault="00463B2D" w:rsidP="00463B2D">
            <w:pPr>
              <w:jc w:val="right"/>
              <w:rPr>
                <w:rFonts w:ascii="Calibri" w:eastAsia="Times New Roman" w:hAnsi="Calibri" w:cs="Arial"/>
                <w:color w:val="000000"/>
                <w:sz w:val="20"/>
                <w:szCs w:val="18"/>
                <w:lang w:eastAsia="en-GB"/>
              </w:rPr>
            </w:pPr>
          </w:p>
        </w:tc>
        <w:tc>
          <w:tcPr>
            <w:tcW w:w="229" w:type="pct"/>
            <w:tcBorders>
              <w:top w:val="nil"/>
              <w:left w:val="nil"/>
              <w:bottom w:val="nil"/>
              <w:right w:val="nil"/>
            </w:tcBorders>
            <w:shd w:val="clear" w:color="auto" w:fill="auto"/>
            <w:noWrap/>
            <w:vAlign w:val="bottom"/>
            <w:hideMark/>
          </w:tcPr>
          <w:p w14:paraId="3539F5AD" w14:textId="77777777" w:rsidR="00463B2D" w:rsidRPr="0077388B" w:rsidRDefault="00463B2D" w:rsidP="00463B2D">
            <w:pPr>
              <w:rPr>
                <w:rFonts w:ascii="Calibri" w:eastAsia="Times New Roman" w:hAnsi="Calibri"/>
                <w:sz w:val="20"/>
                <w:szCs w:val="20"/>
                <w:lang w:eastAsia="en-GB"/>
              </w:rPr>
            </w:pPr>
          </w:p>
        </w:tc>
        <w:tc>
          <w:tcPr>
            <w:tcW w:w="730" w:type="pct"/>
            <w:tcBorders>
              <w:top w:val="nil"/>
              <w:left w:val="nil"/>
              <w:bottom w:val="nil"/>
              <w:right w:val="nil"/>
            </w:tcBorders>
            <w:shd w:val="clear" w:color="auto" w:fill="auto"/>
            <w:noWrap/>
            <w:vAlign w:val="bottom"/>
          </w:tcPr>
          <w:p w14:paraId="0B92C8AA" w14:textId="77777777" w:rsidR="00463B2D" w:rsidRPr="0077388B" w:rsidRDefault="00463B2D" w:rsidP="00763235">
            <w:pPr>
              <w:jc w:val="right"/>
              <w:rPr>
                <w:rFonts w:ascii="Calibri" w:eastAsia="Times New Roman" w:hAnsi="Calibri"/>
                <w:sz w:val="20"/>
                <w:szCs w:val="20"/>
                <w:lang w:eastAsia="en-GB"/>
              </w:rPr>
            </w:pPr>
          </w:p>
        </w:tc>
        <w:tc>
          <w:tcPr>
            <w:tcW w:w="730" w:type="pct"/>
            <w:tcBorders>
              <w:top w:val="nil"/>
              <w:left w:val="nil"/>
              <w:bottom w:val="nil"/>
              <w:right w:val="nil"/>
            </w:tcBorders>
            <w:vAlign w:val="bottom"/>
          </w:tcPr>
          <w:p w14:paraId="5290AAD8" w14:textId="77777777" w:rsidR="00463B2D" w:rsidRPr="004617E7" w:rsidRDefault="00463B2D" w:rsidP="00763235">
            <w:pPr>
              <w:jc w:val="right"/>
              <w:rPr>
                <w:rFonts w:ascii="Calibri" w:eastAsia="Times New Roman" w:hAnsi="Calibri"/>
                <w:b/>
                <w:sz w:val="20"/>
                <w:szCs w:val="20"/>
                <w:lang w:eastAsia="en-GB"/>
              </w:rPr>
            </w:pPr>
          </w:p>
        </w:tc>
        <w:tc>
          <w:tcPr>
            <w:tcW w:w="727" w:type="pct"/>
            <w:tcBorders>
              <w:top w:val="nil"/>
              <w:left w:val="nil"/>
              <w:bottom w:val="nil"/>
              <w:right w:val="nil"/>
            </w:tcBorders>
            <w:shd w:val="clear" w:color="auto" w:fill="auto"/>
            <w:noWrap/>
            <w:vAlign w:val="bottom"/>
          </w:tcPr>
          <w:p w14:paraId="1928DAEE" w14:textId="5F336AAF" w:rsidR="00463B2D" w:rsidRPr="004617E7" w:rsidRDefault="00463B2D" w:rsidP="00763235">
            <w:pPr>
              <w:jc w:val="right"/>
              <w:rPr>
                <w:rFonts w:ascii="Calibri" w:eastAsia="Times New Roman" w:hAnsi="Calibri"/>
                <w:b/>
                <w:sz w:val="20"/>
                <w:szCs w:val="20"/>
                <w:lang w:eastAsia="en-GB"/>
              </w:rPr>
            </w:pPr>
          </w:p>
        </w:tc>
      </w:tr>
      <w:tr w:rsidR="00463B2D" w:rsidRPr="0077388B" w14:paraId="7065A6FE" w14:textId="77777777" w:rsidTr="00A20F4C">
        <w:trPr>
          <w:trHeight w:val="275"/>
        </w:trPr>
        <w:tc>
          <w:tcPr>
            <w:tcW w:w="2584" w:type="pct"/>
            <w:tcBorders>
              <w:top w:val="nil"/>
              <w:left w:val="nil"/>
              <w:bottom w:val="nil"/>
              <w:right w:val="nil"/>
            </w:tcBorders>
            <w:shd w:val="clear" w:color="auto" w:fill="auto"/>
            <w:noWrap/>
            <w:vAlign w:val="bottom"/>
          </w:tcPr>
          <w:p w14:paraId="3CFCB4AD" w14:textId="77777777" w:rsidR="00463B2D" w:rsidRPr="0077388B" w:rsidRDefault="00463B2D" w:rsidP="00463B2D">
            <w:pPr>
              <w:rPr>
                <w:rFonts w:ascii="Calibri" w:eastAsia="Times New Roman" w:hAnsi="Calibri" w:cs="Arial"/>
                <w:color w:val="000000"/>
                <w:sz w:val="20"/>
                <w:szCs w:val="18"/>
                <w:lang w:eastAsia="en-GB"/>
              </w:rPr>
            </w:pPr>
          </w:p>
        </w:tc>
        <w:tc>
          <w:tcPr>
            <w:tcW w:w="229" w:type="pct"/>
            <w:tcBorders>
              <w:top w:val="nil"/>
              <w:left w:val="nil"/>
              <w:bottom w:val="nil"/>
              <w:right w:val="nil"/>
            </w:tcBorders>
            <w:shd w:val="clear" w:color="auto" w:fill="auto"/>
            <w:noWrap/>
            <w:vAlign w:val="bottom"/>
          </w:tcPr>
          <w:p w14:paraId="45AC152F" w14:textId="77777777" w:rsidR="00463B2D" w:rsidRPr="0077388B" w:rsidRDefault="00463B2D" w:rsidP="00463B2D">
            <w:pPr>
              <w:rPr>
                <w:rFonts w:ascii="Calibri" w:eastAsia="Times New Roman" w:hAnsi="Calibri" w:cs="Arial"/>
                <w:color w:val="000000"/>
                <w:sz w:val="20"/>
                <w:szCs w:val="18"/>
                <w:lang w:eastAsia="en-GB"/>
              </w:rPr>
            </w:pPr>
          </w:p>
        </w:tc>
        <w:tc>
          <w:tcPr>
            <w:tcW w:w="730" w:type="pct"/>
            <w:tcBorders>
              <w:top w:val="nil"/>
              <w:left w:val="nil"/>
              <w:bottom w:val="nil"/>
              <w:right w:val="nil"/>
            </w:tcBorders>
            <w:shd w:val="clear" w:color="auto" w:fill="auto"/>
            <w:noWrap/>
            <w:vAlign w:val="bottom"/>
          </w:tcPr>
          <w:p w14:paraId="75B578B9" w14:textId="77777777" w:rsidR="00463B2D" w:rsidRPr="0077388B" w:rsidRDefault="00463B2D" w:rsidP="00763235">
            <w:pPr>
              <w:jc w:val="right"/>
              <w:rPr>
                <w:rFonts w:ascii="Calibri" w:eastAsia="Times New Roman" w:hAnsi="Calibri" w:cs="Arial"/>
                <w:b/>
                <w:bCs/>
                <w:color w:val="000000"/>
                <w:sz w:val="20"/>
                <w:szCs w:val="18"/>
                <w:lang w:eastAsia="en-GB"/>
              </w:rPr>
            </w:pPr>
          </w:p>
        </w:tc>
        <w:tc>
          <w:tcPr>
            <w:tcW w:w="730" w:type="pct"/>
            <w:tcBorders>
              <w:top w:val="nil"/>
              <w:left w:val="nil"/>
              <w:bottom w:val="nil"/>
              <w:right w:val="nil"/>
            </w:tcBorders>
            <w:vAlign w:val="bottom"/>
          </w:tcPr>
          <w:p w14:paraId="26696BD5" w14:textId="77777777" w:rsidR="00463B2D" w:rsidRPr="004617E7" w:rsidRDefault="00463B2D" w:rsidP="00763235">
            <w:pPr>
              <w:jc w:val="right"/>
              <w:rPr>
                <w:rFonts w:ascii="Calibri" w:eastAsia="Times New Roman" w:hAnsi="Calibri" w:cs="Arial"/>
                <w:b/>
                <w:color w:val="000000"/>
                <w:sz w:val="20"/>
                <w:szCs w:val="18"/>
                <w:lang w:eastAsia="en-GB"/>
              </w:rPr>
            </w:pPr>
          </w:p>
        </w:tc>
        <w:tc>
          <w:tcPr>
            <w:tcW w:w="727" w:type="pct"/>
            <w:tcBorders>
              <w:top w:val="nil"/>
              <w:left w:val="nil"/>
              <w:bottom w:val="nil"/>
              <w:right w:val="nil"/>
            </w:tcBorders>
            <w:shd w:val="clear" w:color="auto" w:fill="auto"/>
            <w:noWrap/>
            <w:vAlign w:val="bottom"/>
          </w:tcPr>
          <w:p w14:paraId="4DE54A71" w14:textId="12F6F032" w:rsidR="00463B2D" w:rsidRPr="004617E7" w:rsidRDefault="00463B2D" w:rsidP="00763235">
            <w:pPr>
              <w:jc w:val="right"/>
              <w:rPr>
                <w:rFonts w:ascii="Calibri" w:eastAsia="Times New Roman" w:hAnsi="Calibri" w:cs="Arial"/>
                <w:b/>
                <w:color w:val="000000"/>
                <w:sz w:val="20"/>
                <w:szCs w:val="18"/>
                <w:lang w:eastAsia="en-GB"/>
              </w:rPr>
            </w:pPr>
          </w:p>
        </w:tc>
      </w:tr>
      <w:tr w:rsidR="00463B2D" w:rsidRPr="0077388B" w14:paraId="71C5A35A" w14:textId="77777777" w:rsidTr="00A20F4C">
        <w:trPr>
          <w:trHeight w:val="275"/>
        </w:trPr>
        <w:tc>
          <w:tcPr>
            <w:tcW w:w="2584" w:type="pct"/>
            <w:tcBorders>
              <w:top w:val="nil"/>
              <w:left w:val="nil"/>
              <w:bottom w:val="nil"/>
              <w:right w:val="nil"/>
            </w:tcBorders>
            <w:shd w:val="clear" w:color="auto" w:fill="auto"/>
            <w:noWrap/>
            <w:vAlign w:val="bottom"/>
            <w:hideMark/>
          </w:tcPr>
          <w:p w14:paraId="06C4453B" w14:textId="77777777" w:rsidR="00463B2D" w:rsidRPr="0077388B" w:rsidRDefault="00463B2D" w:rsidP="00463B2D">
            <w:pPr>
              <w:rPr>
                <w:rFonts w:ascii="Calibri" w:eastAsia="Times New Roman" w:hAnsi="Calibri" w:cs="Arial"/>
                <w:color w:val="000000"/>
                <w:sz w:val="20"/>
                <w:szCs w:val="18"/>
                <w:lang w:eastAsia="en-GB"/>
              </w:rPr>
            </w:pPr>
            <w:r w:rsidRPr="0077388B">
              <w:rPr>
                <w:rFonts w:ascii="Calibri" w:eastAsia="Times New Roman" w:hAnsi="Calibri" w:cs="Arial"/>
                <w:color w:val="000000"/>
                <w:sz w:val="20"/>
                <w:szCs w:val="18"/>
                <w:lang w:eastAsia="en-GB"/>
              </w:rPr>
              <w:t>(Increase)/decrease in trade and other receivables</w:t>
            </w:r>
          </w:p>
        </w:tc>
        <w:tc>
          <w:tcPr>
            <w:tcW w:w="229" w:type="pct"/>
            <w:tcBorders>
              <w:top w:val="nil"/>
              <w:left w:val="nil"/>
              <w:bottom w:val="nil"/>
              <w:right w:val="nil"/>
            </w:tcBorders>
            <w:shd w:val="clear" w:color="auto" w:fill="auto"/>
            <w:noWrap/>
            <w:vAlign w:val="bottom"/>
            <w:hideMark/>
          </w:tcPr>
          <w:p w14:paraId="32A08BBA" w14:textId="77777777" w:rsidR="00463B2D" w:rsidRPr="0077388B" w:rsidRDefault="00463B2D" w:rsidP="00463B2D">
            <w:pPr>
              <w:rPr>
                <w:rFonts w:ascii="Calibri" w:eastAsia="Times New Roman" w:hAnsi="Calibri" w:cs="Arial"/>
                <w:color w:val="000000"/>
                <w:sz w:val="20"/>
                <w:szCs w:val="18"/>
                <w:lang w:eastAsia="en-GB"/>
              </w:rPr>
            </w:pPr>
          </w:p>
        </w:tc>
        <w:tc>
          <w:tcPr>
            <w:tcW w:w="730" w:type="pct"/>
            <w:tcBorders>
              <w:top w:val="nil"/>
              <w:left w:val="nil"/>
              <w:bottom w:val="nil"/>
              <w:right w:val="nil"/>
            </w:tcBorders>
            <w:shd w:val="clear" w:color="auto" w:fill="auto"/>
            <w:noWrap/>
            <w:vAlign w:val="bottom"/>
          </w:tcPr>
          <w:p w14:paraId="541D2740" w14:textId="6C17B8D2" w:rsidR="00463B2D" w:rsidRPr="0077388B" w:rsidRDefault="00015CB6" w:rsidP="00763235">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(4,8</w:t>
            </w:r>
            <w:r w:rsidR="00882A11">
              <w:rPr>
                <w:rFonts w:ascii="Calibri" w:eastAsia="Times New Roman" w:hAnsi="Calibri" w:cs="Arial"/>
                <w:b/>
                <w:bCs/>
                <w:color w:val="000000"/>
                <w:sz w:val="20"/>
                <w:szCs w:val="18"/>
                <w:lang w:eastAsia="en-GB"/>
              </w:rPr>
              <w:t>0</w:t>
            </w:r>
            <w:r w:rsidR="009D2A38">
              <w:rPr>
                <w:rFonts w:ascii="Calibri" w:eastAsia="Times New Roman" w:hAnsi="Calibri" w:cs="Arial"/>
                <w:b/>
                <w:bCs/>
                <w:color w:val="000000"/>
                <w:sz w:val="20"/>
                <w:szCs w:val="18"/>
                <w:lang w:eastAsia="en-GB"/>
              </w:rPr>
              <w:t>8</w:t>
            </w:r>
            <w:r>
              <w:rPr>
                <w:rFonts w:ascii="Calibri" w:eastAsia="Times New Roman" w:hAnsi="Calibri" w:cs="Arial"/>
                <w:b/>
                <w:bCs/>
                <w:color w:val="000000"/>
                <w:sz w:val="20"/>
                <w:szCs w:val="18"/>
                <w:lang w:eastAsia="en-GB"/>
              </w:rPr>
              <w:t>)</w:t>
            </w:r>
          </w:p>
        </w:tc>
        <w:tc>
          <w:tcPr>
            <w:tcW w:w="730" w:type="pct"/>
            <w:tcBorders>
              <w:top w:val="nil"/>
              <w:left w:val="nil"/>
              <w:bottom w:val="nil"/>
              <w:right w:val="nil"/>
            </w:tcBorders>
            <w:vAlign w:val="bottom"/>
          </w:tcPr>
          <w:p w14:paraId="6E6C8BC4" w14:textId="64C052C7" w:rsidR="00463B2D" w:rsidRDefault="00015CB6" w:rsidP="00763235">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w:t>
            </w:r>
          </w:p>
        </w:tc>
        <w:tc>
          <w:tcPr>
            <w:tcW w:w="727" w:type="pct"/>
            <w:tcBorders>
              <w:top w:val="nil"/>
              <w:left w:val="nil"/>
              <w:bottom w:val="nil"/>
              <w:right w:val="nil"/>
            </w:tcBorders>
            <w:shd w:val="clear" w:color="auto" w:fill="auto"/>
            <w:noWrap/>
            <w:vAlign w:val="bottom"/>
          </w:tcPr>
          <w:p w14:paraId="7D77A36E" w14:textId="49DC8C89" w:rsidR="00463B2D" w:rsidRPr="004617E7" w:rsidRDefault="00015CB6"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91</w:t>
            </w:r>
          </w:p>
        </w:tc>
      </w:tr>
      <w:tr w:rsidR="00463B2D" w:rsidRPr="0077388B" w14:paraId="2884D5E8" w14:textId="77777777" w:rsidTr="00A20F4C">
        <w:trPr>
          <w:trHeight w:val="288"/>
        </w:trPr>
        <w:tc>
          <w:tcPr>
            <w:tcW w:w="2584" w:type="pct"/>
            <w:tcBorders>
              <w:top w:val="nil"/>
              <w:left w:val="nil"/>
              <w:bottom w:val="nil"/>
              <w:right w:val="nil"/>
            </w:tcBorders>
            <w:shd w:val="clear" w:color="auto" w:fill="auto"/>
            <w:noWrap/>
            <w:vAlign w:val="bottom"/>
            <w:hideMark/>
          </w:tcPr>
          <w:p w14:paraId="46189F38" w14:textId="664BF5A7" w:rsidR="00463B2D" w:rsidRPr="0077388B" w:rsidRDefault="00463B2D" w:rsidP="00463B2D">
            <w:pPr>
              <w:rPr>
                <w:rFonts w:ascii="Calibri" w:eastAsia="Times New Roman" w:hAnsi="Calibri" w:cs="Arial"/>
                <w:color w:val="000000"/>
                <w:sz w:val="20"/>
                <w:szCs w:val="18"/>
                <w:lang w:eastAsia="en-GB"/>
              </w:rPr>
            </w:pPr>
            <w:r w:rsidRPr="0077388B">
              <w:rPr>
                <w:rFonts w:ascii="Calibri" w:eastAsia="Times New Roman" w:hAnsi="Calibri" w:cs="Arial"/>
                <w:color w:val="000000"/>
                <w:sz w:val="20"/>
                <w:szCs w:val="18"/>
                <w:lang w:eastAsia="en-GB"/>
              </w:rPr>
              <w:t xml:space="preserve">(Decrease)/increase in </w:t>
            </w:r>
            <w:r w:rsidR="004A35FB">
              <w:rPr>
                <w:rFonts w:ascii="Calibri" w:eastAsia="Times New Roman" w:hAnsi="Calibri" w:cs="Arial"/>
                <w:color w:val="000000"/>
                <w:sz w:val="20"/>
                <w:szCs w:val="18"/>
                <w:lang w:eastAsia="en-GB"/>
              </w:rPr>
              <w:t>current liabilities</w:t>
            </w:r>
          </w:p>
        </w:tc>
        <w:tc>
          <w:tcPr>
            <w:tcW w:w="229" w:type="pct"/>
            <w:tcBorders>
              <w:top w:val="nil"/>
              <w:left w:val="nil"/>
              <w:bottom w:val="nil"/>
              <w:right w:val="nil"/>
            </w:tcBorders>
            <w:shd w:val="clear" w:color="auto" w:fill="auto"/>
            <w:noWrap/>
            <w:vAlign w:val="bottom"/>
            <w:hideMark/>
          </w:tcPr>
          <w:p w14:paraId="39A0F3FF" w14:textId="77777777" w:rsidR="00463B2D" w:rsidRPr="0077388B" w:rsidRDefault="00463B2D" w:rsidP="00463B2D">
            <w:pPr>
              <w:rPr>
                <w:rFonts w:ascii="Calibri" w:eastAsia="Times New Roman" w:hAnsi="Calibri" w:cs="Arial"/>
                <w:color w:val="000000"/>
                <w:sz w:val="20"/>
                <w:szCs w:val="18"/>
                <w:lang w:eastAsia="en-GB"/>
              </w:rPr>
            </w:pPr>
          </w:p>
        </w:tc>
        <w:tc>
          <w:tcPr>
            <w:tcW w:w="730" w:type="pct"/>
            <w:tcBorders>
              <w:top w:val="nil"/>
              <w:left w:val="nil"/>
              <w:bottom w:val="nil"/>
              <w:right w:val="nil"/>
            </w:tcBorders>
            <w:shd w:val="clear" w:color="auto" w:fill="auto"/>
            <w:noWrap/>
            <w:vAlign w:val="bottom"/>
          </w:tcPr>
          <w:p w14:paraId="6EBD5081" w14:textId="3CA8B5D4" w:rsidR="00463B2D" w:rsidRPr="0077388B" w:rsidRDefault="00015CB6" w:rsidP="00763235">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4,594</w:t>
            </w:r>
          </w:p>
        </w:tc>
        <w:tc>
          <w:tcPr>
            <w:tcW w:w="730" w:type="pct"/>
            <w:tcBorders>
              <w:top w:val="nil"/>
              <w:left w:val="nil"/>
              <w:bottom w:val="nil"/>
              <w:right w:val="nil"/>
            </w:tcBorders>
            <w:vAlign w:val="bottom"/>
          </w:tcPr>
          <w:p w14:paraId="4E986BC5" w14:textId="16C42696" w:rsidR="00463B2D" w:rsidRDefault="00763235" w:rsidP="00763235">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00015CB6">
              <w:rPr>
                <w:rFonts w:ascii="Calibri" w:eastAsia="Times New Roman" w:hAnsi="Calibri" w:cs="Arial"/>
                <w:b/>
                <w:bCs/>
                <w:color w:val="000000"/>
                <w:sz w:val="20"/>
                <w:szCs w:val="18"/>
                <w:lang w:eastAsia="en-GB"/>
              </w:rPr>
              <w:t>5</w:t>
            </w:r>
            <w:r>
              <w:rPr>
                <w:rFonts w:ascii="Calibri" w:eastAsia="Times New Roman" w:hAnsi="Calibri" w:cs="Arial"/>
                <w:b/>
                <w:bCs/>
                <w:color w:val="000000"/>
                <w:sz w:val="20"/>
                <w:szCs w:val="18"/>
                <w:lang w:eastAsia="en-GB"/>
              </w:rPr>
              <w:t>6)</w:t>
            </w:r>
          </w:p>
        </w:tc>
        <w:tc>
          <w:tcPr>
            <w:tcW w:w="727" w:type="pct"/>
            <w:tcBorders>
              <w:top w:val="nil"/>
              <w:left w:val="nil"/>
              <w:bottom w:val="nil"/>
              <w:right w:val="nil"/>
            </w:tcBorders>
            <w:shd w:val="clear" w:color="auto" w:fill="auto"/>
            <w:noWrap/>
            <w:vAlign w:val="bottom"/>
          </w:tcPr>
          <w:p w14:paraId="6FC66104" w14:textId="3BBFFF72" w:rsidR="00463B2D" w:rsidRPr="004617E7" w:rsidRDefault="00015CB6"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(60)</w:t>
            </w:r>
          </w:p>
        </w:tc>
      </w:tr>
      <w:tr w:rsidR="00463B2D" w:rsidRPr="0077388B" w14:paraId="2ECC48D8" w14:textId="77777777" w:rsidTr="00A20F4C">
        <w:trPr>
          <w:trHeight w:val="288"/>
        </w:trPr>
        <w:tc>
          <w:tcPr>
            <w:tcW w:w="2584" w:type="pct"/>
            <w:tcBorders>
              <w:top w:val="nil"/>
              <w:left w:val="nil"/>
              <w:bottom w:val="nil"/>
              <w:right w:val="nil"/>
            </w:tcBorders>
            <w:shd w:val="clear" w:color="auto" w:fill="auto"/>
            <w:noWrap/>
            <w:vAlign w:val="bottom"/>
            <w:hideMark/>
          </w:tcPr>
          <w:p w14:paraId="0B0EFE13" w14:textId="77777777" w:rsidR="00463B2D" w:rsidRPr="0077388B" w:rsidRDefault="00463B2D" w:rsidP="00463B2D">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 xml:space="preserve">Net cash used in operating activities </w:t>
            </w:r>
          </w:p>
        </w:tc>
        <w:tc>
          <w:tcPr>
            <w:tcW w:w="229" w:type="pct"/>
            <w:tcBorders>
              <w:top w:val="nil"/>
              <w:left w:val="nil"/>
              <w:bottom w:val="nil"/>
              <w:right w:val="nil"/>
            </w:tcBorders>
            <w:shd w:val="clear" w:color="auto" w:fill="auto"/>
            <w:noWrap/>
            <w:vAlign w:val="bottom"/>
            <w:hideMark/>
          </w:tcPr>
          <w:p w14:paraId="5935DBBE" w14:textId="77777777" w:rsidR="00463B2D" w:rsidRPr="0077388B" w:rsidRDefault="00463B2D" w:rsidP="00463B2D">
            <w:pPr>
              <w:rPr>
                <w:rFonts w:ascii="Calibri" w:eastAsia="Times New Roman" w:hAnsi="Calibri" w:cs="Arial"/>
                <w:b/>
                <w:bCs/>
                <w:color w:val="000000"/>
                <w:sz w:val="20"/>
                <w:szCs w:val="18"/>
                <w:lang w:eastAsia="en-GB"/>
              </w:rPr>
            </w:pPr>
          </w:p>
        </w:tc>
        <w:tc>
          <w:tcPr>
            <w:tcW w:w="730" w:type="pct"/>
            <w:tcBorders>
              <w:top w:val="single" w:sz="8" w:space="0" w:color="auto"/>
              <w:left w:val="nil"/>
              <w:bottom w:val="single" w:sz="8" w:space="0" w:color="auto"/>
              <w:right w:val="nil"/>
            </w:tcBorders>
            <w:shd w:val="clear" w:color="auto" w:fill="auto"/>
            <w:noWrap/>
            <w:vAlign w:val="bottom"/>
          </w:tcPr>
          <w:p w14:paraId="023BF4C0" w14:textId="03C56095" w:rsidR="00463B2D" w:rsidRPr="0077388B" w:rsidRDefault="00015CB6" w:rsidP="00763235">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00882A11">
              <w:rPr>
                <w:rFonts w:ascii="Calibri" w:eastAsia="Times New Roman" w:hAnsi="Calibri" w:cs="Arial"/>
                <w:b/>
                <w:bCs/>
                <w:color w:val="000000"/>
                <w:sz w:val="20"/>
                <w:szCs w:val="18"/>
                <w:lang w:eastAsia="en-GB"/>
              </w:rPr>
              <w:t>7</w:t>
            </w:r>
            <w:r w:rsidR="009D2A38">
              <w:rPr>
                <w:rFonts w:ascii="Calibri" w:eastAsia="Times New Roman" w:hAnsi="Calibri" w:cs="Arial"/>
                <w:b/>
                <w:bCs/>
                <w:color w:val="000000"/>
                <w:sz w:val="20"/>
                <w:szCs w:val="18"/>
                <w:lang w:eastAsia="en-GB"/>
              </w:rPr>
              <w:t>89</w:t>
            </w:r>
            <w:r>
              <w:rPr>
                <w:rFonts w:ascii="Calibri" w:eastAsia="Times New Roman" w:hAnsi="Calibri" w:cs="Arial"/>
                <w:b/>
                <w:bCs/>
                <w:color w:val="000000"/>
                <w:sz w:val="20"/>
                <w:szCs w:val="18"/>
                <w:lang w:eastAsia="en-GB"/>
              </w:rPr>
              <w:t>)</w:t>
            </w:r>
          </w:p>
        </w:tc>
        <w:tc>
          <w:tcPr>
            <w:tcW w:w="730" w:type="pct"/>
            <w:tcBorders>
              <w:top w:val="single" w:sz="8" w:space="0" w:color="auto"/>
              <w:left w:val="nil"/>
              <w:bottom w:val="single" w:sz="8" w:space="0" w:color="auto"/>
              <w:right w:val="nil"/>
            </w:tcBorders>
            <w:vAlign w:val="bottom"/>
          </w:tcPr>
          <w:p w14:paraId="58ACE644" w14:textId="3984BC01" w:rsidR="00463B2D" w:rsidRDefault="00015CB6" w:rsidP="00763235">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(288)</w:t>
            </w:r>
          </w:p>
        </w:tc>
        <w:tc>
          <w:tcPr>
            <w:tcW w:w="727" w:type="pct"/>
            <w:tcBorders>
              <w:top w:val="single" w:sz="8" w:space="0" w:color="auto"/>
              <w:left w:val="nil"/>
              <w:bottom w:val="single" w:sz="8" w:space="0" w:color="auto"/>
              <w:right w:val="nil"/>
            </w:tcBorders>
            <w:shd w:val="clear" w:color="auto" w:fill="auto"/>
            <w:noWrap/>
            <w:vAlign w:val="bottom"/>
          </w:tcPr>
          <w:p w14:paraId="51290C5E" w14:textId="6B143DBC" w:rsidR="00463B2D" w:rsidRPr="004617E7" w:rsidRDefault="00015CB6"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(740)</w:t>
            </w:r>
          </w:p>
        </w:tc>
      </w:tr>
      <w:tr w:rsidR="00463B2D" w:rsidRPr="0077388B" w14:paraId="09ED1A18" w14:textId="77777777" w:rsidTr="00A20F4C">
        <w:trPr>
          <w:trHeight w:val="275"/>
        </w:trPr>
        <w:tc>
          <w:tcPr>
            <w:tcW w:w="2584" w:type="pct"/>
            <w:tcBorders>
              <w:top w:val="nil"/>
              <w:left w:val="nil"/>
              <w:bottom w:val="nil"/>
              <w:right w:val="nil"/>
            </w:tcBorders>
            <w:shd w:val="clear" w:color="auto" w:fill="auto"/>
            <w:noWrap/>
            <w:vAlign w:val="bottom"/>
            <w:hideMark/>
          </w:tcPr>
          <w:p w14:paraId="6E135704" w14:textId="77777777" w:rsidR="00463B2D" w:rsidRPr="0077388B" w:rsidRDefault="00463B2D" w:rsidP="00463B2D">
            <w:pPr>
              <w:jc w:val="right"/>
              <w:rPr>
                <w:rFonts w:ascii="Calibri" w:eastAsia="Times New Roman" w:hAnsi="Calibri" w:cs="Arial"/>
                <w:color w:val="000000"/>
                <w:sz w:val="20"/>
                <w:szCs w:val="18"/>
                <w:lang w:eastAsia="en-GB"/>
              </w:rPr>
            </w:pPr>
          </w:p>
        </w:tc>
        <w:tc>
          <w:tcPr>
            <w:tcW w:w="229" w:type="pct"/>
            <w:tcBorders>
              <w:top w:val="nil"/>
              <w:left w:val="nil"/>
              <w:bottom w:val="nil"/>
              <w:right w:val="nil"/>
            </w:tcBorders>
            <w:shd w:val="clear" w:color="auto" w:fill="auto"/>
            <w:noWrap/>
            <w:vAlign w:val="bottom"/>
            <w:hideMark/>
          </w:tcPr>
          <w:p w14:paraId="76FE1868" w14:textId="77777777" w:rsidR="00463B2D" w:rsidRPr="0077388B" w:rsidRDefault="00463B2D" w:rsidP="00463B2D">
            <w:pPr>
              <w:rPr>
                <w:rFonts w:ascii="Calibri" w:eastAsia="Times New Roman" w:hAnsi="Calibri"/>
                <w:sz w:val="20"/>
                <w:szCs w:val="20"/>
                <w:lang w:eastAsia="en-GB"/>
              </w:rPr>
            </w:pPr>
          </w:p>
        </w:tc>
        <w:tc>
          <w:tcPr>
            <w:tcW w:w="730" w:type="pct"/>
            <w:tcBorders>
              <w:top w:val="nil"/>
              <w:left w:val="nil"/>
              <w:bottom w:val="nil"/>
              <w:right w:val="nil"/>
            </w:tcBorders>
            <w:shd w:val="clear" w:color="auto" w:fill="auto"/>
            <w:noWrap/>
            <w:vAlign w:val="bottom"/>
          </w:tcPr>
          <w:p w14:paraId="0CFB339D" w14:textId="77777777" w:rsidR="00463B2D" w:rsidRPr="0077388B" w:rsidRDefault="00463B2D" w:rsidP="00763235">
            <w:pPr>
              <w:jc w:val="right"/>
              <w:rPr>
                <w:rFonts w:ascii="Calibri" w:eastAsia="Times New Roman" w:hAnsi="Calibri"/>
                <w:sz w:val="20"/>
                <w:szCs w:val="20"/>
                <w:lang w:eastAsia="en-GB"/>
              </w:rPr>
            </w:pPr>
          </w:p>
        </w:tc>
        <w:tc>
          <w:tcPr>
            <w:tcW w:w="730" w:type="pct"/>
            <w:tcBorders>
              <w:top w:val="nil"/>
              <w:left w:val="nil"/>
              <w:bottom w:val="nil"/>
              <w:right w:val="nil"/>
            </w:tcBorders>
            <w:vAlign w:val="bottom"/>
          </w:tcPr>
          <w:p w14:paraId="4011A112" w14:textId="77777777" w:rsidR="00463B2D" w:rsidRPr="004617E7" w:rsidRDefault="00463B2D" w:rsidP="00763235">
            <w:pPr>
              <w:jc w:val="right"/>
              <w:rPr>
                <w:rFonts w:ascii="Calibri" w:eastAsia="Times New Roman" w:hAnsi="Calibri"/>
                <w:b/>
                <w:sz w:val="20"/>
                <w:szCs w:val="20"/>
                <w:lang w:eastAsia="en-GB"/>
              </w:rPr>
            </w:pPr>
          </w:p>
        </w:tc>
        <w:tc>
          <w:tcPr>
            <w:tcW w:w="727" w:type="pct"/>
            <w:tcBorders>
              <w:top w:val="nil"/>
              <w:left w:val="nil"/>
              <w:bottom w:val="nil"/>
              <w:right w:val="nil"/>
            </w:tcBorders>
            <w:shd w:val="clear" w:color="auto" w:fill="auto"/>
            <w:noWrap/>
            <w:vAlign w:val="bottom"/>
          </w:tcPr>
          <w:p w14:paraId="1BF7BBD2" w14:textId="7C0AA966" w:rsidR="00463B2D" w:rsidRPr="004617E7" w:rsidRDefault="00463B2D" w:rsidP="00763235">
            <w:pPr>
              <w:jc w:val="right"/>
              <w:rPr>
                <w:rFonts w:ascii="Calibri" w:eastAsia="Times New Roman" w:hAnsi="Calibri"/>
                <w:b/>
                <w:sz w:val="20"/>
                <w:szCs w:val="20"/>
                <w:lang w:eastAsia="en-GB"/>
              </w:rPr>
            </w:pPr>
          </w:p>
        </w:tc>
      </w:tr>
      <w:tr w:rsidR="00463B2D" w:rsidRPr="0077388B" w14:paraId="1725524D" w14:textId="77777777" w:rsidTr="00A20F4C">
        <w:trPr>
          <w:trHeight w:val="275"/>
        </w:trPr>
        <w:tc>
          <w:tcPr>
            <w:tcW w:w="2584" w:type="pct"/>
            <w:tcBorders>
              <w:top w:val="nil"/>
              <w:left w:val="nil"/>
              <w:bottom w:val="nil"/>
              <w:right w:val="nil"/>
            </w:tcBorders>
            <w:shd w:val="clear" w:color="auto" w:fill="auto"/>
            <w:noWrap/>
            <w:vAlign w:val="bottom"/>
            <w:hideMark/>
          </w:tcPr>
          <w:p w14:paraId="680EC409" w14:textId="77777777" w:rsidR="00463B2D" w:rsidRPr="0077388B" w:rsidRDefault="00463B2D" w:rsidP="00463B2D">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Cash flows used in investing activities</w:t>
            </w:r>
          </w:p>
        </w:tc>
        <w:tc>
          <w:tcPr>
            <w:tcW w:w="229" w:type="pct"/>
            <w:tcBorders>
              <w:top w:val="nil"/>
              <w:left w:val="nil"/>
              <w:bottom w:val="nil"/>
              <w:right w:val="nil"/>
            </w:tcBorders>
            <w:shd w:val="clear" w:color="auto" w:fill="auto"/>
            <w:noWrap/>
            <w:vAlign w:val="bottom"/>
            <w:hideMark/>
          </w:tcPr>
          <w:p w14:paraId="19838BC0" w14:textId="77777777" w:rsidR="00463B2D" w:rsidRPr="0077388B" w:rsidRDefault="00463B2D" w:rsidP="00463B2D">
            <w:pPr>
              <w:rPr>
                <w:rFonts w:ascii="Calibri" w:eastAsia="Times New Roman" w:hAnsi="Calibri" w:cs="Arial"/>
                <w:b/>
                <w:bCs/>
                <w:color w:val="000000"/>
                <w:sz w:val="20"/>
                <w:szCs w:val="18"/>
                <w:lang w:eastAsia="en-GB"/>
              </w:rPr>
            </w:pPr>
          </w:p>
        </w:tc>
        <w:tc>
          <w:tcPr>
            <w:tcW w:w="730" w:type="pct"/>
            <w:tcBorders>
              <w:top w:val="nil"/>
              <w:left w:val="nil"/>
              <w:bottom w:val="nil"/>
              <w:right w:val="nil"/>
            </w:tcBorders>
            <w:shd w:val="clear" w:color="auto" w:fill="auto"/>
            <w:noWrap/>
            <w:vAlign w:val="bottom"/>
          </w:tcPr>
          <w:p w14:paraId="66950F9A" w14:textId="77777777" w:rsidR="00463B2D" w:rsidRPr="0077388B" w:rsidRDefault="00463B2D" w:rsidP="00763235">
            <w:pPr>
              <w:jc w:val="right"/>
              <w:rPr>
                <w:rFonts w:ascii="Calibri" w:eastAsia="Times New Roman" w:hAnsi="Calibri"/>
                <w:sz w:val="20"/>
                <w:szCs w:val="20"/>
                <w:lang w:eastAsia="en-GB"/>
              </w:rPr>
            </w:pPr>
          </w:p>
        </w:tc>
        <w:tc>
          <w:tcPr>
            <w:tcW w:w="730" w:type="pct"/>
            <w:tcBorders>
              <w:top w:val="nil"/>
              <w:left w:val="nil"/>
              <w:bottom w:val="nil"/>
              <w:right w:val="nil"/>
            </w:tcBorders>
            <w:vAlign w:val="bottom"/>
          </w:tcPr>
          <w:p w14:paraId="2E352BCF" w14:textId="77777777" w:rsidR="00463B2D" w:rsidRPr="004617E7" w:rsidRDefault="00463B2D" w:rsidP="00763235">
            <w:pPr>
              <w:jc w:val="right"/>
              <w:rPr>
                <w:rFonts w:ascii="Calibri" w:eastAsia="Times New Roman" w:hAnsi="Calibri"/>
                <w:b/>
                <w:sz w:val="20"/>
                <w:szCs w:val="20"/>
                <w:lang w:eastAsia="en-GB"/>
              </w:rPr>
            </w:pPr>
          </w:p>
        </w:tc>
        <w:tc>
          <w:tcPr>
            <w:tcW w:w="727" w:type="pct"/>
            <w:tcBorders>
              <w:top w:val="nil"/>
              <w:left w:val="nil"/>
              <w:bottom w:val="nil"/>
              <w:right w:val="nil"/>
            </w:tcBorders>
            <w:shd w:val="clear" w:color="auto" w:fill="auto"/>
            <w:noWrap/>
            <w:vAlign w:val="bottom"/>
          </w:tcPr>
          <w:p w14:paraId="7F847264" w14:textId="7F5D027B" w:rsidR="00463B2D" w:rsidRPr="004617E7" w:rsidRDefault="00463B2D" w:rsidP="00763235">
            <w:pPr>
              <w:jc w:val="right"/>
              <w:rPr>
                <w:rFonts w:ascii="Calibri" w:eastAsia="Times New Roman" w:hAnsi="Calibri"/>
                <w:b/>
                <w:sz w:val="20"/>
                <w:szCs w:val="20"/>
                <w:lang w:eastAsia="en-GB"/>
              </w:rPr>
            </w:pPr>
          </w:p>
        </w:tc>
      </w:tr>
      <w:tr w:rsidR="00463B2D" w:rsidRPr="0077388B" w14:paraId="2580E76A" w14:textId="77777777" w:rsidTr="00A20F4C">
        <w:trPr>
          <w:trHeight w:val="275"/>
        </w:trPr>
        <w:tc>
          <w:tcPr>
            <w:tcW w:w="2584" w:type="pct"/>
            <w:tcBorders>
              <w:top w:val="nil"/>
              <w:left w:val="nil"/>
              <w:bottom w:val="nil"/>
              <w:right w:val="nil"/>
            </w:tcBorders>
            <w:shd w:val="clear" w:color="auto" w:fill="auto"/>
            <w:noWrap/>
            <w:vAlign w:val="bottom"/>
          </w:tcPr>
          <w:p w14:paraId="0DD32413" w14:textId="77777777" w:rsidR="00463B2D" w:rsidRPr="0077388B" w:rsidRDefault="00463B2D" w:rsidP="00463B2D">
            <w:pPr>
              <w:rPr>
                <w:rFonts w:ascii="Calibri" w:eastAsia="Times New Roman" w:hAnsi="Calibri" w:cs="Arial"/>
                <w:color w:val="000000"/>
                <w:sz w:val="20"/>
                <w:szCs w:val="18"/>
                <w:lang w:eastAsia="en-GB"/>
              </w:rPr>
            </w:pPr>
          </w:p>
        </w:tc>
        <w:tc>
          <w:tcPr>
            <w:tcW w:w="229" w:type="pct"/>
            <w:tcBorders>
              <w:top w:val="nil"/>
              <w:left w:val="nil"/>
              <w:bottom w:val="nil"/>
              <w:right w:val="nil"/>
            </w:tcBorders>
            <w:shd w:val="clear" w:color="auto" w:fill="auto"/>
            <w:noWrap/>
            <w:vAlign w:val="bottom"/>
          </w:tcPr>
          <w:p w14:paraId="781BA70B" w14:textId="77777777" w:rsidR="00463B2D" w:rsidRPr="0077388B" w:rsidRDefault="00463B2D" w:rsidP="00463B2D">
            <w:pPr>
              <w:rPr>
                <w:rFonts w:ascii="Calibri" w:eastAsia="Times New Roman" w:hAnsi="Calibri" w:cs="Arial"/>
                <w:color w:val="000000"/>
                <w:sz w:val="20"/>
                <w:szCs w:val="18"/>
                <w:lang w:eastAsia="en-GB"/>
              </w:rPr>
            </w:pPr>
          </w:p>
        </w:tc>
        <w:tc>
          <w:tcPr>
            <w:tcW w:w="730" w:type="pct"/>
            <w:tcBorders>
              <w:top w:val="nil"/>
              <w:left w:val="nil"/>
              <w:bottom w:val="nil"/>
              <w:right w:val="nil"/>
            </w:tcBorders>
            <w:shd w:val="clear" w:color="auto" w:fill="auto"/>
            <w:noWrap/>
            <w:vAlign w:val="bottom"/>
          </w:tcPr>
          <w:p w14:paraId="57E44F66" w14:textId="77777777" w:rsidR="00463B2D" w:rsidRPr="0077388B" w:rsidRDefault="00463B2D" w:rsidP="00763235">
            <w:pPr>
              <w:jc w:val="right"/>
              <w:rPr>
                <w:rFonts w:ascii="Calibri" w:eastAsia="Times New Roman" w:hAnsi="Calibri" w:cs="Arial"/>
                <w:b/>
                <w:bCs/>
                <w:color w:val="000000"/>
                <w:sz w:val="20"/>
                <w:szCs w:val="18"/>
                <w:lang w:eastAsia="en-GB"/>
              </w:rPr>
            </w:pPr>
          </w:p>
        </w:tc>
        <w:tc>
          <w:tcPr>
            <w:tcW w:w="730" w:type="pct"/>
            <w:tcBorders>
              <w:top w:val="nil"/>
              <w:left w:val="nil"/>
              <w:bottom w:val="nil"/>
              <w:right w:val="nil"/>
            </w:tcBorders>
            <w:vAlign w:val="bottom"/>
          </w:tcPr>
          <w:p w14:paraId="19DE1F96" w14:textId="77777777" w:rsidR="00463B2D" w:rsidRPr="004617E7" w:rsidRDefault="00463B2D" w:rsidP="00763235">
            <w:pPr>
              <w:jc w:val="right"/>
              <w:rPr>
                <w:rFonts w:ascii="Calibri" w:eastAsia="Times New Roman" w:hAnsi="Calibri" w:cs="Arial"/>
                <w:b/>
                <w:color w:val="000000"/>
                <w:sz w:val="20"/>
                <w:szCs w:val="18"/>
                <w:lang w:eastAsia="en-GB"/>
              </w:rPr>
            </w:pPr>
          </w:p>
        </w:tc>
        <w:tc>
          <w:tcPr>
            <w:tcW w:w="727" w:type="pct"/>
            <w:tcBorders>
              <w:top w:val="nil"/>
              <w:left w:val="nil"/>
              <w:bottom w:val="nil"/>
              <w:right w:val="nil"/>
            </w:tcBorders>
            <w:shd w:val="clear" w:color="auto" w:fill="auto"/>
            <w:noWrap/>
            <w:vAlign w:val="bottom"/>
          </w:tcPr>
          <w:p w14:paraId="6CC6E660" w14:textId="48DE793E" w:rsidR="00463B2D" w:rsidRPr="004617E7" w:rsidRDefault="00463B2D" w:rsidP="00763235">
            <w:pPr>
              <w:jc w:val="right"/>
              <w:rPr>
                <w:rFonts w:ascii="Calibri" w:eastAsia="Times New Roman" w:hAnsi="Calibri" w:cs="Arial"/>
                <w:b/>
                <w:color w:val="000000"/>
                <w:sz w:val="20"/>
                <w:szCs w:val="18"/>
                <w:lang w:eastAsia="en-GB"/>
              </w:rPr>
            </w:pPr>
          </w:p>
        </w:tc>
      </w:tr>
      <w:tr w:rsidR="00015CB6" w:rsidRPr="0077388B" w14:paraId="68D14359" w14:textId="77777777" w:rsidTr="00A20F4C">
        <w:trPr>
          <w:trHeight w:val="275"/>
        </w:trPr>
        <w:tc>
          <w:tcPr>
            <w:tcW w:w="2584" w:type="pct"/>
            <w:tcBorders>
              <w:top w:val="nil"/>
              <w:left w:val="nil"/>
              <w:bottom w:val="nil"/>
              <w:right w:val="nil"/>
            </w:tcBorders>
            <w:shd w:val="clear" w:color="auto" w:fill="auto"/>
            <w:noWrap/>
            <w:vAlign w:val="bottom"/>
          </w:tcPr>
          <w:p w14:paraId="3E6CDA62" w14:textId="1F7FADFF" w:rsidR="00015CB6" w:rsidRPr="0077388B" w:rsidRDefault="00015CB6" w:rsidP="00463B2D">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 xml:space="preserve">Purchase of property, </w:t>
            </w:r>
            <w:proofErr w:type="gramStart"/>
            <w:r>
              <w:rPr>
                <w:rFonts w:ascii="Calibri" w:eastAsia="Times New Roman" w:hAnsi="Calibri" w:cs="Arial"/>
                <w:color w:val="000000"/>
                <w:sz w:val="20"/>
                <w:szCs w:val="18"/>
                <w:lang w:eastAsia="en-GB"/>
              </w:rPr>
              <w:t>plant</w:t>
            </w:r>
            <w:proofErr w:type="gramEnd"/>
            <w:r>
              <w:rPr>
                <w:rFonts w:ascii="Calibri" w:eastAsia="Times New Roman" w:hAnsi="Calibri" w:cs="Arial"/>
                <w:color w:val="000000"/>
                <w:sz w:val="20"/>
                <w:szCs w:val="18"/>
                <w:lang w:eastAsia="en-GB"/>
              </w:rPr>
              <w:t xml:space="preserve"> and equipment</w:t>
            </w:r>
          </w:p>
        </w:tc>
        <w:tc>
          <w:tcPr>
            <w:tcW w:w="229" w:type="pct"/>
            <w:tcBorders>
              <w:top w:val="nil"/>
              <w:left w:val="nil"/>
              <w:bottom w:val="nil"/>
              <w:right w:val="nil"/>
            </w:tcBorders>
            <w:shd w:val="clear" w:color="auto" w:fill="auto"/>
            <w:noWrap/>
            <w:vAlign w:val="bottom"/>
          </w:tcPr>
          <w:p w14:paraId="7102C614" w14:textId="77777777" w:rsidR="00015CB6" w:rsidRPr="0077388B" w:rsidRDefault="00015CB6" w:rsidP="00463B2D">
            <w:pPr>
              <w:rPr>
                <w:rFonts w:ascii="Calibri" w:eastAsia="Times New Roman" w:hAnsi="Calibri" w:cs="Arial"/>
                <w:color w:val="000000"/>
                <w:sz w:val="20"/>
                <w:szCs w:val="18"/>
                <w:lang w:eastAsia="en-GB"/>
              </w:rPr>
            </w:pPr>
          </w:p>
        </w:tc>
        <w:tc>
          <w:tcPr>
            <w:tcW w:w="730" w:type="pct"/>
            <w:tcBorders>
              <w:top w:val="nil"/>
              <w:left w:val="nil"/>
              <w:bottom w:val="nil"/>
              <w:right w:val="nil"/>
            </w:tcBorders>
            <w:shd w:val="clear" w:color="auto" w:fill="auto"/>
            <w:noWrap/>
            <w:vAlign w:val="bottom"/>
          </w:tcPr>
          <w:p w14:paraId="1275DD5D" w14:textId="657BB2EC" w:rsidR="00015CB6" w:rsidRPr="0077388B" w:rsidRDefault="00015CB6" w:rsidP="00763235">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00882A11">
              <w:rPr>
                <w:rFonts w:ascii="Calibri" w:eastAsia="Times New Roman" w:hAnsi="Calibri" w:cs="Arial"/>
                <w:b/>
                <w:bCs/>
                <w:color w:val="000000"/>
                <w:sz w:val="20"/>
                <w:szCs w:val="18"/>
                <w:lang w:eastAsia="en-GB"/>
              </w:rPr>
              <w:t>65</w:t>
            </w:r>
            <w:r>
              <w:rPr>
                <w:rFonts w:ascii="Calibri" w:eastAsia="Times New Roman" w:hAnsi="Calibri" w:cs="Arial"/>
                <w:b/>
                <w:bCs/>
                <w:color w:val="000000"/>
                <w:sz w:val="20"/>
                <w:szCs w:val="18"/>
                <w:lang w:eastAsia="en-GB"/>
              </w:rPr>
              <w:t>)</w:t>
            </w:r>
          </w:p>
        </w:tc>
        <w:tc>
          <w:tcPr>
            <w:tcW w:w="730" w:type="pct"/>
            <w:tcBorders>
              <w:top w:val="nil"/>
              <w:left w:val="nil"/>
              <w:bottom w:val="nil"/>
              <w:right w:val="nil"/>
            </w:tcBorders>
            <w:vAlign w:val="bottom"/>
          </w:tcPr>
          <w:p w14:paraId="4EB9E212" w14:textId="3F0E5AF3" w:rsidR="00015CB6" w:rsidRPr="004617E7" w:rsidRDefault="00015CB6"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(1)</w:t>
            </w:r>
          </w:p>
        </w:tc>
        <w:tc>
          <w:tcPr>
            <w:tcW w:w="727" w:type="pct"/>
            <w:tcBorders>
              <w:top w:val="nil"/>
              <w:left w:val="nil"/>
              <w:bottom w:val="nil"/>
              <w:right w:val="nil"/>
            </w:tcBorders>
            <w:shd w:val="clear" w:color="auto" w:fill="auto"/>
            <w:noWrap/>
            <w:vAlign w:val="bottom"/>
          </w:tcPr>
          <w:p w14:paraId="4C22A999" w14:textId="4B286FB3" w:rsidR="00015CB6" w:rsidRPr="004617E7" w:rsidRDefault="00015CB6"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(30)</w:t>
            </w:r>
          </w:p>
        </w:tc>
      </w:tr>
      <w:tr w:rsidR="00015CB6" w:rsidRPr="0077388B" w14:paraId="3FA81C99" w14:textId="77777777" w:rsidTr="00A20F4C">
        <w:trPr>
          <w:trHeight w:val="275"/>
        </w:trPr>
        <w:tc>
          <w:tcPr>
            <w:tcW w:w="2584" w:type="pct"/>
            <w:tcBorders>
              <w:top w:val="nil"/>
              <w:left w:val="nil"/>
              <w:bottom w:val="nil"/>
              <w:right w:val="nil"/>
            </w:tcBorders>
            <w:shd w:val="clear" w:color="auto" w:fill="auto"/>
            <w:noWrap/>
            <w:vAlign w:val="bottom"/>
          </w:tcPr>
          <w:p w14:paraId="60CA427E" w14:textId="7385CDFB" w:rsidR="00015CB6" w:rsidRPr="0077388B" w:rsidRDefault="00015CB6" w:rsidP="00463B2D">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Investment in financial assets through P&amp;L</w:t>
            </w:r>
          </w:p>
        </w:tc>
        <w:tc>
          <w:tcPr>
            <w:tcW w:w="229" w:type="pct"/>
            <w:tcBorders>
              <w:top w:val="nil"/>
              <w:left w:val="nil"/>
              <w:bottom w:val="nil"/>
              <w:right w:val="nil"/>
            </w:tcBorders>
            <w:shd w:val="clear" w:color="auto" w:fill="auto"/>
            <w:noWrap/>
            <w:vAlign w:val="bottom"/>
          </w:tcPr>
          <w:p w14:paraId="4A65BAA2" w14:textId="77777777" w:rsidR="00015CB6" w:rsidRPr="0077388B" w:rsidRDefault="00015CB6" w:rsidP="00463B2D">
            <w:pPr>
              <w:rPr>
                <w:rFonts w:ascii="Calibri" w:eastAsia="Times New Roman" w:hAnsi="Calibri" w:cs="Arial"/>
                <w:color w:val="000000"/>
                <w:sz w:val="20"/>
                <w:szCs w:val="18"/>
                <w:lang w:eastAsia="en-GB"/>
              </w:rPr>
            </w:pPr>
          </w:p>
        </w:tc>
        <w:tc>
          <w:tcPr>
            <w:tcW w:w="730" w:type="pct"/>
            <w:tcBorders>
              <w:top w:val="nil"/>
              <w:left w:val="nil"/>
              <w:bottom w:val="nil"/>
              <w:right w:val="nil"/>
            </w:tcBorders>
            <w:shd w:val="clear" w:color="auto" w:fill="auto"/>
            <w:noWrap/>
            <w:vAlign w:val="bottom"/>
          </w:tcPr>
          <w:p w14:paraId="3BB5B10B" w14:textId="758FB116" w:rsidR="00015CB6" w:rsidRPr="0077388B" w:rsidRDefault="00882A11" w:rsidP="00763235">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730" w:type="pct"/>
            <w:tcBorders>
              <w:top w:val="nil"/>
              <w:left w:val="nil"/>
              <w:bottom w:val="nil"/>
              <w:right w:val="nil"/>
            </w:tcBorders>
            <w:vAlign w:val="bottom"/>
          </w:tcPr>
          <w:p w14:paraId="4455C4D1" w14:textId="1B842B9D" w:rsidR="00015CB6" w:rsidRPr="004617E7" w:rsidRDefault="00C3418E"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727" w:type="pct"/>
            <w:tcBorders>
              <w:top w:val="nil"/>
              <w:left w:val="nil"/>
              <w:bottom w:val="nil"/>
              <w:right w:val="nil"/>
            </w:tcBorders>
            <w:shd w:val="clear" w:color="auto" w:fill="auto"/>
            <w:noWrap/>
            <w:vAlign w:val="bottom"/>
          </w:tcPr>
          <w:p w14:paraId="296C6D41" w14:textId="58355F58" w:rsidR="00015CB6" w:rsidRPr="004617E7" w:rsidRDefault="00C3418E"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(55)</w:t>
            </w:r>
          </w:p>
        </w:tc>
      </w:tr>
      <w:tr w:rsidR="00463B2D" w:rsidRPr="0077388B" w14:paraId="1A13E733" w14:textId="77777777" w:rsidTr="00A20F4C">
        <w:trPr>
          <w:trHeight w:val="275"/>
        </w:trPr>
        <w:tc>
          <w:tcPr>
            <w:tcW w:w="2584" w:type="pct"/>
            <w:tcBorders>
              <w:top w:val="nil"/>
              <w:left w:val="nil"/>
              <w:bottom w:val="nil"/>
              <w:right w:val="nil"/>
            </w:tcBorders>
            <w:shd w:val="clear" w:color="auto" w:fill="auto"/>
            <w:noWrap/>
            <w:vAlign w:val="bottom"/>
          </w:tcPr>
          <w:p w14:paraId="54068516" w14:textId="48FA1F91" w:rsidR="00463B2D" w:rsidRPr="0077388B" w:rsidRDefault="00015CB6" w:rsidP="00463B2D">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Purchase of intangibles</w:t>
            </w:r>
          </w:p>
        </w:tc>
        <w:tc>
          <w:tcPr>
            <w:tcW w:w="229" w:type="pct"/>
            <w:tcBorders>
              <w:top w:val="nil"/>
              <w:left w:val="nil"/>
              <w:bottom w:val="nil"/>
              <w:right w:val="nil"/>
            </w:tcBorders>
            <w:shd w:val="clear" w:color="auto" w:fill="auto"/>
            <w:noWrap/>
            <w:vAlign w:val="bottom"/>
          </w:tcPr>
          <w:p w14:paraId="192C7D47" w14:textId="77777777" w:rsidR="00463B2D" w:rsidRPr="0077388B" w:rsidRDefault="00463B2D" w:rsidP="00463B2D">
            <w:pPr>
              <w:rPr>
                <w:rFonts w:ascii="Calibri" w:eastAsia="Times New Roman" w:hAnsi="Calibri" w:cs="Arial"/>
                <w:color w:val="000000"/>
                <w:sz w:val="20"/>
                <w:szCs w:val="18"/>
                <w:lang w:eastAsia="en-GB"/>
              </w:rPr>
            </w:pPr>
          </w:p>
        </w:tc>
        <w:tc>
          <w:tcPr>
            <w:tcW w:w="730" w:type="pct"/>
            <w:tcBorders>
              <w:top w:val="nil"/>
              <w:left w:val="nil"/>
              <w:bottom w:val="nil"/>
              <w:right w:val="nil"/>
            </w:tcBorders>
            <w:shd w:val="clear" w:color="auto" w:fill="auto"/>
            <w:noWrap/>
            <w:vAlign w:val="bottom"/>
          </w:tcPr>
          <w:p w14:paraId="5ACECFED" w14:textId="3FACF2B6" w:rsidR="00463B2D" w:rsidRPr="0077388B" w:rsidRDefault="00882A11" w:rsidP="00763235">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(512)</w:t>
            </w:r>
          </w:p>
        </w:tc>
        <w:tc>
          <w:tcPr>
            <w:tcW w:w="730" w:type="pct"/>
            <w:tcBorders>
              <w:top w:val="nil"/>
              <w:left w:val="nil"/>
              <w:bottom w:val="nil"/>
              <w:right w:val="nil"/>
            </w:tcBorders>
            <w:vAlign w:val="bottom"/>
          </w:tcPr>
          <w:p w14:paraId="53214240" w14:textId="68E65230" w:rsidR="00463B2D" w:rsidRPr="004617E7" w:rsidRDefault="00C3418E"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(126)</w:t>
            </w:r>
          </w:p>
        </w:tc>
        <w:tc>
          <w:tcPr>
            <w:tcW w:w="727" w:type="pct"/>
            <w:tcBorders>
              <w:top w:val="nil"/>
              <w:left w:val="nil"/>
              <w:bottom w:val="nil"/>
              <w:right w:val="nil"/>
            </w:tcBorders>
            <w:shd w:val="clear" w:color="auto" w:fill="auto"/>
            <w:noWrap/>
            <w:vAlign w:val="bottom"/>
          </w:tcPr>
          <w:p w14:paraId="4B0BADB5" w14:textId="6B0C1AF9" w:rsidR="00463B2D" w:rsidRPr="004617E7" w:rsidRDefault="00C3418E"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(383)</w:t>
            </w:r>
          </w:p>
        </w:tc>
      </w:tr>
      <w:tr w:rsidR="00463B2D" w:rsidRPr="0077388B" w14:paraId="118A4ADE" w14:textId="77777777" w:rsidTr="00A20F4C">
        <w:trPr>
          <w:trHeight w:val="287"/>
        </w:trPr>
        <w:tc>
          <w:tcPr>
            <w:tcW w:w="2584" w:type="pct"/>
            <w:tcBorders>
              <w:top w:val="nil"/>
              <w:left w:val="nil"/>
              <w:bottom w:val="nil"/>
              <w:right w:val="nil"/>
            </w:tcBorders>
            <w:shd w:val="clear" w:color="auto" w:fill="auto"/>
            <w:noWrap/>
            <w:vAlign w:val="bottom"/>
          </w:tcPr>
          <w:p w14:paraId="08995F54" w14:textId="63BAB75D" w:rsidR="00463B2D" w:rsidRPr="0077388B" w:rsidRDefault="00015CB6" w:rsidP="00463B2D">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 xml:space="preserve">Proceeds from investment disposals </w:t>
            </w:r>
          </w:p>
        </w:tc>
        <w:tc>
          <w:tcPr>
            <w:tcW w:w="229" w:type="pct"/>
            <w:tcBorders>
              <w:top w:val="nil"/>
              <w:left w:val="nil"/>
              <w:bottom w:val="nil"/>
              <w:right w:val="nil"/>
            </w:tcBorders>
            <w:shd w:val="clear" w:color="auto" w:fill="auto"/>
            <w:noWrap/>
            <w:vAlign w:val="bottom"/>
          </w:tcPr>
          <w:p w14:paraId="7EEADE25" w14:textId="77777777" w:rsidR="00463B2D" w:rsidRPr="0077388B" w:rsidRDefault="00463B2D" w:rsidP="00463B2D">
            <w:pPr>
              <w:rPr>
                <w:rFonts w:ascii="Calibri" w:eastAsia="Times New Roman" w:hAnsi="Calibri" w:cs="Arial"/>
                <w:color w:val="000000"/>
                <w:sz w:val="20"/>
                <w:szCs w:val="18"/>
                <w:lang w:eastAsia="en-GB"/>
              </w:rPr>
            </w:pPr>
          </w:p>
        </w:tc>
        <w:tc>
          <w:tcPr>
            <w:tcW w:w="730" w:type="pct"/>
            <w:tcBorders>
              <w:top w:val="nil"/>
              <w:left w:val="nil"/>
              <w:bottom w:val="nil"/>
              <w:right w:val="nil"/>
            </w:tcBorders>
            <w:shd w:val="clear" w:color="auto" w:fill="auto"/>
            <w:noWrap/>
            <w:vAlign w:val="bottom"/>
          </w:tcPr>
          <w:p w14:paraId="13594055" w14:textId="4A73A01E" w:rsidR="00463B2D" w:rsidRPr="0077388B" w:rsidRDefault="00C3418E" w:rsidP="00763235">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p>
        </w:tc>
        <w:tc>
          <w:tcPr>
            <w:tcW w:w="730" w:type="pct"/>
            <w:tcBorders>
              <w:top w:val="nil"/>
              <w:left w:val="nil"/>
              <w:bottom w:val="nil"/>
              <w:right w:val="nil"/>
            </w:tcBorders>
            <w:vAlign w:val="bottom"/>
          </w:tcPr>
          <w:p w14:paraId="582A5F25" w14:textId="50D27AD6" w:rsidR="00463B2D" w:rsidRPr="004617E7" w:rsidRDefault="00C3418E"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p>
        </w:tc>
        <w:tc>
          <w:tcPr>
            <w:tcW w:w="727" w:type="pct"/>
            <w:tcBorders>
              <w:top w:val="nil"/>
              <w:left w:val="nil"/>
              <w:bottom w:val="nil"/>
              <w:right w:val="nil"/>
            </w:tcBorders>
            <w:shd w:val="clear" w:color="auto" w:fill="auto"/>
            <w:noWrap/>
            <w:vAlign w:val="bottom"/>
          </w:tcPr>
          <w:p w14:paraId="6205BF57" w14:textId="14BD04F9" w:rsidR="00463B2D" w:rsidRPr="004617E7" w:rsidRDefault="00C3418E"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385</w:t>
            </w:r>
          </w:p>
        </w:tc>
      </w:tr>
      <w:tr w:rsidR="00463B2D" w:rsidRPr="0077388B" w14:paraId="2AE01C3D" w14:textId="77777777" w:rsidTr="00A20F4C">
        <w:trPr>
          <w:trHeight w:val="288"/>
        </w:trPr>
        <w:tc>
          <w:tcPr>
            <w:tcW w:w="2584" w:type="pct"/>
            <w:tcBorders>
              <w:top w:val="nil"/>
              <w:left w:val="nil"/>
              <w:bottom w:val="nil"/>
              <w:right w:val="nil"/>
            </w:tcBorders>
            <w:shd w:val="clear" w:color="auto" w:fill="auto"/>
            <w:noWrap/>
            <w:vAlign w:val="bottom"/>
            <w:hideMark/>
          </w:tcPr>
          <w:p w14:paraId="0166ED76" w14:textId="77777777" w:rsidR="00463B2D" w:rsidRPr="0077388B" w:rsidRDefault="00463B2D" w:rsidP="00463B2D">
            <w:pPr>
              <w:rPr>
                <w:rFonts w:ascii="Calibri" w:eastAsia="Times New Roman" w:hAnsi="Calibri" w:cs="Arial"/>
                <w:color w:val="000000"/>
                <w:sz w:val="20"/>
                <w:szCs w:val="18"/>
                <w:lang w:eastAsia="en-GB"/>
              </w:rPr>
            </w:pPr>
          </w:p>
        </w:tc>
        <w:tc>
          <w:tcPr>
            <w:tcW w:w="229" w:type="pct"/>
            <w:tcBorders>
              <w:top w:val="nil"/>
              <w:left w:val="nil"/>
              <w:bottom w:val="nil"/>
              <w:right w:val="nil"/>
            </w:tcBorders>
            <w:shd w:val="clear" w:color="auto" w:fill="auto"/>
            <w:noWrap/>
            <w:vAlign w:val="bottom"/>
            <w:hideMark/>
          </w:tcPr>
          <w:p w14:paraId="64B06DEE" w14:textId="77777777" w:rsidR="00463B2D" w:rsidRPr="0077388B" w:rsidRDefault="00463B2D" w:rsidP="00463B2D">
            <w:pPr>
              <w:rPr>
                <w:rFonts w:ascii="Calibri" w:eastAsia="Times New Roman" w:hAnsi="Calibri" w:cs="Arial"/>
                <w:color w:val="000000"/>
                <w:sz w:val="20"/>
                <w:szCs w:val="18"/>
                <w:lang w:eastAsia="en-GB"/>
              </w:rPr>
            </w:pPr>
          </w:p>
        </w:tc>
        <w:tc>
          <w:tcPr>
            <w:tcW w:w="730" w:type="pct"/>
            <w:tcBorders>
              <w:top w:val="nil"/>
              <w:left w:val="nil"/>
              <w:bottom w:val="nil"/>
              <w:right w:val="nil"/>
            </w:tcBorders>
            <w:shd w:val="clear" w:color="auto" w:fill="auto"/>
            <w:noWrap/>
            <w:vAlign w:val="bottom"/>
          </w:tcPr>
          <w:p w14:paraId="5F7627CA" w14:textId="170C5497" w:rsidR="00463B2D" w:rsidRPr="0077388B" w:rsidRDefault="00463B2D" w:rsidP="00763235">
            <w:pPr>
              <w:jc w:val="right"/>
              <w:rPr>
                <w:rFonts w:ascii="Calibri" w:eastAsia="Times New Roman" w:hAnsi="Calibri" w:cs="Arial"/>
                <w:b/>
                <w:bCs/>
                <w:color w:val="000000"/>
                <w:sz w:val="20"/>
                <w:szCs w:val="18"/>
                <w:lang w:eastAsia="en-GB"/>
              </w:rPr>
            </w:pPr>
          </w:p>
        </w:tc>
        <w:tc>
          <w:tcPr>
            <w:tcW w:w="730" w:type="pct"/>
            <w:tcBorders>
              <w:top w:val="nil"/>
              <w:left w:val="nil"/>
              <w:bottom w:val="nil"/>
              <w:right w:val="nil"/>
            </w:tcBorders>
            <w:vAlign w:val="bottom"/>
          </w:tcPr>
          <w:p w14:paraId="1292B123" w14:textId="66105C22" w:rsidR="00463B2D" w:rsidRPr="0077388B" w:rsidRDefault="00463B2D" w:rsidP="00763235">
            <w:pPr>
              <w:jc w:val="right"/>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 xml:space="preserve"> </w:t>
            </w:r>
          </w:p>
        </w:tc>
        <w:tc>
          <w:tcPr>
            <w:tcW w:w="727" w:type="pct"/>
            <w:tcBorders>
              <w:top w:val="nil"/>
              <w:left w:val="nil"/>
              <w:bottom w:val="nil"/>
              <w:right w:val="nil"/>
            </w:tcBorders>
            <w:shd w:val="clear" w:color="auto" w:fill="auto"/>
            <w:noWrap/>
            <w:vAlign w:val="bottom"/>
          </w:tcPr>
          <w:p w14:paraId="52E15E01" w14:textId="69838D1B" w:rsidR="00463B2D" w:rsidRPr="004617E7" w:rsidRDefault="00463B2D" w:rsidP="00763235">
            <w:pPr>
              <w:jc w:val="right"/>
              <w:rPr>
                <w:rFonts w:ascii="Calibri" w:eastAsia="Times New Roman" w:hAnsi="Calibri" w:cs="Arial"/>
                <w:b/>
                <w:color w:val="000000"/>
                <w:sz w:val="20"/>
                <w:szCs w:val="18"/>
                <w:lang w:eastAsia="en-GB"/>
              </w:rPr>
            </w:pPr>
          </w:p>
        </w:tc>
      </w:tr>
      <w:tr w:rsidR="00463B2D" w:rsidRPr="0077388B" w14:paraId="3924C097" w14:textId="77777777" w:rsidTr="00A20F4C">
        <w:trPr>
          <w:trHeight w:val="288"/>
        </w:trPr>
        <w:tc>
          <w:tcPr>
            <w:tcW w:w="2584" w:type="pct"/>
            <w:tcBorders>
              <w:top w:val="nil"/>
              <w:left w:val="nil"/>
              <w:bottom w:val="nil"/>
              <w:right w:val="nil"/>
            </w:tcBorders>
            <w:shd w:val="clear" w:color="auto" w:fill="auto"/>
            <w:noWrap/>
            <w:vAlign w:val="bottom"/>
            <w:hideMark/>
          </w:tcPr>
          <w:p w14:paraId="72A81BC3" w14:textId="77777777" w:rsidR="00463B2D" w:rsidRPr="0077388B" w:rsidRDefault="00463B2D" w:rsidP="00463B2D">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 xml:space="preserve">Net cash used in investing activities </w:t>
            </w:r>
          </w:p>
        </w:tc>
        <w:tc>
          <w:tcPr>
            <w:tcW w:w="229" w:type="pct"/>
            <w:tcBorders>
              <w:top w:val="nil"/>
              <w:left w:val="nil"/>
              <w:bottom w:val="nil"/>
              <w:right w:val="nil"/>
            </w:tcBorders>
            <w:shd w:val="clear" w:color="auto" w:fill="auto"/>
            <w:noWrap/>
            <w:vAlign w:val="bottom"/>
            <w:hideMark/>
          </w:tcPr>
          <w:p w14:paraId="363DEC3F" w14:textId="77777777" w:rsidR="00463B2D" w:rsidRPr="0077388B" w:rsidRDefault="00463B2D" w:rsidP="00463B2D">
            <w:pPr>
              <w:rPr>
                <w:rFonts w:ascii="Calibri" w:eastAsia="Times New Roman" w:hAnsi="Calibri" w:cs="Arial"/>
                <w:b/>
                <w:bCs/>
                <w:color w:val="000000"/>
                <w:sz w:val="20"/>
                <w:szCs w:val="18"/>
                <w:lang w:eastAsia="en-GB"/>
              </w:rPr>
            </w:pPr>
          </w:p>
        </w:tc>
        <w:tc>
          <w:tcPr>
            <w:tcW w:w="730" w:type="pct"/>
            <w:tcBorders>
              <w:top w:val="single" w:sz="8" w:space="0" w:color="auto"/>
              <w:left w:val="nil"/>
              <w:bottom w:val="single" w:sz="8" w:space="0" w:color="auto"/>
              <w:right w:val="nil"/>
            </w:tcBorders>
            <w:shd w:val="clear" w:color="auto" w:fill="auto"/>
            <w:noWrap/>
            <w:vAlign w:val="bottom"/>
          </w:tcPr>
          <w:p w14:paraId="009CEFA7" w14:textId="146620EB" w:rsidR="00463B2D" w:rsidRPr="0077388B" w:rsidRDefault="00C3418E" w:rsidP="00763235">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00882A11">
              <w:rPr>
                <w:rFonts w:ascii="Calibri" w:eastAsia="Times New Roman" w:hAnsi="Calibri" w:cs="Arial"/>
                <w:b/>
                <w:bCs/>
                <w:color w:val="000000"/>
                <w:sz w:val="20"/>
                <w:szCs w:val="18"/>
                <w:lang w:eastAsia="en-GB"/>
              </w:rPr>
              <w:t>57</w:t>
            </w:r>
            <w:r w:rsidR="009D2A38">
              <w:rPr>
                <w:rFonts w:ascii="Calibri" w:eastAsia="Times New Roman" w:hAnsi="Calibri" w:cs="Arial"/>
                <w:b/>
                <w:bCs/>
                <w:color w:val="000000"/>
                <w:sz w:val="20"/>
                <w:szCs w:val="18"/>
                <w:lang w:eastAsia="en-GB"/>
              </w:rPr>
              <w:t>7</w:t>
            </w:r>
            <w:r>
              <w:rPr>
                <w:rFonts w:ascii="Calibri" w:eastAsia="Times New Roman" w:hAnsi="Calibri" w:cs="Arial"/>
                <w:b/>
                <w:bCs/>
                <w:color w:val="000000"/>
                <w:sz w:val="20"/>
                <w:szCs w:val="18"/>
                <w:lang w:eastAsia="en-GB"/>
              </w:rPr>
              <w:t>)</w:t>
            </w:r>
          </w:p>
        </w:tc>
        <w:tc>
          <w:tcPr>
            <w:tcW w:w="730" w:type="pct"/>
            <w:tcBorders>
              <w:top w:val="single" w:sz="8" w:space="0" w:color="auto"/>
              <w:left w:val="nil"/>
              <w:bottom w:val="single" w:sz="8" w:space="0" w:color="auto"/>
              <w:right w:val="nil"/>
            </w:tcBorders>
            <w:vAlign w:val="bottom"/>
          </w:tcPr>
          <w:p w14:paraId="0AB2943C" w14:textId="11937910" w:rsidR="00463B2D" w:rsidRDefault="00463B2D" w:rsidP="00763235">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w:t>
            </w:r>
            <w:r w:rsidR="00C3418E">
              <w:rPr>
                <w:rFonts w:ascii="Calibri" w:eastAsia="Times New Roman" w:hAnsi="Calibri" w:cs="Arial"/>
                <w:b/>
                <w:bCs/>
                <w:color w:val="000000"/>
                <w:sz w:val="20"/>
                <w:szCs w:val="18"/>
                <w:lang w:eastAsia="en-GB"/>
              </w:rPr>
              <w:t>12</w:t>
            </w:r>
            <w:r w:rsidR="00763235">
              <w:rPr>
                <w:rFonts w:ascii="Calibri" w:eastAsia="Times New Roman" w:hAnsi="Calibri" w:cs="Arial"/>
                <w:b/>
                <w:bCs/>
                <w:color w:val="000000"/>
                <w:sz w:val="20"/>
                <w:szCs w:val="18"/>
                <w:lang w:eastAsia="en-GB"/>
              </w:rPr>
              <w:t>7</w:t>
            </w:r>
            <w:r>
              <w:rPr>
                <w:rFonts w:ascii="Calibri" w:eastAsia="Times New Roman" w:hAnsi="Calibri" w:cs="Arial"/>
                <w:b/>
                <w:bCs/>
                <w:color w:val="000000"/>
                <w:sz w:val="20"/>
                <w:szCs w:val="18"/>
                <w:lang w:eastAsia="en-GB"/>
              </w:rPr>
              <w:t>)</w:t>
            </w:r>
            <w:r w:rsidRPr="0077388B">
              <w:rPr>
                <w:rFonts w:ascii="Calibri" w:eastAsia="Times New Roman" w:hAnsi="Calibri" w:cs="Arial"/>
                <w:b/>
                <w:bCs/>
                <w:color w:val="000000"/>
                <w:sz w:val="20"/>
                <w:szCs w:val="18"/>
                <w:lang w:eastAsia="en-GB"/>
              </w:rPr>
              <w:t xml:space="preserve"> </w:t>
            </w:r>
          </w:p>
        </w:tc>
        <w:tc>
          <w:tcPr>
            <w:tcW w:w="727" w:type="pct"/>
            <w:tcBorders>
              <w:top w:val="single" w:sz="8" w:space="0" w:color="auto"/>
              <w:left w:val="nil"/>
              <w:bottom w:val="single" w:sz="8" w:space="0" w:color="auto"/>
              <w:right w:val="nil"/>
            </w:tcBorders>
            <w:shd w:val="clear" w:color="auto" w:fill="auto"/>
            <w:noWrap/>
            <w:vAlign w:val="bottom"/>
          </w:tcPr>
          <w:p w14:paraId="1FA28714" w14:textId="25EF02FC" w:rsidR="00463B2D" w:rsidRPr="004617E7" w:rsidRDefault="00C3418E"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w:t>
            </w:r>
            <w:r w:rsidR="00F95801">
              <w:rPr>
                <w:rFonts w:ascii="Calibri" w:eastAsia="Times New Roman" w:hAnsi="Calibri" w:cs="Arial"/>
                <w:b/>
                <w:color w:val="000000"/>
                <w:sz w:val="20"/>
                <w:szCs w:val="18"/>
                <w:lang w:eastAsia="en-GB"/>
              </w:rPr>
              <w:t>8</w:t>
            </w:r>
            <w:r w:rsidR="0060237D">
              <w:rPr>
                <w:rFonts w:ascii="Calibri" w:eastAsia="Times New Roman" w:hAnsi="Calibri" w:cs="Arial"/>
                <w:b/>
                <w:color w:val="000000"/>
                <w:sz w:val="20"/>
                <w:szCs w:val="18"/>
                <w:lang w:eastAsia="en-GB"/>
              </w:rPr>
              <w:t>3</w:t>
            </w:r>
            <w:r>
              <w:rPr>
                <w:rFonts w:ascii="Calibri" w:eastAsia="Times New Roman" w:hAnsi="Calibri" w:cs="Arial"/>
                <w:b/>
                <w:color w:val="000000"/>
                <w:sz w:val="20"/>
                <w:szCs w:val="18"/>
                <w:lang w:eastAsia="en-GB"/>
              </w:rPr>
              <w:t>)</w:t>
            </w:r>
          </w:p>
        </w:tc>
      </w:tr>
      <w:tr w:rsidR="00463B2D" w:rsidRPr="0077388B" w14:paraId="6BD6EF41" w14:textId="77777777" w:rsidTr="00A20F4C">
        <w:trPr>
          <w:trHeight w:val="275"/>
        </w:trPr>
        <w:tc>
          <w:tcPr>
            <w:tcW w:w="2584" w:type="pct"/>
            <w:tcBorders>
              <w:top w:val="nil"/>
              <w:left w:val="nil"/>
              <w:bottom w:val="nil"/>
              <w:right w:val="nil"/>
            </w:tcBorders>
            <w:shd w:val="clear" w:color="auto" w:fill="auto"/>
            <w:noWrap/>
            <w:vAlign w:val="bottom"/>
            <w:hideMark/>
          </w:tcPr>
          <w:p w14:paraId="51FD3A48" w14:textId="77777777" w:rsidR="00463B2D" w:rsidRPr="0077388B" w:rsidRDefault="00463B2D" w:rsidP="00463B2D">
            <w:pPr>
              <w:jc w:val="right"/>
              <w:rPr>
                <w:rFonts w:ascii="Calibri" w:eastAsia="Times New Roman" w:hAnsi="Calibri" w:cs="Arial"/>
                <w:color w:val="000000"/>
                <w:sz w:val="20"/>
                <w:szCs w:val="18"/>
                <w:lang w:eastAsia="en-GB"/>
              </w:rPr>
            </w:pPr>
          </w:p>
        </w:tc>
        <w:tc>
          <w:tcPr>
            <w:tcW w:w="229" w:type="pct"/>
            <w:tcBorders>
              <w:top w:val="nil"/>
              <w:left w:val="nil"/>
              <w:bottom w:val="nil"/>
              <w:right w:val="nil"/>
            </w:tcBorders>
            <w:shd w:val="clear" w:color="auto" w:fill="auto"/>
            <w:noWrap/>
            <w:vAlign w:val="bottom"/>
            <w:hideMark/>
          </w:tcPr>
          <w:p w14:paraId="7AB1C102" w14:textId="77777777" w:rsidR="00463B2D" w:rsidRPr="0077388B" w:rsidRDefault="00463B2D" w:rsidP="00463B2D">
            <w:pPr>
              <w:rPr>
                <w:rFonts w:ascii="Calibri" w:eastAsia="Times New Roman" w:hAnsi="Calibri"/>
                <w:sz w:val="20"/>
                <w:szCs w:val="20"/>
                <w:lang w:eastAsia="en-GB"/>
              </w:rPr>
            </w:pPr>
          </w:p>
        </w:tc>
        <w:tc>
          <w:tcPr>
            <w:tcW w:w="730" w:type="pct"/>
            <w:tcBorders>
              <w:top w:val="nil"/>
              <w:left w:val="nil"/>
              <w:bottom w:val="nil"/>
              <w:right w:val="nil"/>
            </w:tcBorders>
            <w:shd w:val="clear" w:color="auto" w:fill="auto"/>
            <w:noWrap/>
            <w:vAlign w:val="bottom"/>
          </w:tcPr>
          <w:p w14:paraId="1046564D" w14:textId="77777777" w:rsidR="00463B2D" w:rsidRPr="0077388B" w:rsidRDefault="00463B2D" w:rsidP="00763235">
            <w:pPr>
              <w:jc w:val="right"/>
              <w:rPr>
                <w:rFonts w:ascii="Calibri" w:eastAsia="Times New Roman" w:hAnsi="Calibri"/>
                <w:sz w:val="20"/>
                <w:szCs w:val="20"/>
                <w:lang w:eastAsia="en-GB"/>
              </w:rPr>
            </w:pPr>
          </w:p>
        </w:tc>
        <w:tc>
          <w:tcPr>
            <w:tcW w:w="730" w:type="pct"/>
            <w:tcBorders>
              <w:top w:val="nil"/>
              <w:left w:val="nil"/>
              <w:bottom w:val="nil"/>
              <w:right w:val="nil"/>
            </w:tcBorders>
            <w:vAlign w:val="bottom"/>
          </w:tcPr>
          <w:p w14:paraId="5636F364" w14:textId="77777777" w:rsidR="00463B2D" w:rsidRPr="004617E7" w:rsidRDefault="00463B2D" w:rsidP="00763235">
            <w:pPr>
              <w:jc w:val="right"/>
              <w:rPr>
                <w:rFonts w:ascii="Calibri" w:eastAsia="Times New Roman" w:hAnsi="Calibri"/>
                <w:b/>
                <w:sz w:val="20"/>
                <w:szCs w:val="20"/>
                <w:lang w:eastAsia="en-GB"/>
              </w:rPr>
            </w:pPr>
          </w:p>
        </w:tc>
        <w:tc>
          <w:tcPr>
            <w:tcW w:w="727" w:type="pct"/>
            <w:tcBorders>
              <w:top w:val="nil"/>
              <w:left w:val="nil"/>
              <w:bottom w:val="nil"/>
              <w:right w:val="nil"/>
            </w:tcBorders>
            <w:shd w:val="clear" w:color="auto" w:fill="auto"/>
            <w:noWrap/>
            <w:vAlign w:val="bottom"/>
          </w:tcPr>
          <w:p w14:paraId="75698317" w14:textId="7FED85E7" w:rsidR="00463B2D" w:rsidRPr="004617E7" w:rsidRDefault="00463B2D" w:rsidP="00763235">
            <w:pPr>
              <w:jc w:val="right"/>
              <w:rPr>
                <w:rFonts w:ascii="Calibri" w:eastAsia="Times New Roman" w:hAnsi="Calibri"/>
                <w:b/>
                <w:sz w:val="20"/>
                <w:szCs w:val="20"/>
                <w:lang w:eastAsia="en-GB"/>
              </w:rPr>
            </w:pPr>
          </w:p>
        </w:tc>
      </w:tr>
      <w:tr w:rsidR="00463B2D" w:rsidRPr="0077388B" w14:paraId="2BC3262D" w14:textId="77777777" w:rsidTr="00A20F4C">
        <w:trPr>
          <w:trHeight w:val="275"/>
        </w:trPr>
        <w:tc>
          <w:tcPr>
            <w:tcW w:w="2584" w:type="pct"/>
            <w:tcBorders>
              <w:top w:val="nil"/>
              <w:left w:val="nil"/>
              <w:bottom w:val="nil"/>
              <w:right w:val="nil"/>
            </w:tcBorders>
            <w:shd w:val="clear" w:color="auto" w:fill="auto"/>
            <w:noWrap/>
            <w:vAlign w:val="bottom"/>
            <w:hideMark/>
          </w:tcPr>
          <w:p w14:paraId="2FA59204" w14:textId="77777777" w:rsidR="00463B2D" w:rsidRPr="0077388B" w:rsidRDefault="00463B2D" w:rsidP="00463B2D">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Cash flows from financing activities</w:t>
            </w:r>
          </w:p>
        </w:tc>
        <w:tc>
          <w:tcPr>
            <w:tcW w:w="229" w:type="pct"/>
            <w:tcBorders>
              <w:top w:val="nil"/>
              <w:left w:val="nil"/>
              <w:bottom w:val="nil"/>
              <w:right w:val="nil"/>
            </w:tcBorders>
            <w:shd w:val="clear" w:color="auto" w:fill="auto"/>
            <w:noWrap/>
            <w:vAlign w:val="bottom"/>
            <w:hideMark/>
          </w:tcPr>
          <w:p w14:paraId="7DDF719A" w14:textId="77777777" w:rsidR="00463B2D" w:rsidRPr="0077388B" w:rsidRDefault="00463B2D" w:rsidP="00463B2D">
            <w:pPr>
              <w:rPr>
                <w:rFonts w:ascii="Calibri" w:eastAsia="Times New Roman" w:hAnsi="Calibri" w:cs="Arial"/>
                <w:b/>
                <w:bCs/>
                <w:color w:val="000000"/>
                <w:sz w:val="20"/>
                <w:szCs w:val="18"/>
                <w:lang w:eastAsia="en-GB"/>
              </w:rPr>
            </w:pPr>
          </w:p>
        </w:tc>
        <w:tc>
          <w:tcPr>
            <w:tcW w:w="730" w:type="pct"/>
            <w:tcBorders>
              <w:top w:val="nil"/>
              <w:left w:val="nil"/>
              <w:bottom w:val="nil"/>
              <w:right w:val="nil"/>
            </w:tcBorders>
            <w:shd w:val="clear" w:color="auto" w:fill="auto"/>
            <w:noWrap/>
            <w:vAlign w:val="bottom"/>
          </w:tcPr>
          <w:p w14:paraId="00160C19" w14:textId="77777777" w:rsidR="00463B2D" w:rsidRPr="0077388B" w:rsidRDefault="00463B2D" w:rsidP="00763235">
            <w:pPr>
              <w:jc w:val="right"/>
              <w:rPr>
                <w:rFonts w:ascii="Calibri" w:eastAsia="Times New Roman" w:hAnsi="Calibri"/>
                <w:sz w:val="20"/>
                <w:szCs w:val="20"/>
                <w:lang w:eastAsia="en-GB"/>
              </w:rPr>
            </w:pPr>
          </w:p>
        </w:tc>
        <w:tc>
          <w:tcPr>
            <w:tcW w:w="730" w:type="pct"/>
            <w:tcBorders>
              <w:top w:val="nil"/>
              <w:left w:val="nil"/>
              <w:bottom w:val="nil"/>
              <w:right w:val="nil"/>
            </w:tcBorders>
            <w:vAlign w:val="bottom"/>
          </w:tcPr>
          <w:p w14:paraId="264EC2FC" w14:textId="77777777" w:rsidR="00463B2D" w:rsidRPr="004617E7" w:rsidRDefault="00463B2D" w:rsidP="00763235">
            <w:pPr>
              <w:jc w:val="right"/>
              <w:rPr>
                <w:rFonts w:ascii="Calibri" w:eastAsia="Times New Roman" w:hAnsi="Calibri"/>
                <w:b/>
                <w:sz w:val="20"/>
                <w:szCs w:val="20"/>
                <w:lang w:eastAsia="en-GB"/>
              </w:rPr>
            </w:pPr>
          </w:p>
        </w:tc>
        <w:tc>
          <w:tcPr>
            <w:tcW w:w="727" w:type="pct"/>
            <w:tcBorders>
              <w:top w:val="nil"/>
              <w:left w:val="nil"/>
              <w:bottom w:val="nil"/>
              <w:right w:val="nil"/>
            </w:tcBorders>
            <w:shd w:val="clear" w:color="auto" w:fill="auto"/>
            <w:noWrap/>
            <w:vAlign w:val="bottom"/>
          </w:tcPr>
          <w:p w14:paraId="68DAC4F7" w14:textId="15242291" w:rsidR="00463B2D" w:rsidRPr="004617E7" w:rsidRDefault="00463B2D" w:rsidP="00763235">
            <w:pPr>
              <w:jc w:val="right"/>
              <w:rPr>
                <w:rFonts w:ascii="Calibri" w:eastAsia="Times New Roman" w:hAnsi="Calibri"/>
                <w:b/>
                <w:sz w:val="20"/>
                <w:szCs w:val="20"/>
                <w:lang w:eastAsia="en-GB"/>
              </w:rPr>
            </w:pPr>
          </w:p>
        </w:tc>
      </w:tr>
      <w:tr w:rsidR="00C3418E" w:rsidRPr="0077388B" w14:paraId="55C661D9" w14:textId="77777777" w:rsidTr="00A20F4C">
        <w:trPr>
          <w:trHeight w:val="275"/>
        </w:trPr>
        <w:tc>
          <w:tcPr>
            <w:tcW w:w="2584" w:type="pct"/>
            <w:tcBorders>
              <w:top w:val="nil"/>
              <w:left w:val="nil"/>
              <w:bottom w:val="nil"/>
              <w:right w:val="nil"/>
            </w:tcBorders>
            <w:shd w:val="clear" w:color="auto" w:fill="auto"/>
            <w:noWrap/>
            <w:vAlign w:val="bottom"/>
          </w:tcPr>
          <w:p w14:paraId="256D75C2" w14:textId="77777777" w:rsidR="00C3418E" w:rsidRPr="0077388B" w:rsidRDefault="00C3418E" w:rsidP="00463B2D">
            <w:pPr>
              <w:rPr>
                <w:rFonts w:ascii="Calibri" w:eastAsia="Times New Roman" w:hAnsi="Calibri" w:cs="Arial"/>
                <w:b/>
                <w:bCs/>
                <w:color w:val="000000"/>
                <w:sz w:val="20"/>
                <w:szCs w:val="18"/>
                <w:lang w:eastAsia="en-GB"/>
              </w:rPr>
            </w:pPr>
          </w:p>
        </w:tc>
        <w:tc>
          <w:tcPr>
            <w:tcW w:w="229" w:type="pct"/>
            <w:tcBorders>
              <w:top w:val="nil"/>
              <w:left w:val="nil"/>
              <w:bottom w:val="nil"/>
              <w:right w:val="nil"/>
            </w:tcBorders>
            <w:shd w:val="clear" w:color="auto" w:fill="auto"/>
            <w:noWrap/>
            <w:vAlign w:val="bottom"/>
          </w:tcPr>
          <w:p w14:paraId="734B6A17" w14:textId="77777777" w:rsidR="00C3418E" w:rsidRPr="0077388B" w:rsidRDefault="00C3418E" w:rsidP="00463B2D">
            <w:pPr>
              <w:rPr>
                <w:rFonts w:ascii="Calibri" w:eastAsia="Times New Roman" w:hAnsi="Calibri" w:cs="Arial"/>
                <w:b/>
                <w:bCs/>
                <w:color w:val="000000"/>
                <w:sz w:val="20"/>
                <w:szCs w:val="18"/>
                <w:lang w:eastAsia="en-GB"/>
              </w:rPr>
            </w:pPr>
          </w:p>
        </w:tc>
        <w:tc>
          <w:tcPr>
            <w:tcW w:w="730" w:type="pct"/>
            <w:tcBorders>
              <w:top w:val="nil"/>
              <w:left w:val="nil"/>
              <w:bottom w:val="nil"/>
              <w:right w:val="nil"/>
            </w:tcBorders>
            <w:shd w:val="clear" w:color="auto" w:fill="auto"/>
            <w:noWrap/>
            <w:vAlign w:val="bottom"/>
          </w:tcPr>
          <w:p w14:paraId="2F31F3A9" w14:textId="77777777" w:rsidR="00C3418E" w:rsidRPr="0077388B" w:rsidRDefault="00C3418E" w:rsidP="00763235">
            <w:pPr>
              <w:jc w:val="right"/>
              <w:rPr>
                <w:rFonts w:ascii="Calibri" w:eastAsia="Times New Roman" w:hAnsi="Calibri"/>
                <w:sz w:val="20"/>
                <w:szCs w:val="20"/>
                <w:lang w:eastAsia="en-GB"/>
              </w:rPr>
            </w:pPr>
          </w:p>
        </w:tc>
        <w:tc>
          <w:tcPr>
            <w:tcW w:w="730" w:type="pct"/>
            <w:tcBorders>
              <w:top w:val="nil"/>
              <w:left w:val="nil"/>
              <w:bottom w:val="nil"/>
              <w:right w:val="nil"/>
            </w:tcBorders>
            <w:vAlign w:val="bottom"/>
          </w:tcPr>
          <w:p w14:paraId="2A5D6540" w14:textId="77777777" w:rsidR="00C3418E" w:rsidRPr="004617E7" w:rsidRDefault="00C3418E" w:rsidP="00763235">
            <w:pPr>
              <w:jc w:val="right"/>
              <w:rPr>
                <w:rFonts w:ascii="Calibri" w:eastAsia="Times New Roman" w:hAnsi="Calibri"/>
                <w:b/>
                <w:sz w:val="20"/>
                <w:szCs w:val="20"/>
                <w:lang w:eastAsia="en-GB"/>
              </w:rPr>
            </w:pPr>
          </w:p>
        </w:tc>
        <w:tc>
          <w:tcPr>
            <w:tcW w:w="727" w:type="pct"/>
            <w:tcBorders>
              <w:top w:val="nil"/>
              <w:left w:val="nil"/>
              <w:bottom w:val="nil"/>
              <w:right w:val="nil"/>
            </w:tcBorders>
            <w:shd w:val="clear" w:color="auto" w:fill="auto"/>
            <w:noWrap/>
            <w:vAlign w:val="bottom"/>
          </w:tcPr>
          <w:p w14:paraId="5C020D55" w14:textId="77777777" w:rsidR="00C3418E" w:rsidRPr="004617E7" w:rsidRDefault="00C3418E" w:rsidP="00763235">
            <w:pPr>
              <w:jc w:val="right"/>
              <w:rPr>
                <w:rFonts w:ascii="Calibri" w:eastAsia="Times New Roman" w:hAnsi="Calibri"/>
                <w:b/>
                <w:sz w:val="20"/>
                <w:szCs w:val="20"/>
                <w:lang w:eastAsia="en-GB"/>
              </w:rPr>
            </w:pPr>
          </w:p>
        </w:tc>
      </w:tr>
      <w:tr w:rsidR="00C3418E" w:rsidRPr="0077388B" w14:paraId="31B0FF4D" w14:textId="77777777" w:rsidTr="00A20F4C">
        <w:trPr>
          <w:trHeight w:val="275"/>
        </w:trPr>
        <w:tc>
          <w:tcPr>
            <w:tcW w:w="2584" w:type="pct"/>
            <w:tcBorders>
              <w:top w:val="nil"/>
              <w:left w:val="nil"/>
              <w:bottom w:val="nil"/>
              <w:right w:val="nil"/>
            </w:tcBorders>
            <w:shd w:val="clear" w:color="auto" w:fill="auto"/>
            <w:noWrap/>
            <w:vAlign w:val="bottom"/>
          </w:tcPr>
          <w:p w14:paraId="0E4A563D" w14:textId="7A2570ED" w:rsidR="00C3418E" w:rsidRPr="00C3418E" w:rsidRDefault="00C3418E" w:rsidP="00463B2D">
            <w:pPr>
              <w:rPr>
                <w:rFonts w:ascii="Calibri" w:eastAsia="Times New Roman" w:hAnsi="Calibri" w:cs="Arial"/>
                <w:color w:val="000000"/>
                <w:sz w:val="20"/>
                <w:szCs w:val="18"/>
                <w:lang w:eastAsia="en-GB"/>
              </w:rPr>
            </w:pPr>
            <w:r w:rsidRPr="00C3418E">
              <w:rPr>
                <w:rFonts w:ascii="Calibri" w:eastAsia="Times New Roman" w:hAnsi="Calibri" w:cs="Arial"/>
                <w:color w:val="000000"/>
                <w:sz w:val="20"/>
                <w:szCs w:val="18"/>
                <w:lang w:eastAsia="en-GB"/>
              </w:rPr>
              <w:t xml:space="preserve">Proceeds from issue of share </w:t>
            </w:r>
            <w:r w:rsidR="002429BB">
              <w:rPr>
                <w:rFonts w:ascii="Calibri" w:eastAsia="Times New Roman" w:hAnsi="Calibri" w:cs="Arial"/>
                <w:color w:val="000000"/>
                <w:sz w:val="20"/>
                <w:szCs w:val="18"/>
                <w:lang w:eastAsia="en-GB"/>
              </w:rPr>
              <w:t>capital, net of issue costs</w:t>
            </w:r>
          </w:p>
        </w:tc>
        <w:tc>
          <w:tcPr>
            <w:tcW w:w="229" w:type="pct"/>
            <w:tcBorders>
              <w:top w:val="nil"/>
              <w:left w:val="nil"/>
              <w:bottom w:val="nil"/>
              <w:right w:val="nil"/>
            </w:tcBorders>
            <w:shd w:val="clear" w:color="auto" w:fill="auto"/>
            <w:noWrap/>
            <w:vAlign w:val="bottom"/>
          </w:tcPr>
          <w:p w14:paraId="54DB0826" w14:textId="77777777" w:rsidR="00C3418E" w:rsidRPr="0077388B" w:rsidRDefault="00C3418E" w:rsidP="00463B2D">
            <w:pPr>
              <w:rPr>
                <w:rFonts w:ascii="Calibri" w:eastAsia="Times New Roman" w:hAnsi="Calibri" w:cs="Arial"/>
                <w:b/>
                <w:bCs/>
                <w:color w:val="000000"/>
                <w:sz w:val="20"/>
                <w:szCs w:val="18"/>
                <w:lang w:eastAsia="en-GB"/>
              </w:rPr>
            </w:pPr>
          </w:p>
        </w:tc>
        <w:tc>
          <w:tcPr>
            <w:tcW w:w="730" w:type="pct"/>
            <w:tcBorders>
              <w:top w:val="nil"/>
              <w:left w:val="nil"/>
              <w:bottom w:val="nil"/>
              <w:right w:val="nil"/>
            </w:tcBorders>
            <w:shd w:val="clear" w:color="auto" w:fill="auto"/>
            <w:noWrap/>
            <w:vAlign w:val="bottom"/>
          </w:tcPr>
          <w:p w14:paraId="71D4772A" w14:textId="6A6BCD44" w:rsidR="00C3418E" w:rsidRPr="00C3418E" w:rsidRDefault="00C3418E" w:rsidP="00763235">
            <w:pPr>
              <w:jc w:val="right"/>
              <w:rPr>
                <w:rFonts w:ascii="Calibri" w:eastAsia="Times New Roman" w:hAnsi="Calibri"/>
                <w:b/>
                <w:bCs/>
                <w:sz w:val="20"/>
                <w:szCs w:val="20"/>
                <w:lang w:eastAsia="en-GB"/>
              </w:rPr>
            </w:pPr>
            <w:r w:rsidRPr="00C3418E">
              <w:rPr>
                <w:rFonts w:ascii="Calibri" w:eastAsia="Times New Roman" w:hAnsi="Calibri"/>
                <w:b/>
                <w:bCs/>
                <w:sz w:val="20"/>
                <w:szCs w:val="20"/>
                <w:lang w:eastAsia="en-GB"/>
              </w:rPr>
              <w:t>1,368</w:t>
            </w:r>
          </w:p>
        </w:tc>
        <w:tc>
          <w:tcPr>
            <w:tcW w:w="730" w:type="pct"/>
            <w:tcBorders>
              <w:top w:val="nil"/>
              <w:left w:val="nil"/>
              <w:bottom w:val="nil"/>
              <w:right w:val="nil"/>
            </w:tcBorders>
            <w:vAlign w:val="bottom"/>
          </w:tcPr>
          <w:p w14:paraId="7EEC6C88" w14:textId="7C3BE1FB" w:rsidR="00C3418E" w:rsidRPr="004617E7" w:rsidRDefault="00C3418E" w:rsidP="00763235">
            <w:pPr>
              <w:jc w:val="right"/>
              <w:rPr>
                <w:rFonts w:ascii="Calibri" w:eastAsia="Times New Roman" w:hAnsi="Calibri"/>
                <w:b/>
                <w:sz w:val="20"/>
                <w:szCs w:val="20"/>
                <w:lang w:eastAsia="en-GB"/>
              </w:rPr>
            </w:pPr>
            <w:r>
              <w:rPr>
                <w:rFonts w:ascii="Calibri" w:eastAsia="Times New Roman" w:hAnsi="Calibri"/>
                <w:b/>
                <w:sz w:val="20"/>
                <w:szCs w:val="20"/>
                <w:lang w:eastAsia="en-GB"/>
              </w:rPr>
              <w:t>250</w:t>
            </w:r>
          </w:p>
        </w:tc>
        <w:tc>
          <w:tcPr>
            <w:tcW w:w="727" w:type="pct"/>
            <w:tcBorders>
              <w:top w:val="nil"/>
              <w:left w:val="nil"/>
              <w:bottom w:val="nil"/>
              <w:right w:val="nil"/>
            </w:tcBorders>
            <w:shd w:val="clear" w:color="auto" w:fill="auto"/>
            <w:noWrap/>
            <w:vAlign w:val="bottom"/>
          </w:tcPr>
          <w:p w14:paraId="4F0C9B5C" w14:textId="6591C632" w:rsidR="00C3418E" w:rsidRPr="004617E7" w:rsidRDefault="00C3418E" w:rsidP="00763235">
            <w:pPr>
              <w:jc w:val="right"/>
              <w:rPr>
                <w:rFonts w:ascii="Calibri" w:eastAsia="Times New Roman" w:hAnsi="Calibri"/>
                <w:b/>
                <w:sz w:val="20"/>
                <w:szCs w:val="20"/>
                <w:lang w:eastAsia="en-GB"/>
              </w:rPr>
            </w:pPr>
            <w:r>
              <w:rPr>
                <w:rFonts w:ascii="Calibri" w:eastAsia="Times New Roman" w:hAnsi="Calibri"/>
                <w:b/>
                <w:sz w:val="20"/>
                <w:szCs w:val="20"/>
                <w:lang w:eastAsia="en-GB"/>
              </w:rPr>
              <w:t>2,868</w:t>
            </w:r>
          </w:p>
        </w:tc>
      </w:tr>
      <w:tr w:rsidR="00C3418E" w:rsidRPr="0077388B" w14:paraId="7920B7BD" w14:textId="77777777" w:rsidTr="00A20F4C">
        <w:trPr>
          <w:trHeight w:val="275"/>
        </w:trPr>
        <w:tc>
          <w:tcPr>
            <w:tcW w:w="2584" w:type="pct"/>
            <w:tcBorders>
              <w:top w:val="nil"/>
              <w:left w:val="nil"/>
              <w:bottom w:val="nil"/>
              <w:right w:val="nil"/>
            </w:tcBorders>
            <w:shd w:val="clear" w:color="auto" w:fill="auto"/>
            <w:noWrap/>
            <w:vAlign w:val="bottom"/>
          </w:tcPr>
          <w:p w14:paraId="2D7184B9" w14:textId="153D3A8B" w:rsidR="00C3418E" w:rsidRPr="00C3418E" w:rsidRDefault="00C3418E" w:rsidP="00463B2D">
            <w:pPr>
              <w:rPr>
                <w:rFonts w:ascii="Calibri" w:eastAsia="Times New Roman" w:hAnsi="Calibri" w:cs="Arial"/>
                <w:color w:val="000000"/>
                <w:sz w:val="20"/>
                <w:szCs w:val="18"/>
                <w:lang w:eastAsia="en-GB"/>
              </w:rPr>
            </w:pPr>
            <w:r w:rsidRPr="00C3418E">
              <w:rPr>
                <w:rFonts w:ascii="Calibri" w:eastAsia="Times New Roman" w:hAnsi="Calibri" w:cs="Arial"/>
                <w:color w:val="000000"/>
                <w:sz w:val="20"/>
                <w:szCs w:val="18"/>
                <w:lang w:eastAsia="en-GB"/>
              </w:rPr>
              <w:t xml:space="preserve">Convertible loan notes </w:t>
            </w:r>
          </w:p>
        </w:tc>
        <w:tc>
          <w:tcPr>
            <w:tcW w:w="229" w:type="pct"/>
            <w:tcBorders>
              <w:top w:val="nil"/>
              <w:left w:val="nil"/>
              <w:bottom w:val="nil"/>
              <w:right w:val="nil"/>
            </w:tcBorders>
            <w:shd w:val="clear" w:color="auto" w:fill="auto"/>
            <w:noWrap/>
            <w:vAlign w:val="bottom"/>
          </w:tcPr>
          <w:p w14:paraId="76FD6673" w14:textId="77777777" w:rsidR="00C3418E" w:rsidRPr="0077388B" w:rsidRDefault="00C3418E" w:rsidP="00463B2D">
            <w:pPr>
              <w:rPr>
                <w:rFonts w:ascii="Calibri" w:eastAsia="Times New Roman" w:hAnsi="Calibri" w:cs="Arial"/>
                <w:b/>
                <w:bCs/>
                <w:color w:val="000000"/>
                <w:sz w:val="20"/>
                <w:szCs w:val="18"/>
                <w:lang w:eastAsia="en-GB"/>
              </w:rPr>
            </w:pPr>
          </w:p>
        </w:tc>
        <w:tc>
          <w:tcPr>
            <w:tcW w:w="730" w:type="pct"/>
            <w:tcBorders>
              <w:top w:val="nil"/>
              <w:left w:val="nil"/>
              <w:bottom w:val="nil"/>
              <w:right w:val="nil"/>
            </w:tcBorders>
            <w:shd w:val="clear" w:color="auto" w:fill="auto"/>
            <w:noWrap/>
            <w:vAlign w:val="bottom"/>
          </w:tcPr>
          <w:p w14:paraId="72504149" w14:textId="7AEFC401" w:rsidR="00C3418E" w:rsidRPr="00C3418E" w:rsidRDefault="00C3418E" w:rsidP="00763235">
            <w:pPr>
              <w:jc w:val="right"/>
              <w:rPr>
                <w:rFonts w:ascii="Calibri" w:eastAsia="Times New Roman" w:hAnsi="Calibri"/>
                <w:b/>
                <w:bCs/>
                <w:sz w:val="20"/>
                <w:szCs w:val="20"/>
                <w:lang w:eastAsia="en-GB"/>
              </w:rPr>
            </w:pPr>
            <w:r w:rsidRPr="00C3418E">
              <w:rPr>
                <w:rFonts w:ascii="Calibri" w:eastAsia="Times New Roman" w:hAnsi="Calibri"/>
                <w:b/>
                <w:bCs/>
                <w:sz w:val="20"/>
                <w:szCs w:val="20"/>
                <w:lang w:eastAsia="en-GB"/>
              </w:rPr>
              <w:t>-</w:t>
            </w:r>
          </w:p>
        </w:tc>
        <w:tc>
          <w:tcPr>
            <w:tcW w:w="730" w:type="pct"/>
            <w:tcBorders>
              <w:top w:val="nil"/>
              <w:left w:val="nil"/>
              <w:bottom w:val="nil"/>
              <w:right w:val="nil"/>
            </w:tcBorders>
            <w:vAlign w:val="bottom"/>
          </w:tcPr>
          <w:p w14:paraId="0BE582F0" w14:textId="536B6CE1" w:rsidR="00C3418E" w:rsidRPr="004617E7" w:rsidRDefault="00C3418E" w:rsidP="00763235">
            <w:pPr>
              <w:jc w:val="right"/>
              <w:rPr>
                <w:rFonts w:ascii="Calibri" w:eastAsia="Times New Roman" w:hAnsi="Calibri"/>
                <w:b/>
                <w:sz w:val="20"/>
                <w:szCs w:val="20"/>
                <w:lang w:eastAsia="en-GB"/>
              </w:rPr>
            </w:pPr>
            <w:r>
              <w:rPr>
                <w:rFonts w:ascii="Calibri" w:eastAsia="Times New Roman" w:hAnsi="Calibri"/>
                <w:b/>
                <w:sz w:val="20"/>
                <w:szCs w:val="20"/>
                <w:lang w:eastAsia="en-GB"/>
              </w:rPr>
              <w:t>308</w:t>
            </w:r>
          </w:p>
        </w:tc>
        <w:tc>
          <w:tcPr>
            <w:tcW w:w="727" w:type="pct"/>
            <w:tcBorders>
              <w:top w:val="nil"/>
              <w:left w:val="nil"/>
              <w:bottom w:val="nil"/>
              <w:right w:val="nil"/>
            </w:tcBorders>
            <w:shd w:val="clear" w:color="auto" w:fill="auto"/>
            <w:noWrap/>
            <w:vAlign w:val="bottom"/>
          </w:tcPr>
          <w:p w14:paraId="7EDCD693" w14:textId="1F696764" w:rsidR="00C3418E" w:rsidRPr="004617E7" w:rsidRDefault="00C3418E" w:rsidP="00763235">
            <w:pPr>
              <w:jc w:val="right"/>
              <w:rPr>
                <w:rFonts w:ascii="Calibri" w:eastAsia="Times New Roman" w:hAnsi="Calibri"/>
                <w:b/>
                <w:sz w:val="20"/>
                <w:szCs w:val="20"/>
                <w:lang w:eastAsia="en-GB"/>
              </w:rPr>
            </w:pPr>
            <w:r>
              <w:rPr>
                <w:rFonts w:ascii="Calibri" w:eastAsia="Times New Roman" w:hAnsi="Calibri"/>
                <w:b/>
                <w:sz w:val="20"/>
                <w:szCs w:val="20"/>
                <w:lang w:eastAsia="en-GB"/>
              </w:rPr>
              <w:t>209</w:t>
            </w:r>
          </w:p>
        </w:tc>
      </w:tr>
      <w:tr w:rsidR="00463B2D" w:rsidRPr="0077388B" w14:paraId="007B925B" w14:textId="77777777" w:rsidTr="00A20F4C">
        <w:trPr>
          <w:trHeight w:val="288"/>
        </w:trPr>
        <w:tc>
          <w:tcPr>
            <w:tcW w:w="2584" w:type="pct"/>
            <w:tcBorders>
              <w:top w:val="nil"/>
              <w:left w:val="nil"/>
              <w:bottom w:val="nil"/>
              <w:right w:val="nil"/>
            </w:tcBorders>
            <w:shd w:val="clear" w:color="auto" w:fill="auto"/>
            <w:noWrap/>
            <w:vAlign w:val="bottom"/>
            <w:hideMark/>
          </w:tcPr>
          <w:p w14:paraId="1F96FB6F" w14:textId="77777777" w:rsidR="00463B2D" w:rsidRPr="0077388B" w:rsidRDefault="00463B2D" w:rsidP="00463B2D">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 xml:space="preserve">Net cash inflow from financing activities </w:t>
            </w:r>
          </w:p>
        </w:tc>
        <w:tc>
          <w:tcPr>
            <w:tcW w:w="229" w:type="pct"/>
            <w:tcBorders>
              <w:top w:val="nil"/>
              <w:left w:val="nil"/>
              <w:bottom w:val="nil"/>
              <w:right w:val="nil"/>
            </w:tcBorders>
            <w:shd w:val="clear" w:color="auto" w:fill="auto"/>
            <w:noWrap/>
            <w:vAlign w:val="bottom"/>
            <w:hideMark/>
          </w:tcPr>
          <w:p w14:paraId="7E389907" w14:textId="77777777" w:rsidR="00463B2D" w:rsidRPr="0077388B" w:rsidRDefault="00463B2D" w:rsidP="00463B2D">
            <w:pPr>
              <w:rPr>
                <w:rFonts w:ascii="Calibri" w:eastAsia="Times New Roman" w:hAnsi="Calibri" w:cs="Arial"/>
                <w:b/>
                <w:bCs/>
                <w:color w:val="000000"/>
                <w:sz w:val="20"/>
                <w:szCs w:val="18"/>
                <w:lang w:eastAsia="en-GB"/>
              </w:rPr>
            </w:pPr>
          </w:p>
        </w:tc>
        <w:tc>
          <w:tcPr>
            <w:tcW w:w="730" w:type="pct"/>
            <w:tcBorders>
              <w:top w:val="single" w:sz="8" w:space="0" w:color="auto"/>
              <w:left w:val="nil"/>
              <w:bottom w:val="single" w:sz="8" w:space="0" w:color="auto"/>
              <w:right w:val="nil"/>
            </w:tcBorders>
            <w:shd w:val="clear" w:color="auto" w:fill="auto"/>
            <w:noWrap/>
            <w:vAlign w:val="bottom"/>
          </w:tcPr>
          <w:p w14:paraId="5C539B3A" w14:textId="4C15E54B" w:rsidR="00463B2D" w:rsidRPr="0077388B" w:rsidRDefault="00C3418E" w:rsidP="00763235">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1,368</w:t>
            </w:r>
          </w:p>
        </w:tc>
        <w:tc>
          <w:tcPr>
            <w:tcW w:w="730" w:type="pct"/>
            <w:tcBorders>
              <w:top w:val="single" w:sz="8" w:space="0" w:color="auto"/>
              <w:left w:val="nil"/>
              <w:bottom w:val="single" w:sz="8" w:space="0" w:color="auto"/>
              <w:right w:val="nil"/>
            </w:tcBorders>
            <w:vAlign w:val="bottom"/>
          </w:tcPr>
          <w:p w14:paraId="10335B28" w14:textId="1A47F344" w:rsidR="00463B2D" w:rsidRDefault="00C3418E" w:rsidP="00763235">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558</w:t>
            </w:r>
          </w:p>
        </w:tc>
        <w:tc>
          <w:tcPr>
            <w:tcW w:w="727" w:type="pct"/>
            <w:tcBorders>
              <w:top w:val="single" w:sz="8" w:space="0" w:color="auto"/>
              <w:left w:val="nil"/>
              <w:bottom w:val="single" w:sz="8" w:space="0" w:color="auto"/>
              <w:right w:val="nil"/>
            </w:tcBorders>
            <w:shd w:val="clear" w:color="auto" w:fill="auto"/>
            <w:noWrap/>
            <w:vAlign w:val="bottom"/>
          </w:tcPr>
          <w:p w14:paraId="0E76D950" w14:textId="63B8860D" w:rsidR="00463B2D" w:rsidRPr="004617E7" w:rsidRDefault="00480894"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3,077</w:t>
            </w:r>
          </w:p>
        </w:tc>
      </w:tr>
      <w:tr w:rsidR="00463B2D" w:rsidRPr="0077388B" w14:paraId="4F1C8CEA" w14:textId="77777777" w:rsidTr="00A20F4C">
        <w:trPr>
          <w:trHeight w:val="275"/>
        </w:trPr>
        <w:tc>
          <w:tcPr>
            <w:tcW w:w="2584" w:type="pct"/>
            <w:tcBorders>
              <w:top w:val="nil"/>
              <w:left w:val="nil"/>
              <w:bottom w:val="nil"/>
              <w:right w:val="nil"/>
            </w:tcBorders>
            <w:shd w:val="clear" w:color="auto" w:fill="auto"/>
            <w:noWrap/>
            <w:vAlign w:val="bottom"/>
            <w:hideMark/>
          </w:tcPr>
          <w:p w14:paraId="1FAA5AB1" w14:textId="77777777" w:rsidR="00463B2D" w:rsidRPr="0077388B" w:rsidRDefault="00463B2D" w:rsidP="00463B2D">
            <w:pPr>
              <w:jc w:val="right"/>
              <w:rPr>
                <w:rFonts w:ascii="Calibri" w:eastAsia="Times New Roman" w:hAnsi="Calibri" w:cs="Arial"/>
                <w:color w:val="000000"/>
                <w:sz w:val="20"/>
                <w:szCs w:val="18"/>
                <w:lang w:eastAsia="en-GB"/>
              </w:rPr>
            </w:pPr>
          </w:p>
        </w:tc>
        <w:tc>
          <w:tcPr>
            <w:tcW w:w="229" w:type="pct"/>
            <w:tcBorders>
              <w:top w:val="nil"/>
              <w:left w:val="nil"/>
              <w:bottom w:val="nil"/>
              <w:right w:val="nil"/>
            </w:tcBorders>
            <w:shd w:val="clear" w:color="auto" w:fill="auto"/>
            <w:noWrap/>
            <w:vAlign w:val="bottom"/>
            <w:hideMark/>
          </w:tcPr>
          <w:p w14:paraId="65660387" w14:textId="77777777" w:rsidR="00463B2D" w:rsidRPr="0077388B" w:rsidRDefault="00463B2D" w:rsidP="00463B2D">
            <w:pPr>
              <w:rPr>
                <w:rFonts w:ascii="Calibri" w:eastAsia="Times New Roman" w:hAnsi="Calibri"/>
                <w:sz w:val="20"/>
                <w:szCs w:val="20"/>
                <w:lang w:eastAsia="en-GB"/>
              </w:rPr>
            </w:pPr>
          </w:p>
        </w:tc>
        <w:tc>
          <w:tcPr>
            <w:tcW w:w="730" w:type="pct"/>
            <w:tcBorders>
              <w:top w:val="nil"/>
              <w:left w:val="nil"/>
              <w:bottom w:val="nil"/>
              <w:right w:val="nil"/>
            </w:tcBorders>
            <w:shd w:val="clear" w:color="auto" w:fill="auto"/>
            <w:noWrap/>
            <w:vAlign w:val="bottom"/>
          </w:tcPr>
          <w:p w14:paraId="15A24579" w14:textId="24F573EF" w:rsidR="00463B2D" w:rsidRPr="0077388B" w:rsidRDefault="00463B2D" w:rsidP="00763235">
            <w:pPr>
              <w:jc w:val="right"/>
              <w:rPr>
                <w:rFonts w:ascii="Calibri" w:eastAsia="Times New Roman" w:hAnsi="Calibri"/>
                <w:sz w:val="20"/>
                <w:szCs w:val="20"/>
                <w:lang w:eastAsia="en-GB"/>
              </w:rPr>
            </w:pPr>
          </w:p>
        </w:tc>
        <w:tc>
          <w:tcPr>
            <w:tcW w:w="730" w:type="pct"/>
            <w:tcBorders>
              <w:top w:val="nil"/>
              <w:left w:val="nil"/>
              <w:bottom w:val="nil"/>
              <w:right w:val="nil"/>
            </w:tcBorders>
            <w:vAlign w:val="bottom"/>
          </w:tcPr>
          <w:p w14:paraId="3E15E34A" w14:textId="571AB4A4" w:rsidR="00463B2D" w:rsidRDefault="00463B2D" w:rsidP="00763235">
            <w:pPr>
              <w:jc w:val="right"/>
              <w:rPr>
                <w:rFonts w:ascii="Calibri" w:eastAsia="Times New Roman" w:hAnsi="Calibri"/>
                <w:sz w:val="20"/>
                <w:szCs w:val="20"/>
                <w:lang w:eastAsia="en-GB"/>
              </w:rPr>
            </w:pPr>
            <w:r>
              <w:rPr>
                <w:rFonts w:ascii="Calibri" w:eastAsia="Times New Roman" w:hAnsi="Calibri"/>
                <w:sz w:val="20"/>
                <w:szCs w:val="20"/>
                <w:lang w:eastAsia="en-GB"/>
              </w:rPr>
              <w:t>-</w:t>
            </w:r>
          </w:p>
        </w:tc>
        <w:tc>
          <w:tcPr>
            <w:tcW w:w="727" w:type="pct"/>
            <w:tcBorders>
              <w:top w:val="nil"/>
              <w:left w:val="nil"/>
              <w:bottom w:val="nil"/>
              <w:right w:val="nil"/>
            </w:tcBorders>
            <w:shd w:val="clear" w:color="auto" w:fill="auto"/>
            <w:noWrap/>
            <w:vAlign w:val="bottom"/>
          </w:tcPr>
          <w:p w14:paraId="0D4FF2A6" w14:textId="1E66280D" w:rsidR="00463B2D" w:rsidRPr="004617E7" w:rsidRDefault="00463B2D" w:rsidP="00763235">
            <w:pPr>
              <w:jc w:val="right"/>
              <w:rPr>
                <w:rFonts w:ascii="Calibri" w:eastAsia="Times New Roman" w:hAnsi="Calibri"/>
                <w:b/>
                <w:sz w:val="20"/>
                <w:szCs w:val="20"/>
                <w:lang w:eastAsia="en-GB"/>
              </w:rPr>
            </w:pPr>
          </w:p>
        </w:tc>
      </w:tr>
      <w:tr w:rsidR="00C3418E" w:rsidRPr="0077388B" w14:paraId="2279EC01" w14:textId="77777777" w:rsidTr="00A20F4C">
        <w:trPr>
          <w:trHeight w:val="275"/>
        </w:trPr>
        <w:tc>
          <w:tcPr>
            <w:tcW w:w="2584" w:type="pct"/>
            <w:tcBorders>
              <w:top w:val="nil"/>
              <w:left w:val="nil"/>
              <w:bottom w:val="nil"/>
              <w:right w:val="nil"/>
            </w:tcBorders>
            <w:shd w:val="clear" w:color="auto" w:fill="auto"/>
            <w:noWrap/>
            <w:vAlign w:val="bottom"/>
          </w:tcPr>
          <w:p w14:paraId="747AB4BD" w14:textId="78458D72" w:rsidR="00C3418E" w:rsidRPr="0077388B" w:rsidRDefault="00C3418E" w:rsidP="00C3418E">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 xml:space="preserve">Net (decrease)/increase in cash and cash equivalents </w:t>
            </w:r>
          </w:p>
        </w:tc>
        <w:tc>
          <w:tcPr>
            <w:tcW w:w="229" w:type="pct"/>
            <w:tcBorders>
              <w:top w:val="nil"/>
              <w:left w:val="nil"/>
              <w:bottom w:val="nil"/>
              <w:right w:val="nil"/>
            </w:tcBorders>
            <w:shd w:val="clear" w:color="auto" w:fill="auto"/>
            <w:noWrap/>
            <w:vAlign w:val="bottom"/>
          </w:tcPr>
          <w:p w14:paraId="2274AF4C" w14:textId="77777777" w:rsidR="00C3418E" w:rsidRPr="0077388B" w:rsidRDefault="00C3418E" w:rsidP="00463B2D">
            <w:pPr>
              <w:rPr>
                <w:rFonts w:ascii="Calibri" w:eastAsia="Times New Roman" w:hAnsi="Calibri"/>
                <w:sz w:val="20"/>
                <w:szCs w:val="20"/>
                <w:lang w:eastAsia="en-GB"/>
              </w:rPr>
            </w:pPr>
          </w:p>
        </w:tc>
        <w:tc>
          <w:tcPr>
            <w:tcW w:w="730" w:type="pct"/>
            <w:tcBorders>
              <w:top w:val="nil"/>
              <w:left w:val="nil"/>
              <w:bottom w:val="nil"/>
              <w:right w:val="nil"/>
            </w:tcBorders>
            <w:shd w:val="clear" w:color="auto" w:fill="auto"/>
            <w:noWrap/>
            <w:vAlign w:val="bottom"/>
          </w:tcPr>
          <w:p w14:paraId="7175BB2B" w14:textId="1F50482D" w:rsidR="00C3418E" w:rsidRPr="00C3418E" w:rsidRDefault="00C3418E" w:rsidP="00763235">
            <w:pPr>
              <w:jc w:val="right"/>
              <w:rPr>
                <w:rFonts w:ascii="Calibri" w:eastAsia="Times New Roman" w:hAnsi="Calibri"/>
                <w:b/>
                <w:bCs/>
                <w:sz w:val="20"/>
                <w:szCs w:val="20"/>
                <w:lang w:eastAsia="en-GB"/>
              </w:rPr>
            </w:pPr>
            <w:r w:rsidRPr="00C3418E">
              <w:rPr>
                <w:rFonts w:ascii="Calibri" w:eastAsia="Times New Roman" w:hAnsi="Calibri"/>
                <w:b/>
                <w:bCs/>
                <w:sz w:val="20"/>
                <w:szCs w:val="20"/>
                <w:lang w:eastAsia="en-GB"/>
              </w:rPr>
              <w:t>1</w:t>
            </w:r>
          </w:p>
        </w:tc>
        <w:tc>
          <w:tcPr>
            <w:tcW w:w="730" w:type="pct"/>
            <w:tcBorders>
              <w:top w:val="nil"/>
              <w:left w:val="nil"/>
              <w:bottom w:val="nil"/>
              <w:right w:val="nil"/>
            </w:tcBorders>
            <w:vAlign w:val="bottom"/>
          </w:tcPr>
          <w:p w14:paraId="4C9A422D" w14:textId="161B22B2" w:rsidR="00C3418E" w:rsidRPr="00C3418E" w:rsidRDefault="00C3418E" w:rsidP="00763235">
            <w:pPr>
              <w:jc w:val="right"/>
              <w:rPr>
                <w:rFonts w:ascii="Calibri" w:eastAsia="Times New Roman" w:hAnsi="Calibri"/>
                <w:b/>
                <w:bCs/>
                <w:sz w:val="20"/>
                <w:szCs w:val="20"/>
                <w:lang w:eastAsia="en-GB"/>
              </w:rPr>
            </w:pPr>
            <w:r w:rsidRPr="00C3418E">
              <w:rPr>
                <w:rFonts w:ascii="Calibri" w:eastAsia="Times New Roman" w:hAnsi="Calibri"/>
                <w:b/>
                <w:bCs/>
                <w:sz w:val="20"/>
                <w:szCs w:val="20"/>
                <w:lang w:eastAsia="en-GB"/>
              </w:rPr>
              <w:t>143</w:t>
            </w:r>
          </w:p>
        </w:tc>
        <w:tc>
          <w:tcPr>
            <w:tcW w:w="727" w:type="pct"/>
            <w:tcBorders>
              <w:top w:val="nil"/>
              <w:left w:val="nil"/>
              <w:bottom w:val="nil"/>
              <w:right w:val="nil"/>
            </w:tcBorders>
            <w:shd w:val="clear" w:color="auto" w:fill="auto"/>
            <w:noWrap/>
            <w:vAlign w:val="bottom"/>
          </w:tcPr>
          <w:p w14:paraId="54E9A55E" w14:textId="5D523AE9" w:rsidR="00C3418E" w:rsidRPr="00C3418E" w:rsidRDefault="00C3418E" w:rsidP="00763235">
            <w:pPr>
              <w:jc w:val="right"/>
              <w:rPr>
                <w:rFonts w:ascii="Calibri" w:eastAsia="Times New Roman" w:hAnsi="Calibri"/>
                <w:b/>
                <w:bCs/>
                <w:sz w:val="20"/>
                <w:szCs w:val="20"/>
                <w:lang w:eastAsia="en-GB"/>
              </w:rPr>
            </w:pPr>
            <w:r w:rsidRPr="00C3418E">
              <w:rPr>
                <w:rFonts w:ascii="Calibri" w:eastAsia="Times New Roman" w:hAnsi="Calibri"/>
                <w:b/>
                <w:bCs/>
                <w:sz w:val="20"/>
                <w:szCs w:val="20"/>
                <w:lang w:eastAsia="en-GB"/>
              </w:rPr>
              <w:t>2,</w:t>
            </w:r>
            <w:r w:rsidR="0060237D">
              <w:rPr>
                <w:rFonts w:ascii="Calibri" w:eastAsia="Times New Roman" w:hAnsi="Calibri"/>
                <w:b/>
                <w:bCs/>
                <w:sz w:val="20"/>
                <w:szCs w:val="20"/>
                <w:lang w:eastAsia="en-GB"/>
              </w:rPr>
              <w:t>254</w:t>
            </w:r>
          </w:p>
        </w:tc>
      </w:tr>
      <w:tr w:rsidR="00C3418E" w:rsidRPr="0077388B" w14:paraId="74333066" w14:textId="77777777" w:rsidTr="00A20F4C">
        <w:trPr>
          <w:trHeight w:val="275"/>
        </w:trPr>
        <w:tc>
          <w:tcPr>
            <w:tcW w:w="2584" w:type="pct"/>
            <w:tcBorders>
              <w:top w:val="nil"/>
              <w:left w:val="nil"/>
              <w:bottom w:val="nil"/>
              <w:right w:val="nil"/>
            </w:tcBorders>
            <w:shd w:val="clear" w:color="auto" w:fill="auto"/>
            <w:noWrap/>
            <w:vAlign w:val="bottom"/>
          </w:tcPr>
          <w:p w14:paraId="64C12E29" w14:textId="668EC2E5" w:rsidR="00C3418E" w:rsidRDefault="00C3418E" w:rsidP="00C3418E">
            <w:pPr>
              <w:rPr>
                <w:rFonts w:ascii="Calibri" w:eastAsia="Times New Roman" w:hAnsi="Calibri" w:cs="Arial"/>
                <w:color w:val="000000"/>
                <w:sz w:val="20"/>
                <w:szCs w:val="18"/>
                <w:lang w:eastAsia="en-GB"/>
              </w:rPr>
            </w:pPr>
            <w:r>
              <w:rPr>
                <w:rFonts w:ascii="Calibri" w:eastAsia="Times New Roman" w:hAnsi="Calibri" w:cs="Arial"/>
                <w:color w:val="000000"/>
                <w:sz w:val="20"/>
                <w:szCs w:val="18"/>
                <w:lang w:eastAsia="en-GB"/>
              </w:rPr>
              <w:t>Cash and cash equivalents at beginning of period</w:t>
            </w:r>
          </w:p>
        </w:tc>
        <w:tc>
          <w:tcPr>
            <w:tcW w:w="229" w:type="pct"/>
            <w:tcBorders>
              <w:top w:val="nil"/>
              <w:left w:val="nil"/>
              <w:bottom w:val="nil"/>
              <w:right w:val="nil"/>
            </w:tcBorders>
            <w:shd w:val="clear" w:color="auto" w:fill="auto"/>
            <w:noWrap/>
            <w:vAlign w:val="bottom"/>
          </w:tcPr>
          <w:p w14:paraId="6214D134" w14:textId="77777777" w:rsidR="00C3418E" w:rsidRPr="0077388B" w:rsidRDefault="00C3418E" w:rsidP="00463B2D">
            <w:pPr>
              <w:rPr>
                <w:rFonts w:ascii="Calibri" w:eastAsia="Times New Roman" w:hAnsi="Calibri"/>
                <w:sz w:val="20"/>
                <w:szCs w:val="20"/>
                <w:lang w:eastAsia="en-GB"/>
              </w:rPr>
            </w:pPr>
          </w:p>
        </w:tc>
        <w:tc>
          <w:tcPr>
            <w:tcW w:w="730" w:type="pct"/>
            <w:tcBorders>
              <w:top w:val="nil"/>
              <w:left w:val="nil"/>
              <w:bottom w:val="nil"/>
              <w:right w:val="nil"/>
            </w:tcBorders>
            <w:shd w:val="clear" w:color="auto" w:fill="auto"/>
            <w:noWrap/>
            <w:vAlign w:val="bottom"/>
          </w:tcPr>
          <w:p w14:paraId="53AAB0D3" w14:textId="12ADC614" w:rsidR="00C3418E" w:rsidRPr="00C3418E" w:rsidRDefault="00C3418E" w:rsidP="00763235">
            <w:pPr>
              <w:jc w:val="right"/>
              <w:rPr>
                <w:rFonts w:ascii="Calibri" w:eastAsia="Times New Roman" w:hAnsi="Calibri"/>
                <w:b/>
                <w:bCs/>
                <w:sz w:val="20"/>
                <w:szCs w:val="20"/>
                <w:lang w:eastAsia="en-GB"/>
              </w:rPr>
            </w:pPr>
            <w:r>
              <w:rPr>
                <w:rFonts w:ascii="Calibri" w:eastAsia="Times New Roman" w:hAnsi="Calibri"/>
                <w:b/>
                <w:bCs/>
                <w:sz w:val="20"/>
                <w:szCs w:val="20"/>
                <w:lang w:eastAsia="en-GB"/>
              </w:rPr>
              <w:t>2,192</w:t>
            </w:r>
          </w:p>
        </w:tc>
        <w:tc>
          <w:tcPr>
            <w:tcW w:w="730" w:type="pct"/>
            <w:tcBorders>
              <w:top w:val="nil"/>
              <w:left w:val="nil"/>
              <w:bottom w:val="nil"/>
              <w:right w:val="nil"/>
            </w:tcBorders>
            <w:vAlign w:val="bottom"/>
          </w:tcPr>
          <w:p w14:paraId="564E6EEF" w14:textId="7274C23D" w:rsidR="00C3418E" w:rsidRPr="00C3418E" w:rsidRDefault="00C3418E" w:rsidP="00763235">
            <w:pPr>
              <w:jc w:val="right"/>
              <w:rPr>
                <w:rFonts w:ascii="Calibri" w:eastAsia="Times New Roman" w:hAnsi="Calibri"/>
                <w:b/>
                <w:bCs/>
                <w:sz w:val="20"/>
                <w:szCs w:val="20"/>
                <w:lang w:eastAsia="en-GB"/>
              </w:rPr>
            </w:pPr>
            <w:r>
              <w:rPr>
                <w:rFonts w:ascii="Calibri" w:eastAsia="Times New Roman" w:hAnsi="Calibri"/>
                <w:b/>
                <w:bCs/>
                <w:sz w:val="20"/>
                <w:szCs w:val="20"/>
                <w:lang w:eastAsia="en-GB"/>
              </w:rPr>
              <w:t>124</w:t>
            </w:r>
          </w:p>
        </w:tc>
        <w:tc>
          <w:tcPr>
            <w:tcW w:w="727" w:type="pct"/>
            <w:tcBorders>
              <w:top w:val="nil"/>
              <w:left w:val="nil"/>
              <w:bottom w:val="nil"/>
              <w:right w:val="nil"/>
            </w:tcBorders>
            <w:shd w:val="clear" w:color="auto" w:fill="auto"/>
            <w:noWrap/>
            <w:vAlign w:val="bottom"/>
          </w:tcPr>
          <w:p w14:paraId="1A02B053" w14:textId="55705C89" w:rsidR="00C3418E" w:rsidRPr="00C3418E" w:rsidRDefault="00C3418E" w:rsidP="00763235">
            <w:pPr>
              <w:jc w:val="right"/>
              <w:rPr>
                <w:rFonts w:ascii="Calibri" w:eastAsia="Times New Roman" w:hAnsi="Calibri"/>
                <w:b/>
                <w:bCs/>
                <w:sz w:val="20"/>
                <w:szCs w:val="20"/>
                <w:lang w:eastAsia="en-GB"/>
              </w:rPr>
            </w:pPr>
            <w:r>
              <w:rPr>
                <w:rFonts w:ascii="Calibri" w:eastAsia="Times New Roman" w:hAnsi="Calibri"/>
                <w:b/>
                <w:bCs/>
                <w:sz w:val="20"/>
                <w:szCs w:val="20"/>
                <w:lang w:eastAsia="en-GB"/>
              </w:rPr>
              <w:t>124</w:t>
            </w:r>
          </w:p>
        </w:tc>
      </w:tr>
      <w:tr w:rsidR="00463B2D" w:rsidRPr="0077388B" w14:paraId="5DC49249" w14:textId="77777777" w:rsidTr="00A20F4C">
        <w:trPr>
          <w:trHeight w:val="288"/>
        </w:trPr>
        <w:tc>
          <w:tcPr>
            <w:tcW w:w="2584" w:type="pct"/>
            <w:tcBorders>
              <w:top w:val="nil"/>
              <w:left w:val="nil"/>
              <w:bottom w:val="nil"/>
              <w:right w:val="nil"/>
            </w:tcBorders>
            <w:shd w:val="clear" w:color="auto" w:fill="auto"/>
            <w:noWrap/>
            <w:vAlign w:val="bottom"/>
            <w:hideMark/>
          </w:tcPr>
          <w:p w14:paraId="3697DAB7" w14:textId="77777777" w:rsidR="00463B2D" w:rsidRPr="0077388B" w:rsidRDefault="00463B2D" w:rsidP="00463B2D">
            <w:pPr>
              <w:rPr>
                <w:rFonts w:ascii="Calibri" w:eastAsia="Times New Roman" w:hAnsi="Calibri" w:cs="Arial"/>
                <w:b/>
                <w:bCs/>
                <w:color w:val="000000"/>
                <w:sz w:val="20"/>
                <w:szCs w:val="18"/>
                <w:lang w:eastAsia="en-GB"/>
              </w:rPr>
            </w:pPr>
            <w:r w:rsidRPr="0077388B">
              <w:rPr>
                <w:rFonts w:ascii="Calibri" w:eastAsia="Times New Roman" w:hAnsi="Calibri" w:cs="Arial"/>
                <w:b/>
                <w:bCs/>
                <w:color w:val="000000"/>
                <w:sz w:val="20"/>
                <w:szCs w:val="18"/>
                <w:lang w:eastAsia="en-GB"/>
              </w:rPr>
              <w:t xml:space="preserve">Cash and cash equivalents at end of period </w:t>
            </w:r>
          </w:p>
        </w:tc>
        <w:tc>
          <w:tcPr>
            <w:tcW w:w="229" w:type="pct"/>
            <w:tcBorders>
              <w:top w:val="nil"/>
              <w:left w:val="nil"/>
              <w:bottom w:val="nil"/>
              <w:right w:val="nil"/>
            </w:tcBorders>
            <w:shd w:val="clear" w:color="auto" w:fill="auto"/>
            <w:noWrap/>
            <w:vAlign w:val="bottom"/>
            <w:hideMark/>
          </w:tcPr>
          <w:p w14:paraId="7AAE716C" w14:textId="77777777" w:rsidR="00463B2D" w:rsidRPr="0077388B" w:rsidRDefault="00463B2D" w:rsidP="00463B2D">
            <w:pPr>
              <w:rPr>
                <w:rFonts w:ascii="Calibri" w:eastAsia="Times New Roman" w:hAnsi="Calibri" w:cs="Arial"/>
                <w:b/>
                <w:bCs/>
                <w:color w:val="000000"/>
                <w:sz w:val="20"/>
                <w:szCs w:val="18"/>
                <w:lang w:eastAsia="en-GB"/>
              </w:rPr>
            </w:pPr>
          </w:p>
        </w:tc>
        <w:tc>
          <w:tcPr>
            <w:tcW w:w="730" w:type="pct"/>
            <w:tcBorders>
              <w:top w:val="single" w:sz="8" w:space="0" w:color="auto"/>
              <w:left w:val="nil"/>
              <w:bottom w:val="single" w:sz="8" w:space="0" w:color="auto"/>
              <w:right w:val="nil"/>
            </w:tcBorders>
            <w:shd w:val="clear" w:color="auto" w:fill="auto"/>
            <w:noWrap/>
            <w:vAlign w:val="bottom"/>
          </w:tcPr>
          <w:p w14:paraId="11423F5D" w14:textId="777DD9F4" w:rsidR="00463B2D" w:rsidRPr="0077388B" w:rsidRDefault="00C3418E" w:rsidP="00763235">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2,19</w:t>
            </w:r>
            <w:r w:rsidR="009D2A38">
              <w:rPr>
                <w:rFonts w:ascii="Calibri" w:eastAsia="Times New Roman" w:hAnsi="Calibri" w:cs="Arial"/>
                <w:b/>
                <w:bCs/>
                <w:color w:val="000000"/>
                <w:sz w:val="20"/>
                <w:szCs w:val="18"/>
                <w:lang w:eastAsia="en-GB"/>
              </w:rPr>
              <w:t>4</w:t>
            </w:r>
          </w:p>
        </w:tc>
        <w:tc>
          <w:tcPr>
            <w:tcW w:w="730" w:type="pct"/>
            <w:tcBorders>
              <w:top w:val="single" w:sz="8" w:space="0" w:color="auto"/>
              <w:left w:val="nil"/>
              <w:bottom w:val="single" w:sz="8" w:space="0" w:color="auto"/>
              <w:right w:val="nil"/>
            </w:tcBorders>
            <w:vAlign w:val="bottom"/>
          </w:tcPr>
          <w:p w14:paraId="6FBF6C42" w14:textId="1189BE54" w:rsidR="00463B2D" w:rsidRDefault="00C3418E" w:rsidP="00763235">
            <w:pPr>
              <w:jc w:val="right"/>
              <w:rPr>
                <w:rFonts w:ascii="Calibri" w:eastAsia="Times New Roman" w:hAnsi="Calibri" w:cs="Arial"/>
                <w:b/>
                <w:bCs/>
                <w:color w:val="000000"/>
                <w:sz w:val="20"/>
                <w:szCs w:val="18"/>
                <w:lang w:eastAsia="en-GB"/>
              </w:rPr>
            </w:pPr>
            <w:r>
              <w:rPr>
                <w:rFonts w:ascii="Calibri" w:eastAsia="Times New Roman" w:hAnsi="Calibri" w:cs="Arial"/>
                <w:b/>
                <w:bCs/>
                <w:color w:val="000000"/>
                <w:sz w:val="20"/>
                <w:szCs w:val="18"/>
                <w:lang w:eastAsia="en-GB"/>
              </w:rPr>
              <w:t>267</w:t>
            </w:r>
          </w:p>
        </w:tc>
        <w:tc>
          <w:tcPr>
            <w:tcW w:w="727" w:type="pct"/>
            <w:tcBorders>
              <w:top w:val="single" w:sz="8" w:space="0" w:color="auto"/>
              <w:left w:val="nil"/>
              <w:bottom w:val="single" w:sz="8" w:space="0" w:color="auto"/>
              <w:right w:val="nil"/>
            </w:tcBorders>
            <w:shd w:val="clear" w:color="auto" w:fill="auto"/>
            <w:noWrap/>
            <w:vAlign w:val="bottom"/>
          </w:tcPr>
          <w:p w14:paraId="35858177" w14:textId="36AAF3C8" w:rsidR="00463B2D" w:rsidRPr="004617E7" w:rsidRDefault="00C3418E" w:rsidP="00763235">
            <w:pPr>
              <w:jc w:val="right"/>
              <w:rPr>
                <w:rFonts w:ascii="Calibri" w:eastAsia="Times New Roman" w:hAnsi="Calibri" w:cs="Arial"/>
                <w:b/>
                <w:color w:val="000000"/>
                <w:sz w:val="20"/>
                <w:szCs w:val="18"/>
                <w:lang w:eastAsia="en-GB"/>
              </w:rPr>
            </w:pPr>
            <w:r>
              <w:rPr>
                <w:rFonts w:ascii="Calibri" w:eastAsia="Times New Roman" w:hAnsi="Calibri" w:cs="Arial"/>
                <w:b/>
                <w:color w:val="000000"/>
                <w:sz w:val="20"/>
                <w:szCs w:val="18"/>
                <w:lang w:eastAsia="en-GB"/>
              </w:rPr>
              <w:t>2,</w:t>
            </w:r>
            <w:r w:rsidR="00F95801">
              <w:rPr>
                <w:rFonts w:ascii="Calibri" w:eastAsia="Times New Roman" w:hAnsi="Calibri" w:cs="Arial"/>
                <w:b/>
                <w:color w:val="000000"/>
                <w:sz w:val="20"/>
                <w:szCs w:val="18"/>
                <w:lang w:eastAsia="en-GB"/>
              </w:rPr>
              <w:t>37</w:t>
            </w:r>
            <w:r w:rsidR="0060237D">
              <w:rPr>
                <w:rFonts w:ascii="Calibri" w:eastAsia="Times New Roman" w:hAnsi="Calibri" w:cs="Arial"/>
                <w:b/>
                <w:color w:val="000000"/>
                <w:sz w:val="20"/>
                <w:szCs w:val="18"/>
                <w:lang w:eastAsia="en-GB"/>
              </w:rPr>
              <w:t>8</w:t>
            </w:r>
          </w:p>
        </w:tc>
      </w:tr>
    </w:tbl>
    <w:p w14:paraId="2CD225EF" w14:textId="77777777" w:rsidR="00DF6B2E" w:rsidRPr="0077388B" w:rsidRDefault="00DF6B2E" w:rsidP="008438CA">
      <w:pPr>
        <w:widowControl w:val="0"/>
        <w:autoSpaceDE w:val="0"/>
        <w:autoSpaceDN w:val="0"/>
        <w:adjustRightInd w:val="0"/>
        <w:spacing w:before="120" w:after="120"/>
        <w:outlineLvl w:val="0"/>
        <w:rPr>
          <w:rFonts w:ascii="Calibri" w:hAnsi="Calibri" w:cs="TimesNewRomanPSMT"/>
        </w:rPr>
        <w:sectPr w:rsidR="00DF6B2E" w:rsidRPr="0077388B" w:rsidSect="00AE0CD8">
          <w:pgSz w:w="11907" w:h="16840" w:code="9"/>
          <w:pgMar w:top="720" w:right="1134" w:bottom="1440" w:left="1134" w:header="720" w:footer="720" w:gutter="0"/>
          <w:cols w:space="720"/>
          <w:noEndnote/>
        </w:sectPr>
      </w:pPr>
    </w:p>
    <w:p w14:paraId="150608C9" w14:textId="324E4B91" w:rsidR="00DF6B2E" w:rsidRPr="00D412C1" w:rsidRDefault="00DF6B2E" w:rsidP="008438CA">
      <w:pPr>
        <w:pStyle w:val="Heading1"/>
        <w:spacing w:before="0"/>
        <w:rPr>
          <w:rFonts w:asciiTheme="minorHAnsi" w:hAnsiTheme="minorHAnsi" w:cstheme="minorHAnsi"/>
          <w:kern w:val="0"/>
          <w:sz w:val="24"/>
          <w:szCs w:val="24"/>
          <w:lang w:eastAsia="ja-JP"/>
        </w:rPr>
      </w:pPr>
      <w:r w:rsidRPr="00D412C1">
        <w:rPr>
          <w:rFonts w:asciiTheme="minorHAnsi" w:hAnsiTheme="minorHAnsi" w:cstheme="minorHAnsi"/>
          <w:kern w:val="0"/>
          <w:sz w:val="24"/>
          <w:szCs w:val="24"/>
          <w:lang w:eastAsia="ja-JP"/>
        </w:rPr>
        <w:lastRenderedPageBreak/>
        <w:t>NOTES TO THE INTERIM REPORT FOR SI</w:t>
      </w:r>
      <w:r w:rsidR="00621845" w:rsidRPr="00D412C1">
        <w:rPr>
          <w:rFonts w:asciiTheme="minorHAnsi" w:hAnsiTheme="minorHAnsi" w:cstheme="minorHAnsi"/>
          <w:kern w:val="0"/>
          <w:sz w:val="24"/>
          <w:szCs w:val="24"/>
          <w:lang w:eastAsia="ja-JP"/>
        </w:rPr>
        <w:t xml:space="preserve">X MONTHS ENDED 30 </w:t>
      </w:r>
      <w:r w:rsidR="00A01C6C" w:rsidRPr="00D412C1">
        <w:rPr>
          <w:rFonts w:asciiTheme="minorHAnsi" w:hAnsiTheme="minorHAnsi" w:cstheme="minorHAnsi"/>
          <w:kern w:val="0"/>
          <w:sz w:val="24"/>
          <w:szCs w:val="24"/>
          <w:lang w:eastAsia="ja-JP"/>
        </w:rPr>
        <w:t>JUNE</w:t>
      </w:r>
      <w:r w:rsidR="00621845" w:rsidRPr="00D412C1">
        <w:rPr>
          <w:rFonts w:asciiTheme="minorHAnsi" w:hAnsiTheme="minorHAnsi" w:cstheme="minorHAnsi"/>
          <w:kern w:val="0"/>
          <w:sz w:val="24"/>
          <w:szCs w:val="24"/>
          <w:lang w:eastAsia="ja-JP"/>
        </w:rPr>
        <w:t xml:space="preserve"> 20</w:t>
      </w:r>
      <w:r w:rsidR="000C15B2" w:rsidRPr="00D412C1">
        <w:rPr>
          <w:rFonts w:asciiTheme="minorHAnsi" w:hAnsiTheme="minorHAnsi" w:cstheme="minorHAnsi"/>
          <w:kern w:val="0"/>
          <w:sz w:val="24"/>
          <w:szCs w:val="24"/>
          <w:lang w:eastAsia="ja-JP"/>
        </w:rPr>
        <w:t>2</w:t>
      </w:r>
      <w:r w:rsidR="00763235" w:rsidRPr="00D412C1">
        <w:rPr>
          <w:rFonts w:asciiTheme="minorHAnsi" w:hAnsiTheme="minorHAnsi" w:cstheme="minorHAnsi"/>
          <w:kern w:val="0"/>
          <w:sz w:val="24"/>
          <w:szCs w:val="24"/>
          <w:lang w:eastAsia="ja-JP"/>
        </w:rPr>
        <w:t>1</w:t>
      </w:r>
    </w:p>
    <w:p w14:paraId="238BBB06" w14:textId="77777777" w:rsidR="00DF6B2E" w:rsidRPr="00D412C1" w:rsidRDefault="00DF6B2E" w:rsidP="008438CA">
      <w:pPr>
        <w:pStyle w:val="Heading2"/>
        <w:spacing w:before="120"/>
        <w:rPr>
          <w:rFonts w:asciiTheme="minorHAnsi" w:hAnsiTheme="minorHAnsi" w:cstheme="minorHAnsi"/>
          <w:i w:val="0"/>
          <w:iCs w:val="0"/>
          <w:sz w:val="24"/>
          <w:szCs w:val="24"/>
        </w:rPr>
      </w:pPr>
      <w:r w:rsidRPr="00D412C1">
        <w:rPr>
          <w:rFonts w:asciiTheme="minorHAnsi" w:hAnsiTheme="minorHAnsi" w:cstheme="minorHAnsi"/>
          <w:i w:val="0"/>
          <w:iCs w:val="0"/>
          <w:sz w:val="24"/>
          <w:szCs w:val="24"/>
        </w:rPr>
        <w:t>1.  Basis of preparation</w:t>
      </w:r>
    </w:p>
    <w:p w14:paraId="735E497F" w14:textId="0A371A7E" w:rsidR="00DF6B2E" w:rsidRPr="00D412C1" w:rsidRDefault="00DF6B2E" w:rsidP="00CF4733">
      <w:pPr>
        <w:widowControl w:val="0"/>
        <w:autoSpaceDE w:val="0"/>
        <w:autoSpaceDN w:val="0"/>
        <w:adjustRightInd w:val="0"/>
        <w:spacing w:before="120" w:after="120"/>
        <w:ind w:right="3"/>
        <w:jc w:val="both"/>
        <w:rPr>
          <w:rFonts w:asciiTheme="minorHAnsi" w:hAnsiTheme="minorHAnsi" w:cstheme="minorHAnsi"/>
        </w:rPr>
      </w:pPr>
      <w:r w:rsidRPr="00D412C1">
        <w:rPr>
          <w:rFonts w:asciiTheme="minorHAnsi" w:hAnsiTheme="minorHAnsi" w:cstheme="minorHAnsi"/>
        </w:rPr>
        <w:t>The condensed consolidated interim financial statements ha</w:t>
      </w:r>
      <w:r w:rsidR="00F10731" w:rsidRPr="00D412C1">
        <w:rPr>
          <w:rFonts w:asciiTheme="minorHAnsi" w:hAnsiTheme="minorHAnsi" w:cstheme="minorHAnsi"/>
        </w:rPr>
        <w:t xml:space="preserve">ve </w:t>
      </w:r>
      <w:r w:rsidRPr="00D412C1">
        <w:rPr>
          <w:rFonts w:asciiTheme="minorHAnsi" w:hAnsiTheme="minorHAnsi" w:cstheme="minorHAnsi"/>
        </w:rPr>
        <w:t>been prepared under the historical cost convention and on a going concern basis and in accordance with International Financial Reporting Standards</w:t>
      </w:r>
      <w:r w:rsidR="005D303B">
        <w:rPr>
          <w:rFonts w:asciiTheme="minorHAnsi" w:hAnsiTheme="minorHAnsi" w:cstheme="minorHAnsi"/>
        </w:rPr>
        <w:t>, International Accounting Standards</w:t>
      </w:r>
      <w:r w:rsidRPr="00D412C1">
        <w:rPr>
          <w:rFonts w:asciiTheme="minorHAnsi" w:hAnsiTheme="minorHAnsi" w:cstheme="minorHAnsi"/>
        </w:rPr>
        <w:t xml:space="preserve"> and IFRIC interpretations </w:t>
      </w:r>
      <w:r w:rsidR="005D303B">
        <w:rPr>
          <w:rFonts w:asciiTheme="minorHAnsi" w:hAnsiTheme="minorHAnsi" w:cstheme="minorHAnsi"/>
        </w:rPr>
        <w:t>endorsed</w:t>
      </w:r>
      <w:r w:rsidR="005D303B" w:rsidRPr="00D412C1">
        <w:rPr>
          <w:rFonts w:asciiTheme="minorHAnsi" w:hAnsiTheme="minorHAnsi" w:cstheme="minorHAnsi"/>
        </w:rPr>
        <w:t xml:space="preserve"> </w:t>
      </w:r>
      <w:r w:rsidRPr="00D412C1">
        <w:rPr>
          <w:rFonts w:asciiTheme="minorHAnsi" w:hAnsiTheme="minorHAnsi" w:cstheme="minorHAnsi"/>
        </w:rPr>
        <w:t xml:space="preserve">for use in the </w:t>
      </w:r>
      <w:r w:rsidR="005D303B">
        <w:rPr>
          <w:rFonts w:asciiTheme="minorHAnsi" w:hAnsiTheme="minorHAnsi" w:cstheme="minorHAnsi"/>
        </w:rPr>
        <w:t>United Kingdom</w:t>
      </w:r>
      <w:r w:rsidRPr="00D412C1">
        <w:rPr>
          <w:rFonts w:asciiTheme="minorHAnsi" w:hAnsiTheme="minorHAnsi" w:cstheme="minorHAnsi"/>
        </w:rPr>
        <w:t xml:space="preserve"> (“IFRS”)</w:t>
      </w:r>
      <w:r w:rsidR="00204A00" w:rsidRPr="00D412C1">
        <w:rPr>
          <w:rFonts w:asciiTheme="minorHAnsi" w:hAnsiTheme="minorHAnsi" w:cstheme="minorHAnsi"/>
        </w:rPr>
        <w:t>.</w:t>
      </w:r>
    </w:p>
    <w:p w14:paraId="03368CF8" w14:textId="77777777" w:rsidR="00DF6B2E" w:rsidRPr="00D412C1" w:rsidRDefault="00DF6B2E" w:rsidP="00CF4733">
      <w:pPr>
        <w:spacing w:before="120" w:after="120"/>
        <w:ind w:right="3"/>
        <w:jc w:val="both"/>
        <w:rPr>
          <w:rFonts w:asciiTheme="minorHAnsi" w:hAnsiTheme="minorHAnsi" w:cstheme="minorHAnsi"/>
        </w:rPr>
      </w:pPr>
      <w:r w:rsidRPr="00D412C1">
        <w:rPr>
          <w:rFonts w:asciiTheme="minorHAnsi" w:hAnsiTheme="minorHAnsi" w:cstheme="minorHAnsi"/>
        </w:rPr>
        <w:t xml:space="preserve">The condensed consolidated interim financial statements contained in this document do not constitute statutory accounts.  In the opinion of the directors, the condensed consolidated interim financial statements for this period fairly presents the financial position, result of operations and cash flows for this period.  </w:t>
      </w:r>
    </w:p>
    <w:p w14:paraId="5ECAB512" w14:textId="42603B7C" w:rsidR="00DF6B2E" w:rsidRPr="00D412C1" w:rsidRDefault="00DF6B2E" w:rsidP="00CF4733">
      <w:pPr>
        <w:widowControl w:val="0"/>
        <w:autoSpaceDE w:val="0"/>
        <w:autoSpaceDN w:val="0"/>
        <w:adjustRightInd w:val="0"/>
        <w:spacing w:before="120" w:after="120"/>
        <w:ind w:right="3"/>
        <w:jc w:val="both"/>
        <w:rPr>
          <w:rFonts w:asciiTheme="minorHAnsi" w:hAnsiTheme="minorHAnsi" w:cstheme="minorHAnsi"/>
        </w:rPr>
      </w:pPr>
      <w:r w:rsidRPr="00D412C1">
        <w:rPr>
          <w:rFonts w:asciiTheme="minorHAnsi" w:hAnsiTheme="minorHAnsi" w:cstheme="minorHAnsi"/>
        </w:rPr>
        <w:t>The Board of Directors approved this Interim Financial Report on</w:t>
      </w:r>
      <w:r w:rsidR="006B7477">
        <w:rPr>
          <w:rFonts w:asciiTheme="minorHAnsi" w:hAnsiTheme="minorHAnsi" w:cstheme="minorHAnsi"/>
        </w:rPr>
        <w:t xml:space="preserve"> </w:t>
      </w:r>
      <w:r w:rsidR="00C229B7">
        <w:rPr>
          <w:rFonts w:asciiTheme="minorHAnsi" w:hAnsiTheme="minorHAnsi" w:cstheme="minorHAnsi"/>
        </w:rPr>
        <w:t>30</w:t>
      </w:r>
      <w:r w:rsidR="00851B3A">
        <w:rPr>
          <w:rFonts w:asciiTheme="minorHAnsi" w:hAnsiTheme="minorHAnsi" w:cstheme="minorHAnsi"/>
        </w:rPr>
        <w:t xml:space="preserve"> September 2021</w:t>
      </w:r>
      <w:r w:rsidR="00BE6C63" w:rsidRPr="00D412C1">
        <w:rPr>
          <w:rFonts w:asciiTheme="minorHAnsi" w:hAnsiTheme="minorHAnsi" w:cstheme="minorHAnsi"/>
        </w:rPr>
        <w:t>.</w:t>
      </w:r>
      <w:r w:rsidRPr="00D412C1">
        <w:rPr>
          <w:rFonts w:asciiTheme="minorHAnsi" w:hAnsiTheme="minorHAnsi" w:cstheme="minorHAnsi"/>
        </w:rPr>
        <w:t xml:space="preserve">  </w:t>
      </w:r>
    </w:p>
    <w:p w14:paraId="21916F7A" w14:textId="77777777" w:rsidR="00DF6B2E" w:rsidRPr="00D412C1" w:rsidRDefault="00DF6B2E" w:rsidP="00CF4733">
      <w:pPr>
        <w:pStyle w:val="Heading3"/>
        <w:spacing w:before="120"/>
        <w:ind w:right="3"/>
        <w:jc w:val="both"/>
        <w:rPr>
          <w:rFonts w:asciiTheme="minorHAnsi" w:hAnsiTheme="minorHAnsi" w:cstheme="minorHAnsi"/>
          <w:szCs w:val="24"/>
        </w:rPr>
      </w:pPr>
      <w:r w:rsidRPr="00D412C1">
        <w:rPr>
          <w:rFonts w:asciiTheme="minorHAnsi" w:hAnsiTheme="minorHAnsi" w:cstheme="minorHAnsi"/>
          <w:szCs w:val="24"/>
        </w:rPr>
        <w:t>Statement of compliance</w:t>
      </w:r>
    </w:p>
    <w:p w14:paraId="636E5011" w14:textId="40A42298" w:rsidR="00DF6B2E" w:rsidRPr="00D412C1" w:rsidRDefault="00152BAC" w:rsidP="00CF4733">
      <w:pPr>
        <w:spacing w:before="120" w:after="120"/>
        <w:ind w:right="3"/>
        <w:jc w:val="both"/>
        <w:rPr>
          <w:rFonts w:asciiTheme="minorHAnsi" w:hAnsiTheme="minorHAnsi" w:cstheme="minorHAnsi"/>
        </w:rPr>
      </w:pPr>
      <w:r w:rsidRPr="00D412C1">
        <w:rPr>
          <w:rFonts w:asciiTheme="minorHAnsi" w:hAnsiTheme="minorHAnsi" w:cstheme="minorHAnsi"/>
        </w:rPr>
        <w:t xml:space="preserve">The Interim Report includes the </w:t>
      </w:r>
      <w:r w:rsidR="000576A8" w:rsidRPr="00D412C1">
        <w:rPr>
          <w:rFonts w:asciiTheme="minorHAnsi" w:hAnsiTheme="minorHAnsi" w:cstheme="minorHAnsi"/>
        </w:rPr>
        <w:t xml:space="preserve">consolidated interim financial statements </w:t>
      </w:r>
      <w:r w:rsidR="008459D0" w:rsidRPr="00D412C1">
        <w:rPr>
          <w:rFonts w:asciiTheme="minorHAnsi" w:hAnsiTheme="minorHAnsi" w:cstheme="minorHAnsi"/>
        </w:rPr>
        <w:t xml:space="preserve">which have been prepared in accordance </w:t>
      </w:r>
      <w:r w:rsidR="00EC2E17" w:rsidRPr="00D412C1">
        <w:rPr>
          <w:rFonts w:asciiTheme="minorHAnsi" w:hAnsiTheme="minorHAnsi" w:cstheme="minorHAnsi"/>
        </w:rPr>
        <w:t>with International Accounting Standard 34 ‘Interim Financial Reporting’</w:t>
      </w:r>
      <w:r w:rsidR="009F134E" w:rsidRPr="00D412C1">
        <w:rPr>
          <w:rFonts w:asciiTheme="minorHAnsi" w:hAnsiTheme="minorHAnsi" w:cstheme="minorHAnsi"/>
        </w:rPr>
        <w:t>.</w:t>
      </w:r>
      <w:r w:rsidR="00DF6B2E" w:rsidRPr="00D412C1">
        <w:rPr>
          <w:rFonts w:asciiTheme="minorHAnsi" w:hAnsiTheme="minorHAnsi" w:cstheme="minorHAnsi"/>
        </w:rPr>
        <w:t xml:space="preserve">  The condensed interim financial statements should be read in conjunction with the annual financial statements for the </w:t>
      </w:r>
      <w:r w:rsidR="00420BA3" w:rsidRPr="00D412C1">
        <w:rPr>
          <w:rFonts w:asciiTheme="minorHAnsi" w:hAnsiTheme="minorHAnsi" w:cstheme="minorHAnsi"/>
        </w:rPr>
        <w:t>period</w:t>
      </w:r>
      <w:r w:rsidR="00DF6B2E" w:rsidRPr="00D412C1">
        <w:rPr>
          <w:rFonts w:asciiTheme="minorHAnsi" w:hAnsiTheme="minorHAnsi" w:cstheme="minorHAnsi"/>
        </w:rPr>
        <w:t xml:space="preserve"> ended 31 </w:t>
      </w:r>
      <w:r w:rsidR="0045416E" w:rsidRPr="00D412C1">
        <w:rPr>
          <w:rFonts w:asciiTheme="minorHAnsi" w:hAnsiTheme="minorHAnsi" w:cstheme="minorHAnsi"/>
        </w:rPr>
        <w:t xml:space="preserve">December </w:t>
      </w:r>
      <w:r w:rsidR="00DF6B2E" w:rsidRPr="00D412C1">
        <w:rPr>
          <w:rFonts w:asciiTheme="minorHAnsi" w:hAnsiTheme="minorHAnsi" w:cstheme="minorHAnsi"/>
        </w:rPr>
        <w:t>20</w:t>
      </w:r>
      <w:r w:rsidR="00763235" w:rsidRPr="00D412C1">
        <w:rPr>
          <w:rFonts w:asciiTheme="minorHAnsi" w:hAnsiTheme="minorHAnsi" w:cstheme="minorHAnsi"/>
        </w:rPr>
        <w:t>20</w:t>
      </w:r>
      <w:r w:rsidR="00DF6B2E" w:rsidRPr="00D412C1">
        <w:rPr>
          <w:rFonts w:asciiTheme="minorHAnsi" w:hAnsiTheme="minorHAnsi" w:cstheme="minorHAnsi"/>
        </w:rPr>
        <w:t xml:space="preserve">, which have been prepared in accordance with IFRS </w:t>
      </w:r>
      <w:r w:rsidR="005D303B">
        <w:rPr>
          <w:rFonts w:asciiTheme="minorHAnsi" w:hAnsiTheme="minorHAnsi" w:cstheme="minorHAnsi"/>
        </w:rPr>
        <w:t>endorsed for use in the United Kingdom</w:t>
      </w:r>
      <w:r w:rsidR="00DF6B2E" w:rsidRPr="00D412C1">
        <w:rPr>
          <w:rFonts w:asciiTheme="minorHAnsi" w:hAnsiTheme="minorHAnsi" w:cstheme="minorHAnsi"/>
        </w:rPr>
        <w:t xml:space="preserve">.  </w:t>
      </w:r>
    </w:p>
    <w:p w14:paraId="1A029796" w14:textId="77777777" w:rsidR="00DF6B2E" w:rsidRPr="00D412C1" w:rsidRDefault="00DF6B2E" w:rsidP="00CF4733">
      <w:pPr>
        <w:spacing w:before="120" w:after="120"/>
        <w:ind w:right="3"/>
        <w:jc w:val="both"/>
        <w:rPr>
          <w:rFonts w:asciiTheme="minorHAnsi" w:hAnsiTheme="minorHAnsi" w:cstheme="minorHAnsi"/>
          <w:b/>
        </w:rPr>
      </w:pPr>
      <w:r w:rsidRPr="00D412C1">
        <w:rPr>
          <w:rFonts w:asciiTheme="minorHAnsi" w:hAnsiTheme="minorHAnsi" w:cstheme="minorHAnsi"/>
          <w:b/>
        </w:rPr>
        <w:t>Accounting policies</w:t>
      </w:r>
      <w:r w:rsidR="00900E07" w:rsidRPr="00D412C1">
        <w:rPr>
          <w:rFonts w:asciiTheme="minorHAnsi" w:hAnsiTheme="minorHAnsi" w:cstheme="minorHAnsi"/>
          <w:b/>
        </w:rPr>
        <w:t xml:space="preserve"> </w:t>
      </w:r>
    </w:p>
    <w:p w14:paraId="081D4DB1" w14:textId="5A12C9D0" w:rsidR="00841E6C" w:rsidRPr="00D412C1" w:rsidRDefault="00DF6B2E" w:rsidP="00CF4733">
      <w:pPr>
        <w:widowControl w:val="0"/>
        <w:autoSpaceDE w:val="0"/>
        <w:autoSpaceDN w:val="0"/>
        <w:adjustRightInd w:val="0"/>
        <w:spacing w:before="120" w:after="120"/>
        <w:ind w:right="3"/>
        <w:jc w:val="both"/>
        <w:rPr>
          <w:rFonts w:asciiTheme="minorHAnsi" w:hAnsiTheme="minorHAnsi" w:cstheme="minorHAnsi"/>
        </w:rPr>
      </w:pPr>
      <w:r w:rsidRPr="00D412C1">
        <w:rPr>
          <w:rFonts w:asciiTheme="minorHAnsi" w:hAnsiTheme="minorHAnsi" w:cstheme="minorHAnsi"/>
        </w:rPr>
        <w:t>The condensed consolidated interim financial statements for th</w:t>
      </w:r>
      <w:r w:rsidR="00732C9A" w:rsidRPr="00D412C1">
        <w:rPr>
          <w:rFonts w:asciiTheme="minorHAnsi" w:hAnsiTheme="minorHAnsi" w:cstheme="minorHAnsi"/>
        </w:rPr>
        <w:t xml:space="preserve">e period ended 30 </w:t>
      </w:r>
      <w:r w:rsidR="0045416E" w:rsidRPr="00D412C1">
        <w:rPr>
          <w:rFonts w:asciiTheme="minorHAnsi" w:hAnsiTheme="minorHAnsi" w:cstheme="minorHAnsi"/>
        </w:rPr>
        <w:t>June</w:t>
      </w:r>
      <w:r w:rsidR="00732C9A" w:rsidRPr="00D412C1">
        <w:rPr>
          <w:rFonts w:asciiTheme="minorHAnsi" w:hAnsiTheme="minorHAnsi" w:cstheme="minorHAnsi"/>
        </w:rPr>
        <w:t xml:space="preserve"> 20</w:t>
      </w:r>
      <w:r w:rsidR="00763235" w:rsidRPr="00D412C1">
        <w:rPr>
          <w:rFonts w:asciiTheme="minorHAnsi" w:hAnsiTheme="minorHAnsi" w:cstheme="minorHAnsi"/>
        </w:rPr>
        <w:t>21</w:t>
      </w:r>
      <w:r w:rsidRPr="00D412C1">
        <w:rPr>
          <w:rFonts w:asciiTheme="minorHAnsi" w:hAnsiTheme="minorHAnsi" w:cstheme="minorHAnsi"/>
        </w:rPr>
        <w:t xml:space="preserve"> ha</w:t>
      </w:r>
      <w:r w:rsidR="00F20FD5" w:rsidRPr="00D412C1">
        <w:rPr>
          <w:rFonts w:asciiTheme="minorHAnsi" w:hAnsiTheme="minorHAnsi" w:cstheme="minorHAnsi"/>
        </w:rPr>
        <w:t>ve</w:t>
      </w:r>
      <w:r w:rsidRPr="00D412C1">
        <w:rPr>
          <w:rFonts w:asciiTheme="minorHAnsi" w:hAnsiTheme="minorHAnsi" w:cstheme="minorHAnsi"/>
        </w:rPr>
        <w:t xml:space="preserve"> not been audited or reviewed in accordance with the International Standard on Review Engagements 2410 issued by the Auditing Practices Board.  The figures were prepared using applicable accounting policies and practices consistent with those adopted in the statutory annual financial statements </w:t>
      </w:r>
      <w:r w:rsidR="00040780" w:rsidRPr="00D412C1">
        <w:rPr>
          <w:rFonts w:asciiTheme="minorHAnsi" w:hAnsiTheme="minorHAnsi" w:cstheme="minorHAnsi"/>
        </w:rPr>
        <w:t xml:space="preserve">for the year ended 31 </w:t>
      </w:r>
      <w:r w:rsidR="0045416E" w:rsidRPr="00D412C1">
        <w:rPr>
          <w:rFonts w:asciiTheme="minorHAnsi" w:hAnsiTheme="minorHAnsi" w:cstheme="minorHAnsi"/>
        </w:rPr>
        <w:t>December</w:t>
      </w:r>
      <w:r w:rsidR="00621845" w:rsidRPr="00D412C1">
        <w:rPr>
          <w:rFonts w:asciiTheme="minorHAnsi" w:hAnsiTheme="minorHAnsi" w:cstheme="minorHAnsi"/>
        </w:rPr>
        <w:t xml:space="preserve"> 20</w:t>
      </w:r>
      <w:r w:rsidR="00763235" w:rsidRPr="00D412C1">
        <w:rPr>
          <w:rFonts w:asciiTheme="minorHAnsi" w:hAnsiTheme="minorHAnsi" w:cstheme="minorHAnsi"/>
        </w:rPr>
        <w:t>20</w:t>
      </w:r>
      <w:r w:rsidR="00040780" w:rsidRPr="00D412C1">
        <w:rPr>
          <w:rFonts w:asciiTheme="minorHAnsi" w:hAnsiTheme="minorHAnsi" w:cstheme="minorHAnsi"/>
        </w:rPr>
        <w:t xml:space="preserve">. </w:t>
      </w:r>
      <w:r w:rsidR="001C0D5B" w:rsidRPr="00D412C1">
        <w:rPr>
          <w:rFonts w:asciiTheme="minorHAnsi" w:hAnsiTheme="minorHAnsi" w:cstheme="minorHAnsi"/>
        </w:rPr>
        <w:t xml:space="preserve">There </w:t>
      </w:r>
      <w:r w:rsidR="00FD43F6" w:rsidRPr="00D412C1">
        <w:rPr>
          <w:rFonts w:asciiTheme="minorHAnsi" w:hAnsiTheme="minorHAnsi" w:cstheme="minorHAnsi"/>
        </w:rPr>
        <w:t>have been no new accounting policies adopted since 31 December 20</w:t>
      </w:r>
      <w:r w:rsidR="00763235" w:rsidRPr="00D412C1">
        <w:rPr>
          <w:rFonts w:asciiTheme="minorHAnsi" w:hAnsiTheme="minorHAnsi" w:cstheme="minorHAnsi"/>
        </w:rPr>
        <w:t>20</w:t>
      </w:r>
      <w:r w:rsidR="00FD43F6" w:rsidRPr="00D412C1">
        <w:rPr>
          <w:rFonts w:asciiTheme="minorHAnsi" w:hAnsiTheme="minorHAnsi" w:cstheme="minorHAnsi"/>
        </w:rPr>
        <w:t>.</w:t>
      </w:r>
    </w:p>
    <w:p w14:paraId="707E0F2F" w14:textId="275F1736" w:rsidR="00DF6B2E" w:rsidRPr="00D412C1" w:rsidRDefault="00841E6C" w:rsidP="00CF4733">
      <w:pPr>
        <w:widowControl w:val="0"/>
        <w:autoSpaceDE w:val="0"/>
        <w:autoSpaceDN w:val="0"/>
        <w:adjustRightInd w:val="0"/>
        <w:spacing w:before="120" w:after="120"/>
        <w:ind w:right="3"/>
        <w:jc w:val="both"/>
        <w:rPr>
          <w:rFonts w:asciiTheme="minorHAnsi" w:hAnsiTheme="minorHAnsi" w:cstheme="minorHAnsi"/>
          <w:b/>
          <w:bCs/>
        </w:rPr>
      </w:pPr>
      <w:r w:rsidRPr="00D412C1">
        <w:rPr>
          <w:rFonts w:asciiTheme="minorHAnsi" w:hAnsiTheme="minorHAnsi" w:cstheme="minorHAnsi"/>
          <w:b/>
          <w:bCs/>
        </w:rPr>
        <w:t>Going Concern</w:t>
      </w:r>
      <w:r w:rsidR="00040780" w:rsidRPr="00D412C1">
        <w:rPr>
          <w:rFonts w:asciiTheme="minorHAnsi" w:hAnsiTheme="minorHAnsi" w:cstheme="minorHAnsi"/>
          <w:b/>
          <w:bCs/>
        </w:rPr>
        <w:t xml:space="preserve"> </w:t>
      </w:r>
    </w:p>
    <w:p w14:paraId="060A426B" w14:textId="24B0D522" w:rsidR="00841E6C" w:rsidRPr="00D412C1" w:rsidRDefault="005B34B7" w:rsidP="00CF4733">
      <w:pPr>
        <w:widowControl w:val="0"/>
        <w:autoSpaceDE w:val="0"/>
        <w:autoSpaceDN w:val="0"/>
        <w:adjustRightInd w:val="0"/>
        <w:spacing w:before="120" w:after="120"/>
        <w:ind w:right="3"/>
        <w:jc w:val="both"/>
        <w:rPr>
          <w:rFonts w:asciiTheme="minorHAnsi" w:hAnsiTheme="minorHAnsi" w:cstheme="minorHAnsi"/>
        </w:rPr>
      </w:pPr>
      <w:r w:rsidRPr="00D412C1">
        <w:rPr>
          <w:rFonts w:asciiTheme="minorHAnsi" w:hAnsiTheme="minorHAnsi" w:cstheme="minorHAnsi"/>
        </w:rPr>
        <w:t xml:space="preserve">The </w:t>
      </w:r>
      <w:r w:rsidR="00AC339F" w:rsidRPr="00D412C1">
        <w:rPr>
          <w:rFonts w:asciiTheme="minorHAnsi" w:hAnsiTheme="minorHAnsi" w:cstheme="minorHAnsi"/>
        </w:rPr>
        <w:t xml:space="preserve">condensed consolidated interim financial statements </w:t>
      </w:r>
      <w:r w:rsidR="000153C5" w:rsidRPr="00D412C1">
        <w:rPr>
          <w:rFonts w:asciiTheme="minorHAnsi" w:hAnsiTheme="minorHAnsi" w:cstheme="minorHAnsi"/>
        </w:rPr>
        <w:t>have been prepared on a going concern basis.</w:t>
      </w:r>
      <w:r w:rsidR="007A4683" w:rsidRPr="00D412C1">
        <w:rPr>
          <w:rFonts w:asciiTheme="minorHAnsi" w:hAnsiTheme="minorHAnsi" w:cstheme="minorHAnsi"/>
        </w:rPr>
        <w:t xml:space="preserve"> </w:t>
      </w:r>
      <w:r w:rsidR="00F77B72" w:rsidRPr="00D412C1">
        <w:rPr>
          <w:rFonts w:asciiTheme="minorHAnsi" w:hAnsiTheme="minorHAnsi" w:cstheme="minorHAnsi"/>
        </w:rPr>
        <w:t>Although t</w:t>
      </w:r>
      <w:r w:rsidR="007A4683" w:rsidRPr="00D412C1">
        <w:rPr>
          <w:rFonts w:asciiTheme="minorHAnsi" w:hAnsiTheme="minorHAnsi" w:cstheme="minorHAnsi"/>
        </w:rPr>
        <w:t xml:space="preserve">he Group’s assets are not generating revenue </w:t>
      </w:r>
      <w:r w:rsidR="00E374C8" w:rsidRPr="00D412C1">
        <w:rPr>
          <w:rFonts w:asciiTheme="minorHAnsi" w:hAnsiTheme="minorHAnsi" w:cstheme="minorHAnsi"/>
        </w:rPr>
        <w:t>and an operating loss has been reported</w:t>
      </w:r>
      <w:r w:rsidR="00F77B72" w:rsidRPr="00D412C1">
        <w:rPr>
          <w:rFonts w:asciiTheme="minorHAnsi" w:hAnsiTheme="minorHAnsi" w:cstheme="minorHAnsi"/>
        </w:rPr>
        <w:t xml:space="preserve">, the Directors </w:t>
      </w:r>
      <w:r w:rsidR="005251C2" w:rsidRPr="00D412C1">
        <w:rPr>
          <w:rFonts w:asciiTheme="minorHAnsi" w:hAnsiTheme="minorHAnsi" w:cstheme="minorHAnsi"/>
        </w:rPr>
        <w:t xml:space="preserve">have concluded that </w:t>
      </w:r>
      <w:r w:rsidR="00C61432" w:rsidRPr="00D412C1">
        <w:rPr>
          <w:rFonts w:asciiTheme="minorHAnsi" w:hAnsiTheme="minorHAnsi" w:cstheme="minorHAnsi"/>
        </w:rPr>
        <w:t xml:space="preserve">the Company has funds to meet its immediate working capital requirements </w:t>
      </w:r>
      <w:r w:rsidR="00E2580F" w:rsidRPr="00D412C1">
        <w:rPr>
          <w:rFonts w:asciiTheme="minorHAnsi" w:hAnsiTheme="minorHAnsi" w:cstheme="minorHAnsi"/>
        </w:rPr>
        <w:t>and</w:t>
      </w:r>
      <w:r w:rsidR="008F5FDD" w:rsidRPr="00D412C1">
        <w:rPr>
          <w:rFonts w:asciiTheme="minorHAnsi" w:hAnsiTheme="minorHAnsi" w:cstheme="minorHAnsi"/>
        </w:rPr>
        <w:t xml:space="preserve"> that </w:t>
      </w:r>
      <w:r w:rsidR="00DD0615" w:rsidRPr="00D412C1">
        <w:rPr>
          <w:rFonts w:asciiTheme="minorHAnsi" w:hAnsiTheme="minorHAnsi" w:cstheme="minorHAnsi"/>
        </w:rPr>
        <w:t xml:space="preserve">during the next 12 months from the date of the interim financial statements </w:t>
      </w:r>
      <w:r w:rsidR="007B0DDB" w:rsidRPr="00D412C1">
        <w:rPr>
          <w:rFonts w:asciiTheme="minorHAnsi" w:hAnsiTheme="minorHAnsi" w:cstheme="minorHAnsi"/>
        </w:rPr>
        <w:t>the Company will need to raise funds to meet its planned exploration expenditur</w:t>
      </w:r>
      <w:r w:rsidR="005D3F03" w:rsidRPr="00D412C1">
        <w:rPr>
          <w:rFonts w:asciiTheme="minorHAnsi" w:hAnsiTheme="minorHAnsi" w:cstheme="minorHAnsi"/>
        </w:rPr>
        <w:t>es.</w:t>
      </w:r>
    </w:p>
    <w:p w14:paraId="7F450497" w14:textId="77777777" w:rsidR="00DF6B2E" w:rsidRPr="00D412C1" w:rsidRDefault="00DF6B2E" w:rsidP="00E25941">
      <w:pPr>
        <w:pStyle w:val="Heading2"/>
        <w:spacing w:after="120"/>
        <w:ind w:right="3"/>
        <w:rPr>
          <w:rFonts w:asciiTheme="minorHAnsi" w:hAnsiTheme="minorHAnsi" w:cstheme="minorHAnsi"/>
          <w:i w:val="0"/>
          <w:iCs w:val="0"/>
          <w:sz w:val="24"/>
          <w:szCs w:val="24"/>
        </w:rPr>
      </w:pPr>
      <w:r w:rsidRPr="00D412C1">
        <w:rPr>
          <w:rFonts w:asciiTheme="minorHAnsi" w:hAnsiTheme="minorHAnsi" w:cstheme="minorHAnsi"/>
          <w:i w:val="0"/>
          <w:iCs w:val="0"/>
          <w:sz w:val="24"/>
          <w:szCs w:val="24"/>
        </w:rPr>
        <w:t>2.  Financial risk management and financial instruments</w:t>
      </w:r>
    </w:p>
    <w:p w14:paraId="15CE0926" w14:textId="77777777" w:rsidR="00DF6B2E" w:rsidRPr="00D412C1" w:rsidRDefault="00DF6B2E" w:rsidP="00E25941">
      <w:pPr>
        <w:autoSpaceDE w:val="0"/>
        <w:autoSpaceDN w:val="0"/>
        <w:adjustRightInd w:val="0"/>
        <w:spacing w:before="120" w:after="60"/>
        <w:ind w:right="3"/>
        <w:rPr>
          <w:rFonts w:asciiTheme="minorHAnsi" w:hAnsiTheme="minorHAnsi" w:cstheme="minorHAnsi"/>
          <w:i/>
        </w:rPr>
      </w:pPr>
      <w:r w:rsidRPr="00D412C1">
        <w:rPr>
          <w:rFonts w:asciiTheme="minorHAnsi" w:hAnsiTheme="minorHAnsi" w:cstheme="minorHAnsi"/>
          <w:i/>
        </w:rPr>
        <w:t>Risks and uncertainties</w:t>
      </w:r>
    </w:p>
    <w:p w14:paraId="1C41A6B0" w14:textId="5321C286" w:rsidR="00DF6B2E" w:rsidRDefault="00DF6B2E" w:rsidP="00CF4733">
      <w:pPr>
        <w:autoSpaceDE w:val="0"/>
        <w:autoSpaceDN w:val="0"/>
        <w:adjustRightInd w:val="0"/>
        <w:spacing w:before="120" w:after="60"/>
        <w:ind w:right="3"/>
        <w:jc w:val="both"/>
        <w:rPr>
          <w:rFonts w:asciiTheme="minorHAnsi" w:hAnsiTheme="minorHAnsi" w:cstheme="minorHAnsi"/>
        </w:rPr>
      </w:pPr>
      <w:r w:rsidRPr="00D412C1">
        <w:rPr>
          <w:rFonts w:asciiTheme="minorHAnsi" w:hAnsiTheme="minorHAnsi" w:cstheme="minorHAnsi"/>
        </w:rPr>
        <w:t xml:space="preserve">The Board continually assesses and monitors the key risks of the business.  The key risks that could affect the </w:t>
      </w:r>
      <w:r w:rsidR="00322C38" w:rsidRPr="00D412C1">
        <w:rPr>
          <w:rFonts w:asciiTheme="minorHAnsi" w:hAnsiTheme="minorHAnsi" w:cstheme="minorHAnsi"/>
        </w:rPr>
        <w:t>Group’s</w:t>
      </w:r>
      <w:r w:rsidRPr="00D412C1">
        <w:rPr>
          <w:rFonts w:asciiTheme="minorHAnsi" w:hAnsiTheme="minorHAnsi" w:cstheme="minorHAnsi"/>
        </w:rPr>
        <w:t xml:space="preserve"> </w:t>
      </w:r>
      <w:r w:rsidR="002429BB" w:rsidRPr="00D412C1">
        <w:rPr>
          <w:rFonts w:asciiTheme="minorHAnsi" w:hAnsiTheme="minorHAnsi" w:cstheme="minorHAnsi"/>
        </w:rPr>
        <w:t>medium-term</w:t>
      </w:r>
      <w:r w:rsidRPr="00D412C1">
        <w:rPr>
          <w:rFonts w:asciiTheme="minorHAnsi" w:hAnsiTheme="minorHAnsi" w:cstheme="minorHAnsi"/>
        </w:rPr>
        <w:t xml:space="preserve"> performance and the factors that mitigate those risks have not substantially changed from those set out in the </w:t>
      </w:r>
      <w:r w:rsidR="00322C38" w:rsidRPr="00D412C1">
        <w:rPr>
          <w:rFonts w:asciiTheme="minorHAnsi" w:hAnsiTheme="minorHAnsi" w:cstheme="minorHAnsi"/>
        </w:rPr>
        <w:t>Group’s 20</w:t>
      </w:r>
      <w:r w:rsidR="00763235" w:rsidRPr="00D412C1">
        <w:rPr>
          <w:rFonts w:asciiTheme="minorHAnsi" w:hAnsiTheme="minorHAnsi" w:cstheme="minorHAnsi"/>
        </w:rPr>
        <w:t>20</w:t>
      </w:r>
      <w:r w:rsidRPr="00D412C1">
        <w:rPr>
          <w:rFonts w:asciiTheme="minorHAnsi" w:hAnsiTheme="minorHAnsi" w:cstheme="minorHAnsi"/>
        </w:rPr>
        <w:t xml:space="preserve"> Annual Report and Financial Statements, a copy of which is available from the </w:t>
      </w:r>
      <w:r w:rsidR="00322C38" w:rsidRPr="00D412C1">
        <w:rPr>
          <w:rFonts w:asciiTheme="minorHAnsi" w:hAnsiTheme="minorHAnsi" w:cstheme="minorHAnsi"/>
        </w:rPr>
        <w:t>Group’s</w:t>
      </w:r>
      <w:r w:rsidRPr="00D412C1">
        <w:rPr>
          <w:rFonts w:asciiTheme="minorHAnsi" w:hAnsiTheme="minorHAnsi" w:cstheme="minorHAnsi"/>
        </w:rPr>
        <w:t xml:space="preserve"> website: www.</w:t>
      </w:r>
      <w:r w:rsidR="00EC4C05" w:rsidRPr="00D412C1">
        <w:rPr>
          <w:rFonts w:asciiTheme="minorHAnsi" w:hAnsiTheme="minorHAnsi" w:cstheme="minorHAnsi"/>
        </w:rPr>
        <w:t>kavango</w:t>
      </w:r>
      <w:r w:rsidRPr="00D412C1">
        <w:rPr>
          <w:rFonts w:asciiTheme="minorHAnsi" w:hAnsiTheme="minorHAnsi" w:cstheme="minorHAnsi"/>
        </w:rPr>
        <w:t>resources.com.  The key financial risks are market risk (including currency risk), credit risk and liquidity.</w:t>
      </w:r>
    </w:p>
    <w:p w14:paraId="51306260" w14:textId="483AD298" w:rsidR="00D048F4" w:rsidRDefault="00D048F4" w:rsidP="00CF4733">
      <w:pPr>
        <w:autoSpaceDE w:val="0"/>
        <w:autoSpaceDN w:val="0"/>
        <w:adjustRightInd w:val="0"/>
        <w:spacing w:before="120" w:after="60"/>
        <w:ind w:right="3"/>
        <w:jc w:val="both"/>
        <w:rPr>
          <w:rFonts w:asciiTheme="minorHAnsi" w:hAnsiTheme="minorHAnsi" w:cstheme="minorHAnsi"/>
        </w:rPr>
      </w:pPr>
    </w:p>
    <w:p w14:paraId="13ADE345" w14:textId="10F47D93" w:rsidR="00D048F4" w:rsidRDefault="00D048F4" w:rsidP="00CF4733">
      <w:pPr>
        <w:autoSpaceDE w:val="0"/>
        <w:autoSpaceDN w:val="0"/>
        <w:adjustRightInd w:val="0"/>
        <w:spacing w:before="120" w:after="60"/>
        <w:ind w:right="3"/>
        <w:jc w:val="both"/>
        <w:rPr>
          <w:rFonts w:asciiTheme="minorHAnsi" w:hAnsiTheme="minorHAnsi" w:cstheme="minorHAnsi"/>
        </w:rPr>
      </w:pPr>
    </w:p>
    <w:p w14:paraId="0E822A07" w14:textId="3292F5CE" w:rsidR="00D048F4" w:rsidRDefault="00D048F4" w:rsidP="00CF4733">
      <w:pPr>
        <w:autoSpaceDE w:val="0"/>
        <w:autoSpaceDN w:val="0"/>
        <w:adjustRightInd w:val="0"/>
        <w:spacing w:before="120" w:after="60"/>
        <w:ind w:right="3"/>
        <w:jc w:val="both"/>
        <w:rPr>
          <w:rFonts w:asciiTheme="minorHAnsi" w:hAnsiTheme="minorHAnsi" w:cstheme="minorHAnsi"/>
        </w:rPr>
      </w:pPr>
    </w:p>
    <w:p w14:paraId="4AECC091" w14:textId="77777777" w:rsidR="00D048F4" w:rsidRPr="00D412C1" w:rsidRDefault="00D048F4" w:rsidP="00CF4733">
      <w:pPr>
        <w:autoSpaceDE w:val="0"/>
        <w:autoSpaceDN w:val="0"/>
        <w:adjustRightInd w:val="0"/>
        <w:spacing w:before="120" w:after="60"/>
        <w:ind w:right="3"/>
        <w:jc w:val="both"/>
        <w:rPr>
          <w:rFonts w:asciiTheme="minorHAnsi" w:hAnsiTheme="minorHAnsi" w:cstheme="minorHAnsi"/>
        </w:rPr>
      </w:pPr>
    </w:p>
    <w:p w14:paraId="102CB347" w14:textId="0AA6EEE5" w:rsidR="00DF6B2E" w:rsidRPr="00D412C1" w:rsidRDefault="007C315E" w:rsidP="006F7795">
      <w:pPr>
        <w:pStyle w:val="Heading2"/>
        <w:spacing w:after="120"/>
        <w:rPr>
          <w:rFonts w:asciiTheme="minorHAnsi" w:hAnsiTheme="minorHAnsi" w:cstheme="minorHAnsi"/>
          <w:i w:val="0"/>
          <w:iCs w:val="0"/>
          <w:sz w:val="24"/>
          <w:szCs w:val="24"/>
        </w:rPr>
      </w:pPr>
      <w:r w:rsidRPr="00D412C1">
        <w:rPr>
          <w:rFonts w:asciiTheme="minorHAnsi" w:hAnsiTheme="minorHAnsi" w:cstheme="minorHAnsi"/>
          <w:i w:val="0"/>
          <w:iCs w:val="0"/>
          <w:sz w:val="24"/>
          <w:szCs w:val="24"/>
        </w:rPr>
        <w:lastRenderedPageBreak/>
        <w:t>3</w:t>
      </w:r>
      <w:r w:rsidR="00DF6B2E" w:rsidRPr="00D412C1">
        <w:rPr>
          <w:rFonts w:asciiTheme="minorHAnsi" w:hAnsiTheme="minorHAnsi" w:cstheme="minorHAnsi"/>
          <w:i w:val="0"/>
          <w:iCs w:val="0"/>
          <w:sz w:val="24"/>
          <w:szCs w:val="24"/>
        </w:rPr>
        <w:t>.  Loss per share</w:t>
      </w:r>
    </w:p>
    <w:p w14:paraId="1DE6591A" w14:textId="77777777" w:rsidR="00F16682" w:rsidRPr="00D412C1" w:rsidRDefault="00DF6B2E" w:rsidP="00F16682">
      <w:pPr>
        <w:widowControl w:val="0"/>
        <w:autoSpaceDE w:val="0"/>
        <w:autoSpaceDN w:val="0"/>
        <w:adjustRightInd w:val="0"/>
        <w:spacing w:before="120" w:after="120"/>
        <w:ind w:right="39"/>
        <w:rPr>
          <w:rFonts w:asciiTheme="minorHAnsi" w:hAnsiTheme="minorHAnsi" w:cstheme="minorHAnsi"/>
        </w:rPr>
      </w:pPr>
      <w:r w:rsidRPr="00D412C1">
        <w:rPr>
          <w:rFonts w:asciiTheme="minorHAnsi" w:hAnsiTheme="minorHAnsi" w:cstheme="minorHAnsi"/>
        </w:rPr>
        <w:t xml:space="preserve">The calculation of earnings per share is based on the loss </w:t>
      </w:r>
      <w:r w:rsidR="00B168D4" w:rsidRPr="00D412C1">
        <w:rPr>
          <w:rFonts w:asciiTheme="minorHAnsi" w:hAnsiTheme="minorHAnsi" w:cstheme="minorHAnsi"/>
        </w:rPr>
        <w:t xml:space="preserve">attributable to equity holders </w:t>
      </w:r>
      <w:r w:rsidRPr="00D412C1">
        <w:rPr>
          <w:rFonts w:asciiTheme="minorHAnsi" w:hAnsiTheme="minorHAnsi" w:cstheme="minorHAnsi"/>
        </w:rPr>
        <w:t>divided by the weighted average number of share</w:t>
      </w:r>
      <w:r w:rsidR="004435E6" w:rsidRPr="00D412C1">
        <w:rPr>
          <w:rFonts w:asciiTheme="minorHAnsi" w:hAnsiTheme="minorHAnsi" w:cstheme="minorHAnsi"/>
        </w:rPr>
        <w:t>s</w:t>
      </w:r>
      <w:r w:rsidRPr="00D412C1">
        <w:rPr>
          <w:rFonts w:asciiTheme="minorHAnsi" w:hAnsiTheme="minorHAnsi" w:cstheme="minorHAnsi"/>
        </w:rPr>
        <w:t xml:space="preserve"> in issue during the period</w:t>
      </w:r>
      <w:r w:rsidR="00F16682" w:rsidRPr="00D412C1">
        <w:rPr>
          <w:rFonts w:asciiTheme="minorHAnsi" w:hAnsiTheme="minorHAnsi" w:cstheme="minorHAnsi"/>
        </w:rPr>
        <w:t xml:space="preserve">. </w:t>
      </w:r>
    </w:p>
    <w:tbl>
      <w:tblPr>
        <w:tblW w:w="9696" w:type="dxa"/>
        <w:tblLook w:val="04A0" w:firstRow="1" w:lastRow="0" w:firstColumn="1" w:lastColumn="0" w:noHBand="0" w:noVBand="1"/>
      </w:tblPr>
      <w:tblGrid>
        <w:gridCol w:w="4488"/>
        <w:gridCol w:w="1736"/>
        <w:gridCol w:w="1736"/>
        <w:gridCol w:w="1736"/>
      </w:tblGrid>
      <w:tr w:rsidR="00C3418E" w:rsidRPr="00D412C1" w14:paraId="4D31DE7D" w14:textId="77777777" w:rsidTr="002429BB">
        <w:trPr>
          <w:trHeight w:val="275"/>
        </w:trPr>
        <w:tc>
          <w:tcPr>
            <w:tcW w:w="4488" w:type="dxa"/>
            <w:tcBorders>
              <w:top w:val="nil"/>
              <w:left w:val="nil"/>
              <w:bottom w:val="nil"/>
              <w:right w:val="nil"/>
            </w:tcBorders>
            <w:shd w:val="clear" w:color="auto" w:fill="auto"/>
            <w:noWrap/>
            <w:vAlign w:val="bottom"/>
            <w:hideMark/>
          </w:tcPr>
          <w:p w14:paraId="58CDF798" w14:textId="77777777" w:rsidR="00C3418E" w:rsidRPr="00D412C1" w:rsidRDefault="00C3418E" w:rsidP="00C3418E">
            <w:pPr>
              <w:rPr>
                <w:rFonts w:asciiTheme="minorHAnsi" w:eastAsia="Times New Roman" w:hAnsiTheme="minorHAnsi" w:cstheme="minorHAnsi"/>
                <w:lang w:eastAsia="en-GB"/>
              </w:rPr>
            </w:pPr>
          </w:p>
        </w:tc>
        <w:tc>
          <w:tcPr>
            <w:tcW w:w="1736" w:type="dxa"/>
            <w:tcBorders>
              <w:top w:val="nil"/>
              <w:left w:val="nil"/>
              <w:bottom w:val="nil"/>
              <w:right w:val="nil"/>
            </w:tcBorders>
            <w:shd w:val="clear" w:color="auto" w:fill="auto"/>
            <w:noWrap/>
            <w:vAlign w:val="bottom"/>
            <w:hideMark/>
          </w:tcPr>
          <w:p w14:paraId="70A05CF4" w14:textId="77777777" w:rsidR="00C3418E" w:rsidRPr="00D412C1" w:rsidRDefault="00C3418E" w:rsidP="002429BB">
            <w:pPr>
              <w:jc w:val="right"/>
              <w:rPr>
                <w:rFonts w:asciiTheme="minorHAnsi" w:eastAsia="Times New Roman" w:hAnsiTheme="minorHAnsi" w:cstheme="minorHAnsi"/>
                <w:b/>
                <w:bCs/>
                <w:color w:val="000000"/>
                <w:lang w:eastAsia="en-GB"/>
              </w:rPr>
            </w:pPr>
            <w:r w:rsidRPr="00D412C1">
              <w:rPr>
                <w:rFonts w:asciiTheme="minorHAnsi" w:eastAsia="Times New Roman" w:hAnsiTheme="minorHAnsi" w:cstheme="minorHAnsi"/>
                <w:b/>
                <w:bCs/>
                <w:color w:val="000000"/>
                <w:lang w:eastAsia="en-GB"/>
              </w:rPr>
              <w:t xml:space="preserve">Six Months to </w:t>
            </w:r>
          </w:p>
        </w:tc>
        <w:tc>
          <w:tcPr>
            <w:tcW w:w="1736" w:type="dxa"/>
            <w:tcBorders>
              <w:top w:val="nil"/>
              <w:left w:val="nil"/>
              <w:bottom w:val="nil"/>
              <w:right w:val="nil"/>
            </w:tcBorders>
            <w:vAlign w:val="bottom"/>
          </w:tcPr>
          <w:p w14:paraId="2F71F9EC" w14:textId="61E2AE2E" w:rsidR="00C3418E" w:rsidRPr="00D412C1" w:rsidRDefault="00C3418E" w:rsidP="002429BB">
            <w:pPr>
              <w:jc w:val="right"/>
              <w:rPr>
                <w:rFonts w:asciiTheme="minorHAnsi" w:eastAsia="Times New Roman" w:hAnsiTheme="minorHAnsi" w:cstheme="minorHAnsi"/>
                <w:b/>
                <w:bCs/>
                <w:color w:val="000000"/>
                <w:lang w:eastAsia="en-GB"/>
              </w:rPr>
            </w:pPr>
            <w:r w:rsidRPr="00D412C1">
              <w:rPr>
                <w:rFonts w:asciiTheme="minorHAnsi" w:eastAsia="Times New Roman" w:hAnsiTheme="minorHAnsi" w:cstheme="minorHAnsi"/>
                <w:b/>
                <w:bCs/>
                <w:color w:val="000000"/>
                <w:lang w:eastAsia="en-GB"/>
              </w:rPr>
              <w:t xml:space="preserve">Six Months to </w:t>
            </w:r>
          </w:p>
        </w:tc>
        <w:tc>
          <w:tcPr>
            <w:tcW w:w="1736" w:type="dxa"/>
            <w:tcBorders>
              <w:top w:val="nil"/>
              <w:left w:val="nil"/>
              <w:bottom w:val="nil"/>
              <w:right w:val="nil"/>
            </w:tcBorders>
            <w:shd w:val="clear" w:color="auto" w:fill="auto"/>
            <w:noWrap/>
            <w:vAlign w:val="bottom"/>
            <w:hideMark/>
          </w:tcPr>
          <w:p w14:paraId="531AFB91" w14:textId="2F013FFD" w:rsidR="00C3418E" w:rsidRPr="00D412C1" w:rsidRDefault="00C3418E" w:rsidP="002429BB">
            <w:pPr>
              <w:jc w:val="right"/>
              <w:rPr>
                <w:rFonts w:asciiTheme="minorHAnsi" w:eastAsia="Times New Roman" w:hAnsiTheme="minorHAnsi" w:cstheme="minorHAnsi"/>
                <w:b/>
                <w:bCs/>
                <w:color w:val="000000"/>
                <w:lang w:eastAsia="en-GB"/>
              </w:rPr>
            </w:pPr>
            <w:r w:rsidRPr="00D412C1">
              <w:rPr>
                <w:rFonts w:asciiTheme="minorHAnsi" w:eastAsia="Times New Roman" w:hAnsiTheme="minorHAnsi" w:cstheme="minorHAnsi"/>
                <w:b/>
                <w:bCs/>
                <w:color w:val="000000"/>
                <w:lang w:eastAsia="en-GB"/>
              </w:rPr>
              <w:t xml:space="preserve">Year to </w:t>
            </w:r>
          </w:p>
        </w:tc>
      </w:tr>
      <w:tr w:rsidR="00C3418E" w:rsidRPr="00D412C1" w14:paraId="104DE64E" w14:textId="77777777" w:rsidTr="002429BB">
        <w:trPr>
          <w:trHeight w:val="275"/>
        </w:trPr>
        <w:tc>
          <w:tcPr>
            <w:tcW w:w="4488" w:type="dxa"/>
            <w:tcBorders>
              <w:top w:val="nil"/>
              <w:left w:val="nil"/>
              <w:bottom w:val="nil"/>
              <w:right w:val="nil"/>
            </w:tcBorders>
            <w:shd w:val="clear" w:color="auto" w:fill="auto"/>
            <w:noWrap/>
            <w:vAlign w:val="bottom"/>
            <w:hideMark/>
          </w:tcPr>
          <w:p w14:paraId="0D314212" w14:textId="77777777" w:rsidR="00C3418E" w:rsidRPr="00D412C1" w:rsidRDefault="00C3418E" w:rsidP="00C3418E">
            <w:pPr>
              <w:jc w:val="center"/>
              <w:rPr>
                <w:rFonts w:asciiTheme="minorHAnsi" w:eastAsia="Times New Roman" w:hAnsiTheme="minorHAnsi" w:cstheme="minorHAnsi"/>
                <w:b/>
                <w:bCs/>
                <w:color w:val="000000"/>
                <w:lang w:eastAsia="en-GB"/>
              </w:rPr>
            </w:pPr>
          </w:p>
        </w:tc>
        <w:tc>
          <w:tcPr>
            <w:tcW w:w="1736" w:type="dxa"/>
            <w:tcBorders>
              <w:top w:val="nil"/>
              <w:left w:val="nil"/>
              <w:bottom w:val="nil"/>
              <w:right w:val="nil"/>
            </w:tcBorders>
            <w:shd w:val="clear" w:color="auto" w:fill="auto"/>
            <w:noWrap/>
            <w:vAlign w:val="bottom"/>
            <w:hideMark/>
          </w:tcPr>
          <w:p w14:paraId="35C06C27" w14:textId="77777777" w:rsidR="00C3418E" w:rsidRPr="00D412C1" w:rsidRDefault="00C3418E" w:rsidP="002429BB">
            <w:pPr>
              <w:jc w:val="right"/>
              <w:rPr>
                <w:rFonts w:asciiTheme="minorHAnsi" w:eastAsia="Times New Roman" w:hAnsiTheme="minorHAnsi" w:cstheme="minorHAnsi"/>
                <w:b/>
                <w:bCs/>
                <w:color w:val="000000"/>
                <w:lang w:eastAsia="en-GB"/>
              </w:rPr>
            </w:pPr>
            <w:r w:rsidRPr="00D412C1">
              <w:rPr>
                <w:rFonts w:asciiTheme="minorHAnsi" w:eastAsia="Times New Roman" w:hAnsiTheme="minorHAnsi" w:cstheme="minorHAnsi"/>
                <w:b/>
                <w:bCs/>
                <w:color w:val="000000"/>
                <w:lang w:eastAsia="en-GB"/>
              </w:rPr>
              <w:t>30 June</w:t>
            </w:r>
          </w:p>
        </w:tc>
        <w:tc>
          <w:tcPr>
            <w:tcW w:w="1736" w:type="dxa"/>
            <w:tcBorders>
              <w:top w:val="nil"/>
              <w:left w:val="nil"/>
              <w:bottom w:val="nil"/>
              <w:right w:val="nil"/>
            </w:tcBorders>
            <w:vAlign w:val="bottom"/>
          </w:tcPr>
          <w:p w14:paraId="4BFDA4CC" w14:textId="66B9197B" w:rsidR="00C3418E" w:rsidRPr="00D412C1" w:rsidRDefault="00C3418E" w:rsidP="002429BB">
            <w:pPr>
              <w:jc w:val="right"/>
              <w:rPr>
                <w:rFonts w:asciiTheme="minorHAnsi" w:eastAsia="Times New Roman" w:hAnsiTheme="minorHAnsi" w:cstheme="minorHAnsi"/>
                <w:b/>
                <w:bCs/>
                <w:color w:val="000000"/>
                <w:lang w:eastAsia="en-GB"/>
              </w:rPr>
            </w:pPr>
            <w:r w:rsidRPr="00D412C1">
              <w:rPr>
                <w:rFonts w:asciiTheme="minorHAnsi" w:eastAsia="Times New Roman" w:hAnsiTheme="minorHAnsi" w:cstheme="minorHAnsi"/>
                <w:b/>
                <w:bCs/>
                <w:color w:val="000000"/>
                <w:lang w:eastAsia="en-GB"/>
              </w:rPr>
              <w:t>30 June</w:t>
            </w:r>
          </w:p>
        </w:tc>
        <w:tc>
          <w:tcPr>
            <w:tcW w:w="1736" w:type="dxa"/>
            <w:tcBorders>
              <w:top w:val="nil"/>
              <w:left w:val="nil"/>
              <w:bottom w:val="nil"/>
              <w:right w:val="nil"/>
            </w:tcBorders>
            <w:shd w:val="clear" w:color="auto" w:fill="auto"/>
            <w:noWrap/>
            <w:vAlign w:val="bottom"/>
            <w:hideMark/>
          </w:tcPr>
          <w:p w14:paraId="3201F62D" w14:textId="13F9A276" w:rsidR="00C3418E" w:rsidRPr="00D412C1" w:rsidRDefault="00C3418E" w:rsidP="002429BB">
            <w:pPr>
              <w:jc w:val="right"/>
              <w:rPr>
                <w:rFonts w:asciiTheme="minorHAnsi" w:eastAsia="Times New Roman" w:hAnsiTheme="minorHAnsi" w:cstheme="minorHAnsi"/>
                <w:b/>
                <w:bCs/>
                <w:color w:val="000000"/>
                <w:lang w:eastAsia="en-GB"/>
              </w:rPr>
            </w:pPr>
            <w:r w:rsidRPr="00D412C1">
              <w:rPr>
                <w:rFonts w:asciiTheme="minorHAnsi" w:eastAsia="Times New Roman" w:hAnsiTheme="minorHAnsi" w:cstheme="minorHAnsi"/>
                <w:b/>
                <w:bCs/>
                <w:color w:val="000000"/>
                <w:lang w:eastAsia="en-GB"/>
              </w:rPr>
              <w:t>31 December</w:t>
            </w:r>
          </w:p>
        </w:tc>
      </w:tr>
      <w:tr w:rsidR="00C3418E" w:rsidRPr="00D412C1" w14:paraId="2ED541A9" w14:textId="77777777" w:rsidTr="002429BB">
        <w:trPr>
          <w:trHeight w:val="275"/>
        </w:trPr>
        <w:tc>
          <w:tcPr>
            <w:tcW w:w="4488" w:type="dxa"/>
            <w:tcBorders>
              <w:top w:val="nil"/>
              <w:left w:val="nil"/>
              <w:bottom w:val="nil"/>
              <w:right w:val="nil"/>
            </w:tcBorders>
            <w:shd w:val="clear" w:color="auto" w:fill="auto"/>
            <w:noWrap/>
            <w:vAlign w:val="bottom"/>
            <w:hideMark/>
          </w:tcPr>
          <w:p w14:paraId="1788FC87" w14:textId="77777777" w:rsidR="00C3418E" w:rsidRPr="00D412C1" w:rsidRDefault="00C3418E" w:rsidP="00C3418E">
            <w:pPr>
              <w:jc w:val="center"/>
              <w:rPr>
                <w:rFonts w:asciiTheme="minorHAnsi" w:eastAsia="Times New Roman" w:hAnsiTheme="minorHAnsi" w:cstheme="minorHAnsi"/>
                <w:b/>
                <w:bCs/>
                <w:color w:val="000000"/>
                <w:lang w:eastAsia="en-GB"/>
              </w:rPr>
            </w:pPr>
          </w:p>
        </w:tc>
        <w:tc>
          <w:tcPr>
            <w:tcW w:w="1736" w:type="dxa"/>
            <w:tcBorders>
              <w:top w:val="nil"/>
              <w:left w:val="nil"/>
              <w:bottom w:val="nil"/>
              <w:right w:val="nil"/>
            </w:tcBorders>
            <w:shd w:val="clear" w:color="auto" w:fill="auto"/>
            <w:noWrap/>
            <w:vAlign w:val="bottom"/>
            <w:hideMark/>
          </w:tcPr>
          <w:p w14:paraId="7D4C97BD" w14:textId="2B65E007" w:rsidR="00C3418E" w:rsidRPr="00D412C1" w:rsidRDefault="00C3418E" w:rsidP="002429BB">
            <w:pPr>
              <w:jc w:val="right"/>
              <w:rPr>
                <w:rFonts w:asciiTheme="minorHAnsi" w:eastAsia="Times New Roman" w:hAnsiTheme="minorHAnsi" w:cstheme="minorHAnsi"/>
                <w:b/>
                <w:bCs/>
                <w:color w:val="000000"/>
                <w:lang w:eastAsia="en-GB"/>
              </w:rPr>
            </w:pPr>
            <w:r w:rsidRPr="00D412C1">
              <w:rPr>
                <w:rFonts w:asciiTheme="minorHAnsi" w:eastAsia="Times New Roman" w:hAnsiTheme="minorHAnsi" w:cstheme="minorHAnsi"/>
                <w:b/>
                <w:bCs/>
                <w:color w:val="000000"/>
                <w:lang w:eastAsia="en-GB"/>
              </w:rPr>
              <w:t>2021</w:t>
            </w:r>
          </w:p>
        </w:tc>
        <w:tc>
          <w:tcPr>
            <w:tcW w:w="1736" w:type="dxa"/>
            <w:tcBorders>
              <w:top w:val="nil"/>
              <w:left w:val="nil"/>
              <w:bottom w:val="nil"/>
              <w:right w:val="nil"/>
            </w:tcBorders>
            <w:vAlign w:val="bottom"/>
          </w:tcPr>
          <w:p w14:paraId="31EDD7A7" w14:textId="39EEAD69" w:rsidR="00C3418E" w:rsidRPr="00D412C1" w:rsidRDefault="00C3418E" w:rsidP="002429BB">
            <w:pPr>
              <w:jc w:val="right"/>
              <w:rPr>
                <w:rFonts w:asciiTheme="minorHAnsi" w:eastAsia="Times New Roman" w:hAnsiTheme="minorHAnsi" w:cstheme="minorHAnsi"/>
                <w:b/>
                <w:bCs/>
                <w:color w:val="000000"/>
                <w:lang w:eastAsia="en-GB"/>
              </w:rPr>
            </w:pPr>
            <w:r w:rsidRPr="00D412C1">
              <w:rPr>
                <w:rFonts w:asciiTheme="minorHAnsi" w:eastAsia="Times New Roman" w:hAnsiTheme="minorHAnsi" w:cstheme="minorHAnsi"/>
                <w:b/>
                <w:bCs/>
                <w:color w:val="000000"/>
                <w:lang w:eastAsia="en-GB"/>
              </w:rPr>
              <w:t>2020</w:t>
            </w:r>
          </w:p>
        </w:tc>
        <w:tc>
          <w:tcPr>
            <w:tcW w:w="1736" w:type="dxa"/>
            <w:tcBorders>
              <w:top w:val="nil"/>
              <w:left w:val="nil"/>
              <w:bottom w:val="nil"/>
              <w:right w:val="nil"/>
            </w:tcBorders>
            <w:shd w:val="clear" w:color="auto" w:fill="auto"/>
            <w:noWrap/>
            <w:vAlign w:val="bottom"/>
            <w:hideMark/>
          </w:tcPr>
          <w:p w14:paraId="7E661F8C" w14:textId="72AC7C16" w:rsidR="00C3418E" w:rsidRPr="00D412C1" w:rsidRDefault="00C3418E" w:rsidP="002429BB">
            <w:pPr>
              <w:jc w:val="right"/>
              <w:rPr>
                <w:rFonts w:asciiTheme="minorHAnsi" w:eastAsia="Times New Roman" w:hAnsiTheme="minorHAnsi" w:cstheme="minorHAnsi"/>
                <w:b/>
                <w:bCs/>
                <w:color w:val="000000"/>
                <w:lang w:eastAsia="en-GB"/>
              </w:rPr>
            </w:pPr>
            <w:r w:rsidRPr="00D412C1">
              <w:rPr>
                <w:rFonts w:asciiTheme="minorHAnsi" w:eastAsia="Times New Roman" w:hAnsiTheme="minorHAnsi" w:cstheme="minorHAnsi"/>
                <w:b/>
                <w:bCs/>
                <w:color w:val="000000"/>
                <w:lang w:eastAsia="en-GB"/>
              </w:rPr>
              <w:t>2020</w:t>
            </w:r>
          </w:p>
        </w:tc>
      </w:tr>
      <w:tr w:rsidR="00463B2D" w:rsidRPr="00D412C1" w14:paraId="33D91BAD" w14:textId="77777777" w:rsidTr="002429BB">
        <w:trPr>
          <w:trHeight w:val="275"/>
        </w:trPr>
        <w:tc>
          <w:tcPr>
            <w:tcW w:w="4488" w:type="dxa"/>
            <w:tcBorders>
              <w:top w:val="nil"/>
              <w:left w:val="nil"/>
              <w:right w:val="nil"/>
            </w:tcBorders>
            <w:shd w:val="clear" w:color="auto" w:fill="auto"/>
            <w:noWrap/>
            <w:hideMark/>
          </w:tcPr>
          <w:p w14:paraId="4644B75A" w14:textId="77777777" w:rsidR="00463B2D" w:rsidRPr="00D412C1" w:rsidRDefault="00463B2D" w:rsidP="00463B2D">
            <w:pPr>
              <w:jc w:val="center"/>
              <w:rPr>
                <w:rFonts w:asciiTheme="minorHAnsi" w:eastAsia="Times New Roman" w:hAnsiTheme="minorHAnsi" w:cstheme="minorHAnsi"/>
                <w:b/>
                <w:bCs/>
                <w:color w:val="000000"/>
                <w:lang w:eastAsia="en-GB"/>
              </w:rPr>
            </w:pPr>
          </w:p>
        </w:tc>
        <w:tc>
          <w:tcPr>
            <w:tcW w:w="1736" w:type="dxa"/>
            <w:tcBorders>
              <w:top w:val="nil"/>
              <w:left w:val="nil"/>
              <w:right w:val="nil"/>
            </w:tcBorders>
            <w:shd w:val="clear" w:color="auto" w:fill="auto"/>
            <w:noWrap/>
            <w:vAlign w:val="bottom"/>
            <w:hideMark/>
          </w:tcPr>
          <w:p w14:paraId="553AD20F" w14:textId="77777777" w:rsidR="00463B2D" w:rsidRPr="00D412C1" w:rsidRDefault="00463B2D" w:rsidP="002429BB">
            <w:pPr>
              <w:jc w:val="right"/>
              <w:rPr>
                <w:rFonts w:asciiTheme="minorHAnsi" w:eastAsia="Times New Roman" w:hAnsiTheme="minorHAnsi" w:cstheme="minorHAnsi"/>
                <w:b/>
                <w:bCs/>
                <w:color w:val="000000"/>
                <w:lang w:eastAsia="en-GB"/>
              </w:rPr>
            </w:pPr>
            <w:r w:rsidRPr="00D412C1">
              <w:rPr>
                <w:rFonts w:asciiTheme="minorHAnsi" w:eastAsia="Times New Roman" w:hAnsiTheme="minorHAnsi" w:cstheme="minorHAnsi"/>
                <w:b/>
                <w:bCs/>
                <w:color w:val="000000"/>
                <w:lang w:eastAsia="en-GB"/>
              </w:rPr>
              <w:t>(Unaudited)</w:t>
            </w:r>
          </w:p>
        </w:tc>
        <w:tc>
          <w:tcPr>
            <w:tcW w:w="1736" w:type="dxa"/>
            <w:tcBorders>
              <w:top w:val="nil"/>
              <w:left w:val="nil"/>
              <w:right w:val="nil"/>
            </w:tcBorders>
            <w:vAlign w:val="bottom"/>
          </w:tcPr>
          <w:p w14:paraId="48C43C9E" w14:textId="420E55A7" w:rsidR="00463B2D" w:rsidRPr="00D412C1" w:rsidRDefault="00463B2D" w:rsidP="002429BB">
            <w:pPr>
              <w:jc w:val="right"/>
              <w:rPr>
                <w:rFonts w:asciiTheme="minorHAnsi" w:eastAsia="Times New Roman" w:hAnsiTheme="minorHAnsi" w:cstheme="minorHAnsi"/>
                <w:b/>
                <w:bCs/>
                <w:color w:val="000000"/>
                <w:lang w:eastAsia="en-GB"/>
              </w:rPr>
            </w:pPr>
            <w:r w:rsidRPr="00D412C1">
              <w:rPr>
                <w:rFonts w:asciiTheme="minorHAnsi" w:eastAsia="Times New Roman" w:hAnsiTheme="minorHAnsi" w:cstheme="minorHAnsi"/>
                <w:b/>
                <w:bCs/>
                <w:color w:val="000000"/>
                <w:lang w:eastAsia="en-GB"/>
              </w:rPr>
              <w:t>(Unaudited)</w:t>
            </w:r>
          </w:p>
        </w:tc>
        <w:tc>
          <w:tcPr>
            <w:tcW w:w="1736" w:type="dxa"/>
            <w:tcBorders>
              <w:top w:val="nil"/>
              <w:left w:val="nil"/>
              <w:right w:val="nil"/>
            </w:tcBorders>
            <w:shd w:val="clear" w:color="auto" w:fill="auto"/>
            <w:noWrap/>
            <w:vAlign w:val="bottom"/>
            <w:hideMark/>
          </w:tcPr>
          <w:p w14:paraId="4C996589" w14:textId="1E78258C" w:rsidR="00463B2D" w:rsidRPr="00D412C1" w:rsidRDefault="00463B2D" w:rsidP="002429BB">
            <w:pPr>
              <w:jc w:val="right"/>
              <w:rPr>
                <w:rFonts w:asciiTheme="minorHAnsi" w:eastAsia="Times New Roman" w:hAnsiTheme="minorHAnsi" w:cstheme="minorHAnsi"/>
                <w:b/>
                <w:bCs/>
                <w:color w:val="000000"/>
                <w:lang w:eastAsia="en-GB"/>
              </w:rPr>
            </w:pPr>
            <w:r w:rsidRPr="00D412C1">
              <w:rPr>
                <w:rFonts w:asciiTheme="minorHAnsi" w:eastAsia="Times New Roman" w:hAnsiTheme="minorHAnsi" w:cstheme="minorHAnsi"/>
                <w:b/>
                <w:bCs/>
                <w:color w:val="000000"/>
                <w:lang w:eastAsia="en-GB"/>
              </w:rPr>
              <w:t>(</w:t>
            </w:r>
            <w:r w:rsidR="00855591" w:rsidRPr="00D412C1">
              <w:rPr>
                <w:rFonts w:asciiTheme="minorHAnsi" w:eastAsia="Times New Roman" w:hAnsiTheme="minorHAnsi" w:cstheme="minorHAnsi"/>
                <w:b/>
                <w:bCs/>
                <w:color w:val="000000"/>
                <w:lang w:eastAsia="en-GB"/>
              </w:rPr>
              <w:t>Audited</w:t>
            </w:r>
            <w:r w:rsidRPr="00D412C1">
              <w:rPr>
                <w:rFonts w:asciiTheme="minorHAnsi" w:eastAsia="Times New Roman" w:hAnsiTheme="minorHAnsi" w:cstheme="minorHAnsi"/>
                <w:b/>
                <w:bCs/>
                <w:color w:val="000000"/>
                <w:lang w:eastAsia="en-GB"/>
              </w:rPr>
              <w:t>)</w:t>
            </w:r>
          </w:p>
        </w:tc>
      </w:tr>
      <w:tr w:rsidR="00463B2D" w:rsidRPr="00D412C1" w14:paraId="2E8F0FB5" w14:textId="77777777" w:rsidTr="002429BB">
        <w:trPr>
          <w:trHeight w:val="275"/>
        </w:trPr>
        <w:tc>
          <w:tcPr>
            <w:tcW w:w="4488" w:type="dxa"/>
            <w:tcBorders>
              <w:top w:val="nil"/>
              <w:left w:val="nil"/>
              <w:bottom w:val="single" w:sz="4" w:space="0" w:color="auto"/>
              <w:right w:val="nil"/>
            </w:tcBorders>
            <w:shd w:val="clear" w:color="auto" w:fill="auto"/>
            <w:noWrap/>
            <w:hideMark/>
          </w:tcPr>
          <w:p w14:paraId="2B078CB2" w14:textId="77777777" w:rsidR="00463B2D" w:rsidRPr="00D412C1" w:rsidRDefault="00463B2D" w:rsidP="00463B2D">
            <w:pPr>
              <w:jc w:val="center"/>
              <w:rPr>
                <w:rFonts w:asciiTheme="minorHAnsi" w:eastAsia="Times New Roman" w:hAnsiTheme="minorHAnsi" w:cstheme="minorHAnsi"/>
                <w:b/>
                <w:bCs/>
                <w:color w:val="000000"/>
                <w:lang w:eastAsia="en-GB"/>
              </w:rPr>
            </w:pPr>
          </w:p>
        </w:tc>
        <w:tc>
          <w:tcPr>
            <w:tcW w:w="1736" w:type="dxa"/>
            <w:tcBorders>
              <w:top w:val="nil"/>
              <w:left w:val="nil"/>
              <w:bottom w:val="single" w:sz="4" w:space="0" w:color="auto"/>
              <w:right w:val="nil"/>
            </w:tcBorders>
            <w:shd w:val="clear" w:color="auto" w:fill="auto"/>
            <w:noWrap/>
            <w:vAlign w:val="bottom"/>
            <w:hideMark/>
          </w:tcPr>
          <w:p w14:paraId="5BAD6221" w14:textId="77777777" w:rsidR="00463B2D" w:rsidRPr="00D412C1" w:rsidRDefault="00463B2D" w:rsidP="002429BB">
            <w:pPr>
              <w:jc w:val="right"/>
              <w:rPr>
                <w:rFonts w:asciiTheme="minorHAnsi" w:eastAsia="Times New Roman" w:hAnsiTheme="minorHAnsi" w:cstheme="minorHAnsi"/>
                <w:b/>
                <w:bCs/>
                <w:color w:val="000000"/>
                <w:lang w:eastAsia="en-GB"/>
              </w:rPr>
            </w:pPr>
            <w:r w:rsidRPr="00D412C1">
              <w:rPr>
                <w:rFonts w:asciiTheme="minorHAnsi" w:eastAsia="Times New Roman" w:hAnsiTheme="minorHAnsi" w:cstheme="minorHAnsi"/>
                <w:b/>
                <w:bCs/>
                <w:color w:val="000000"/>
                <w:lang w:eastAsia="en-GB"/>
              </w:rPr>
              <w:t>$ 000’s</w:t>
            </w:r>
          </w:p>
        </w:tc>
        <w:tc>
          <w:tcPr>
            <w:tcW w:w="1736" w:type="dxa"/>
            <w:tcBorders>
              <w:top w:val="nil"/>
              <w:left w:val="nil"/>
              <w:bottom w:val="single" w:sz="4" w:space="0" w:color="auto"/>
              <w:right w:val="nil"/>
            </w:tcBorders>
            <w:vAlign w:val="bottom"/>
          </w:tcPr>
          <w:p w14:paraId="2AB871D7" w14:textId="3AF8AEC7" w:rsidR="00463B2D" w:rsidRPr="00D412C1" w:rsidRDefault="00463B2D" w:rsidP="002429BB">
            <w:pPr>
              <w:jc w:val="right"/>
              <w:rPr>
                <w:rFonts w:asciiTheme="minorHAnsi" w:eastAsia="Times New Roman" w:hAnsiTheme="minorHAnsi" w:cstheme="minorHAnsi"/>
                <w:b/>
                <w:bCs/>
                <w:color w:val="000000"/>
                <w:lang w:eastAsia="en-GB"/>
              </w:rPr>
            </w:pPr>
            <w:r w:rsidRPr="00D412C1">
              <w:rPr>
                <w:rFonts w:asciiTheme="minorHAnsi" w:eastAsia="Times New Roman" w:hAnsiTheme="minorHAnsi" w:cstheme="minorHAnsi"/>
                <w:b/>
                <w:bCs/>
                <w:color w:val="000000"/>
                <w:lang w:eastAsia="en-GB"/>
              </w:rPr>
              <w:t>$ 000’s</w:t>
            </w:r>
          </w:p>
        </w:tc>
        <w:tc>
          <w:tcPr>
            <w:tcW w:w="1736" w:type="dxa"/>
            <w:tcBorders>
              <w:top w:val="nil"/>
              <w:left w:val="nil"/>
              <w:bottom w:val="single" w:sz="4" w:space="0" w:color="auto"/>
              <w:right w:val="nil"/>
            </w:tcBorders>
            <w:shd w:val="clear" w:color="auto" w:fill="auto"/>
            <w:noWrap/>
            <w:vAlign w:val="bottom"/>
            <w:hideMark/>
          </w:tcPr>
          <w:p w14:paraId="259A612F" w14:textId="2B56599C" w:rsidR="00463B2D" w:rsidRPr="00D412C1" w:rsidRDefault="00463B2D" w:rsidP="002429BB">
            <w:pPr>
              <w:jc w:val="right"/>
              <w:rPr>
                <w:rFonts w:asciiTheme="minorHAnsi" w:eastAsia="Times New Roman" w:hAnsiTheme="minorHAnsi" w:cstheme="minorHAnsi"/>
                <w:b/>
                <w:bCs/>
                <w:color w:val="000000"/>
                <w:lang w:eastAsia="en-GB"/>
              </w:rPr>
            </w:pPr>
            <w:r w:rsidRPr="00D412C1">
              <w:rPr>
                <w:rFonts w:asciiTheme="minorHAnsi" w:eastAsia="Times New Roman" w:hAnsiTheme="minorHAnsi" w:cstheme="minorHAnsi"/>
                <w:b/>
                <w:bCs/>
                <w:color w:val="000000"/>
                <w:lang w:eastAsia="en-GB"/>
              </w:rPr>
              <w:t>$ 000’s</w:t>
            </w:r>
          </w:p>
        </w:tc>
      </w:tr>
      <w:tr w:rsidR="007408CC" w:rsidRPr="00D412C1" w14:paraId="3B659D92" w14:textId="77777777" w:rsidTr="007408CC">
        <w:trPr>
          <w:trHeight w:val="275"/>
        </w:trPr>
        <w:tc>
          <w:tcPr>
            <w:tcW w:w="4488" w:type="dxa"/>
            <w:tcBorders>
              <w:top w:val="nil"/>
              <w:left w:val="nil"/>
              <w:right w:val="nil"/>
            </w:tcBorders>
            <w:shd w:val="clear" w:color="auto" w:fill="auto"/>
            <w:noWrap/>
          </w:tcPr>
          <w:p w14:paraId="266556EA" w14:textId="77777777" w:rsidR="007408CC" w:rsidRPr="00D412C1" w:rsidRDefault="007408CC" w:rsidP="00463B2D">
            <w:pPr>
              <w:jc w:val="center"/>
              <w:rPr>
                <w:rFonts w:asciiTheme="minorHAnsi" w:eastAsia="Times New Roman" w:hAnsiTheme="minorHAnsi" w:cstheme="minorHAnsi"/>
                <w:b/>
                <w:bCs/>
                <w:color w:val="000000"/>
                <w:lang w:eastAsia="en-GB"/>
              </w:rPr>
            </w:pPr>
          </w:p>
        </w:tc>
        <w:tc>
          <w:tcPr>
            <w:tcW w:w="1736" w:type="dxa"/>
            <w:tcBorders>
              <w:top w:val="nil"/>
              <w:left w:val="nil"/>
              <w:right w:val="nil"/>
            </w:tcBorders>
            <w:shd w:val="clear" w:color="auto" w:fill="auto"/>
            <w:noWrap/>
            <w:vAlign w:val="bottom"/>
          </w:tcPr>
          <w:p w14:paraId="18C41C30" w14:textId="77777777" w:rsidR="007408CC" w:rsidRPr="00D412C1" w:rsidRDefault="007408CC" w:rsidP="00463B2D">
            <w:pPr>
              <w:jc w:val="center"/>
              <w:rPr>
                <w:rFonts w:asciiTheme="minorHAnsi" w:eastAsia="Times New Roman" w:hAnsiTheme="minorHAnsi" w:cstheme="minorHAnsi"/>
                <w:color w:val="000000"/>
                <w:lang w:eastAsia="en-GB"/>
              </w:rPr>
            </w:pPr>
          </w:p>
        </w:tc>
        <w:tc>
          <w:tcPr>
            <w:tcW w:w="1736" w:type="dxa"/>
            <w:tcBorders>
              <w:top w:val="nil"/>
              <w:left w:val="nil"/>
              <w:right w:val="nil"/>
            </w:tcBorders>
            <w:vAlign w:val="bottom"/>
          </w:tcPr>
          <w:p w14:paraId="367A145C" w14:textId="77777777" w:rsidR="007408CC" w:rsidRPr="00D412C1" w:rsidRDefault="007408CC" w:rsidP="00463B2D">
            <w:pPr>
              <w:jc w:val="center"/>
              <w:rPr>
                <w:rFonts w:asciiTheme="minorHAnsi" w:eastAsia="Times New Roman" w:hAnsiTheme="minorHAnsi" w:cstheme="minorHAnsi"/>
                <w:color w:val="000000"/>
                <w:lang w:eastAsia="en-GB"/>
              </w:rPr>
            </w:pPr>
          </w:p>
        </w:tc>
        <w:tc>
          <w:tcPr>
            <w:tcW w:w="1736" w:type="dxa"/>
            <w:tcBorders>
              <w:top w:val="nil"/>
              <w:left w:val="nil"/>
              <w:right w:val="nil"/>
            </w:tcBorders>
            <w:shd w:val="clear" w:color="auto" w:fill="auto"/>
            <w:noWrap/>
            <w:vAlign w:val="bottom"/>
          </w:tcPr>
          <w:p w14:paraId="046BECBC" w14:textId="77777777" w:rsidR="007408CC" w:rsidRPr="00D412C1" w:rsidRDefault="007408CC" w:rsidP="00463B2D">
            <w:pPr>
              <w:jc w:val="center"/>
              <w:rPr>
                <w:rFonts w:asciiTheme="minorHAnsi" w:eastAsia="Times New Roman" w:hAnsiTheme="minorHAnsi" w:cstheme="minorHAnsi"/>
                <w:color w:val="000000"/>
                <w:lang w:eastAsia="en-GB"/>
              </w:rPr>
            </w:pPr>
          </w:p>
        </w:tc>
      </w:tr>
      <w:tr w:rsidR="00463B2D" w:rsidRPr="00D412C1" w14:paraId="11F667F3" w14:textId="77777777" w:rsidTr="007408CC">
        <w:trPr>
          <w:trHeight w:val="314"/>
        </w:trPr>
        <w:tc>
          <w:tcPr>
            <w:tcW w:w="4488" w:type="dxa"/>
            <w:tcBorders>
              <w:left w:val="nil"/>
              <w:right w:val="nil"/>
            </w:tcBorders>
            <w:shd w:val="clear" w:color="auto" w:fill="auto"/>
            <w:noWrap/>
            <w:hideMark/>
          </w:tcPr>
          <w:p w14:paraId="7AD867B6" w14:textId="55CFEB77" w:rsidR="00463B2D" w:rsidRPr="00D412C1" w:rsidRDefault="007408CC" w:rsidP="007408CC">
            <w:pPr>
              <w:rPr>
                <w:rFonts w:asciiTheme="minorHAnsi" w:eastAsia="Times New Roman" w:hAnsiTheme="minorHAnsi" w:cstheme="minorHAnsi"/>
                <w:color w:val="000000"/>
                <w:lang w:eastAsia="en-GB"/>
              </w:rPr>
            </w:pPr>
            <w:r w:rsidRPr="00D412C1">
              <w:rPr>
                <w:rFonts w:asciiTheme="minorHAnsi" w:eastAsia="Times New Roman" w:hAnsiTheme="minorHAnsi" w:cstheme="minorHAnsi"/>
                <w:color w:val="000000"/>
                <w:lang w:eastAsia="en-GB"/>
              </w:rPr>
              <w:t xml:space="preserve">Net loss after tax </w:t>
            </w:r>
          </w:p>
        </w:tc>
        <w:tc>
          <w:tcPr>
            <w:tcW w:w="1736" w:type="dxa"/>
            <w:tcBorders>
              <w:left w:val="nil"/>
              <w:right w:val="nil"/>
            </w:tcBorders>
            <w:shd w:val="clear" w:color="auto" w:fill="auto"/>
            <w:noWrap/>
            <w:hideMark/>
          </w:tcPr>
          <w:p w14:paraId="5B0FBC68" w14:textId="56B5D467" w:rsidR="00463B2D" w:rsidRPr="00D412C1" w:rsidRDefault="00CF6F3C" w:rsidP="007408CC">
            <w:pPr>
              <w:jc w:val="right"/>
              <w:rPr>
                <w:rFonts w:asciiTheme="minorHAnsi" w:eastAsia="Times New Roman" w:hAnsiTheme="minorHAnsi" w:cstheme="minorHAnsi"/>
                <w:lang w:eastAsia="en-GB"/>
              </w:rPr>
            </w:pPr>
            <w:r w:rsidRPr="00D412C1">
              <w:rPr>
                <w:rFonts w:asciiTheme="minorHAnsi" w:eastAsia="Times New Roman" w:hAnsiTheme="minorHAnsi" w:cstheme="minorHAnsi"/>
                <w:lang w:eastAsia="en-GB"/>
              </w:rPr>
              <w:t>(776)</w:t>
            </w:r>
          </w:p>
        </w:tc>
        <w:tc>
          <w:tcPr>
            <w:tcW w:w="1736" w:type="dxa"/>
            <w:tcBorders>
              <w:left w:val="nil"/>
              <w:right w:val="nil"/>
            </w:tcBorders>
          </w:tcPr>
          <w:p w14:paraId="7BD21306" w14:textId="2A05CC2D" w:rsidR="00463B2D" w:rsidRPr="00D412C1" w:rsidRDefault="00CF6F3C" w:rsidP="00463B2D">
            <w:pPr>
              <w:jc w:val="right"/>
              <w:rPr>
                <w:rFonts w:asciiTheme="minorHAnsi" w:eastAsia="Times New Roman" w:hAnsiTheme="minorHAnsi" w:cstheme="minorHAnsi"/>
                <w:lang w:eastAsia="en-GB"/>
              </w:rPr>
            </w:pPr>
            <w:r w:rsidRPr="00D412C1">
              <w:rPr>
                <w:rFonts w:asciiTheme="minorHAnsi" w:eastAsia="Times New Roman" w:hAnsiTheme="minorHAnsi" w:cstheme="minorHAnsi"/>
                <w:lang w:eastAsia="en-GB"/>
              </w:rPr>
              <w:t>(254)</w:t>
            </w:r>
          </w:p>
        </w:tc>
        <w:tc>
          <w:tcPr>
            <w:tcW w:w="1736" w:type="dxa"/>
            <w:tcBorders>
              <w:left w:val="nil"/>
              <w:right w:val="nil"/>
            </w:tcBorders>
            <w:shd w:val="clear" w:color="auto" w:fill="auto"/>
            <w:noWrap/>
          </w:tcPr>
          <w:p w14:paraId="05BBD566" w14:textId="1A294DEE" w:rsidR="00463B2D" w:rsidRPr="00D412C1" w:rsidRDefault="007408CC" w:rsidP="00463B2D">
            <w:pPr>
              <w:jc w:val="right"/>
              <w:rPr>
                <w:rFonts w:asciiTheme="minorHAnsi" w:eastAsia="Times New Roman" w:hAnsiTheme="minorHAnsi" w:cstheme="minorHAnsi"/>
                <w:lang w:eastAsia="en-GB"/>
              </w:rPr>
            </w:pPr>
            <w:r w:rsidRPr="00D412C1">
              <w:rPr>
                <w:rFonts w:asciiTheme="minorHAnsi" w:eastAsia="Times New Roman" w:hAnsiTheme="minorHAnsi" w:cstheme="minorHAnsi"/>
                <w:lang w:eastAsia="en-GB"/>
              </w:rPr>
              <w:t>(708)</w:t>
            </w:r>
          </w:p>
        </w:tc>
      </w:tr>
      <w:tr w:rsidR="00463B2D" w:rsidRPr="00D412C1" w14:paraId="386D5305" w14:textId="77777777" w:rsidTr="00C3418E">
        <w:trPr>
          <w:trHeight w:val="467"/>
        </w:trPr>
        <w:tc>
          <w:tcPr>
            <w:tcW w:w="4488" w:type="dxa"/>
            <w:tcBorders>
              <w:top w:val="nil"/>
              <w:left w:val="nil"/>
              <w:bottom w:val="nil"/>
              <w:right w:val="nil"/>
            </w:tcBorders>
            <w:shd w:val="clear" w:color="auto" w:fill="auto"/>
            <w:hideMark/>
          </w:tcPr>
          <w:p w14:paraId="34FE8A1A" w14:textId="77777777" w:rsidR="00463B2D" w:rsidRPr="00D412C1" w:rsidRDefault="00463B2D" w:rsidP="00463B2D">
            <w:pPr>
              <w:rPr>
                <w:rFonts w:asciiTheme="minorHAnsi" w:eastAsia="Times New Roman" w:hAnsiTheme="minorHAnsi" w:cstheme="minorHAnsi"/>
                <w:color w:val="000000"/>
                <w:lang w:eastAsia="en-GB"/>
              </w:rPr>
            </w:pPr>
            <w:r w:rsidRPr="00D412C1">
              <w:rPr>
                <w:rFonts w:asciiTheme="minorHAnsi" w:eastAsia="Times New Roman" w:hAnsiTheme="minorHAnsi" w:cstheme="minorHAnsi"/>
                <w:color w:val="000000"/>
                <w:lang w:eastAsia="en-GB"/>
              </w:rPr>
              <w:t>Weighted average number of ordinary shares used in calculating basic loss per share (000’s)</w:t>
            </w:r>
          </w:p>
        </w:tc>
        <w:tc>
          <w:tcPr>
            <w:tcW w:w="1736" w:type="dxa"/>
            <w:tcBorders>
              <w:top w:val="nil"/>
              <w:left w:val="nil"/>
              <w:bottom w:val="nil"/>
              <w:right w:val="nil"/>
            </w:tcBorders>
            <w:shd w:val="clear" w:color="auto" w:fill="auto"/>
            <w:noWrap/>
            <w:hideMark/>
          </w:tcPr>
          <w:p w14:paraId="2404E376" w14:textId="73CFEB78" w:rsidR="00463B2D" w:rsidRPr="00D412C1" w:rsidRDefault="007849DA" w:rsidP="00463B2D">
            <w:pPr>
              <w:jc w:val="right"/>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333,580</w:t>
            </w:r>
          </w:p>
        </w:tc>
        <w:tc>
          <w:tcPr>
            <w:tcW w:w="1736" w:type="dxa"/>
            <w:tcBorders>
              <w:top w:val="nil"/>
              <w:left w:val="nil"/>
              <w:bottom w:val="nil"/>
              <w:right w:val="nil"/>
            </w:tcBorders>
          </w:tcPr>
          <w:p w14:paraId="7AA1BD20" w14:textId="3947A125" w:rsidR="00463B2D" w:rsidRPr="00D412C1" w:rsidRDefault="00CF6F3C" w:rsidP="00463B2D">
            <w:pPr>
              <w:jc w:val="right"/>
              <w:rPr>
                <w:rFonts w:asciiTheme="minorHAnsi" w:eastAsia="Times New Roman" w:hAnsiTheme="minorHAnsi" w:cstheme="minorHAnsi"/>
                <w:color w:val="000000"/>
                <w:lang w:eastAsia="en-GB"/>
              </w:rPr>
            </w:pPr>
            <w:r w:rsidRPr="00D412C1">
              <w:rPr>
                <w:rFonts w:asciiTheme="minorHAnsi" w:eastAsia="Times New Roman" w:hAnsiTheme="minorHAnsi" w:cstheme="minorHAnsi"/>
                <w:color w:val="000000"/>
                <w:lang w:eastAsia="en-GB"/>
              </w:rPr>
              <w:t>172,309</w:t>
            </w:r>
          </w:p>
        </w:tc>
        <w:tc>
          <w:tcPr>
            <w:tcW w:w="1736" w:type="dxa"/>
            <w:tcBorders>
              <w:top w:val="nil"/>
              <w:left w:val="nil"/>
              <w:bottom w:val="nil"/>
              <w:right w:val="nil"/>
            </w:tcBorders>
            <w:shd w:val="clear" w:color="auto" w:fill="auto"/>
            <w:noWrap/>
          </w:tcPr>
          <w:p w14:paraId="6A96DB70" w14:textId="550353CA" w:rsidR="00463B2D" w:rsidRPr="00D412C1" w:rsidRDefault="007408CC" w:rsidP="007408CC">
            <w:pPr>
              <w:jc w:val="right"/>
              <w:rPr>
                <w:rFonts w:asciiTheme="minorHAnsi" w:eastAsia="Times New Roman" w:hAnsiTheme="minorHAnsi" w:cstheme="minorHAnsi"/>
                <w:color w:val="000000"/>
                <w:lang w:eastAsia="en-GB"/>
              </w:rPr>
            </w:pPr>
            <w:r w:rsidRPr="00D412C1">
              <w:rPr>
                <w:rFonts w:asciiTheme="minorHAnsi" w:eastAsia="Times New Roman" w:hAnsiTheme="minorHAnsi" w:cstheme="minorHAnsi"/>
                <w:color w:val="000000"/>
                <w:lang w:eastAsia="en-GB"/>
              </w:rPr>
              <w:t>192,166</w:t>
            </w:r>
          </w:p>
        </w:tc>
      </w:tr>
      <w:tr w:rsidR="00463B2D" w:rsidRPr="00D412C1" w14:paraId="27A511F5" w14:textId="77777777" w:rsidTr="00C3418E">
        <w:trPr>
          <w:trHeight w:val="279"/>
        </w:trPr>
        <w:tc>
          <w:tcPr>
            <w:tcW w:w="4488" w:type="dxa"/>
            <w:tcBorders>
              <w:top w:val="nil"/>
              <w:left w:val="nil"/>
              <w:bottom w:val="nil"/>
              <w:right w:val="nil"/>
            </w:tcBorders>
            <w:shd w:val="clear" w:color="auto" w:fill="auto"/>
            <w:noWrap/>
            <w:hideMark/>
          </w:tcPr>
          <w:p w14:paraId="2622C62A" w14:textId="6210E62F" w:rsidR="00463B2D" w:rsidRPr="00D412C1" w:rsidRDefault="00463B2D" w:rsidP="00463B2D">
            <w:pPr>
              <w:rPr>
                <w:rFonts w:asciiTheme="minorHAnsi" w:eastAsia="Times New Roman" w:hAnsiTheme="minorHAnsi" w:cstheme="minorHAnsi"/>
                <w:color w:val="000000"/>
                <w:lang w:eastAsia="en-GB"/>
              </w:rPr>
            </w:pPr>
            <w:r w:rsidRPr="00D412C1">
              <w:rPr>
                <w:rFonts w:asciiTheme="minorHAnsi" w:eastAsia="Times New Roman" w:hAnsiTheme="minorHAnsi" w:cstheme="minorHAnsi"/>
                <w:color w:val="000000"/>
                <w:lang w:eastAsia="en-GB"/>
              </w:rPr>
              <w:t xml:space="preserve">Basic &amp; diluted loss per share </w:t>
            </w:r>
            <w:r w:rsidR="007767AE">
              <w:rPr>
                <w:rFonts w:asciiTheme="minorHAnsi" w:eastAsia="Times New Roman" w:hAnsiTheme="minorHAnsi" w:cstheme="minorHAnsi"/>
                <w:color w:val="000000"/>
                <w:lang w:eastAsia="en-GB"/>
              </w:rPr>
              <w:t>(cent)</w:t>
            </w:r>
          </w:p>
        </w:tc>
        <w:tc>
          <w:tcPr>
            <w:tcW w:w="1736" w:type="dxa"/>
            <w:tcBorders>
              <w:top w:val="single" w:sz="8" w:space="0" w:color="auto"/>
              <w:left w:val="nil"/>
              <w:bottom w:val="single" w:sz="8" w:space="0" w:color="auto"/>
              <w:right w:val="nil"/>
            </w:tcBorders>
            <w:shd w:val="clear" w:color="auto" w:fill="auto"/>
            <w:noWrap/>
            <w:vAlign w:val="bottom"/>
            <w:hideMark/>
          </w:tcPr>
          <w:p w14:paraId="1F191379" w14:textId="0A895B06" w:rsidR="00463B2D" w:rsidRPr="00D412C1" w:rsidRDefault="00463B2D" w:rsidP="00463B2D">
            <w:pPr>
              <w:jc w:val="right"/>
              <w:rPr>
                <w:rFonts w:asciiTheme="minorHAnsi" w:eastAsia="Times New Roman" w:hAnsiTheme="minorHAnsi" w:cstheme="minorHAnsi"/>
                <w:color w:val="000000"/>
                <w:lang w:eastAsia="en-GB"/>
              </w:rPr>
            </w:pPr>
            <w:r w:rsidRPr="00D412C1">
              <w:rPr>
                <w:rFonts w:asciiTheme="minorHAnsi" w:eastAsia="Times New Roman" w:hAnsiTheme="minorHAnsi" w:cstheme="minorHAnsi"/>
                <w:color w:val="000000"/>
                <w:lang w:eastAsia="en-GB"/>
              </w:rPr>
              <w:t>(</w:t>
            </w:r>
            <w:r w:rsidR="00851B3A">
              <w:rPr>
                <w:rFonts w:asciiTheme="minorHAnsi" w:eastAsia="Times New Roman" w:hAnsiTheme="minorHAnsi" w:cstheme="minorHAnsi"/>
                <w:color w:val="000000"/>
                <w:lang w:eastAsia="en-GB"/>
              </w:rPr>
              <w:t>0.</w:t>
            </w:r>
            <w:r w:rsidR="00785DA6">
              <w:rPr>
                <w:rFonts w:asciiTheme="minorHAnsi" w:eastAsia="Times New Roman" w:hAnsiTheme="minorHAnsi" w:cstheme="minorHAnsi"/>
                <w:color w:val="000000"/>
                <w:lang w:eastAsia="en-GB"/>
              </w:rPr>
              <w:t>23</w:t>
            </w:r>
            <w:r w:rsidRPr="00D412C1">
              <w:rPr>
                <w:rFonts w:asciiTheme="minorHAnsi" w:eastAsia="Times New Roman" w:hAnsiTheme="minorHAnsi" w:cstheme="minorHAnsi"/>
                <w:color w:val="000000"/>
                <w:lang w:eastAsia="en-GB"/>
              </w:rPr>
              <w:t>)</w:t>
            </w:r>
          </w:p>
        </w:tc>
        <w:tc>
          <w:tcPr>
            <w:tcW w:w="1736" w:type="dxa"/>
            <w:tcBorders>
              <w:top w:val="single" w:sz="8" w:space="0" w:color="auto"/>
              <w:left w:val="nil"/>
              <w:bottom w:val="single" w:sz="8" w:space="0" w:color="auto"/>
              <w:right w:val="nil"/>
            </w:tcBorders>
            <w:vAlign w:val="bottom"/>
          </w:tcPr>
          <w:p w14:paraId="76B8494F" w14:textId="5275B58B" w:rsidR="00463B2D" w:rsidRPr="00D412C1" w:rsidRDefault="00CF6F3C" w:rsidP="00463B2D">
            <w:pPr>
              <w:jc w:val="right"/>
              <w:rPr>
                <w:rFonts w:asciiTheme="minorHAnsi" w:eastAsia="Times New Roman" w:hAnsiTheme="minorHAnsi" w:cstheme="minorHAnsi"/>
                <w:color w:val="000000"/>
                <w:lang w:eastAsia="en-GB"/>
              </w:rPr>
            </w:pPr>
            <w:r w:rsidRPr="00D412C1">
              <w:rPr>
                <w:rFonts w:asciiTheme="minorHAnsi" w:eastAsia="Times New Roman" w:hAnsiTheme="minorHAnsi" w:cstheme="minorHAnsi"/>
                <w:color w:val="000000"/>
                <w:lang w:eastAsia="en-GB"/>
              </w:rPr>
              <w:t>(0.</w:t>
            </w:r>
            <w:r w:rsidR="00785DA6">
              <w:rPr>
                <w:rFonts w:asciiTheme="minorHAnsi" w:eastAsia="Times New Roman" w:hAnsiTheme="minorHAnsi" w:cstheme="minorHAnsi"/>
                <w:color w:val="000000"/>
                <w:lang w:eastAsia="en-GB"/>
              </w:rPr>
              <w:t>15</w:t>
            </w:r>
            <w:r w:rsidRPr="00D412C1">
              <w:rPr>
                <w:rFonts w:asciiTheme="minorHAnsi" w:eastAsia="Times New Roman" w:hAnsiTheme="minorHAnsi" w:cstheme="minorHAnsi"/>
                <w:color w:val="000000"/>
                <w:lang w:eastAsia="en-GB"/>
              </w:rPr>
              <w:t>)</w:t>
            </w:r>
          </w:p>
        </w:tc>
        <w:tc>
          <w:tcPr>
            <w:tcW w:w="1736" w:type="dxa"/>
            <w:tcBorders>
              <w:top w:val="single" w:sz="8" w:space="0" w:color="auto"/>
              <w:left w:val="nil"/>
              <w:bottom w:val="single" w:sz="8" w:space="0" w:color="auto"/>
              <w:right w:val="nil"/>
            </w:tcBorders>
            <w:shd w:val="clear" w:color="auto" w:fill="auto"/>
            <w:noWrap/>
            <w:vAlign w:val="bottom"/>
          </w:tcPr>
          <w:p w14:paraId="200CD71C" w14:textId="5612CB86" w:rsidR="00463B2D" w:rsidRPr="00D412C1" w:rsidRDefault="007408CC" w:rsidP="007408CC">
            <w:pPr>
              <w:jc w:val="right"/>
              <w:rPr>
                <w:rFonts w:asciiTheme="minorHAnsi" w:eastAsia="Times New Roman" w:hAnsiTheme="minorHAnsi" w:cstheme="minorHAnsi"/>
                <w:color w:val="000000"/>
                <w:lang w:eastAsia="en-GB"/>
              </w:rPr>
            </w:pPr>
            <w:r w:rsidRPr="00D412C1">
              <w:rPr>
                <w:rFonts w:asciiTheme="minorHAnsi" w:eastAsia="Times New Roman" w:hAnsiTheme="minorHAnsi" w:cstheme="minorHAnsi"/>
                <w:color w:val="000000"/>
                <w:lang w:eastAsia="en-GB"/>
              </w:rPr>
              <w:t>(0.37)</w:t>
            </w:r>
          </w:p>
        </w:tc>
      </w:tr>
    </w:tbl>
    <w:p w14:paraId="034029F5" w14:textId="38093790" w:rsidR="00DF6B2E" w:rsidRPr="00D412C1" w:rsidRDefault="00F6532D" w:rsidP="00AE0CD8">
      <w:pPr>
        <w:widowControl w:val="0"/>
        <w:autoSpaceDE w:val="0"/>
        <w:autoSpaceDN w:val="0"/>
        <w:adjustRightInd w:val="0"/>
        <w:spacing w:before="120" w:after="120"/>
        <w:ind w:right="39"/>
        <w:rPr>
          <w:rFonts w:asciiTheme="minorHAnsi" w:hAnsiTheme="minorHAnsi" w:cstheme="minorHAnsi"/>
        </w:rPr>
      </w:pPr>
      <w:r w:rsidRPr="00D412C1">
        <w:rPr>
          <w:rFonts w:asciiTheme="minorHAnsi" w:hAnsiTheme="minorHAnsi" w:cstheme="minorHAnsi"/>
        </w:rPr>
        <w:t>Any s</w:t>
      </w:r>
      <w:r w:rsidR="00C27AE2" w:rsidRPr="00D412C1">
        <w:rPr>
          <w:rFonts w:asciiTheme="minorHAnsi" w:hAnsiTheme="minorHAnsi" w:cstheme="minorHAnsi"/>
        </w:rPr>
        <w:t>hare options</w:t>
      </w:r>
      <w:r w:rsidR="00DF6B2E" w:rsidRPr="00D412C1">
        <w:rPr>
          <w:rFonts w:asciiTheme="minorHAnsi" w:hAnsiTheme="minorHAnsi" w:cstheme="minorHAnsi"/>
        </w:rPr>
        <w:t xml:space="preserve"> would result in a decrease in the </w:t>
      </w:r>
      <w:r w:rsidR="00B168D4" w:rsidRPr="00D412C1">
        <w:rPr>
          <w:rFonts w:asciiTheme="minorHAnsi" w:hAnsiTheme="minorHAnsi" w:cstheme="minorHAnsi"/>
        </w:rPr>
        <w:t xml:space="preserve">earnings </w:t>
      </w:r>
      <w:r w:rsidR="00DF6B2E" w:rsidRPr="00D412C1">
        <w:rPr>
          <w:rFonts w:asciiTheme="minorHAnsi" w:hAnsiTheme="minorHAnsi" w:cstheme="minorHAnsi"/>
        </w:rPr>
        <w:t>per share</w:t>
      </w:r>
      <w:r w:rsidRPr="00D412C1">
        <w:rPr>
          <w:rFonts w:asciiTheme="minorHAnsi" w:hAnsiTheme="minorHAnsi" w:cstheme="minorHAnsi"/>
        </w:rPr>
        <w:t>;</w:t>
      </w:r>
      <w:r w:rsidR="00DF6B2E" w:rsidRPr="00D412C1">
        <w:rPr>
          <w:rFonts w:asciiTheme="minorHAnsi" w:hAnsiTheme="minorHAnsi" w:cstheme="minorHAnsi"/>
        </w:rPr>
        <w:t xml:space="preserve"> they </w:t>
      </w:r>
      <w:proofErr w:type="gramStart"/>
      <w:r w:rsidR="00DF6B2E" w:rsidRPr="00D412C1">
        <w:rPr>
          <w:rFonts w:asciiTheme="minorHAnsi" w:hAnsiTheme="minorHAnsi" w:cstheme="minorHAnsi"/>
        </w:rPr>
        <w:t>are considered to be</w:t>
      </w:r>
      <w:proofErr w:type="gramEnd"/>
      <w:r w:rsidR="00DF6B2E" w:rsidRPr="00D412C1">
        <w:rPr>
          <w:rFonts w:asciiTheme="minorHAnsi" w:hAnsiTheme="minorHAnsi" w:cstheme="minorHAnsi"/>
        </w:rPr>
        <w:t xml:space="preserve"> anti-dilutive, and as such, a diluted loss per share is not included.</w:t>
      </w:r>
    </w:p>
    <w:p w14:paraId="4F964DAF" w14:textId="214C52CC" w:rsidR="00D14672" w:rsidRPr="00D412C1" w:rsidRDefault="007C315E" w:rsidP="00113CDA">
      <w:pPr>
        <w:pStyle w:val="Heading2"/>
        <w:spacing w:after="120"/>
        <w:ind w:right="-735"/>
        <w:rPr>
          <w:rFonts w:asciiTheme="minorHAnsi" w:hAnsiTheme="minorHAnsi" w:cstheme="minorHAnsi"/>
          <w:i w:val="0"/>
          <w:iCs w:val="0"/>
          <w:sz w:val="24"/>
          <w:szCs w:val="24"/>
        </w:rPr>
      </w:pPr>
      <w:r w:rsidRPr="00D412C1">
        <w:rPr>
          <w:rFonts w:asciiTheme="minorHAnsi" w:hAnsiTheme="minorHAnsi" w:cstheme="minorHAnsi"/>
          <w:i w:val="0"/>
          <w:iCs w:val="0"/>
          <w:sz w:val="24"/>
          <w:szCs w:val="24"/>
        </w:rPr>
        <w:t>4</w:t>
      </w:r>
      <w:r w:rsidR="00D23E3D" w:rsidRPr="00D412C1">
        <w:rPr>
          <w:rFonts w:asciiTheme="minorHAnsi" w:hAnsiTheme="minorHAnsi" w:cstheme="minorHAnsi"/>
          <w:i w:val="0"/>
          <w:iCs w:val="0"/>
          <w:sz w:val="24"/>
          <w:szCs w:val="24"/>
        </w:rPr>
        <w:t>.    I</w:t>
      </w:r>
      <w:r w:rsidR="00375853" w:rsidRPr="00D412C1">
        <w:rPr>
          <w:rFonts w:asciiTheme="minorHAnsi" w:hAnsiTheme="minorHAnsi" w:cstheme="minorHAnsi"/>
          <w:i w:val="0"/>
          <w:iCs w:val="0"/>
          <w:sz w:val="24"/>
          <w:szCs w:val="24"/>
        </w:rPr>
        <w:t>ntangible assets</w:t>
      </w:r>
    </w:p>
    <w:p w14:paraId="542F0D75" w14:textId="77777777" w:rsidR="00D14672" w:rsidRPr="00D412C1" w:rsidRDefault="00D14672" w:rsidP="00D14672">
      <w:pPr>
        <w:tabs>
          <w:tab w:val="left" w:pos="459"/>
          <w:tab w:val="decimal" w:pos="8504"/>
          <w:tab w:val="decimal" w:pos="9921"/>
        </w:tabs>
        <w:rPr>
          <w:rFonts w:asciiTheme="minorHAnsi" w:hAnsiTheme="minorHAnsi" w:cstheme="minorHAnsi"/>
          <w:b/>
        </w:rPr>
      </w:pPr>
    </w:p>
    <w:tbl>
      <w:tblPr>
        <w:tblW w:w="5000" w:type="pct"/>
        <w:tblLook w:val="04A0" w:firstRow="1" w:lastRow="0" w:firstColumn="1" w:lastColumn="0" w:noHBand="0" w:noVBand="1"/>
      </w:tblPr>
      <w:tblGrid>
        <w:gridCol w:w="5609"/>
        <w:gridCol w:w="1402"/>
        <w:gridCol w:w="1315"/>
        <w:gridCol w:w="1313"/>
      </w:tblGrid>
      <w:tr w:rsidR="00463B2D" w:rsidRPr="00D412C1" w14:paraId="6EBF81E7" w14:textId="77777777" w:rsidTr="00D412C1">
        <w:trPr>
          <w:trHeight w:val="261"/>
        </w:trPr>
        <w:tc>
          <w:tcPr>
            <w:tcW w:w="2910" w:type="pct"/>
            <w:tcBorders>
              <w:top w:val="nil"/>
              <w:left w:val="nil"/>
              <w:right w:val="nil"/>
            </w:tcBorders>
            <w:shd w:val="clear" w:color="auto" w:fill="auto"/>
            <w:vAlign w:val="center"/>
            <w:hideMark/>
          </w:tcPr>
          <w:p w14:paraId="2C24205D" w14:textId="77777777" w:rsidR="00463B2D" w:rsidRPr="00D412C1" w:rsidRDefault="00463B2D" w:rsidP="00463B2D">
            <w:pPr>
              <w:rPr>
                <w:rFonts w:asciiTheme="minorHAnsi" w:hAnsiTheme="minorHAnsi" w:cstheme="minorHAnsi"/>
                <w:bCs/>
              </w:rPr>
            </w:pPr>
            <w:r w:rsidRPr="00D412C1">
              <w:rPr>
                <w:rFonts w:asciiTheme="minorHAnsi" w:hAnsiTheme="minorHAnsi" w:cstheme="minorHAnsi"/>
                <w:bCs/>
              </w:rPr>
              <w:t>Group</w:t>
            </w:r>
          </w:p>
        </w:tc>
        <w:tc>
          <w:tcPr>
            <w:tcW w:w="727" w:type="pct"/>
            <w:tcBorders>
              <w:top w:val="nil"/>
              <w:left w:val="nil"/>
              <w:bottom w:val="nil"/>
              <w:right w:val="nil"/>
            </w:tcBorders>
            <w:vAlign w:val="center"/>
          </w:tcPr>
          <w:p w14:paraId="00FA67FB" w14:textId="77777777" w:rsidR="00463B2D" w:rsidRPr="00D412C1" w:rsidRDefault="00463B2D" w:rsidP="00D412C1">
            <w:pPr>
              <w:jc w:val="right"/>
              <w:rPr>
                <w:rFonts w:asciiTheme="minorHAnsi" w:hAnsiTheme="minorHAnsi" w:cstheme="minorHAnsi"/>
                <w:b/>
                <w:color w:val="000000"/>
              </w:rPr>
            </w:pPr>
            <w:r w:rsidRPr="00D412C1">
              <w:rPr>
                <w:rFonts w:asciiTheme="minorHAnsi" w:hAnsiTheme="minorHAnsi" w:cstheme="minorHAnsi"/>
                <w:b/>
                <w:color w:val="000000"/>
              </w:rPr>
              <w:t>30-June</w:t>
            </w:r>
          </w:p>
        </w:tc>
        <w:tc>
          <w:tcPr>
            <w:tcW w:w="682" w:type="pct"/>
            <w:tcBorders>
              <w:top w:val="nil"/>
              <w:left w:val="nil"/>
              <w:bottom w:val="nil"/>
              <w:right w:val="nil"/>
            </w:tcBorders>
            <w:vAlign w:val="center"/>
          </w:tcPr>
          <w:p w14:paraId="05144459" w14:textId="3A7D55CF" w:rsidR="00463B2D" w:rsidRPr="00D412C1" w:rsidRDefault="00463B2D" w:rsidP="00D412C1">
            <w:pPr>
              <w:jc w:val="right"/>
              <w:rPr>
                <w:rFonts w:asciiTheme="minorHAnsi" w:hAnsiTheme="minorHAnsi" w:cstheme="minorHAnsi"/>
                <w:b/>
                <w:color w:val="000000"/>
              </w:rPr>
            </w:pPr>
            <w:r w:rsidRPr="00D412C1">
              <w:rPr>
                <w:rFonts w:asciiTheme="minorHAnsi" w:hAnsiTheme="minorHAnsi" w:cstheme="minorHAnsi"/>
                <w:b/>
                <w:color w:val="000000"/>
              </w:rPr>
              <w:t>30-June</w:t>
            </w:r>
          </w:p>
        </w:tc>
        <w:tc>
          <w:tcPr>
            <w:tcW w:w="682" w:type="pct"/>
            <w:tcBorders>
              <w:top w:val="nil"/>
              <w:left w:val="nil"/>
              <w:bottom w:val="nil"/>
              <w:right w:val="nil"/>
            </w:tcBorders>
            <w:shd w:val="clear" w:color="auto" w:fill="auto"/>
            <w:vAlign w:val="center"/>
            <w:hideMark/>
          </w:tcPr>
          <w:p w14:paraId="2173B3A5" w14:textId="642F407D" w:rsidR="00463B2D" w:rsidRPr="00D412C1" w:rsidRDefault="00463B2D" w:rsidP="00D412C1">
            <w:pPr>
              <w:jc w:val="right"/>
              <w:rPr>
                <w:rFonts w:asciiTheme="minorHAnsi" w:hAnsiTheme="minorHAnsi" w:cstheme="minorHAnsi"/>
                <w:b/>
                <w:color w:val="000000"/>
              </w:rPr>
            </w:pPr>
            <w:r w:rsidRPr="00D412C1">
              <w:rPr>
                <w:rFonts w:asciiTheme="minorHAnsi" w:hAnsiTheme="minorHAnsi" w:cstheme="minorHAnsi"/>
                <w:b/>
                <w:color w:val="000000"/>
              </w:rPr>
              <w:t>3</w:t>
            </w:r>
            <w:r w:rsidR="001D3AE4" w:rsidRPr="00D412C1">
              <w:rPr>
                <w:rFonts w:asciiTheme="minorHAnsi" w:hAnsiTheme="minorHAnsi" w:cstheme="minorHAnsi"/>
                <w:b/>
                <w:color w:val="000000"/>
              </w:rPr>
              <w:t>1</w:t>
            </w:r>
            <w:r w:rsidRPr="00D412C1">
              <w:rPr>
                <w:rFonts w:asciiTheme="minorHAnsi" w:hAnsiTheme="minorHAnsi" w:cstheme="minorHAnsi"/>
                <w:b/>
                <w:color w:val="000000"/>
              </w:rPr>
              <w:t>-</w:t>
            </w:r>
            <w:r w:rsidR="001D3AE4" w:rsidRPr="00D412C1">
              <w:rPr>
                <w:rFonts w:asciiTheme="minorHAnsi" w:hAnsiTheme="minorHAnsi" w:cstheme="minorHAnsi"/>
                <w:b/>
                <w:color w:val="000000"/>
              </w:rPr>
              <w:t>Dec</w:t>
            </w:r>
          </w:p>
        </w:tc>
      </w:tr>
      <w:tr w:rsidR="00463B2D" w:rsidRPr="00D412C1" w14:paraId="77D6218A" w14:textId="77777777" w:rsidTr="00D412C1">
        <w:trPr>
          <w:trHeight w:val="261"/>
        </w:trPr>
        <w:tc>
          <w:tcPr>
            <w:tcW w:w="2910" w:type="pct"/>
            <w:vMerge w:val="restart"/>
            <w:tcBorders>
              <w:top w:val="nil"/>
              <w:left w:val="nil"/>
              <w:right w:val="nil"/>
            </w:tcBorders>
            <w:shd w:val="clear" w:color="auto" w:fill="auto"/>
            <w:vAlign w:val="center"/>
            <w:hideMark/>
          </w:tcPr>
          <w:p w14:paraId="43E772C4" w14:textId="77777777" w:rsidR="00463B2D" w:rsidRPr="00D412C1" w:rsidRDefault="00463B2D" w:rsidP="00463B2D">
            <w:pPr>
              <w:rPr>
                <w:rFonts w:asciiTheme="minorHAnsi" w:hAnsiTheme="minorHAnsi" w:cstheme="minorHAnsi"/>
                <w:bCs/>
                <w:color w:val="000000"/>
              </w:rPr>
            </w:pPr>
            <w:r w:rsidRPr="00D412C1">
              <w:rPr>
                <w:rFonts w:asciiTheme="minorHAnsi" w:hAnsiTheme="minorHAnsi" w:cstheme="minorHAnsi"/>
                <w:bCs/>
                <w:color w:val="000000"/>
              </w:rPr>
              <w:t>Evaluation and Exploration Assets – Cost and net book value</w:t>
            </w:r>
          </w:p>
        </w:tc>
        <w:tc>
          <w:tcPr>
            <w:tcW w:w="727" w:type="pct"/>
            <w:tcBorders>
              <w:top w:val="nil"/>
              <w:left w:val="nil"/>
              <w:bottom w:val="nil"/>
              <w:right w:val="nil"/>
            </w:tcBorders>
            <w:vAlign w:val="center"/>
          </w:tcPr>
          <w:p w14:paraId="212AA465" w14:textId="58598EA3" w:rsidR="00463B2D" w:rsidRPr="00D412C1" w:rsidRDefault="00C3418E" w:rsidP="00D412C1">
            <w:pPr>
              <w:jc w:val="right"/>
              <w:rPr>
                <w:rFonts w:asciiTheme="minorHAnsi" w:hAnsiTheme="minorHAnsi" w:cstheme="minorHAnsi"/>
                <w:b/>
                <w:color w:val="000000"/>
              </w:rPr>
            </w:pPr>
            <w:r w:rsidRPr="00D412C1">
              <w:rPr>
                <w:rFonts w:asciiTheme="minorHAnsi" w:hAnsiTheme="minorHAnsi" w:cstheme="minorHAnsi"/>
                <w:b/>
                <w:color w:val="000000"/>
              </w:rPr>
              <w:t>2021</w:t>
            </w:r>
          </w:p>
        </w:tc>
        <w:tc>
          <w:tcPr>
            <w:tcW w:w="682" w:type="pct"/>
            <w:tcBorders>
              <w:top w:val="nil"/>
              <w:left w:val="nil"/>
              <w:bottom w:val="nil"/>
              <w:right w:val="nil"/>
            </w:tcBorders>
            <w:vAlign w:val="center"/>
          </w:tcPr>
          <w:p w14:paraId="027E8412" w14:textId="5BE792AF" w:rsidR="00463B2D" w:rsidRPr="00D412C1" w:rsidRDefault="00C3418E" w:rsidP="00D412C1">
            <w:pPr>
              <w:jc w:val="right"/>
              <w:rPr>
                <w:rFonts w:asciiTheme="minorHAnsi" w:hAnsiTheme="minorHAnsi" w:cstheme="minorHAnsi"/>
                <w:b/>
                <w:color w:val="000000"/>
              </w:rPr>
            </w:pPr>
            <w:r w:rsidRPr="00D412C1">
              <w:rPr>
                <w:rFonts w:asciiTheme="minorHAnsi" w:hAnsiTheme="minorHAnsi" w:cstheme="minorHAnsi"/>
                <w:b/>
                <w:color w:val="000000"/>
              </w:rPr>
              <w:t>2020</w:t>
            </w:r>
          </w:p>
        </w:tc>
        <w:tc>
          <w:tcPr>
            <w:tcW w:w="682" w:type="pct"/>
            <w:tcBorders>
              <w:top w:val="nil"/>
              <w:left w:val="nil"/>
              <w:bottom w:val="nil"/>
              <w:right w:val="nil"/>
            </w:tcBorders>
            <w:shd w:val="clear" w:color="auto" w:fill="auto"/>
            <w:noWrap/>
            <w:vAlign w:val="center"/>
            <w:hideMark/>
          </w:tcPr>
          <w:p w14:paraId="7BF16C56" w14:textId="6512761E" w:rsidR="00463B2D" w:rsidRPr="00D412C1" w:rsidRDefault="00C3418E" w:rsidP="00D412C1">
            <w:pPr>
              <w:jc w:val="right"/>
              <w:rPr>
                <w:rFonts w:asciiTheme="minorHAnsi" w:hAnsiTheme="minorHAnsi" w:cstheme="minorHAnsi"/>
                <w:b/>
              </w:rPr>
            </w:pPr>
            <w:r w:rsidRPr="00D412C1">
              <w:rPr>
                <w:rFonts w:asciiTheme="minorHAnsi" w:hAnsiTheme="minorHAnsi" w:cstheme="minorHAnsi"/>
                <w:b/>
                <w:color w:val="000000"/>
              </w:rPr>
              <w:t>2020</w:t>
            </w:r>
          </w:p>
        </w:tc>
      </w:tr>
      <w:tr w:rsidR="00463B2D" w:rsidRPr="00D412C1" w14:paraId="1F380111" w14:textId="77777777" w:rsidTr="00D412C1">
        <w:trPr>
          <w:trHeight w:val="261"/>
        </w:trPr>
        <w:tc>
          <w:tcPr>
            <w:tcW w:w="2910" w:type="pct"/>
            <w:vMerge/>
            <w:tcBorders>
              <w:top w:val="nil"/>
              <w:left w:val="nil"/>
              <w:right w:val="nil"/>
            </w:tcBorders>
            <w:vAlign w:val="center"/>
            <w:hideMark/>
          </w:tcPr>
          <w:p w14:paraId="6CD1A68A" w14:textId="77777777" w:rsidR="00463B2D" w:rsidRPr="00D412C1" w:rsidRDefault="00463B2D" w:rsidP="00463B2D">
            <w:pPr>
              <w:rPr>
                <w:rFonts w:asciiTheme="minorHAnsi" w:hAnsiTheme="minorHAnsi" w:cstheme="minorHAnsi"/>
                <w:bCs/>
                <w:color w:val="000000"/>
              </w:rPr>
            </w:pPr>
          </w:p>
        </w:tc>
        <w:tc>
          <w:tcPr>
            <w:tcW w:w="727" w:type="pct"/>
            <w:tcBorders>
              <w:top w:val="nil"/>
              <w:left w:val="nil"/>
              <w:bottom w:val="single" w:sz="8" w:space="0" w:color="auto"/>
              <w:right w:val="nil"/>
            </w:tcBorders>
            <w:vAlign w:val="center"/>
          </w:tcPr>
          <w:p w14:paraId="41EEDC44" w14:textId="77777777" w:rsidR="00463B2D" w:rsidRPr="00D412C1" w:rsidRDefault="00463B2D" w:rsidP="00D412C1">
            <w:pPr>
              <w:jc w:val="right"/>
              <w:rPr>
                <w:rFonts w:asciiTheme="minorHAnsi" w:hAnsiTheme="minorHAnsi" w:cstheme="minorHAnsi"/>
                <w:b/>
                <w:color w:val="000000"/>
              </w:rPr>
            </w:pPr>
            <w:r w:rsidRPr="00D412C1">
              <w:rPr>
                <w:rFonts w:asciiTheme="minorHAnsi" w:hAnsiTheme="minorHAnsi" w:cstheme="minorHAnsi"/>
                <w:b/>
                <w:color w:val="000000"/>
              </w:rPr>
              <w:t>US$000s</w:t>
            </w:r>
          </w:p>
        </w:tc>
        <w:tc>
          <w:tcPr>
            <w:tcW w:w="682" w:type="pct"/>
            <w:tcBorders>
              <w:top w:val="nil"/>
              <w:left w:val="nil"/>
              <w:bottom w:val="single" w:sz="8" w:space="0" w:color="auto"/>
              <w:right w:val="nil"/>
            </w:tcBorders>
            <w:vAlign w:val="center"/>
          </w:tcPr>
          <w:p w14:paraId="10F7E41D" w14:textId="5DD37F33" w:rsidR="00463B2D" w:rsidRPr="00D412C1" w:rsidRDefault="00463B2D" w:rsidP="00D412C1">
            <w:pPr>
              <w:jc w:val="right"/>
              <w:rPr>
                <w:rFonts w:asciiTheme="minorHAnsi" w:hAnsiTheme="minorHAnsi" w:cstheme="minorHAnsi"/>
                <w:b/>
                <w:color w:val="000000"/>
              </w:rPr>
            </w:pPr>
            <w:r w:rsidRPr="00D412C1">
              <w:rPr>
                <w:rFonts w:asciiTheme="minorHAnsi" w:hAnsiTheme="minorHAnsi" w:cstheme="minorHAnsi"/>
                <w:b/>
                <w:color w:val="000000"/>
              </w:rPr>
              <w:t>US$000s</w:t>
            </w:r>
          </w:p>
        </w:tc>
        <w:tc>
          <w:tcPr>
            <w:tcW w:w="682" w:type="pct"/>
            <w:tcBorders>
              <w:top w:val="nil"/>
              <w:left w:val="nil"/>
              <w:bottom w:val="single" w:sz="8" w:space="0" w:color="auto"/>
              <w:right w:val="nil"/>
            </w:tcBorders>
            <w:shd w:val="clear" w:color="auto" w:fill="auto"/>
            <w:vAlign w:val="center"/>
            <w:hideMark/>
          </w:tcPr>
          <w:p w14:paraId="0384F858" w14:textId="4A9D55F8" w:rsidR="00463B2D" w:rsidRPr="00D412C1" w:rsidRDefault="00463B2D" w:rsidP="00D412C1">
            <w:pPr>
              <w:jc w:val="right"/>
              <w:rPr>
                <w:rFonts w:asciiTheme="minorHAnsi" w:hAnsiTheme="minorHAnsi" w:cstheme="minorHAnsi"/>
                <w:b/>
                <w:color w:val="000000"/>
              </w:rPr>
            </w:pPr>
            <w:r w:rsidRPr="00D412C1">
              <w:rPr>
                <w:rFonts w:asciiTheme="minorHAnsi" w:hAnsiTheme="minorHAnsi" w:cstheme="minorHAnsi"/>
                <w:b/>
                <w:color w:val="000000"/>
              </w:rPr>
              <w:t>US$000s</w:t>
            </w:r>
          </w:p>
        </w:tc>
      </w:tr>
      <w:tr w:rsidR="00463B2D" w:rsidRPr="00D412C1" w14:paraId="6B928D71" w14:textId="77777777" w:rsidTr="00D412C1">
        <w:trPr>
          <w:trHeight w:val="261"/>
        </w:trPr>
        <w:tc>
          <w:tcPr>
            <w:tcW w:w="2910" w:type="pct"/>
            <w:tcBorders>
              <w:top w:val="nil"/>
              <w:left w:val="nil"/>
              <w:bottom w:val="nil"/>
              <w:right w:val="nil"/>
            </w:tcBorders>
            <w:shd w:val="clear" w:color="auto" w:fill="auto"/>
            <w:vAlign w:val="center"/>
            <w:hideMark/>
          </w:tcPr>
          <w:p w14:paraId="428DAC63" w14:textId="77777777" w:rsidR="00463B2D" w:rsidRPr="00D412C1" w:rsidRDefault="00463B2D" w:rsidP="00463B2D">
            <w:pPr>
              <w:rPr>
                <w:rFonts w:asciiTheme="minorHAnsi" w:hAnsiTheme="minorHAnsi" w:cstheme="minorHAnsi"/>
                <w:bCs/>
                <w:color w:val="000000"/>
              </w:rPr>
            </w:pPr>
            <w:r w:rsidRPr="00D412C1">
              <w:rPr>
                <w:rFonts w:asciiTheme="minorHAnsi" w:hAnsiTheme="minorHAnsi" w:cstheme="minorHAnsi"/>
                <w:bCs/>
                <w:color w:val="000000"/>
              </w:rPr>
              <w:t xml:space="preserve">At period start </w:t>
            </w:r>
          </w:p>
        </w:tc>
        <w:tc>
          <w:tcPr>
            <w:tcW w:w="727" w:type="pct"/>
            <w:tcBorders>
              <w:top w:val="nil"/>
              <w:left w:val="nil"/>
              <w:bottom w:val="single" w:sz="8" w:space="0" w:color="auto"/>
              <w:right w:val="nil"/>
            </w:tcBorders>
            <w:vAlign w:val="center"/>
          </w:tcPr>
          <w:p w14:paraId="501B292E" w14:textId="03FFF9ED" w:rsidR="00463B2D" w:rsidRPr="00D412C1" w:rsidRDefault="00851B3A" w:rsidP="00D412C1">
            <w:pPr>
              <w:jc w:val="right"/>
              <w:rPr>
                <w:rFonts w:asciiTheme="minorHAnsi" w:hAnsiTheme="minorHAnsi" w:cstheme="minorHAnsi"/>
                <w:bCs/>
                <w:color w:val="000000"/>
              </w:rPr>
            </w:pPr>
            <w:r>
              <w:rPr>
                <w:rFonts w:asciiTheme="minorHAnsi" w:hAnsiTheme="minorHAnsi" w:cstheme="minorHAnsi"/>
                <w:bCs/>
                <w:color w:val="000000"/>
              </w:rPr>
              <w:t>2,082</w:t>
            </w:r>
          </w:p>
        </w:tc>
        <w:tc>
          <w:tcPr>
            <w:tcW w:w="682" w:type="pct"/>
            <w:tcBorders>
              <w:top w:val="nil"/>
              <w:left w:val="nil"/>
              <w:bottom w:val="single" w:sz="8" w:space="0" w:color="auto"/>
              <w:right w:val="nil"/>
            </w:tcBorders>
            <w:vAlign w:val="center"/>
          </w:tcPr>
          <w:p w14:paraId="6C38AB06" w14:textId="55C81A00" w:rsidR="00463B2D" w:rsidRPr="00D412C1" w:rsidRDefault="00CF6F3C" w:rsidP="00D412C1">
            <w:pPr>
              <w:jc w:val="right"/>
              <w:rPr>
                <w:rFonts w:asciiTheme="minorHAnsi" w:hAnsiTheme="minorHAnsi" w:cstheme="minorHAnsi"/>
                <w:bCs/>
                <w:color w:val="000000"/>
              </w:rPr>
            </w:pPr>
            <w:r w:rsidRPr="00D412C1">
              <w:rPr>
                <w:rFonts w:asciiTheme="minorHAnsi" w:hAnsiTheme="minorHAnsi" w:cstheme="minorHAnsi"/>
                <w:bCs/>
                <w:color w:val="000000"/>
              </w:rPr>
              <w:t>2,445</w:t>
            </w:r>
          </w:p>
        </w:tc>
        <w:tc>
          <w:tcPr>
            <w:tcW w:w="682" w:type="pct"/>
            <w:tcBorders>
              <w:top w:val="nil"/>
              <w:left w:val="nil"/>
              <w:bottom w:val="single" w:sz="8" w:space="0" w:color="auto"/>
              <w:right w:val="nil"/>
            </w:tcBorders>
            <w:shd w:val="clear" w:color="auto" w:fill="auto"/>
            <w:vAlign w:val="center"/>
          </w:tcPr>
          <w:p w14:paraId="3D07B409" w14:textId="753076DD" w:rsidR="00463B2D" w:rsidRPr="00D412C1" w:rsidRDefault="007408CC" w:rsidP="00D412C1">
            <w:pPr>
              <w:jc w:val="right"/>
              <w:rPr>
                <w:rFonts w:asciiTheme="minorHAnsi" w:hAnsiTheme="minorHAnsi" w:cstheme="minorHAnsi"/>
                <w:bCs/>
                <w:color w:val="000000"/>
              </w:rPr>
            </w:pPr>
            <w:r w:rsidRPr="00D412C1">
              <w:rPr>
                <w:rFonts w:asciiTheme="minorHAnsi" w:hAnsiTheme="minorHAnsi" w:cstheme="minorHAnsi"/>
                <w:bCs/>
                <w:color w:val="000000"/>
              </w:rPr>
              <w:t>2,445</w:t>
            </w:r>
          </w:p>
        </w:tc>
      </w:tr>
      <w:tr w:rsidR="00463B2D" w:rsidRPr="00D412C1" w14:paraId="168AB3B9" w14:textId="77777777" w:rsidTr="00D412C1">
        <w:trPr>
          <w:trHeight w:val="261"/>
        </w:trPr>
        <w:tc>
          <w:tcPr>
            <w:tcW w:w="2910" w:type="pct"/>
            <w:tcBorders>
              <w:top w:val="nil"/>
              <w:left w:val="nil"/>
              <w:bottom w:val="nil"/>
              <w:right w:val="nil"/>
            </w:tcBorders>
            <w:shd w:val="clear" w:color="auto" w:fill="auto"/>
            <w:vAlign w:val="center"/>
            <w:hideMark/>
          </w:tcPr>
          <w:p w14:paraId="70490F86" w14:textId="77777777" w:rsidR="00463B2D" w:rsidRPr="00D412C1" w:rsidRDefault="00463B2D" w:rsidP="00463B2D">
            <w:pPr>
              <w:rPr>
                <w:rFonts w:asciiTheme="minorHAnsi" w:hAnsiTheme="minorHAnsi" w:cstheme="minorHAnsi"/>
                <w:bCs/>
                <w:color w:val="000000"/>
              </w:rPr>
            </w:pPr>
            <w:r w:rsidRPr="00D412C1">
              <w:rPr>
                <w:rFonts w:asciiTheme="minorHAnsi" w:hAnsiTheme="minorHAnsi" w:cstheme="minorHAnsi"/>
                <w:bCs/>
                <w:color w:val="000000"/>
              </w:rPr>
              <w:t>Additions</w:t>
            </w:r>
          </w:p>
        </w:tc>
        <w:tc>
          <w:tcPr>
            <w:tcW w:w="727" w:type="pct"/>
            <w:tcBorders>
              <w:top w:val="nil"/>
              <w:left w:val="nil"/>
              <w:bottom w:val="nil"/>
              <w:right w:val="nil"/>
            </w:tcBorders>
            <w:vAlign w:val="center"/>
          </w:tcPr>
          <w:p w14:paraId="3DE5820A" w14:textId="0299250C" w:rsidR="00463B2D" w:rsidRPr="00D412C1" w:rsidRDefault="00882A11" w:rsidP="00D412C1">
            <w:pPr>
              <w:jc w:val="right"/>
              <w:rPr>
                <w:rFonts w:asciiTheme="minorHAnsi" w:hAnsiTheme="minorHAnsi" w:cstheme="minorHAnsi"/>
                <w:bCs/>
                <w:color w:val="000000"/>
              </w:rPr>
            </w:pPr>
            <w:r>
              <w:rPr>
                <w:rFonts w:asciiTheme="minorHAnsi" w:hAnsiTheme="minorHAnsi" w:cstheme="minorHAnsi"/>
                <w:bCs/>
                <w:color w:val="000000"/>
              </w:rPr>
              <w:t>512</w:t>
            </w:r>
          </w:p>
        </w:tc>
        <w:tc>
          <w:tcPr>
            <w:tcW w:w="682" w:type="pct"/>
            <w:tcBorders>
              <w:top w:val="nil"/>
              <w:left w:val="nil"/>
              <w:bottom w:val="nil"/>
              <w:right w:val="nil"/>
            </w:tcBorders>
            <w:vAlign w:val="center"/>
          </w:tcPr>
          <w:p w14:paraId="60CD4C02" w14:textId="3573EE86" w:rsidR="00463B2D" w:rsidRPr="00D412C1" w:rsidRDefault="00CF6F3C" w:rsidP="00D412C1">
            <w:pPr>
              <w:jc w:val="right"/>
              <w:rPr>
                <w:rFonts w:asciiTheme="minorHAnsi" w:hAnsiTheme="minorHAnsi" w:cstheme="minorHAnsi"/>
                <w:bCs/>
                <w:color w:val="000000"/>
              </w:rPr>
            </w:pPr>
            <w:r w:rsidRPr="00D412C1">
              <w:rPr>
                <w:rFonts w:asciiTheme="minorHAnsi" w:hAnsiTheme="minorHAnsi" w:cstheme="minorHAnsi"/>
                <w:bCs/>
                <w:color w:val="000000"/>
              </w:rPr>
              <w:t>126</w:t>
            </w:r>
          </w:p>
        </w:tc>
        <w:tc>
          <w:tcPr>
            <w:tcW w:w="682" w:type="pct"/>
            <w:tcBorders>
              <w:top w:val="nil"/>
              <w:left w:val="nil"/>
              <w:bottom w:val="nil"/>
              <w:right w:val="nil"/>
            </w:tcBorders>
            <w:shd w:val="clear" w:color="auto" w:fill="auto"/>
            <w:vAlign w:val="center"/>
          </w:tcPr>
          <w:p w14:paraId="28BA84F0" w14:textId="0B0E9B75" w:rsidR="00463B2D" w:rsidRPr="00D412C1" w:rsidRDefault="007408CC" w:rsidP="00D412C1">
            <w:pPr>
              <w:jc w:val="right"/>
              <w:rPr>
                <w:rFonts w:asciiTheme="minorHAnsi" w:hAnsiTheme="minorHAnsi" w:cstheme="minorHAnsi"/>
                <w:bCs/>
                <w:color w:val="000000"/>
              </w:rPr>
            </w:pPr>
            <w:r w:rsidRPr="00D412C1">
              <w:rPr>
                <w:rFonts w:asciiTheme="minorHAnsi" w:hAnsiTheme="minorHAnsi" w:cstheme="minorHAnsi"/>
                <w:bCs/>
                <w:color w:val="000000"/>
              </w:rPr>
              <w:t>331</w:t>
            </w:r>
          </w:p>
        </w:tc>
      </w:tr>
      <w:tr w:rsidR="007408CC" w:rsidRPr="00D412C1" w14:paraId="4A3B6F69" w14:textId="77777777" w:rsidTr="00D412C1">
        <w:trPr>
          <w:trHeight w:val="261"/>
        </w:trPr>
        <w:tc>
          <w:tcPr>
            <w:tcW w:w="2910" w:type="pct"/>
            <w:tcBorders>
              <w:top w:val="nil"/>
              <w:left w:val="nil"/>
              <w:bottom w:val="nil"/>
              <w:right w:val="nil"/>
            </w:tcBorders>
            <w:shd w:val="clear" w:color="auto" w:fill="auto"/>
            <w:vAlign w:val="center"/>
          </w:tcPr>
          <w:p w14:paraId="25C52443" w14:textId="3668F274" w:rsidR="007408CC" w:rsidRPr="00D412C1" w:rsidRDefault="007408CC" w:rsidP="00463B2D">
            <w:pPr>
              <w:rPr>
                <w:rFonts w:asciiTheme="minorHAnsi" w:hAnsiTheme="minorHAnsi" w:cstheme="minorHAnsi"/>
                <w:bCs/>
                <w:color w:val="000000"/>
              </w:rPr>
            </w:pPr>
            <w:r w:rsidRPr="00D412C1">
              <w:rPr>
                <w:rFonts w:asciiTheme="minorHAnsi" w:hAnsiTheme="minorHAnsi" w:cstheme="minorHAnsi"/>
                <w:bCs/>
                <w:color w:val="000000"/>
              </w:rPr>
              <w:t>Transferred to Kanye Resources (Pty) Ltd</w:t>
            </w:r>
          </w:p>
        </w:tc>
        <w:tc>
          <w:tcPr>
            <w:tcW w:w="727" w:type="pct"/>
            <w:tcBorders>
              <w:top w:val="nil"/>
              <w:left w:val="nil"/>
              <w:bottom w:val="nil"/>
              <w:right w:val="nil"/>
            </w:tcBorders>
            <w:vAlign w:val="center"/>
          </w:tcPr>
          <w:p w14:paraId="170CF064" w14:textId="1D66EAB2" w:rsidR="007408CC" w:rsidRPr="00D412C1" w:rsidRDefault="00D412C1" w:rsidP="00D412C1">
            <w:pPr>
              <w:jc w:val="right"/>
              <w:rPr>
                <w:rFonts w:asciiTheme="minorHAnsi" w:hAnsiTheme="minorHAnsi" w:cstheme="minorHAnsi"/>
                <w:bCs/>
                <w:color w:val="000000"/>
              </w:rPr>
            </w:pPr>
            <w:r w:rsidRPr="00D412C1">
              <w:rPr>
                <w:rFonts w:asciiTheme="minorHAnsi" w:hAnsiTheme="minorHAnsi" w:cstheme="minorHAnsi"/>
                <w:bCs/>
                <w:color w:val="000000"/>
              </w:rPr>
              <w:t xml:space="preserve"> </w:t>
            </w:r>
            <w:r w:rsidR="00882A11">
              <w:rPr>
                <w:rFonts w:asciiTheme="minorHAnsi" w:hAnsiTheme="minorHAnsi" w:cstheme="minorHAnsi"/>
                <w:bCs/>
                <w:color w:val="000000"/>
              </w:rPr>
              <w:t>-</w:t>
            </w:r>
          </w:p>
        </w:tc>
        <w:tc>
          <w:tcPr>
            <w:tcW w:w="682" w:type="pct"/>
            <w:tcBorders>
              <w:top w:val="nil"/>
              <w:left w:val="nil"/>
              <w:bottom w:val="nil"/>
              <w:right w:val="nil"/>
            </w:tcBorders>
            <w:vAlign w:val="center"/>
          </w:tcPr>
          <w:p w14:paraId="666EDBD5" w14:textId="3B925D40" w:rsidR="007408CC" w:rsidRPr="00D412C1" w:rsidRDefault="00CF6F3C" w:rsidP="00D412C1">
            <w:pPr>
              <w:jc w:val="right"/>
              <w:rPr>
                <w:rFonts w:asciiTheme="minorHAnsi" w:hAnsiTheme="minorHAnsi" w:cstheme="minorHAnsi"/>
                <w:bCs/>
                <w:color w:val="000000"/>
              </w:rPr>
            </w:pPr>
            <w:r w:rsidRPr="00D412C1">
              <w:rPr>
                <w:rFonts w:asciiTheme="minorHAnsi" w:hAnsiTheme="minorHAnsi" w:cstheme="minorHAnsi"/>
                <w:bCs/>
                <w:color w:val="000000"/>
              </w:rPr>
              <w:t>-</w:t>
            </w:r>
          </w:p>
        </w:tc>
        <w:tc>
          <w:tcPr>
            <w:tcW w:w="682" w:type="pct"/>
            <w:tcBorders>
              <w:top w:val="nil"/>
              <w:left w:val="nil"/>
              <w:bottom w:val="nil"/>
              <w:right w:val="nil"/>
            </w:tcBorders>
            <w:shd w:val="clear" w:color="auto" w:fill="auto"/>
            <w:vAlign w:val="center"/>
          </w:tcPr>
          <w:p w14:paraId="45F45A5D" w14:textId="36FFB737" w:rsidR="007408CC" w:rsidRPr="00D412C1" w:rsidRDefault="007408CC" w:rsidP="00D412C1">
            <w:pPr>
              <w:jc w:val="right"/>
              <w:rPr>
                <w:rFonts w:asciiTheme="minorHAnsi" w:hAnsiTheme="minorHAnsi" w:cstheme="minorHAnsi"/>
                <w:bCs/>
                <w:color w:val="000000"/>
              </w:rPr>
            </w:pPr>
            <w:r w:rsidRPr="00D412C1">
              <w:rPr>
                <w:rFonts w:asciiTheme="minorHAnsi" w:hAnsiTheme="minorHAnsi" w:cstheme="minorHAnsi"/>
                <w:bCs/>
                <w:color w:val="000000"/>
              </w:rPr>
              <w:t>(691)</w:t>
            </w:r>
          </w:p>
        </w:tc>
      </w:tr>
      <w:tr w:rsidR="007408CC" w:rsidRPr="00D412C1" w14:paraId="242466B2" w14:textId="77777777" w:rsidTr="00D412C1">
        <w:trPr>
          <w:trHeight w:val="261"/>
        </w:trPr>
        <w:tc>
          <w:tcPr>
            <w:tcW w:w="2910" w:type="pct"/>
            <w:tcBorders>
              <w:top w:val="nil"/>
              <w:left w:val="nil"/>
              <w:bottom w:val="nil"/>
              <w:right w:val="nil"/>
            </w:tcBorders>
            <w:shd w:val="clear" w:color="auto" w:fill="auto"/>
            <w:vAlign w:val="center"/>
          </w:tcPr>
          <w:p w14:paraId="57FEEA81" w14:textId="51808EE6" w:rsidR="007408CC" w:rsidRPr="00D412C1" w:rsidRDefault="007408CC" w:rsidP="00463B2D">
            <w:pPr>
              <w:rPr>
                <w:rFonts w:asciiTheme="minorHAnsi" w:hAnsiTheme="minorHAnsi" w:cstheme="minorHAnsi"/>
                <w:bCs/>
                <w:color w:val="000000"/>
              </w:rPr>
            </w:pPr>
            <w:r w:rsidRPr="00D412C1">
              <w:rPr>
                <w:rFonts w:asciiTheme="minorHAnsi" w:hAnsiTheme="minorHAnsi" w:cstheme="minorHAnsi"/>
                <w:bCs/>
                <w:color w:val="000000"/>
              </w:rPr>
              <w:t>Reclassification</w:t>
            </w:r>
          </w:p>
        </w:tc>
        <w:tc>
          <w:tcPr>
            <w:tcW w:w="727" w:type="pct"/>
            <w:tcBorders>
              <w:top w:val="nil"/>
              <w:left w:val="nil"/>
              <w:bottom w:val="nil"/>
              <w:right w:val="nil"/>
            </w:tcBorders>
            <w:vAlign w:val="center"/>
          </w:tcPr>
          <w:p w14:paraId="69774B26" w14:textId="6BB3A076" w:rsidR="007408CC" w:rsidRPr="00D412C1" w:rsidRDefault="00D412C1" w:rsidP="00D412C1">
            <w:pPr>
              <w:jc w:val="right"/>
              <w:rPr>
                <w:rFonts w:asciiTheme="minorHAnsi" w:hAnsiTheme="minorHAnsi" w:cstheme="minorHAnsi"/>
                <w:bCs/>
                <w:color w:val="000000"/>
              </w:rPr>
            </w:pPr>
            <w:r w:rsidRPr="00D412C1">
              <w:rPr>
                <w:rFonts w:asciiTheme="minorHAnsi" w:hAnsiTheme="minorHAnsi" w:cstheme="minorHAnsi"/>
                <w:bCs/>
                <w:color w:val="000000"/>
              </w:rPr>
              <w:t xml:space="preserve"> </w:t>
            </w:r>
            <w:r w:rsidR="00882A11">
              <w:rPr>
                <w:rFonts w:asciiTheme="minorHAnsi" w:hAnsiTheme="minorHAnsi" w:cstheme="minorHAnsi"/>
                <w:bCs/>
                <w:color w:val="000000"/>
              </w:rPr>
              <w:t>-</w:t>
            </w:r>
          </w:p>
        </w:tc>
        <w:tc>
          <w:tcPr>
            <w:tcW w:w="682" w:type="pct"/>
            <w:tcBorders>
              <w:top w:val="nil"/>
              <w:left w:val="nil"/>
              <w:bottom w:val="nil"/>
              <w:right w:val="nil"/>
            </w:tcBorders>
            <w:vAlign w:val="center"/>
          </w:tcPr>
          <w:p w14:paraId="208AED6A" w14:textId="79104088" w:rsidR="007408CC" w:rsidRPr="00D412C1" w:rsidRDefault="00CF6F3C" w:rsidP="00D412C1">
            <w:pPr>
              <w:jc w:val="right"/>
              <w:rPr>
                <w:rFonts w:asciiTheme="minorHAnsi" w:hAnsiTheme="minorHAnsi" w:cstheme="minorHAnsi"/>
                <w:bCs/>
                <w:color w:val="000000"/>
              </w:rPr>
            </w:pPr>
            <w:r w:rsidRPr="00D412C1">
              <w:rPr>
                <w:rFonts w:asciiTheme="minorHAnsi" w:hAnsiTheme="minorHAnsi" w:cstheme="minorHAnsi"/>
                <w:bCs/>
                <w:color w:val="000000"/>
              </w:rPr>
              <w:t>-</w:t>
            </w:r>
          </w:p>
        </w:tc>
        <w:tc>
          <w:tcPr>
            <w:tcW w:w="682" w:type="pct"/>
            <w:tcBorders>
              <w:top w:val="nil"/>
              <w:left w:val="nil"/>
              <w:bottom w:val="nil"/>
              <w:right w:val="nil"/>
            </w:tcBorders>
            <w:shd w:val="clear" w:color="auto" w:fill="auto"/>
            <w:vAlign w:val="center"/>
          </w:tcPr>
          <w:p w14:paraId="0CC2B19C" w14:textId="05C78D1D" w:rsidR="007408CC" w:rsidRPr="00D412C1" w:rsidRDefault="007408CC" w:rsidP="00D412C1">
            <w:pPr>
              <w:jc w:val="right"/>
              <w:rPr>
                <w:rFonts w:asciiTheme="minorHAnsi" w:hAnsiTheme="minorHAnsi" w:cstheme="minorHAnsi"/>
                <w:bCs/>
                <w:color w:val="000000"/>
              </w:rPr>
            </w:pPr>
            <w:r w:rsidRPr="00D412C1">
              <w:rPr>
                <w:rFonts w:asciiTheme="minorHAnsi" w:hAnsiTheme="minorHAnsi" w:cstheme="minorHAnsi"/>
                <w:bCs/>
                <w:color w:val="000000"/>
              </w:rPr>
              <w:t>(55)</w:t>
            </w:r>
          </w:p>
        </w:tc>
      </w:tr>
      <w:tr w:rsidR="00463B2D" w:rsidRPr="00D412C1" w14:paraId="2E22A42D" w14:textId="77777777" w:rsidTr="00D412C1">
        <w:trPr>
          <w:trHeight w:val="261"/>
        </w:trPr>
        <w:tc>
          <w:tcPr>
            <w:tcW w:w="2910" w:type="pct"/>
            <w:tcBorders>
              <w:top w:val="nil"/>
              <w:left w:val="nil"/>
              <w:bottom w:val="nil"/>
              <w:right w:val="nil"/>
            </w:tcBorders>
            <w:shd w:val="clear" w:color="auto" w:fill="auto"/>
            <w:vAlign w:val="center"/>
          </w:tcPr>
          <w:p w14:paraId="621D6D16" w14:textId="77777777" w:rsidR="00463B2D" w:rsidRPr="00D412C1" w:rsidRDefault="00463B2D" w:rsidP="00463B2D">
            <w:pPr>
              <w:rPr>
                <w:rFonts w:asciiTheme="minorHAnsi" w:hAnsiTheme="minorHAnsi" w:cstheme="minorHAnsi"/>
                <w:bCs/>
                <w:color w:val="000000"/>
              </w:rPr>
            </w:pPr>
            <w:r w:rsidRPr="00D412C1">
              <w:rPr>
                <w:rFonts w:asciiTheme="minorHAnsi" w:hAnsiTheme="minorHAnsi" w:cstheme="minorHAnsi"/>
                <w:bCs/>
                <w:color w:val="000000"/>
              </w:rPr>
              <w:t>Translation difference</w:t>
            </w:r>
          </w:p>
        </w:tc>
        <w:tc>
          <w:tcPr>
            <w:tcW w:w="727" w:type="pct"/>
            <w:tcBorders>
              <w:top w:val="nil"/>
              <w:left w:val="nil"/>
              <w:bottom w:val="nil"/>
              <w:right w:val="nil"/>
            </w:tcBorders>
            <w:vAlign w:val="center"/>
          </w:tcPr>
          <w:p w14:paraId="1DEEDDA1" w14:textId="2D2765D0" w:rsidR="00463B2D" w:rsidRPr="00D412C1" w:rsidRDefault="00D412C1" w:rsidP="00D412C1">
            <w:pPr>
              <w:jc w:val="right"/>
              <w:rPr>
                <w:rFonts w:asciiTheme="minorHAnsi" w:hAnsiTheme="minorHAnsi" w:cstheme="minorHAnsi"/>
                <w:bCs/>
                <w:color w:val="000000"/>
              </w:rPr>
            </w:pPr>
            <w:r w:rsidRPr="00D412C1">
              <w:rPr>
                <w:rFonts w:asciiTheme="minorHAnsi" w:hAnsiTheme="minorHAnsi" w:cstheme="minorHAnsi"/>
                <w:bCs/>
                <w:color w:val="000000"/>
              </w:rPr>
              <w:t xml:space="preserve"> </w:t>
            </w:r>
            <w:r w:rsidR="00882A11">
              <w:rPr>
                <w:rFonts w:asciiTheme="minorHAnsi" w:hAnsiTheme="minorHAnsi" w:cstheme="minorHAnsi"/>
                <w:bCs/>
                <w:color w:val="000000"/>
              </w:rPr>
              <w:t>3</w:t>
            </w:r>
          </w:p>
        </w:tc>
        <w:tc>
          <w:tcPr>
            <w:tcW w:w="682" w:type="pct"/>
            <w:tcBorders>
              <w:top w:val="nil"/>
              <w:left w:val="nil"/>
              <w:bottom w:val="nil"/>
              <w:right w:val="nil"/>
            </w:tcBorders>
            <w:vAlign w:val="center"/>
          </w:tcPr>
          <w:p w14:paraId="2AF38E2A" w14:textId="08C27076" w:rsidR="00463B2D" w:rsidRPr="00D412C1" w:rsidRDefault="00CF6F3C" w:rsidP="00D412C1">
            <w:pPr>
              <w:jc w:val="right"/>
              <w:rPr>
                <w:rFonts w:asciiTheme="minorHAnsi" w:hAnsiTheme="minorHAnsi" w:cstheme="minorHAnsi"/>
                <w:bCs/>
                <w:color w:val="000000"/>
              </w:rPr>
            </w:pPr>
            <w:r w:rsidRPr="00D412C1">
              <w:rPr>
                <w:rFonts w:asciiTheme="minorHAnsi" w:hAnsiTheme="minorHAnsi" w:cstheme="minorHAnsi"/>
                <w:bCs/>
                <w:color w:val="000000"/>
              </w:rPr>
              <w:t>(</w:t>
            </w:r>
            <w:r w:rsidR="00625596" w:rsidRPr="00D412C1">
              <w:rPr>
                <w:rFonts w:asciiTheme="minorHAnsi" w:hAnsiTheme="minorHAnsi" w:cstheme="minorHAnsi"/>
                <w:bCs/>
                <w:color w:val="000000"/>
              </w:rPr>
              <w:t>32</w:t>
            </w:r>
            <w:r w:rsidR="00625596">
              <w:rPr>
                <w:rFonts w:asciiTheme="minorHAnsi" w:hAnsiTheme="minorHAnsi" w:cstheme="minorHAnsi"/>
                <w:bCs/>
                <w:color w:val="000000"/>
              </w:rPr>
              <w:t>2</w:t>
            </w:r>
            <w:r w:rsidRPr="00D412C1">
              <w:rPr>
                <w:rFonts w:asciiTheme="minorHAnsi" w:hAnsiTheme="minorHAnsi" w:cstheme="minorHAnsi"/>
                <w:bCs/>
                <w:color w:val="000000"/>
              </w:rPr>
              <w:t>)</w:t>
            </w:r>
          </w:p>
        </w:tc>
        <w:tc>
          <w:tcPr>
            <w:tcW w:w="682" w:type="pct"/>
            <w:tcBorders>
              <w:top w:val="nil"/>
              <w:left w:val="nil"/>
              <w:bottom w:val="nil"/>
              <w:right w:val="nil"/>
            </w:tcBorders>
            <w:shd w:val="clear" w:color="auto" w:fill="auto"/>
            <w:vAlign w:val="center"/>
          </w:tcPr>
          <w:p w14:paraId="6FB92DE5" w14:textId="266125FA" w:rsidR="00463B2D" w:rsidRPr="00D412C1" w:rsidRDefault="00625596" w:rsidP="00D412C1">
            <w:pPr>
              <w:jc w:val="right"/>
              <w:rPr>
                <w:rFonts w:asciiTheme="minorHAnsi" w:hAnsiTheme="minorHAnsi" w:cstheme="minorHAnsi"/>
                <w:bCs/>
                <w:color w:val="000000"/>
              </w:rPr>
            </w:pPr>
            <w:r w:rsidRPr="00D412C1">
              <w:rPr>
                <w:rFonts w:asciiTheme="minorHAnsi" w:hAnsiTheme="minorHAnsi" w:cstheme="minorHAnsi"/>
                <w:bCs/>
                <w:color w:val="000000"/>
              </w:rPr>
              <w:t>5</w:t>
            </w:r>
            <w:r>
              <w:rPr>
                <w:rFonts w:asciiTheme="minorHAnsi" w:hAnsiTheme="minorHAnsi" w:cstheme="minorHAnsi"/>
                <w:bCs/>
                <w:color w:val="000000"/>
              </w:rPr>
              <w:t>2</w:t>
            </w:r>
          </w:p>
        </w:tc>
      </w:tr>
      <w:tr w:rsidR="00463B2D" w:rsidRPr="00D412C1" w14:paraId="0E2A5187" w14:textId="77777777" w:rsidTr="00D412C1">
        <w:trPr>
          <w:trHeight w:val="261"/>
        </w:trPr>
        <w:tc>
          <w:tcPr>
            <w:tcW w:w="2910" w:type="pct"/>
            <w:tcBorders>
              <w:top w:val="nil"/>
              <w:left w:val="nil"/>
              <w:bottom w:val="nil"/>
              <w:right w:val="nil"/>
            </w:tcBorders>
            <w:shd w:val="clear" w:color="auto" w:fill="auto"/>
            <w:vAlign w:val="center"/>
            <w:hideMark/>
          </w:tcPr>
          <w:p w14:paraId="0201211A" w14:textId="77777777" w:rsidR="00463B2D" w:rsidRPr="00D412C1" w:rsidRDefault="00463B2D" w:rsidP="00463B2D">
            <w:pPr>
              <w:rPr>
                <w:rFonts w:asciiTheme="minorHAnsi" w:hAnsiTheme="minorHAnsi" w:cstheme="minorHAnsi"/>
                <w:bCs/>
                <w:color w:val="000000"/>
              </w:rPr>
            </w:pPr>
            <w:r w:rsidRPr="00D412C1">
              <w:rPr>
                <w:rFonts w:asciiTheme="minorHAnsi" w:hAnsiTheme="minorHAnsi" w:cstheme="minorHAnsi"/>
                <w:bCs/>
                <w:color w:val="000000"/>
              </w:rPr>
              <w:t xml:space="preserve">At period end </w:t>
            </w:r>
          </w:p>
        </w:tc>
        <w:tc>
          <w:tcPr>
            <w:tcW w:w="727" w:type="pct"/>
            <w:tcBorders>
              <w:top w:val="single" w:sz="8" w:space="0" w:color="auto"/>
              <w:left w:val="nil"/>
              <w:bottom w:val="single" w:sz="8" w:space="0" w:color="auto"/>
              <w:right w:val="nil"/>
            </w:tcBorders>
            <w:vAlign w:val="center"/>
          </w:tcPr>
          <w:p w14:paraId="005F9241" w14:textId="4FAA9A5D" w:rsidR="00463B2D" w:rsidRPr="00D412C1" w:rsidRDefault="00D412C1" w:rsidP="00D412C1">
            <w:pPr>
              <w:jc w:val="right"/>
              <w:rPr>
                <w:rFonts w:asciiTheme="minorHAnsi" w:hAnsiTheme="minorHAnsi" w:cstheme="minorHAnsi"/>
                <w:bCs/>
                <w:color w:val="000000"/>
              </w:rPr>
            </w:pPr>
            <w:r w:rsidRPr="00D412C1">
              <w:rPr>
                <w:rFonts w:asciiTheme="minorHAnsi" w:hAnsiTheme="minorHAnsi" w:cstheme="minorHAnsi"/>
                <w:bCs/>
                <w:color w:val="000000"/>
              </w:rPr>
              <w:t xml:space="preserve"> </w:t>
            </w:r>
            <w:r w:rsidR="00882A11">
              <w:rPr>
                <w:rFonts w:asciiTheme="minorHAnsi" w:hAnsiTheme="minorHAnsi" w:cstheme="minorHAnsi"/>
                <w:bCs/>
                <w:color w:val="000000"/>
              </w:rPr>
              <w:t>2,597</w:t>
            </w:r>
          </w:p>
        </w:tc>
        <w:tc>
          <w:tcPr>
            <w:tcW w:w="682" w:type="pct"/>
            <w:tcBorders>
              <w:top w:val="single" w:sz="8" w:space="0" w:color="auto"/>
              <w:left w:val="nil"/>
              <w:bottom w:val="single" w:sz="8" w:space="0" w:color="auto"/>
              <w:right w:val="nil"/>
            </w:tcBorders>
            <w:vAlign w:val="center"/>
          </w:tcPr>
          <w:p w14:paraId="4300E65A" w14:textId="6F1FAFE6" w:rsidR="00463B2D" w:rsidRPr="00D412C1" w:rsidRDefault="00CF6F3C" w:rsidP="00D412C1">
            <w:pPr>
              <w:jc w:val="right"/>
              <w:rPr>
                <w:rFonts w:asciiTheme="minorHAnsi" w:hAnsiTheme="minorHAnsi" w:cstheme="minorHAnsi"/>
                <w:bCs/>
                <w:color w:val="000000"/>
              </w:rPr>
            </w:pPr>
            <w:r w:rsidRPr="00D412C1">
              <w:rPr>
                <w:rFonts w:asciiTheme="minorHAnsi" w:hAnsiTheme="minorHAnsi" w:cstheme="minorHAnsi"/>
                <w:bCs/>
                <w:color w:val="000000"/>
              </w:rPr>
              <w:t>2,249</w:t>
            </w:r>
          </w:p>
        </w:tc>
        <w:tc>
          <w:tcPr>
            <w:tcW w:w="682" w:type="pct"/>
            <w:tcBorders>
              <w:top w:val="single" w:sz="8" w:space="0" w:color="auto"/>
              <w:left w:val="nil"/>
              <w:bottom w:val="single" w:sz="8" w:space="0" w:color="auto"/>
              <w:right w:val="nil"/>
            </w:tcBorders>
            <w:shd w:val="clear" w:color="auto" w:fill="auto"/>
            <w:vAlign w:val="center"/>
          </w:tcPr>
          <w:p w14:paraId="6D7A76BE" w14:textId="317A16CC" w:rsidR="00463B2D" w:rsidRPr="00D412C1" w:rsidRDefault="007408CC" w:rsidP="00D412C1">
            <w:pPr>
              <w:jc w:val="right"/>
              <w:rPr>
                <w:rFonts w:asciiTheme="minorHAnsi" w:hAnsiTheme="minorHAnsi" w:cstheme="minorHAnsi"/>
                <w:bCs/>
                <w:color w:val="000000"/>
              </w:rPr>
            </w:pPr>
            <w:r w:rsidRPr="00D412C1">
              <w:rPr>
                <w:rFonts w:asciiTheme="minorHAnsi" w:hAnsiTheme="minorHAnsi" w:cstheme="minorHAnsi"/>
                <w:bCs/>
                <w:color w:val="000000"/>
              </w:rPr>
              <w:t>2,082</w:t>
            </w:r>
          </w:p>
        </w:tc>
      </w:tr>
    </w:tbl>
    <w:p w14:paraId="0886711A" w14:textId="77777777" w:rsidR="00D14672" w:rsidRPr="00D412C1" w:rsidRDefault="00D14672" w:rsidP="00D14672">
      <w:pPr>
        <w:pStyle w:val="Paratext"/>
        <w:rPr>
          <w:rFonts w:asciiTheme="minorHAnsi" w:hAnsiTheme="minorHAnsi" w:cstheme="minorHAnsi"/>
          <w:sz w:val="24"/>
          <w:szCs w:val="24"/>
        </w:rPr>
      </w:pPr>
    </w:p>
    <w:p w14:paraId="28ADA9BF" w14:textId="77777777" w:rsidR="00D14672" w:rsidRPr="00D412C1" w:rsidRDefault="00D14672" w:rsidP="002429BB">
      <w:pPr>
        <w:pStyle w:val="Paratext"/>
        <w:ind w:left="0"/>
        <w:rPr>
          <w:rFonts w:asciiTheme="minorHAnsi" w:hAnsiTheme="minorHAnsi" w:cstheme="minorHAnsi"/>
          <w:sz w:val="24"/>
          <w:szCs w:val="24"/>
        </w:rPr>
      </w:pPr>
      <w:r w:rsidRPr="00D412C1">
        <w:rPr>
          <w:rFonts w:asciiTheme="minorHAnsi" w:hAnsiTheme="minorHAnsi" w:cstheme="minorHAnsi"/>
          <w:sz w:val="24"/>
          <w:szCs w:val="24"/>
        </w:rPr>
        <w:t xml:space="preserve">The Group’s intangible assets </w:t>
      </w:r>
      <w:r w:rsidR="001A21EE" w:rsidRPr="00D412C1">
        <w:rPr>
          <w:rFonts w:asciiTheme="minorHAnsi" w:hAnsiTheme="minorHAnsi" w:cstheme="minorHAnsi"/>
          <w:sz w:val="24"/>
          <w:szCs w:val="24"/>
        </w:rPr>
        <w:t xml:space="preserve">are </w:t>
      </w:r>
      <w:r w:rsidRPr="00D412C1">
        <w:rPr>
          <w:rFonts w:asciiTheme="minorHAnsi" w:hAnsiTheme="minorHAnsi" w:cstheme="minorHAnsi"/>
          <w:sz w:val="24"/>
          <w:szCs w:val="24"/>
        </w:rPr>
        <w:t>comprise</w:t>
      </w:r>
      <w:r w:rsidR="001A21EE" w:rsidRPr="00D412C1">
        <w:rPr>
          <w:rFonts w:asciiTheme="minorHAnsi" w:hAnsiTheme="minorHAnsi" w:cstheme="minorHAnsi"/>
          <w:sz w:val="24"/>
          <w:szCs w:val="24"/>
        </w:rPr>
        <w:t>d</w:t>
      </w:r>
      <w:r w:rsidRPr="00D412C1">
        <w:rPr>
          <w:rFonts w:asciiTheme="minorHAnsi" w:hAnsiTheme="minorHAnsi" w:cstheme="minorHAnsi"/>
          <w:sz w:val="24"/>
          <w:szCs w:val="24"/>
        </w:rPr>
        <w:t xml:space="preserve"> of Evaluation and Exploration assets in respect of the licences in Botswana. </w:t>
      </w:r>
    </w:p>
    <w:p w14:paraId="2955B9D0" w14:textId="77777777" w:rsidR="00D14672" w:rsidRPr="00D412C1" w:rsidRDefault="00D14672" w:rsidP="002429BB">
      <w:pPr>
        <w:pStyle w:val="Paratext"/>
        <w:ind w:left="0"/>
        <w:rPr>
          <w:rFonts w:asciiTheme="minorHAnsi" w:hAnsiTheme="minorHAnsi" w:cstheme="minorHAnsi"/>
          <w:sz w:val="24"/>
          <w:szCs w:val="24"/>
        </w:rPr>
      </w:pPr>
    </w:p>
    <w:p w14:paraId="58C62798" w14:textId="057173DB" w:rsidR="00D14672" w:rsidRPr="00D412C1" w:rsidRDefault="001A21EE" w:rsidP="002429BB">
      <w:pPr>
        <w:pStyle w:val="Paratext"/>
        <w:ind w:left="0"/>
        <w:rPr>
          <w:rFonts w:asciiTheme="minorHAnsi" w:hAnsiTheme="minorHAnsi" w:cstheme="minorHAnsi"/>
          <w:sz w:val="24"/>
          <w:szCs w:val="24"/>
        </w:rPr>
      </w:pPr>
      <w:r w:rsidRPr="00D412C1">
        <w:rPr>
          <w:rFonts w:asciiTheme="minorHAnsi" w:hAnsiTheme="minorHAnsi" w:cstheme="minorHAnsi"/>
          <w:sz w:val="24"/>
          <w:szCs w:val="24"/>
        </w:rPr>
        <w:t>During the period</w:t>
      </w:r>
      <w:r w:rsidR="00D14672" w:rsidRPr="00D412C1">
        <w:rPr>
          <w:rFonts w:asciiTheme="minorHAnsi" w:hAnsiTheme="minorHAnsi" w:cstheme="minorHAnsi"/>
          <w:sz w:val="24"/>
          <w:szCs w:val="24"/>
        </w:rPr>
        <w:t xml:space="preserve"> US$</w:t>
      </w:r>
      <w:r w:rsidR="007849DA">
        <w:rPr>
          <w:rFonts w:asciiTheme="minorHAnsi" w:hAnsiTheme="minorHAnsi" w:cstheme="minorHAnsi"/>
          <w:sz w:val="24"/>
          <w:szCs w:val="24"/>
        </w:rPr>
        <w:t>512,000</w:t>
      </w:r>
      <w:r w:rsidR="00D14672" w:rsidRPr="00D412C1">
        <w:rPr>
          <w:rFonts w:asciiTheme="minorHAnsi" w:hAnsiTheme="minorHAnsi" w:cstheme="minorHAnsi"/>
          <w:sz w:val="24"/>
          <w:szCs w:val="24"/>
        </w:rPr>
        <w:t xml:space="preserve"> (20</w:t>
      </w:r>
      <w:r w:rsidR="007408CC" w:rsidRPr="00D412C1">
        <w:rPr>
          <w:rFonts w:asciiTheme="minorHAnsi" w:hAnsiTheme="minorHAnsi" w:cstheme="minorHAnsi"/>
          <w:sz w:val="24"/>
          <w:szCs w:val="24"/>
        </w:rPr>
        <w:t>20</w:t>
      </w:r>
      <w:r w:rsidR="00D14672" w:rsidRPr="00D412C1">
        <w:rPr>
          <w:rFonts w:asciiTheme="minorHAnsi" w:hAnsiTheme="minorHAnsi" w:cstheme="minorHAnsi"/>
          <w:sz w:val="24"/>
          <w:szCs w:val="24"/>
        </w:rPr>
        <w:t>: US$</w:t>
      </w:r>
      <w:r w:rsidR="007849DA">
        <w:rPr>
          <w:rFonts w:asciiTheme="minorHAnsi" w:hAnsiTheme="minorHAnsi" w:cstheme="minorHAnsi"/>
          <w:sz w:val="24"/>
          <w:szCs w:val="24"/>
        </w:rPr>
        <w:t>126,000</w:t>
      </w:r>
      <w:r w:rsidR="00D14672" w:rsidRPr="00D412C1">
        <w:rPr>
          <w:rFonts w:asciiTheme="minorHAnsi" w:hAnsiTheme="minorHAnsi" w:cstheme="minorHAnsi"/>
          <w:sz w:val="24"/>
          <w:szCs w:val="24"/>
        </w:rPr>
        <w:t xml:space="preserve">) of exploration expenses </w:t>
      </w:r>
      <w:r w:rsidRPr="00D412C1">
        <w:rPr>
          <w:rFonts w:asciiTheme="minorHAnsi" w:hAnsiTheme="minorHAnsi" w:cstheme="minorHAnsi"/>
          <w:sz w:val="24"/>
          <w:szCs w:val="24"/>
        </w:rPr>
        <w:t xml:space="preserve">were </w:t>
      </w:r>
      <w:r w:rsidR="00D14672" w:rsidRPr="00D412C1">
        <w:rPr>
          <w:rFonts w:asciiTheme="minorHAnsi" w:hAnsiTheme="minorHAnsi" w:cstheme="minorHAnsi"/>
          <w:sz w:val="24"/>
          <w:szCs w:val="24"/>
        </w:rPr>
        <w:t>capitalised by the Group.</w:t>
      </w:r>
    </w:p>
    <w:p w14:paraId="44E9D38D" w14:textId="77777777" w:rsidR="00D14672" w:rsidRPr="00D412C1" w:rsidRDefault="00D14672" w:rsidP="002429BB">
      <w:pPr>
        <w:pStyle w:val="Paratext"/>
        <w:ind w:left="0"/>
        <w:rPr>
          <w:rFonts w:asciiTheme="minorHAnsi" w:hAnsiTheme="minorHAnsi" w:cstheme="minorHAnsi"/>
          <w:sz w:val="24"/>
          <w:szCs w:val="24"/>
        </w:rPr>
      </w:pPr>
    </w:p>
    <w:p w14:paraId="5965A030" w14:textId="77777777" w:rsidR="00D14672" w:rsidRPr="00D412C1" w:rsidRDefault="00D14672" w:rsidP="002429BB">
      <w:pPr>
        <w:pStyle w:val="Paratext"/>
        <w:ind w:left="0"/>
        <w:rPr>
          <w:rFonts w:asciiTheme="minorHAnsi" w:eastAsia="Arial" w:hAnsiTheme="minorHAnsi" w:cstheme="minorHAnsi"/>
          <w:color w:val="000000"/>
          <w:sz w:val="24"/>
          <w:szCs w:val="24"/>
          <w:u w:color="000000"/>
          <w:bdr w:val="nil"/>
          <w:lang w:eastAsia="en-US"/>
        </w:rPr>
      </w:pPr>
      <w:r w:rsidRPr="00D412C1">
        <w:rPr>
          <w:rFonts w:asciiTheme="minorHAnsi" w:eastAsia="Arial" w:hAnsiTheme="minorHAnsi" w:cstheme="minorHAnsi"/>
          <w:color w:val="000000"/>
          <w:sz w:val="24"/>
          <w:szCs w:val="24"/>
          <w:u w:color="000000"/>
          <w:bdr w:val="nil"/>
          <w:lang w:eastAsia="en-US"/>
        </w:rPr>
        <w:t>The Directors have undertaken a review to assess whether circumstances exist which could indicate the existence of impairment as follows:</w:t>
      </w:r>
    </w:p>
    <w:p w14:paraId="2ABF34B8" w14:textId="77777777" w:rsidR="00D14672" w:rsidRPr="00D412C1" w:rsidRDefault="00D14672" w:rsidP="002429BB">
      <w:pPr>
        <w:pStyle w:val="Paratext"/>
        <w:numPr>
          <w:ilvl w:val="0"/>
          <w:numId w:val="34"/>
        </w:numPr>
        <w:spacing w:before="60"/>
        <w:ind w:left="640"/>
        <w:rPr>
          <w:rFonts w:asciiTheme="minorHAnsi" w:eastAsia="Arial" w:hAnsiTheme="minorHAnsi" w:cstheme="minorHAnsi"/>
          <w:color w:val="000000"/>
          <w:sz w:val="24"/>
          <w:szCs w:val="24"/>
          <w:u w:color="000000"/>
          <w:bdr w:val="nil"/>
          <w:lang w:eastAsia="en-US"/>
        </w:rPr>
      </w:pPr>
      <w:r w:rsidRPr="00D412C1">
        <w:rPr>
          <w:rFonts w:asciiTheme="minorHAnsi" w:eastAsia="Arial" w:hAnsiTheme="minorHAnsi" w:cstheme="minorHAnsi"/>
          <w:color w:val="000000"/>
          <w:sz w:val="24"/>
          <w:szCs w:val="24"/>
          <w:u w:color="000000"/>
          <w:bdr w:val="nil"/>
          <w:lang w:eastAsia="en-US"/>
        </w:rPr>
        <w:t>The Group no longer has title to mineral leases.</w:t>
      </w:r>
    </w:p>
    <w:p w14:paraId="0456442C" w14:textId="77777777" w:rsidR="00D14672" w:rsidRPr="00D412C1" w:rsidRDefault="00D14672" w:rsidP="002429BB">
      <w:pPr>
        <w:pStyle w:val="Paratext"/>
        <w:numPr>
          <w:ilvl w:val="0"/>
          <w:numId w:val="34"/>
        </w:numPr>
        <w:spacing w:before="60"/>
        <w:ind w:left="640"/>
        <w:rPr>
          <w:rFonts w:asciiTheme="minorHAnsi" w:eastAsia="Arial" w:hAnsiTheme="minorHAnsi" w:cstheme="minorHAnsi"/>
          <w:color w:val="000000"/>
          <w:sz w:val="24"/>
          <w:szCs w:val="24"/>
          <w:u w:color="000000"/>
          <w:bdr w:val="nil"/>
          <w:lang w:eastAsia="en-US"/>
        </w:rPr>
      </w:pPr>
      <w:r w:rsidRPr="00D412C1">
        <w:rPr>
          <w:rFonts w:asciiTheme="minorHAnsi" w:eastAsia="Arial" w:hAnsiTheme="minorHAnsi" w:cstheme="minorHAnsi"/>
          <w:color w:val="000000"/>
          <w:sz w:val="24"/>
          <w:szCs w:val="24"/>
          <w:u w:color="000000"/>
          <w:bdr w:val="nil"/>
          <w:lang w:eastAsia="en-US"/>
        </w:rPr>
        <w:t>A decision has been taken by the Board to discontinue exploration due to the absence of a commercial level of reserves.</w:t>
      </w:r>
    </w:p>
    <w:p w14:paraId="7C8210D7" w14:textId="77777777" w:rsidR="00D14672" w:rsidRPr="00D412C1" w:rsidRDefault="00D14672" w:rsidP="002429BB">
      <w:pPr>
        <w:pStyle w:val="Paratext"/>
        <w:numPr>
          <w:ilvl w:val="0"/>
          <w:numId w:val="34"/>
        </w:numPr>
        <w:spacing w:before="60"/>
        <w:ind w:left="640"/>
        <w:rPr>
          <w:rFonts w:asciiTheme="minorHAnsi" w:eastAsia="Arial" w:hAnsiTheme="minorHAnsi" w:cstheme="minorHAnsi"/>
          <w:color w:val="000000"/>
          <w:sz w:val="24"/>
          <w:szCs w:val="24"/>
          <w:u w:color="000000"/>
          <w:bdr w:val="nil"/>
          <w:lang w:eastAsia="en-US"/>
        </w:rPr>
      </w:pPr>
      <w:r w:rsidRPr="00D412C1">
        <w:rPr>
          <w:rFonts w:asciiTheme="minorHAnsi" w:eastAsia="Arial" w:hAnsiTheme="minorHAnsi" w:cstheme="minorHAnsi"/>
          <w:color w:val="000000"/>
          <w:sz w:val="24"/>
          <w:szCs w:val="24"/>
          <w:u w:color="000000"/>
          <w:bdr w:val="nil"/>
          <w:lang w:eastAsia="en-US"/>
        </w:rPr>
        <w:t>Sufficient data exists to indicate that the costs incurred will not be fully recovered from future development and participation.</w:t>
      </w:r>
    </w:p>
    <w:p w14:paraId="24CD058A" w14:textId="77777777" w:rsidR="00D14672" w:rsidRPr="00D412C1" w:rsidRDefault="00D14672" w:rsidP="002429BB">
      <w:pPr>
        <w:pStyle w:val="Paratext"/>
        <w:ind w:left="0"/>
        <w:rPr>
          <w:rFonts w:asciiTheme="minorHAnsi" w:eastAsia="Arial" w:hAnsiTheme="minorHAnsi" w:cstheme="minorHAnsi"/>
          <w:color w:val="000000"/>
          <w:sz w:val="24"/>
          <w:szCs w:val="24"/>
          <w:u w:color="000000"/>
          <w:bdr w:val="nil"/>
          <w:lang w:eastAsia="en-US"/>
        </w:rPr>
      </w:pPr>
    </w:p>
    <w:p w14:paraId="685A354E" w14:textId="77777777" w:rsidR="00D14672" w:rsidRPr="00D412C1" w:rsidRDefault="00D14672" w:rsidP="002429BB">
      <w:pPr>
        <w:pStyle w:val="Paratext"/>
        <w:ind w:left="0"/>
        <w:rPr>
          <w:rFonts w:asciiTheme="minorHAnsi" w:eastAsia="Arial" w:hAnsiTheme="minorHAnsi" w:cstheme="minorHAnsi"/>
          <w:color w:val="000000"/>
          <w:sz w:val="24"/>
          <w:szCs w:val="24"/>
          <w:u w:color="000000"/>
          <w:bdr w:val="nil"/>
          <w:lang w:eastAsia="en-US"/>
        </w:rPr>
      </w:pPr>
      <w:r w:rsidRPr="00D412C1">
        <w:rPr>
          <w:rFonts w:asciiTheme="minorHAnsi" w:eastAsia="Arial" w:hAnsiTheme="minorHAnsi" w:cstheme="minorHAnsi"/>
          <w:color w:val="000000"/>
          <w:sz w:val="24"/>
          <w:szCs w:val="24"/>
          <w:u w:color="000000"/>
          <w:bdr w:val="nil"/>
          <w:lang w:eastAsia="en-US"/>
        </w:rPr>
        <w:t>The directors</w:t>
      </w:r>
      <w:r w:rsidR="00113CDA" w:rsidRPr="00D412C1">
        <w:rPr>
          <w:rFonts w:asciiTheme="minorHAnsi" w:eastAsia="Arial" w:hAnsiTheme="minorHAnsi" w:cstheme="minorHAnsi"/>
          <w:color w:val="000000"/>
          <w:sz w:val="24"/>
          <w:szCs w:val="24"/>
          <w:u w:color="000000"/>
          <w:bdr w:val="nil"/>
          <w:lang w:eastAsia="en-US"/>
        </w:rPr>
        <w:t xml:space="preserve"> have</w:t>
      </w:r>
      <w:r w:rsidRPr="00D412C1">
        <w:rPr>
          <w:rFonts w:asciiTheme="minorHAnsi" w:eastAsia="Arial" w:hAnsiTheme="minorHAnsi" w:cstheme="minorHAnsi"/>
          <w:color w:val="000000"/>
          <w:sz w:val="24"/>
          <w:szCs w:val="24"/>
          <w:u w:color="000000"/>
          <w:bdr w:val="nil"/>
          <w:lang w:eastAsia="en-US"/>
        </w:rPr>
        <w:t xml:space="preserve"> also taken into consideration the content of the Competent Person’s </w:t>
      </w:r>
      <w:r w:rsidR="00113CDA" w:rsidRPr="00D412C1">
        <w:rPr>
          <w:rFonts w:asciiTheme="minorHAnsi" w:eastAsia="Arial" w:hAnsiTheme="minorHAnsi" w:cstheme="minorHAnsi"/>
          <w:color w:val="000000"/>
          <w:sz w:val="24"/>
          <w:szCs w:val="24"/>
          <w:u w:color="000000"/>
          <w:bdr w:val="nil"/>
          <w:lang w:eastAsia="en-US"/>
        </w:rPr>
        <w:t>R</w:t>
      </w:r>
      <w:r w:rsidRPr="00D412C1">
        <w:rPr>
          <w:rFonts w:asciiTheme="minorHAnsi" w:eastAsia="Arial" w:hAnsiTheme="minorHAnsi" w:cstheme="minorHAnsi"/>
          <w:color w:val="000000"/>
          <w:sz w:val="24"/>
          <w:szCs w:val="24"/>
          <w:u w:color="000000"/>
          <w:bdr w:val="nil"/>
          <w:lang w:eastAsia="en-US"/>
        </w:rPr>
        <w:t>eport which is available at the Group’s website.</w:t>
      </w:r>
    </w:p>
    <w:p w14:paraId="67BBD7B0" w14:textId="77777777" w:rsidR="00D14672" w:rsidRPr="00D412C1" w:rsidRDefault="00D14672" w:rsidP="002429BB">
      <w:pPr>
        <w:pStyle w:val="Paratext"/>
        <w:ind w:left="0"/>
        <w:rPr>
          <w:rFonts w:asciiTheme="minorHAnsi" w:eastAsia="Arial" w:hAnsiTheme="minorHAnsi" w:cstheme="minorHAnsi"/>
          <w:color w:val="000000"/>
          <w:sz w:val="24"/>
          <w:szCs w:val="24"/>
          <w:u w:color="000000"/>
          <w:bdr w:val="nil"/>
          <w:lang w:eastAsia="en-US"/>
        </w:rPr>
      </w:pPr>
    </w:p>
    <w:p w14:paraId="2C4E596C" w14:textId="09E6D589" w:rsidR="00D14672" w:rsidRPr="00D412C1" w:rsidRDefault="00D14672" w:rsidP="002429BB">
      <w:pPr>
        <w:pStyle w:val="Paratext"/>
        <w:ind w:left="0"/>
        <w:rPr>
          <w:rFonts w:asciiTheme="minorHAnsi" w:eastAsia="Arial" w:hAnsiTheme="minorHAnsi" w:cstheme="minorHAnsi"/>
          <w:color w:val="000000"/>
          <w:sz w:val="24"/>
          <w:szCs w:val="24"/>
          <w:u w:color="000000"/>
          <w:bdr w:val="nil"/>
          <w:lang w:eastAsia="en-US"/>
        </w:rPr>
      </w:pPr>
      <w:r w:rsidRPr="00D412C1">
        <w:rPr>
          <w:rFonts w:asciiTheme="minorHAnsi" w:eastAsia="Arial" w:hAnsiTheme="minorHAnsi" w:cstheme="minorHAnsi"/>
          <w:color w:val="000000"/>
          <w:sz w:val="24"/>
          <w:szCs w:val="24"/>
          <w:u w:color="000000"/>
          <w:bdr w:val="nil"/>
          <w:lang w:eastAsia="en-US"/>
        </w:rPr>
        <w:lastRenderedPageBreak/>
        <w:t xml:space="preserve">Following their </w:t>
      </w:r>
      <w:r w:rsidR="00D412C1" w:rsidRPr="00D412C1">
        <w:rPr>
          <w:rFonts w:asciiTheme="minorHAnsi" w:eastAsia="Arial" w:hAnsiTheme="minorHAnsi" w:cstheme="minorHAnsi"/>
          <w:color w:val="000000"/>
          <w:sz w:val="24"/>
          <w:szCs w:val="24"/>
          <w:u w:color="000000"/>
          <w:bdr w:val="nil"/>
          <w:lang w:eastAsia="en-US"/>
        </w:rPr>
        <w:t>review,</w:t>
      </w:r>
      <w:r w:rsidRPr="00D412C1">
        <w:rPr>
          <w:rFonts w:asciiTheme="minorHAnsi" w:eastAsia="Arial" w:hAnsiTheme="minorHAnsi" w:cstheme="minorHAnsi"/>
          <w:color w:val="000000"/>
          <w:sz w:val="24"/>
          <w:szCs w:val="24"/>
          <w:u w:color="000000"/>
          <w:bdr w:val="nil"/>
          <w:lang w:eastAsia="en-US"/>
        </w:rPr>
        <w:t xml:space="preserve"> the Directors </w:t>
      </w:r>
      <w:r w:rsidR="00113CDA" w:rsidRPr="00D412C1">
        <w:rPr>
          <w:rFonts w:asciiTheme="minorHAnsi" w:eastAsia="Arial" w:hAnsiTheme="minorHAnsi" w:cstheme="minorHAnsi"/>
          <w:color w:val="000000"/>
          <w:sz w:val="24"/>
          <w:szCs w:val="24"/>
          <w:u w:color="000000"/>
          <w:bdr w:val="nil"/>
          <w:lang w:eastAsia="en-US"/>
        </w:rPr>
        <w:t>a</w:t>
      </w:r>
      <w:r w:rsidRPr="00D412C1">
        <w:rPr>
          <w:rFonts w:asciiTheme="minorHAnsi" w:eastAsia="Arial" w:hAnsiTheme="minorHAnsi" w:cstheme="minorHAnsi"/>
          <w:color w:val="000000"/>
          <w:sz w:val="24"/>
          <w:szCs w:val="24"/>
          <w:u w:color="000000"/>
          <w:bdr w:val="nil"/>
          <w:lang w:eastAsia="en-US"/>
        </w:rPr>
        <w:t>r</w:t>
      </w:r>
      <w:r w:rsidR="00113CDA" w:rsidRPr="00D412C1">
        <w:rPr>
          <w:rFonts w:asciiTheme="minorHAnsi" w:eastAsia="Arial" w:hAnsiTheme="minorHAnsi" w:cstheme="minorHAnsi"/>
          <w:color w:val="000000"/>
          <w:sz w:val="24"/>
          <w:szCs w:val="24"/>
          <w:u w:color="000000"/>
          <w:bdr w:val="nil"/>
          <w:lang w:eastAsia="en-US"/>
        </w:rPr>
        <w:t>e</w:t>
      </w:r>
      <w:r w:rsidRPr="00D412C1">
        <w:rPr>
          <w:rFonts w:asciiTheme="minorHAnsi" w:eastAsia="Arial" w:hAnsiTheme="minorHAnsi" w:cstheme="minorHAnsi"/>
          <w:color w:val="000000"/>
          <w:sz w:val="24"/>
          <w:szCs w:val="24"/>
          <w:u w:color="000000"/>
          <w:bdr w:val="nil"/>
          <w:lang w:eastAsia="en-US"/>
        </w:rPr>
        <w:t xml:space="preserve"> </w:t>
      </w:r>
      <w:r w:rsidR="00113CDA" w:rsidRPr="00D412C1">
        <w:rPr>
          <w:rFonts w:asciiTheme="minorHAnsi" w:eastAsia="Arial" w:hAnsiTheme="minorHAnsi" w:cstheme="minorHAnsi"/>
          <w:color w:val="000000"/>
          <w:sz w:val="24"/>
          <w:szCs w:val="24"/>
          <w:u w:color="000000"/>
          <w:bdr w:val="nil"/>
          <w:lang w:eastAsia="en-US"/>
        </w:rPr>
        <w:t xml:space="preserve">of the opinion that </w:t>
      </w:r>
      <w:r w:rsidRPr="00D412C1">
        <w:rPr>
          <w:rFonts w:asciiTheme="minorHAnsi" w:eastAsia="Arial" w:hAnsiTheme="minorHAnsi" w:cstheme="minorHAnsi"/>
          <w:color w:val="000000"/>
          <w:sz w:val="24"/>
          <w:szCs w:val="24"/>
          <w:u w:color="000000"/>
          <w:bdr w:val="nil"/>
          <w:lang w:eastAsia="en-US"/>
        </w:rPr>
        <w:t>no impairment charge is necessary.</w:t>
      </w:r>
    </w:p>
    <w:p w14:paraId="6670C80E" w14:textId="77777777" w:rsidR="00DF6B2E" w:rsidRPr="00D412C1" w:rsidRDefault="00375853" w:rsidP="00E25941">
      <w:pPr>
        <w:pStyle w:val="Heading2"/>
        <w:spacing w:after="120"/>
        <w:ind w:right="-735"/>
        <w:rPr>
          <w:rFonts w:asciiTheme="minorHAnsi" w:hAnsiTheme="minorHAnsi" w:cstheme="minorHAnsi"/>
          <w:i w:val="0"/>
          <w:iCs w:val="0"/>
          <w:sz w:val="24"/>
          <w:szCs w:val="24"/>
        </w:rPr>
      </w:pPr>
      <w:r w:rsidRPr="00D412C1">
        <w:rPr>
          <w:rFonts w:asciiTheme="minorHAnsi" w:hAnsiTheme="minorHAnsi" w:cstheme="minorHAnsi"/>
          <w:i w:val="0"/>
          <w:iCs w:val="0"/>
          <w:sz w:val="24"/>
          <w:szCs w:val="24"/>
        </w:rPr>
        <w:t>5</w:t>
      </w:r>
      <w:r w:rsidR="00DF6B2E" w:rsidRPr="00D412C1">
        <w:rPr>
          <w:rFonts w:asciiTheme="minorHAnsi" w:hAnsiTheme="minorHAnsi" w:cstheme="minorHAnsi"/>
          <w:i w:val="0"/>
          <w:iCs w:val="0"/>
          <w:sz w:val="24"/>
          <w:szCs w:val="24"/>
        </w:rPr>
        <w:t>.  Share capital</w:t>
      </w:r>
    </w:p>
    <w:p w14:paraId="0FB7BF0B" w14:textId="056ABD09" w:rsidR="00DF6B2E" w:rsidRPr="00D412C1" w:rsidRDefault="00DF6B2E" w:rsidP="00AE0CD8">
      <w:pPr>
        <w:widowControl w:val="0"/>
        <w:autoSpaceDE w:val="0"/>
        <w:autoSpaceDN w:val="0"/>
        <w:adjustRightInd w:val="0"/>
        <w:spacing w:before="120" w:after="120"/>
        <w:ind w:right="39"/>
        <w:rPr>
          <w:rFonts w:asciiTheme="minorHAnsi" w:hAnsiTheme="minorHAnsi" w:cstheme="minorHAnsi"/>
        </w:rPr>
      </w:pPr>
      <w:r w:rsidRPr="00D412C1">
        <w:rPr>
          <w:rFonts w:asciiTheme="minorHAnsi" w:hAnsiTheme="minorHAnsi" w:cstheme="minorHAnsi"/>
        </w:rPr>
        <w:t xml:space="preserve">The authorised share capital of the Company and the called up and fully paid amounts at 30 </w:t>
      </w:r>
      <w:r w:rsidR="004435E6" w:rsidRPr="00D412C1">
        <w:rPr>
          <w:rFonts w:asciiTheme="minorHAnsi" w:hAnsiTheme="minorHAnsi" w:cstheme="minorHAnsi"/>
        </w:rPr>
        <w:t xml:space="preserve">June </w:t>
      </w:r>
      <w:r w:rsidRPr="00D412C1">
        <w:rPr>
          <w:rFonts w:asciiTheme="minorHAnsi" w:hAnsiTheme="minorHAnsi" w:cstheme="minorHAnsi"/>
        </w:rPr>
        <w:t>20</w:t>
      </w:r>
      <w:r w:rsidR="007408CC" w:rsidRPr="00D412C1">
        <w:rPr>
          <w:rFonts w:asciiTheme="minorHAnsi" w:hAnsiTheme="minorHAnsi" w:cstheme="minorHAnsi"/>
        </w:rPr>
        <w:t>21</w:t>
      </w:r>
      <w:r w:rsidRPr="00D412C1">
        <w:rPr>
          <w:rFonts w:asciiTheme="minorHAnsi" w:hAnsiTheme="minorHAnsi" w:cstheme="minorHAnsi"/>
        </w:rPr>
        <w:t xml:space="preserve"> were as follows:</w:t>
      </w:r>
    </w:p>
    <w:tbl>
      <w:tblPr>
        <w:tblW w:w="9648" w:type="dxa"/>
        <w:tblLook w:val="04A0" w:firstRow="1" w:lastRow="0" w:firstColumn="1" w:lastColumn="0" w:noHBand="0" w:noVBand="1"/>
      </w:tblPr>
      <w:tblGrid>
        <w:gridCol w:w="4496"/>
        <w:gridCol w:w="2576"/>
        <w:gridCol w:w="2576"/>
      </w:tblGrid>
      <w:tr w:rsidR="00BD4FF0" w:rsidRPr="00D412C1" w14:paraId="5B84A50A" w14:textId="77777777" w:rsidTr="00290043">
        <w:trPr>
          <w:trHeight w:val="288"/>
        </w:trPr>
        <w:tc>
          <w:tcPr>
            <w:tcW w:w="4496" w:type="dxa"/>
            <w:tcBorders>
              <w:top w:val="nil"/>
              <w:left w:val="nil"/>
              <w:bottom w:val="nil"/>
              <w:right w:val="nil"/>
            </w:tcBorders>
            <w:shd w:val="clear" w:color="auto" w:fill="auto"/>
            <w:noWrap/>
            <w:vAlign w:val="bottom"/>
            <w:hideMark/>
          </w:tcPr>
          <w:p w14:paraId="1728C970" w14:textId="2DABF122" w:rsidR="00BD4FF0" w:rsidRPr="00D412C1" w:rsidRDefault="00BD4FF0" w:rsidP="00BD4FF0">
            <w:pPr>
              <w:rPr>
                <w:rFonts w:asciiTheme="minorHAnsi" w:eastAsia="Times New Roman" w:hAnsiTheme="minorHAnsi" w:cstheme="minorHAnsi"/>
                <w:b/>
                <w:bCs/>
                <w:color w:val="000000"/>
                <w:lang w:eastAsia="en-GB"/>
              </w:rPr>
            </w:pPr>
            <w:r w:rsidRPr="00D412C1">
              <w:rPr>
                <w:rFonts w:asciiTheme="minorHAnsi" w:eastAsia="Times New Roman" w:hAnsiTheme="minorHAnsi" w:cstheme="minorHAnsi"/>
                <w:b/>
                <w:bCs/>
                <w:color w:val="000000"/>
                <w:lang w:eastAsia="en-GB"/>
              </w:rPr>
              <w:t>A)  Authorised</w:t>
            </w:r>
            <w:r w:rsidR="00CE7CD0" w:rsidRPr="00D412C1">
              <w:rPr>
                <w:rFonts w:asciiTheme="minorHAnsi" w:eastAsia="Times New Roman" w:hAnsiTheme="minorHAnsi" w:cstheme="minorHAnsi"/>
                <w:b/>
                <w:bCs/>
                <w:color w:val="000000"/>
                <w:lang w:eastAsia="en-GB"/>
              </w:rPr>
              <w:t xml:space="preserve"> </w:t>
            </w:r>
          </w:p>
        </w:tc>
        <w:tc>
          <w:tcPr>
            <w:tcW w:w="2576" w:type="dxa"/>
            <w:tcBorders>
              <w:top w:val="nil"/>
              <w:left w:val="nil"/>
              <w:bottom w:val="nil"/>
              <w:right w:val="nil"/>
            </w:tcBorders>
            <w:shd w:val="clear" w:color="auto" w:fill="auto"/>
            <w:noWrap/>
            <w:vAlign w:val="bottom"/>
            <w:hideMark/>
          </w:tcPr>
          <w:p w14:paraId="12C48942" w14:textId="77777777" w:rsidR="00BD4FF0" w:rsidRPr="00D412C1" w:rsidRDefault="00BD4FF0" w:rsidP="00BD4FF0">
            <w:pPr>
              <w:rPr>
                <w:rFonts w:asciiTheme="minorHAnsi" w:eastAsia="Times New Roman" w:hAnsiTheme="minorHAnsi" w:cstheme="minorHAnsi"/>
                <w:b/>
                <w:bCs/>
                <w:color w:val="000000"/>
                <w:lang w:eastAsia="en-GB"/>
              </w:rPr>
            </w:pPr>
          </w:p>
        </w:tc>
        <w:tc>
          <w:tcPr>
            <w:tcW w:w="2576" w:type="dxa"/>
            <w:tcBorders>
              <w:top w:val="nil"/>
              <w:left w:val="nil"/>
              <w:bottom w:val="nil"/>
              <w:right w:val="nil"/>
            </w:tcBorders>
            <w:shd w:val="clear" w:color="auto" w:fill="auto"/>
            <w:noWrap/>
            <w:vAlign w:val="bottom"/>
            <w:hideMark/>
          </w:tcPr>
          <w:p w14:paraId="18D26BF7" w14:textId="77777777" w:rsidR="00BD4FF0" w:rsidRPr="00D412C1" w:rsidRDefault="0066617E" w:rsidP="0066617E">
            <w:pPr>
              <w:jc w:val="center"/>
              <w:rPr>
                <w:rFonts w:asciiTheme="minorHAnsi" w:eastAsia="Times New Roman" w:hAnsiTheme="minorHAnsi" w:cstheme="minorHAnsi"/>
                <w:b/>
                <w:bCs/>
                <w:color w:val="000000"/>
                <w:lang w:eastAsia="en-GB"/>
              </w:rPr>
            </w:pPr>
            <w:r w:rsidRPr="00D412C1">
              <w:rPr>
                <w:rFonts w:asciiTheme="minorHAnsi" w:eastAsia="Times New Roman" w:hAnsiTheme="minorHAnsi" w:cstheme="minorHAnsi"/>
                <w:b/>
                <w:bCs/>
                <w:color w:val="000000"/>
                <w:lang w:eastAsia="en-GB"/>
              </w:rPr>
              <w:t xml:space="preserve">                      </w:t>
            </w:r>
            <w:r w:rsidR="00BD4FF0" w:rsidRPr="00D412C1">
              <w:rPr>
                <w:rFonts w:asciiTheme="minorHAnsi" w:eastAsia="Times New Roman" w:hAnsiTheme="minorHAnsi" w:cstheme="minorHAnsi"/>
                <w:b/>
                <w:bCs/>
                <w:color w:val="000000"/>
                <w:lang w:eastAsia="en-GB"/>
              </w:rPr>
              <w:t xml:space="preserve"> </w:t>
            </w:r>
          </w:p>
        </w:tc>
      </w:tr>
      <w:tr w:rsidR="007849DA" w:rsidRPr="00D412C1" w14:paraId="2988D62E" w14:textId="77777777" w:rsidTr="0051483D">
        <w:trPr>
          <w:trHeight w:val="288"/>
        </w:trPr>
        <w:tc>
          <w:tcPr>
            <w:tcW w:w="7072" w:type="dxa"/>
            <w:gridSpan w:val="2"/>
            <w:tcBorders>
              <w:top w:val="single" w:sz="4" w:space="0" w:color="auto"/>
              <w:left w:val="nil"/>
              <w:bottom w:val="nil"/>
              <w:right w:val="nil"/>
            </w:tcBorders>
            <w:shd w:val="clear" w:color="auto" w:fill="auto"/>
            <w:noWrap/>
            <w:vAlign w:val="bottom"/>
            <w:hideMark/>
          </w:tcPr>
          <w:p w14:paraId="3B983A46" w14:textId="77777777" w:rsidR="007849DA" w:rsidRPr="00D412C1" w:rsidRDefault="007849DA" w:rsidP="00BD4FF0">
            <w:pPr>
              <w:rPr>
                <w:rFonts w:asciiTheme="minorHAnsi" w:eastAsia="Times New Roman" w:hAnsiTheme="minorHAnsi" w:cstheme="minorHAnsi"/>
                <w:color w:val="000000"/>
                <w:lang w:eastAsia="en-GB"/>
              </w:rPr>
            </w:pPr>
            <w:r w:rsidRPr="00D412C1">
              <w:rPr>
                <w:rFonts w:asciiTheme="minorHAnsi" w:eastAsia="Times New Roman" w:hAnsiTheme="minorHAnsi" w:cstheme="minorHAnsi"/>
                <w:color w:val="000000"/>
                <w:lang w:eastAsia="en-GB"/>
              </w:rPr>
              <w:t xml:space="preserve">Unlimited Ordinary shares stated value </w:t>
            </w:r>
            <w:r w:rsidRPr="00D412C1">
              <w:rPr>
                <w:rFonts w:asciiTheme="minorHAnsi" w:eastAsia="Times New Roman" w:hAnsiTheme="minorHAnsi" w:cstheme="minorHAnsi"/>
                <w:b/>
                <w:bCs/>
                <w:color w:val="000000"/>
                <w:lang w:eastAsia="en-GB"/>
              </w:rPr>
              <w:t xml:space="preserve">£ </w:t>
            </w:r>
            <w:r w:rsidRPr="00D412C1">
              <w:rPr>
                <w:rFonts w:asciiTheme="minorHAnsi" w:eastAsia="Times New Roman" w:hAnsiTheme="minorHAnsi" w:cstheme="minorHAnsi"/>
                <w:color w:val="000000"/>
                <w:lang w:eastAsia="en-GB"/>
              </w:rPr>
              <w:t>0.001</w:t>
            </w:r>
          </w:p>
          <w:p w14:paraId="0DA8BE9F" w14:textId="77777777" w:rsidR="007849DA" w:rsidRDefault="007849DA" w:rsidP="00BD4FF0">
            <w:pPr>
              <w:rPr>
                <w:rFonts w:asciiTheme="minorHAnsi" w:eastAsia="Times New Roman" w:hAnsiTheme="minorHAnsi" w:cstheme="minorHAnsi"/>
                <w:color w:val="000000"/>
                <w:lang w:eastAsia="en-GB"/>
              </w:rPr>
            </w:pPr>
            <w:r w:rsidRPr="00D412C1">
              <w:rPr>
                <w:rFonts w:asciiTheme="minorHAnsi" w:eastAsia="Times New Roman" w:hAnsiTheme="minorHAnsi" w:cstheme="minorHAnsi"/>
                <w:color w:val="000000"/>
                <w:lang w:eastAsia="en-GB"/>
              </w:rPr>
              <w:t> </w:t>
            </w:r>
          </w:p>
          <w:p w14:paraId="78D483D6" w14:textId="3F0DE458" w:rsidR="007849DA" w:rsidRPr="00D412C1" w:rsidRDefault="007849DA" w:rsidP="00BD4FF0">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There were no changes during the period</w:t>
            </w:r>
          </w:p>
        </w:tc>
        <w:tc>
          <w:tcPr>
            <w:tcW w:w="2576" w:type="dxa"/>
            <w:tcBorders>
              <w:top w:val="single" w:sz="4" w:space="0" w:color="auto"/>
              <w:left w:val="nil"/>
              <w:bottom w:val="nil"/>
              <w:right w:val="nil"/>
            </w:tcBorders>
            <w:shd w:val="clear" w:color="auto" w:fill="auto"/>
            <w:vAlign w:val="bottom"/>
            <w:hideMark/>
          </w:tcPr>
          <w:p w14:paraId="0BD29AC9" w14:textId="77777777" w:rsidR="007849DA" w:rsidRPr="00D412C1" w:rsidRDefault="007849DA" w:rsidP="00BD4FF0">
            <w:pPr>
              <w:jc w:val="right"/>
              <w:rPr>
                <w:rFonts w:asciiTheme="minorHAnsi" w:eastAsia="Times New Roman" w:hAnsiTheme="minorHAnsi" w:cstheme="minorHAnsi"/>
                <w:color w:val="000000"/>
                <w:lang w:eastAsia="en-GB"/>
              </w:rPr>
            </w:pPr>
          </w:p>
        </w:tc>
      </w:tr>
      <w:tr w:rsidR="00BD4FF0" w:rsidRPr="00D412C1" w14:paraId="63B269F7" w14:textId="77777777" w:rsidTr="002429BB">
        <w:trPr>
          <w:trHeight w:val="288"/>
        </w:trPr>
        <w:tc>
          <w:tcPr>
            <w:tcW w:w="4496" w:type="dxa"/>
            <w:tcBorders>
              <w:top w:val="nil"/>
              <w:left w:val="nil"/>
              <w:bottom w:val="nil"/>
              <w:right w:val="nil"/>
            </w:tcBorders>
            <w:shd w:val="clear" w:color="auto" w:fill="auto"/>
            <w:noWrap/>
            <w:vAlign w:val="bottom"/>
            <w:hideMark/>
          </w:tcPr>
          <w:p w14:paraId="018D6F4B" w14:textId="77777777" w:rsidR="00BD4FF0" w:rsidRPr="00D412C1" w:rsidRDefault="00BD4FF0" w:rsidP="00BD4FF0">
            <w:pPr>
              <w:jc w:val="right"/>
              <w:rPr>
                <w:rFonts w:asciiTheme="minorHAnsi" w:eastAsia="Times New Roman" w:hAnsiTheme="minorHAnsi" w:cstheme="minorHAnsi"/>
                <w:color w:val="000000"/>
                <w:lang w:eastAsia="en-GB"/>
              </w:rPr>
            </w:pPr>
          </w:p>
        </w:tc>
        <w:tc>
          <w:tcPr>
            <w:tcW w:w="2576" w:type="dxa"/>
            <w:tcBorders>
              <w:top w:val="nil"/>
              <w:left w:val="nil"/>
              <w:bottom w:val="nil"/>
              <w:right w:val="nil"/>
            </w:tcBorders>
            <w:shd w:val="clear" w:color="auto" w:fill="auto"/>
            <w:noWrap/>
            <w:vAlign w:val="bottom"/>
            <w:hideMark/>
          </w:tcPr>
          <w:p w14:paraId="29F335C9" w14:textId="77777777" w:rsidR="00BD4FF0" w:rsidRPr="00D412C1" w:rsidRDefault="00BD4FF0" w:rsidP="002429BB">
            <w:pPr>
              <w:jc w:val="right"/>
              <w:rPr>
                <w:rFonts w:asciiTheme="minorHAnsi" w:eastAsia="Times New Roman" w:hAnsiTheme="minorHAnsi" w:cstheme="minorHAnsi"/>
                <w:lang w:eastAsia="en-GB"/>
              </w:rPr>
            </w:pPr>
          </w:p>
        </w:tc>
        <w:tc>
          <w:tcPr>
            <w:tcW w:w="2576" w:type="dxa"/>
            <w:tcBorders>
              <w:top w:val="nil"/>
              <w:left w:val="nil"/>
              <w:bottom w:val="nil"/>
              <w:right w:val="nil"/>
            </w:tcBorders>
            <w:shd w:val="clear" w:color="auto" w:fill="auto"/>
            <w:noWrap/>
            <w:vAlign w:val="bottom"/>
            <w:hideMark/>
          </w:tcPr>
          <w:p w14:paraId="726339EF" w14:textId="6C764B82" w:rsidR="00BD4FF0" w:rsidRPr="00D412C1" w:rsidRDefault="003B7342" w:rsidP="002429BB">
            <w:pPr>
              <w:jc w:val="right"/>
              <w:rPr>
                <w:rFonts w:asciiTheme="minorHAnsi" w:eastAsia="Times New Roman" w:hAnsiTheme="minorHAnsi" w:cstheme="minorHAnsi"/>
                <w:lang w:eastAsia="en-GB"/>
              </w:rPr>
            </w:pPr>
            <w:r w:rsidRPr="00D412C1">
              <w:rPr>
                <w:rFonts w:asciiTheme="minorHAnsi" w:eastAsia="Times New Roman" w:hAnsiTheme="minorHAnsi" w:cstheme="minorHAnsi"/>
                <w:b/>
                <w:bCs/>
                <w:color w:val="000000"/>
                <w:lang w:eastAsia="en-GB"/>
              </w:rPr>
              <w:t xml:space="preserve">                                            </w:t>
            </w:r>
          </w:p>
        </w:tc>
      </w:tr>
      <w:tr w:rsidR="00BD4FF0" w:rsidRPr="00D412C1" w14:paraId="5807F407" w14:textId="77777777" w:rsidTr="00A20F4C">
        <w:trPr>
          <w:trHeight w:val="302"/>
        </w:trPr>
        <w:tc>
          <w:tcPr>
            <w:tcW w:w="4496" w:type="dxa"/>
            <w:tcBorders>
              <w:top w:val="nil"/>
              <w:left w:val="nil"/>
              <w:bottom w:val="single" w:sz="4" w:space="0" w:color="auto"/>
              <w:right w:val="nil"/>
            </w:tcBorders>
            <w:shd w:val="clear" w:color="auto" w:fill="auto"/>
            <w:vAlign w:val="center"/>
            <w:hideMark/>
          </w:tcPr>
          <w:p w14:paraId="4E980CC2" w14:textId="77777777" w:rsidR="00BD4FF0" w:rsidRPr="00D412C1" w:rsidRDefault="00BD4FF0" w:rsidP="007849DA">
            <w:pPr>
              <w:rPr>
                <w:rFonts w:asciiTheme="minorHAnsi" w:eastAsia="Times New Roman" w:hAnsiTheme="minorHAnsi" w:cstheme="minorHAnsi"/>
                <w:b/>
                <w:bCs/>
                <w:color w:val="000000"/>
                <w:lang w:eastAsia="en-GB"/>
              </w:rPr>
            </w:pPr>
            <w:r w:rsidRPr="00D412C1">
              <w:rPr>
                <w:rFonts w:asciiTheme="minorHAnsi" w:eastAsia="Times New Roman" w:hAnsiTheme="minorHAnsi" w:cstheme="minorHAnsi"/>
                <w:b/>
                <w:bCs/>
                <w:color w:val="000000"/>
                <w:lang w:eastAsia="en-GB"/>
              </w:rPr>
              <w:t xml:space="preserve">B)  Called up, allotted, </w:t>
            </w:r>
            <w:proofErr w:type="gramStart"/>
            <w:r w:rsidRPr="00D412C1">
              <w:rPr>
                <w:rFonts w:asciiTheme="minorHAnsi" w:eastAsia="Times New Roman" w:hAnsiTheme="minorHAnsi" w:cstheme="minorHAnsi"/>
                <w:b/>
                <w:bCs/>
                <w:color w:val="000000"/>
                <w:lang w:eastAsia="en-GB"/>
              </w:rPr>
              <w:t>issued</w:t>
            </w:r>
            <w:proofErr w:type="gramEnd"/>
            <w:r w:rsidRPr="00D412C1">
              <w:rPr>
                <w:rFonts w:asciiTheme="minorHAnsi" w:eastAsia="Times New Roman" w:hAnsiTheme="minorHAnsi" w:cstheme="minorHAnsi"/>
                <w:b/>
                <w:bCs/>
                <w:color w:val="000000"/>
                <w:lang w:eastAsia="en-GB"/>
              </w:rPr>
              <w:t xml:space="preserve"> and fully paid </w:t>
            </w:r>
          </w:p>
        </w:tc>
        <w:tc>
          <w:tcPr>
            <w:tcW w:w="2576" w:type="dxa"/>
            <w:tcBorders>
              <w:top w:val="nil"/>
              <w:left w:val="nil"/>
              <w:bottom w:val="single" w:sz="4" w:space="0" w:color="auto"/>
              <w:right w:val="nil"/>
            </w:tcBorders>
            <w:shd w:val="clear" w:color="auto" w:fill="auto"/>
            <w:noWrap/>
            <w:vAlign w:val="center"/>
            <w:hideMark/>
          </w:tcPr>
          <w:p w14:paraId="3A2E5B20" w14:textId="77777777" w:rsidR="00BD4FF0" w:rsidRPr="00D412C1" w:rsidRDefault="00BD4FF0" w:rsidP="007849DA">
            <w:pPr>
              <w:jc w:val="right"/>
              <w:rPr>
                <w:rFonts w:asciiTheme="minorHAnsi" w:eastAsia="Times New Roman" w:hAnsiTheme="minorHAnsi" w:cstheme="minorHAnsi"/>
                <w:b/>
                <w:bCs/>
                <w:color w:val="000000"/>
                <w:lang w:eastAsia="en-GB"/>
              </w:rPr>
            </w:pPr>
            <w:r w:rsidRPr="00D412C1">
              <w:rPr>
                <w:rFonts w:asciiTheme="minorHAnsi" w:eastAsia="Times New Roman" w:hAnsiTheme="minorHAnsi" w:cstheme="minorHAnsi"/>
                <w:b/>
                <w:bCs/>
                <w:color w:val="000000"/>
                <w:lang w:eastAsia="en-GB"/>
              </w:rPr>
              <w:t>Number of shares</w:t>
            </w:r>
          </w:p>
        </w:tc>
        <w:tc>
          <w:tcPr>
            <w:tcW w:w="2576" w:type="dxa"/>
            <w:tcBorders>
              <w:top w:val="nil"/>
              <w:left w:val="nil"/>
              <w:bottom w:val="single" w:sz="4" w:space="0" w:color="auto"/>
              <w:right w:val="nil"/>
            </w:tcBorders>
            <w:shd w:val="clear" w:color="auto" w:fill="auto"/>
            <w:noWrap/>
            <w:vAlign w:val="center"/>
            <w:hideMark/>
          </w:tcPr>
          <w:p w14:paraId="662A59A3" w14:textId="77777777" w:rsidR="007849DA" w:rsidRDefault="00234798" w:rsidP="007849DA">
            <w:pPr>
              <w:jc w:val="right"/>
              <w:rPr>
                <w:rFonts w:asciiTheme="minorHAnsi" w:eastAsia="Times New Roman" w:hAnsiTheme="minorHAnsi" w:cstheme="minorHAnsi"/>
                <w:b/>
                <w:bCs/>
                <w:color w:val="000000"/>
                <w:lang w:eastAsia="en-GB"/>
              </w:rPr>
            </w:pPr>
            <w:r w:rsidRPr="00D412C1">
              <w:rPr>
                <w:rFonts w:asciiTheme="minorHAnsi" w:eastAsia="Times New Roman" w:hAnsiTheme="minorHAnsi" w:cstheme="minorHAnsi"/>
                <w:b/>
                <w:bCs/>
                <w:color w:val="000000"/>
                <w:lang w:eastAsia="en-GB"/>
              </w:rPr>
              <w:t xml:space="preserve">                         </w:t>
            </w:r>
            <w:r w:rsidR="00BD4FF0" w:rsidRPr="00D412C1">
              <w:rPr>
                <w:rFonts w:asciiTheme="minorHAnsi" w:eastAsia="Times New Roman" w:hAnsiTheme="minorHAnsi" w:cstheme="minorHAnsi"/>
                <w:b/>
                <w:bCs/>
                <w:color w:val="000000"/>
                <w:lang w:eastAsia="en-GB"/>
              </w:rPr>
              <w:t>Nominal value</w:t>
            </w:r>
          </w:p>
          <w:p w14:paraId="1F6A9CA4" w14:textId="7D4BFF7C" w:rsidR="00BD4FF0" w:rsidRPr="00D412C1" w:rsidRDefault="007849DA" w:rsidP="007849DA">
            <w:pPr>
              <w:jc w:val="right"/>
              <w:rPr>
                <w:rFonts w:asciiTheme="minorHAnsi" w:eastAsia="Times New Roman" w:hAnsiTheme="minorHAnsi" w:cstheme="minorHAnsi"/>
                <w:b/>
                <w:bCs/>
                <w:color w:val="000000"/>
                <w:lang w:eastAsia="en-GB"/>
              </w:rPr>
            </w:pPr>
            <w:r>
              <w:rPr>
                <w:rFonts w:asciiTheme="minorHAnsi" w:eastAsia="Times New Roman" w:hAnsiTheme="minorHAnsi" w:cstheme="minorHAnsi"/>
                <w:b/>
                <w:bCs/>
                <w:color w:val="000000"/>
                <w:lang w:eastAsia="en-GB"/>
              </w:rPr>
              <w:t>US$</w:t>
            </w:r>
            <w:r w:rsidR="00BD4FF0" w:rsidRPr="00D412C1">
              <w:rPr>
                <w:rFonts w:asciiTheme="minorHAnsi" w:eastAsia="Times New Roman" w:hAnsiTheme="minorHAnsi" w:cstheme="minorHAnsi"/>
                <w:b/>
                <w:bCs/>
                <w:color w:val="000000"/>
                <w:lang w:eastAsia="en-GB"/>
              </w:rPr>
              <w:t xml:space="preserve"> </w:t>
            </w:r>
          </w:p>
        </w:tc>
      </w:tr>
      <w:tr w:rsidR="00BD4FF0" w:rsidRPr="00D412C1" w14:paraId="40874EED" w14:textId="77777777" w:rsidTr="00A20F4C">
        <w:trPr>
          <w:trHeight w:val="275"/>
        </w:trPr>
        <w:tc>
          <w:tcPr>
            <w:tcW w:w="4496" w:type="dxa"/>
            <w:tcBorders>
              <w:top w:val="single" w:sz="4" w:space="0" w:color="auto"/>
              <w:left w:val="nil"/>
              <w:right w:val="nil"/>
            </w:tcBorders>
            <w:shd w:val="clear" w:color="auto" w:fill="auto"/>
            <w:vAlign w:val="center"/>
            <w:hideMark/>
          </w:tcPr>
          <w:p w14:paraId="44299014" w14:textId="681C712B" w:rsidR="00BD4FF0" w:rsidRPr="00D412C1" w:rsidRDefault="00BD4FF0" w:rsidP="007849DA">
            <w:pPr>
              <w:rPr>
                <w:rFonts w:asciiTheme="minorHAnsi" w:eastAsia="Times New Roman" w:hAnsiTheme="minorHAnsi" w:cstheme="minorHAnsi"/>
                <w:color w:val="000000"/>
                <w:lang w:eastAsia="en-GB"/>
              </w:rPr>
            </w:pPr>
            <w:r w:rsidRPr="00D412C1">
              <w:rPr>
                <w:rFonts w:asciiTheme="minorHAnsi" w:eastAsia="Times New Roman" w:hAnsiTheme="minorHAnsi" w:cstheme="minorHAnsi"/>
                <w:color w:val="000000"/>
                <w:lang w:eastAsia="en-GB"/>
              </w:rPr>
              <w:t xml:space="preserve">As at 1 </w:t>
            </w:r>
            <w:r w:rsidR="00A10516" w:rsidRPr="00D412C1">
              <w:rPr>
                <w:rFonts w:asciiTheme="minorHAnsi" w:eastAsia="Times New Roman" w:hAnsiTheme="minorHAnsi" w:cstheme="minorHAnsi"/>
                <w:color w:val="000000"/>
                <w:lang w:eastAsia="en-GB"/>
              </w:rPr>
              <w:t>January</w:t>
            </w:r>
            <w:r w:rsidRPr="00D412C1">
              <w:rPr>
                <w:rFonts w:asciiTheme="minorHAnsi" w:eastAsia="Times New Roman" w:hAnsiTheme="minorHAnsi" w:cstheme="minorHAnsi"/>
                <w:color w:val="000000"/>
                <w:lang w:eastAsia="en-GB"/>
              </w:rPr>
              <w:t xml:space="preserve"> 20</w:t>
            </w:r>
            <w:r w:rsidR="007408CC" w:rsidRPr="00D412C1">
              <w:rPr>
                <w:rFonts w:asciiTheme="minorHAnsi" w:eastAsia="Times New Roman" w:hAnsiTheme="minorHAnsi" w:cstheme="minorHAnsi"/>
                <w:color w:val="000000"/>
                <w:lang w:eastAsia="en-GB"/>
              </w:rPr>
              <w:t>21</w:t>
            </w:r>
          </w:p>
        </w:tc>
        <w:tc>
          <w:tcPr>
            <w:tcW w:w="2576" w:type="dxa"/>
            <w:tcBorders>
              <w:top w:val="nil"/>
              <w:left w:val="nil"/>
              <w:bottom w:val="nil"/>
              <w:right w:val="nil"/>
            </w:tcBorders>
            <w:shd w:val="clear" w:color="auto" w:fill="auto"/>
            <w:vAlign w:val="center"/>
            <w:hideMark/>
          </w:tcPr>
          <w:p w14:paraId="09891973" w14:textId="72B05C98" w:rsidR="00BD4FF0" w:rsidRPr="00D412C1" w:rsidRDefault="007408CC" w:rsidP="007849DA">
            <w:pPr>
              <w:jc w:val="right"/>
              <w:rPr>
                <w:rFonts w:asciiTheme="minorHAnsi" w:eastAsia="Times New Roman" w:hAnsiTheme="minorHAnsi" w:cstheme="minorHAnsi"/>
                <w:color w:val="000000"/>
                <w:lang w:eastAsia="en-GB"/>
              </w:rPr>
            </w:pPr>
            <w:r w:rsidRPr="00D412C1">
              <w:rPr>
                <w:rFonts w:asciiTheme="minorHAnsi" w:eastAsia="Times New Roman" w:hAnsiTheme="minorHAnsi" w:cstheme="minorHAnsi"/>
                <w:color w:val="000000"/>
                <w:lang w:eastAsia="en-GB"/>
              </w:rPr>
              <w:t>295,291,264</w:t>
            </w:r>
          </w:p>
        </w:tc>
        <w:tc>
          <w:tcPr>
            <w:tcW w:w="2576" w:type="dxa"/>
            <w:tcBorders>
              <w:top w:val="nil"/>
              <w:left w:val="nil"/>
              <w:bottom w:val="nil"/>
              <w:right w:val="nil"/>
            </w:tcBorders>
            <w:shd w:val="clear" w:color="auto" w:fill="auto"/>
            <w:vAlign w:val="center"/>
            <w:hideMark/>
          </w:tcPr>
          <w:p w14:paraId="6BA1FD82" w14:textId="00D6CB4F" w:rsidR="00BD4FF0" w:rsidRPr="00D412C1" w:rsidRDefault="00FE77F7" w:rsidP="007849DA">
            <w:pPr>
              <w:jc w:val="right"/>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390</w:t>
            </w:r>
          </w:p>
        </w:tc>
      </w:tr>
      <w:tr w:rsidR="00CF6F3C" w:rsidRPr="00D412C1" w14:paraId="5EBFE83A" w14:textId="77777777" w:rsidTr="00A20F4C">
        <w:trPr>
          <w:trHeight w:val="275"/>
        </w:trPr>
        <w:tc>
          <w:tcPr>
            <w:tcW w:w="4496" w:type="dxa"/>
            <w:tcBorders>
              <w:left w:val="nil"/>
              <w:bottom w:val="nil"/>
              <w:right w:val="nil"/>
            </w:tcBorders>
            <w:shd w:val="clear" w:color="auto" w:fill="auto"/>
            <w:vAlign w:val="center"/>
          </w:tcPr>
          <w:p w14:paraId="6D9440E4" w14:textId="55C4725E" w:rsidR="00CF6F3C" w:rsidRPr="00D412C1" w:rsidRDefault="00CF6F3C" w:rsidP="007849DA">
            <w:pPr>
              <w:rPr>
                <w:rFonts w:asciiTheme="minorHAnsi" w:eastAsia="Times New Roman" w:hAnsiTheme="minorHAnsi" w:cstheme="minorHAnsi"/>
                <w:color w:val="000000"/>
                <w:lang w:eastAsia="en-GB"/>
              </w:rPr>
            </w:pPr>
            <w:r w:rsidRPr="00D412C1">
              <w:rPr>
                <w:rFonts w:asciiTheme="minorHAnsi" w:eastAsia="Times New Roman" w:hAnsiTheme="minorHAnsi" w:cstheme="minorHAnsi"/>
                <w:color w:val="000000"/>
                <w:lang w:eastAsia="en-GB"/>
              </w:rPr>
              <w:t xml:space="preserve">Shares issued during the period </w:t>
            </w:r>
          </w:p>
        </w:tc>
        <w:tc>
          <w:tcPr>
            <w:tcW w:w="2576" w:type="dxa"/>
            <w:tcBorders>
              <w:top w:val="nil"/>
              <w:left w:val="nil"/>
              <w:bottom w:val="nil"/>
              <w:right w:val="nil"/>
            </w:tcBorders>
            <w:shd w:val="clear" w:color="auto" w:fill="auto"/>
            <w:vAlign w:val="center"/>
          </w:tcPr>
          <w:p w14:paraId="6B8A4A22" w14:textId="669871B8" w:rsidR="00CF6F3C" w:rsidRPr="00D412C1" w:rsidRDefault="00CF6F3C" w:rsidP="007849DA">
            <w:pPr>
              <w:jc w:val="right"/>
              <w:rPr>
                <w:rFonts w:asciiTheme="minorHAnsi" w:eastAsia="Times New Roman" w:hAnsiTheme="minorHAnsi" w:cstheme="minorHAnsi"/>
                <w:color w:val="000000"/>
                <w:lang w:eastAsia="en-GB"/>
              </w:rPr>
            </w:pPr>
            <w:r w:rsidRPr="00D412C1">
              <w:rPr>
                <w:rFonts w:asciiTheme="minorHAnsi" w:eastAsia="Times New Roman" w:hAnsiTheme="minorHAnsi" w:cstheme="minorHAnsi"/>
                <w:color w:val="000000"/>
                <w:lang w:eastAsia="en-GB"/>
              </w:rPr>
              <w:t>69,776,784</w:t>
            </w:r>
          </w:p>
        </w:tc>
        <w:tc>
          <w:tcPr>
            <w:tcW w:w="2576" w:type="dxa"/>
            <w:tcBorders>
              <w:top w:val="nil"/>
              <w:left w:val="nil"/>
              <w:bottom w:val="nil"/>
              <w:right w:val="nil"/>
            </w:tcBorders>
            <w:shd w:val="clear" w:color="auto" w:fill="auto"/>
            <w:vAlign w:val="center"/>
          </w:tcPr>
          <w:p w14:paraId="334AFC5A" w14:textId="4B423F36" w:rsidR="00CF6F3C" w:rsidRPr="00D412C1" w:rsidRDefault="00FE77F7" w:rsidP="007849DA">
            <w:pPr>
              <w:jc w:val="right"/>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96</w:t>
            </w:r>
          </w:p>
        </w:tc>
      </w:tr>
      <w:tr w:rsidR="00BD4FF0" w:rsidRPr="00D412C1" w14:paraId="09487D5B" w14:textId="77777777" w:rsidTr="00A20F4C">
        <w:trPr>
          <w:trHeight w:val="206"/>
        </w:trPr>
        <w:tc>
          <w:tcPr>
            <w:tcW w:w="4496" w:type="dxa"/>
            <w:tcBorders>
              <w:top w:val="nil"/>
              <w:left w:val="nil"/>
              <w:bottom w:val="nil"/>
              <w:right w:val="nil"/>
            </w:tcBorders>
            <w:shd w:val="clear" w:color="auto" w:fill="auto"/>
            <w:vAlign w:val="center"/>
            <w:hideMark/>
          </w:tcPr>
          <w:p w14:paraId="04F7C227" w14:textId="60353833" w:rsidR="00BD4FF0" w:rsidRPr="00D412C1" w:rsidRDefault="00BD4FF0" w:rsidP="007849DA">
            <w:pPr>
              <w:rPr>
                <w:rFonts w:asciiTheme="minorHAnsi" w:eastAsia="Times New Roman" w:hAnsiTheme="minorHAnsi" w:cstheme="minorHAnsi"/>
                <w:color w:val="000000"/>
                <w:lang w:eastAsia="en-GB"/>
              </w:rPr>
            </w:pPr>
            <w:r w:rsidRPr="00D412C1">
              <w:rPr>
                <w:rFonts w:asciiTheme="minorHAnsi" w:eastAsia="Times New Roman" w:hAnsiTheme="minorHAnsi" w:cstheme="minorHAnsi"/>
                <w:color w:val="000000"/>
                <w:lang w:eastAsia="en-GB"/>
              </w:rPr>
              <w:t xml:space="preserve">As at 30 </w:t>
            </w:r>
            <w:r w:rsidR="00820269" w:rsidRPr="00D412C1">
              <w:rPr>
                <w:rFonts w:asciiTheme="minorHAnsi" w:eastAsia="Times New Roman" w:hAnsiTheme="minorHAnsi" w:cstheme="minorHAnsi"/>
                <w:color w:val="000000"/>
                <w:lang w:eastAsia="en-GB"/>
              </w:rPr>
              <w:t>June 20</w:t>
            </w:r>
            <w:r w:rsidR="002429BB" w:rsidRPr="00D412C1">
              <w:rPr>
                <w:rFonts w:asciiTheme="minorHAnsi" w:eastAsia="Times New Roman" w:hAnsiTheme="minorHAnsi" w:cstheme="minorHAnsi"/>
                <w:color w:val="000000"/>
                <w:lang w:eastAsia="en-GB"/>
              </w:rPr>
              <w:t>21</w:t>
            </w:r>
          </w:p>
        </w:tc>
        <w:tc>
          <w:tcPr>
            <w:tcW w:w="2576" w:type="dxa"/>
            <w:tcBorders>
              <w:top w:val="single" w:sz="4" w:space="0" w:color="auto"/>
              <w:left w:val="nil"/>
              <w:bottom w:val="single" w:sz="4" w:space="0" w:color="auto"/>
              <w:right w:val="nil"/>
            </w:tcBorders>
            <w:shd w:val="clear" w:color="auto" w:fill="auto"/>
            <w:vAlign w:val="center"/>
            <w:hideMark/>
          </w:tcPr>
          <w:p w14:paraId="2FDFF490" w14:textId="0C21874D" w:rsidR="00BD4FF0" w:rsidRPr="00D412C1" w:rsidRDefault="00CF6F3C" w:rsidP="007849DA">
            <w:pPr>
              <w:jc w:val="right"/>
              <w:rPr>
                <w:rFonts w:asciiTheme="minorHAnsi" w:eastAsia="Times New Roman" w:hAnsiTheme="minorHAnsi" w:cstheme="minorHAnsi"/>
                <w:color w:val="000000"/>
                <w:lang w:eastAsia="en-GB"/>
              </w:rPr>
            </w:pPr>
            <w:r w:rsidRPr="00D412C1">
              <w:rPr>
                <w:rFonts w:asciiTheme="minorHAnsi" w:eastAsia="Times New Roman" w:hAnsiTheme="minorHAnsi" w:cstheme="minorHAnsi"/>
                <w:color w:val="000000"/>
                <w:lang w:eastAsia="en-GB"/>
              </w:rPr>
              <w:t>365,068,048</w:t>
            </w:r>
          </w:p>
        </w:tc>
        <w:tc>
          <w:tcPr>
            <w:tcW w:w="2576" w:type="dxa"/>
            <w:tcBorders>
              <w:top w:val="single" w:sz="4" w:space="0" w:color="auto"/>
              <w:left w:val="nil"/>
              <w:bottom w:val="single" w:sz="4" w:space="0" w:color="auto"/>
              <w:right w:val="nil"/>
            </w:tcBorders>
            <w:shd w:val="clear" w:color="auto" w:fill="auto"/>
            <w:vAlign w:val="center"/>
            <w:hideMark/>
          </w:tcPr>
          <w:p w14:paraId="3DB5FA1A" w14:textId="4ECCF2B9" w:rsidR="00BD4FF0" w:rsidRPr="00D412C1" w:rsidRDefault="00FE77F7" w:rsidP="007849DA">
            <w:pPr>
              <w:jc w:val="right"/>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486</w:t>
            </w:r>
            <w:r w:rsidRPr="00D412C1">
              <w:rPr>
                <w:rFonts w:asciiTheme="minorHAnsi" w:eastAsia="Times New Roman" w:hAnsiTheme="minorHAnsi" w:cstheme="minorHAnsi"/>
                <w:color w:val="000000"/>
                <w:lang w:eastAsia="en-GB"/>
              </w:rPr>
              <w:t xml:space="preserve"> </w:t>
            </w:r>
          </w:p>
        </w:tc>
      </w:tr>
    </w:tbl>
    <w:p w14:paraId="73F8C416" w14:textId="77777777" w:rsidR="004C18D5" w:rsidRPr="00D412C1" w:rsidRDefault="00375853" w:rsidP="004C18D5">
      <w:pPr>
        <w:pStyle w:val="Heading2"/>
        <w:spacing w:after="120"/>
        <w:rPr>
          <w:rFonts w:asciiTheme="minorHAnsi" w:hAnsiTheme="minorHAnsi" w:cstheme="minorHAnsi"/>
          <w:i w:val="0"/>
          <w:iCs w:val="0"/>
          <w:sz w:val="24"/>
          <w:szCs w:val="24"/>
        </w:rPr>
      </w:pPr>
      <w:r w:rsidRPr="00D412C1">
        <w:rPr>
          <w:rFonts w:asciiTheme="minorHAnsi" w:hAnsiTheme="minorHAnsi" w:cstheme="minorHAnsi"/>
          <w:i w:val="0"/>
          <w:iCs w:val="0"/>
          <w:sz w:val="24"/>
          <w:szCs w:val="24"/>
        </w:rPr>
        <w:t>6</w:t>
      </w:r>
      <w:r w:rsidR="00C33D5F" w:rsidRPr="00D412C1">
        <w:rPr>
          <w:rFonts w:asciiTheme="minorHAnsi" w:hAnsiTheme="minorHAnsi" w:cstheme="minorHAnsi"/>
          <w:i w:val="0"/>
          <w:iCs w:val="0"/>
          <w:sz w:val="24"/>
          <w:szCs w:val="24"/>
        </w:rPr>
        <w:t>.  Post balance sheet events</w:t>
      </w:r>
    </w:p>
    <w:p w14:paraId="3B1476B5" w14:textId="36E45B6A" w:rsidR="00FE5A72" w:rsidRDefault="007849DA" w:rsidP="00076671">
      <w:pPr>
        <w:jc w:val="both"/>
        <w:rPr>
          <w:rFonts w:asciiTheme="minorHAnsi" w:hAnsiTheme="minorHAnsi" w:cstheme="minorHAnsi"/>
          <w:lang w:eastAsia="en-US"/>
        </w:rPr>
      </w:pPr>
      <w:r>
        <w:rPr>
          <w:rFonts w:asciiTheme="minorHAnsi" w:hAnsiTheme="minorHAnsi" w:cstheme="minorHAnsi"/>
          <w:lang w:eastAsia="en-US"/>
        </w:rPr>
        <w:t xml:space="preserve">In July 2021, </w:t>
      </w:r>
      <w:r w:rsidR="00FE5A72">
        <w:rPr>
          <w:rFonts w:asciiTheme="minorHAnsi" w:hAnsiTheme="minorHAnsi" w:cstheme="minorHAnsi"/>
          <w:lang w:eastAsia="en-US"/>
        </w:rPr>
        <w:t xml:space="preserve">the company placed </w:t>
      </w:r>
      <w:r>
        <w:rPr>
          <w:rFonts w:asciiTheme="minorHAnsi" w:hAnsiTheme="minorHAnsi" w:cstheme="minorHAnsi"/>
          <w:lang w:eastAsia="en-US"/>
        </w:rPr>
        <w:t>3</w:t>
      </w:r>
      <w:r w:rsidR="00467CDF">
        <w:rPr>
          <w:rFonts w:asciiTheme="minorHAnsi" w:hAnsiTheme="minorHAnsi" w:cstheme="minorHAnsi"/>
          <w:lang w:eastAsia="en-US"/>
        </w:rPr>
        <w:t>6</w:t>
      </w:r>
      <w:r>
        <w:rPr>
          <w:rFonts w:asciiTheme="minorHAnsi" w:hAnsiTheme="minorHAnsi" w:cstheme="minorHAnsi"/>
          <w:lang w:eastAsia="en-US"/>
        </w:rPr>
        <w:t>,</w:t>
      </w:r>
      <w:r w:rsidR="00467CDF">
        <w:rPr>
          <w:rFonts w:asciiTheme="minorHAnsi" w:hAnsiTheme="minorHAnsi" w:cstheme="minorHAnsi"/>
          <w:lang w:eastAsia="en-US"/>
        </w:rPr>
        <w:t>363,638</w:t>
      </w:r>
      <w:r>
        <w:rPr>
          <w:rFonts w:asciiTheme="minorHAnsi" w:hAnsiTheme="minorHAnsi" w:cstheme="minorHAnsi"/>
          <w:lang w:eastAsia="en-US"/>
        </w:rPr>
        <w:t xml:space="preserve"> new ordinary shares were issued at a price of 5.5 pence, raising gross funds of US$2,</w:t>
      </w:r>
      <w:r w:rsidR="00467CDF">
        <w:rPr>
          <w:rFonts w:asciiTheme="minorHAnsi" w:hAnsiTheme="minorHAnsi" w:cstheme="minorHAnsi"/>
          <w:lang w:eastAsia="en-US"/>
        </w:rPr>
        <w:t>738</w:t>
      </w:r>
      <w:r>
        <w:rPr>
          <w:rFonts w:asciiTheme="minorHAnsi" w:hAnsiTheme="minorHAnsi" w:cstheme="minorHAnsi"/>
          <w:lang w:eastAsia="en-US"/>
        </w:rPr>
        <w:t>,000</w:t>
      </w:r>
      <w:r w:rsidR="00FE5A72">
        <w:rPr>
          <w:rFonts w:asciiTheme="minorHAnsi" w:hAnsiTheme="minorHAnsi" w:cstheme="minorHAnsi"/>
          <w:lang w:eastAsia="en-US"/>
        </w:rPr>
        <w:t xml:space="preserve"> (£</w:t>
      </w:r>
      <w:r w:rsidR="00467CDF">
        <w:rPr>
          <w:rFonts w:asciiTheme="minorHAnsi" w:hAnsiTheme="minorHAnsi" w:cstheme="minorHAnsi"/>
          <w:lang w:eastAsia="en-US"/>
        </w:rPr>
        <w:t>2</w:t>
      </w:r>
      <w:r w:rsidR="00FE5A72">
        <w:rPr>
          <w:rFonts w:asciiTheme="minorHAnsi" w:hAnsiTheme="minorHAnsi" w:cstheme="minorHAnsi"/>
          <w:lang w:eastAsia="en-US"/>
        </w:rPr>
        <w:t>,</w:t>
      </w:r>
      <w:r w:rsidR="00467CDF">
        <w:rPr>
          <w:rFonts w:asciiTheme="minorHAnsi" w:hAnsiTheme="minorHAnsi" w:cstheme="minorHAnsi"/>
          <w:lang w:eastAsia="en-US"/>
        </w:rPr>
        <w:t>000</w:t>
      </w:r>
      <w:r w:rsidR="00FE5A72">
        <w:rPr>
          <w:rFonts w:asciiTheme="minorHAnsi" w:hAnsiTheme="minorHAnsi" w:cstheme="minorHAnsi"/>
          <w:lang w:eastAsia="en-US"/>
        </w:rPr>
        <w:t>,000)</w:t>
      </w:r>
      <w:r>
        <w:rPr>
          <w:rFonts w:asciiTheme="minorHAnsi" w:hAnsiTheme="minorHAnsi" w:cstheme="minorHAnsi"/>
          <w:lang w:eastAsia="en-US"/>
        </w:rPr>
        <w:t>. A one-for-one warrant was issued to al</w:t>
      </w:r>
      <w:r w:rsidR="00467CDF">
        <w:rPr>
          <w:rFonts w:asciiTheme="minorHAnsi" w:hAnsiTheme="minorHAnsi" w:cstheme="minorHAnsi"/>
          <w:lang w:eastAsia="en-US"/>
        </w:rPr>
        <w:t>l</w:t>
      </w:r>
      <w:r>
        <w:rPr>
          <w:rFonts w:asciiTheme="minorHAnsi" w:hAnsiTheme="minorHAnsi" w:cstheme="minorHAnsi"/>
          <w:lang w:eastAsia="en-US"/>
        </w:rPr>
        <w:t xml:space="preserve"> placing participants, exercisable at 8.5 pence per shares for a period of two years.</w:t>
      </w:r>
      <w:r w:rsidR="00467CDF">
        <w:rPr>
          <w:rFonts w:asciiTheme="minorHAnsi" w:hAnsiTheme="minorHAnsi" w:cstheme="minorHAnsi"/>
          <w:lang w:eastAsia="en-US"/>
        </w:rPr>
        <w:t xml:space="preserve"> </w:t>
      </w:r>
      <w:r w:rsidR="00FE5A72">
        <w:rPr>
          <w:rFonts w:asciiTheme="minorHAnsi" w:hAnsiTheme="minorHAnsi" w:cstheme="minorHAnsi"/>
          <w:lang w:eastAsia="en-US"/>
        </w:rPr>
        <w:t xml:space="preserve">Ben Turney and Mike Moles, Directors of the Company, participated in </w:t>
      </w:r>
      <w:r w:rsidR="00467CDF">
        <w:rPr>
          <w:rFonts w:asciiTheme="minorHAnsi" w:hAnsiTheme="minorHAnsi" w:cstheme="minorHAnsi"/>
          <w:lang w:eastAsia="en-US"/>
        </w:rPr>
        <w:t>the</w:t>
      </w:r>
      <w:r w:rsidR="00FE5A72">
        <w:rPr>
          <w:rFonts w:asciiTheme="minorHAnsi" w:hAnsiTheme="minorHAnsi" w:cstheme="minorHAnsi"/>
          <w:lang w:eastAsia="en-US"/>
        </w:rPr>
        <w:t xml:space="preserve"> subscription </w:t>
      </w:r>
      <w:proofErr w:type="gramStart"/>
      <w:r w:rsidR="00FE5A72">
        <w:rPr>
          <w:rFonts w:asciiTheme="minorHAnsi" w:hAnsiTheme="minorHAnsi" w:cstheme="minorHAnsi"/>
          <w:lang w:eastAsia="en-US"/>
        </w:rPr>
        <w:t>and also</w:t>
      </w:r>
      <w:proofErr w:type="gramEnd"/>
      <w:r w:rsidR="00FE5A72">
        <w:rPr>
          <w:rFonts w:asciiTheme="minorHAnsi" w:hAnsiTheme="minorHAnsi" w:cstheme="minorHAnsi"/>
          <w:lang w:eastAsia="en-US"/>
        </w:rPr>
        <w:t xml:space="preserve"> received one-for-one warrants on the same terms as above, subject to certain acceleration clauses. </w:t>
      </w:r>
    </w:p>
    <w:p w14:paraId="4FF5D2EB" w14:textId="24A9603B" w:rsidR="00FE5A72" w:rsidRDefault="00FE5A72" w:rsidP="00076671">
      <w:pPr>
        <w:jc w:val="both"/>
        <w:rPr>
          <w:rFonts w:asciiTheme="minorHAnsi" w:hAnsiTheme="minorHAnsi" w:cstheme="minorHAnsi"/>
          <w:lang w:eastAsia="en-US"/>
        </w:rPr>
      </w:pPr>
    </w:p>
    <w:p w14:paraId="6EB10903" w14:textId="6D8C6111" w:rsidR="00FE5A72" w:rsidRDefault="00FE5A72" w:rsidP="00076671">
      <w:pPr>
        <w:jc w:val="both"/>
        <w:rPr>
          <w:rFonts w:asciiTheme="minorHAnsi" w:hAnsiTheme="minorHAnsi" w:cstheme="minorHAnsi"/>
          <w:lang w:eastAsia="en-US"/>
        </w:rPr>
      </w:pPr>
      <w:r>
        <w:rPr>
          <w:rFonts w:asciiTheme="minorHAnsi" w:hAnsiTheme="minorHAnsi" w:cstheme="minorHAnsi"/>
          <w:lang w:eastAsia="en-US"/>
        </w:rPr>
        <w:t>In August 2021, Kanye Resources (joint venture held 50/50 with Power Metal Resources plc), completed the acquisition of the 8 new prospecting licences, representing a significant expansion of Kanye’s exploration footprint in the highly prospective Kalahari Copper Belt.</w:t>
      </w:r>
    </w:p>
    <w:p w14:paraId="3CEF1DD4" w14:textId="77777777" w:rsidR="00FE5A72" w:rsidRDefault="00FE5A72" w:rsidP="00076671">
      <w:pPr>
        <w:jc w:val="both"/>
        <w:rPr>
          <w:rFonts w:asciiTheme="minorHAnsi" w:hAnsiTheme="minorHAnsi" w:cstheme="minorHAnsi"/>
          <w:lang w:eastAsia="en-US"/>
        </w:rPr>
      </w:pPr>
    </w:p>
    <w:p w14:paraId="10DD8FA1" w14:textId="18B39886" w:rsidR="00FE5A72" w:rsidRDefault="00FE5A72" w:rsidP="00076671">
      <w:pPr>
        <w:jc w:val="both"/>
        <w:rPr>
          <w:rFonts w:asciiTheme="minorHAnsi" w:hAnsiTheme="minorHAnsi" w:cstheme="minorHAnsi"/>
          <w:lang w:eastAsia="en-US"/>
        </w:rPr>
      </w:pPr>
      <w:r>
        <w:rPr>
          <w:rFonts w:asciiTheme="minorHAnsi" w:hAnsiTheme="minorHAnsi" w:cstheme="minorHAnsi"/>
          <w:lang w:eastAsia="en-US"/>
        </w:rPr>
        <w:t xml:space="preserve">In August 2021, 6,000,000 share options were granted to the senior team in Botswana, 4,500,000 share options were granted to Ben Turney, CEO, and 1,000,000 share options were granted to Hillary Gumbo, Director. </w:t>
      </w:r>
    </w:p>
    <w:p w14:paraId="5E68C982" w14:textId="77777777" w:rsidR="004C18D5" w:rsidRPr="00D412C1" w:rsidRDefault="00375853" w:rsidP="004C18D5">
      <w:pPr>
        <w:pStyle w:val="Heading2"/>
        <w:spacing w:after="120"/>
        <w:rPr>
          <w:rFonts w:asciiTheme="minorHAnsi" w:hAnsiTheme="minorHAnsi" w:cstheme="minorHAnsi"/>
          <w:i w:val="0"/>
          <w:iCs w:val="0"/>
          <w:sz w:val="24"/>
          <w:szCs w:val="24"/>
        </w:rPr>
      </w:pPr>
      <w:r w:rsidRPr="00D412C1">
        <w:rPr>
          <w:rFonts w:asciiTheme="minorHAnsi" w:hAnsiTheme="minorHAnsi" w:cstheme="minorHAnsi"/>
          <w:i w:val="0"/>
          <w:iCs w:val="0"/>
          <w:sz w:val="24"/>
          <w:szCs w:val="24"/>
        </w:rPr>
        <w:t>7</w:t>
      </w:r>
      <w:r w:rsidR="004C18D5" w:rsidRPr="00D412C1">
        <w:rPr>
          <w:rFonts w:asciiTheme="minorHAnsi" w:hAnsiTheme="minorHAnsi" w:cstheme="minorHAnsi"/>
          <w:i w:val="0"/>
          <w:iCs w:val="0"/>
          <w:sz w:val="24"/>
          <w:szCs w:val="24"/>
        </w:rPr>
        <w:t>.  Other matters</w:t>
      </w:r>
    </w:p>
    <w:p w14:paraId="75076322" w14:textId="0806E3C0" w:rsidR="004C18D5" w:rsidRPr="00D412C1" w:rsidRDefault="004C18D5" w:rsidP="004C18D5">
      <w:pPr>
        <w:spacing w:before="120" w:after="120"/>
        <w:jc w:val="both"/>
        <w:rPr>
          <w:rFonts w:asciiTheme="minorHAnsi" w:hAnsiTheme="minorHAnsi" w:cstheme="minorHAnsi"/>
        </w:rPr>
      </w:pPr>
      <w:r w:rsidRPr="00D412C1">
        <w:rPr>
          <w:rFonts w:asciiTheme="minorHAnsi" w:hAnsiTheme="minorHAnsi" w:cstheme="minorHAnsi"/>
        </w:rPr>
        <w:t xml:space="preserve">The condensed consolidated interim financial statements set out above do not constitute the Group’s statutory accounts for the period ended </w:t>
      </w:r>
      <w:r w:rsidR="00471825" w:rsidRPr="00D412C1">
        <w:rPr>
          <w:rFonts w:asciiTheme="minorHAnsi" w:hAnsiTheme="minorHAnsi" w:cstheme="minorHAnsi"/>
        </w:rPr>
        <w:t>31 December 202</w:t>
      </w:r>
      <w:r w:rsidR="002429BB" w:rsidRPr="00D412C1">
        <w:rPr>
          <w:rFonts w:asciiTheme="minorHAnsi" w:hAnsiTheme="minorHAnsi" w:cstheme="minorHAnsi"/>
        </w:rPr>
        <w:t>1</w:t>
      </w:r>
      <w:r w:rsidR="00471825" w:rsidRPr="00D412C1">
        <w:rPr>
          <w:rFonts w:asciiTheme="minorHAnsi" w:hAnsiTheme="minorHAnsi" w:cstheme="minorHAnsi"/>
        </w:rPr>
        <w:t xml:space="preserve"> </w:t>
      </w:r>
      <w:r w:rsidRPr="00D412C1">
        <w:rPr>
          <w:rFonts w:asciiTheme="minorHAnsi" w:hAnsiTheme="minorHAnsi" w:cstheme="minorHAnsi"/>
        </w:rPr>
        <w:t>or for earlier periods</w:t>
      </w:r>
      <w:r w:rsidR="002429BB" w:rsidRPr="00D412C1">
        <w:rPr>
          <w:rFonts w:asciiTheme="minorHAnsi" w:hAnsiTheme="minorHAnsi" w:cstheme="minorHAnsi"/>
        </w:rPr>
        <w:t xml:space="preserve"> </w:t>
      </w:r>
      <w:r w:rsidRPr="00D412C1">
        <w:rPr>
          <w:rFonts w:asciiTheme="minorHAnsi" w:hAnsiTheme="minorHAnsi" w:cstheme="minorHAnsi"/>
        </w:rPr>
        <w:t xml:space="preserve">but </w:t>
      </w:r>
      <w:r w:rsidR="00D23E3D" w:rsidRPr="00D412C1">
        <w:rPr>
          <w:rFonts w:asciiTheme="minorHAnsi" w:hAnsiTheme="minorHAnsi" w:cstheme="minorHAnsi"/>
        </w:rPr>
        <w:t>are</w:t>
      </w:r>
      <w:r w:rsidRPr="00D412C1">
        <w:rPr>
          <w:rFonts w:asciiTheme="minorHAnsi" w:hAnsiTheme="minorHAnsi" w:cstheme="minorHAnsi"/>
        </w:rPr>
        <w:t xml:space="preserve"> derived from those accounts where applicable.</w:t>
      </w:r>
    </w:p>
    <w:p w14:paraId="333AEAA5" w14:textId="27888CA2" w:rsidR="00DF6B2E" w:rsidRPr="00D412C1" w:rsidRDefault="00DF6B2E" w:rsidP="00C974DF">
      <w:pPr>
        <w:spacing w:before="120" w:after="120"/>
        <w:rPr>
          <w:rFonts w:asciiTheme="minorHAnsi" w:hAnsiTheme="minorHAnsi" w:cstheme="minorHAnsi"/>
        </w:rPr>
      </w:pPr>
      <w:bookmarkStart w:id="5" w:name="RANGE!A3:D16"/>
      <w:bookmarkEnd w:id="5"/>
      <w:r w:rsidRPr="00D412C1">
        <w:rPr>
          <w:rFonts w:asciiTheme="minorHAnsi" w:hAnsiTheme="minorHAnsi" w:cstheme="minorHAnsi"/>
        </w:rPr>
        <w:t xml:space="preserve">A copy of </w:t>
      </w:r>
      <w:r w:rsidR="00F6532D" w:rsidRPr="00D412C1">
        <w:rPr>
          <w:rFonts w:asciiTheme="minorHAnsi" w:hAnsiTheme="minorHAnsi" w:cstheme="minorHAnsi"/>
        </w:rPr>
        <w:t xml:space="preserve">these </w:t>
      </w:r>
      <w:r w:rsidRPr="00D412C1">
        <w:rPr>
          <w:rFonts w:asciiTheme="minorHAnsi" w:hAnsiTheme="minorHAnsi" w:cstheme="minorHAnsi"/>
        </w:rPr>
        <w:t xml:space="preserve">interim </w:t>
      </w:r>
      <w:r w:rsidR="00F6532D" w:rsidRPr="00D412C1">
        <w:rPr>
          <w:rFonts w:asciiTheme="minorHAnsi" w:hAnsiTheme="minorHAnsi" w:cstheme="minorHAnsi"/>
        </w:rPr>
        <w:t xml:space="preserve">financial </w:t>
      </w:r>
      <w:r w:rsidRPr="00D412C1">
        <w:rPr>
          <w:rFonts w:asciiTheme="minorHAnsi" w:hAnsiTheme="minorHAnsi" w:cstheme="minorHAnsi"/>
        </w:rPr>
        <w:t>statement</w:t>
      </w:r>
      <w:r w:rsidR="00F6532D" w:rsidRPr="00D412C1">
        <w:rPr>
          <w:rFonts w:asciiTheme="minorHAnsi" w:hAnsiTheme="minorHAnsi" w:cstheme="minorHAnsi"/>
        </w:rPr>
        <w:t>s</w:t>
      </w:r>
      <w:r w:rsidRPr="00D412C1">
        <w:rPr>
          <w:rFonts w:asciiTheme="minorHAnsi" w:hAnsiTheme="minorHAnsi" w:cstheme="minorHAnsi"/>
        </w:rPr>
        <w:t xml:space="preserve"> </w:t>
      </w:r>
      <w:r w:rsidR="006B7477">
        <w:rPr>
          <w:rFonts w:asciiTheme="minorHAnsi" w:hAnsiTheme="minorHAnsi" w:cstheme="minorHAnsi"/>
        </w:rPr>
        <w:t>is</w:t>
      </w:r>
      <w:r w:rsidR="006B7477" w:rsidRPr="00D412C1">
        <w:rPr>
          <w:rFonts w:asciiTheme="minorHAnsi" w:hAnsiTheme="minorHAnsi" w:cstheme="minorHAnsi"/>
        </w:rPr>
        <w:t xml:space="preserve"> </w:t>
      </w:r>
      <w:r w:rsidRPr="00D412C1">
        <w:rPr>
          <w:rFonts w:asciiTheme="minorHAnsi" w:hAnsiTheme="minorHAnsi" w:cstheme="minorHAnsi"/>
        </w:rPr>
        <w:t xml:space="preserve">available on </w:t>
      </w:r>
      <w:proofErr w:type="spellStart"/>
      <w:r w:rsidR="0066617E" w:rsidRPr="00D412C1">
        <w:rPr>
          <w:rFonts w:asciiTheme="minorHAnsi" w:hAnsiTheme="minorHAnsi" w:cstheme="minorHAnsi"/>
        </w:rPr>
        <w:t>Kavango</w:t>
      </w:r>
      <w:r w:rsidRPr="00D412C1">
        <w:rPr>
          <w:rFonts w:asciiTheme="minorHAnsi" w:hAnsiTheme="minorHAnsi" w:cstheme="minorHAnsi"/>
        </w:rPr>
        <w:t>’s</w:t>
      </w:r>
      <w:proofErr w:type="spellEnd"/>
      <w:r w:rsidRPr="00D412C1">
        <w:rPr>
          <w:rFonts w:asciiTheme="minorHAnsi" w:hAnsiTheme="minorHAnsi" w:cstheme="minorHAnsi"/>
        </w:rPr>
        <w:t xml:space="preserve"> website: </w:t>
      </w:r>
      <w:hyperlink r:id="rId10" w:history="1">
        <w:r w:rsidR="00F6532D" w:rsidRPr="00D412C1">
          <w:rPr>
            <w:rStyle w:val="Hyperlink"/>
            <w:rFonts w:asciiTheme="minorHAnsi" w:hAnsiTheme="minorHAnsi" w:cstheme="minorHAnsi"/>
          </w:rPr>
          <w:t>www.kavangoresources.com</w:t>
        </w:r>
      </w:hyperlink>
      <w:r w:rsidR="00F6532D" w:rsidRPr="00D412C1">
        <w:rPr>
          <w:rFonts w:asciiTheme="minorHAnsi" w:hAnsiTheme="minorHAnsi" w:cstheme="minorHAnsi"/>
        </w:rPr>
        <w:t xml:space="preserve"> </w:t>
      </w:r>
      <w:r w:rsidRPr="00D412C1">
        <w:rPr>
          <w:rFonts w:asciiTheme="minorHAnsi" w:hAnsiTheme="minorHAnsi" w:cstheme="minorHAnsi"/>
        </w:rPr>
        <w:t xml:space="preserve"> </w:t>
      </w:r>
    </w:p>
    <w:sectPr w:rsidR="00DF6B2E" w:rsidRPr="00D412C1" w:rsidSect="00AE0CD8">
      <w:headerReference w:type="default" r:id="rId11"/>
      <w:pgSz w:w="11907" w:h="16840" w:code="9"/>
      <w:pgMar w:top="567" w:right="1134" w:bottom="1134" w:left="1134"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0531B" w14:textId="77777777" w:rsidR="009A6C57" w:rsidRDefault="009A6C57">
      <w:pPr>
        <w:pStyle w:val="Heading2"/>
      </w:pPr>
      <w:r>
        <w:separator/>
      </w:r>
    </w:p>
  </w:endnote>
  <w:endnote w:type="continuationSeparator" w:id="0">
    <w:p w14:paraId="1F0F73CE" w14:textId="77777777" w:rsidR="009A6C57" w:rsidRDefault="009A6C57">
      <w:pPr>
        <w:pStyle w:val="Head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TimesNewRomanPS-BoldMT">
    <w:charset w:val="00"/>
    <w:family w:val="roman"/>
    <w:pitch w:val="variable"/>
    <w:sig w:usb0="E0002AEF" w:usb1="C0007841" w:usb2="00000009" w:usb3="00000000" w:csb0="000001FF" w:csb1="00000000"/>
  </w:font>
  <w:font w:name="TimesNewRomanPSMT">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85B4" w14:textId="77777777" w:rsidR="0051483D" w:rsidRDefault="0051483D" w:rsidP="00872860">
    <w:pPr>
      <w:pStyle w:val="Footer"/>
      <w:tabs>
        <w:tab w:val="clear" w:pos="8640"/>
        <w:tab w:val="right" w:pos="99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A6F43" w14:textId="77777777" w:rsidR="009A6C57" w:rsidRDefault="009A6C57">
      <w:pPr>
        <w:pStyle w:val="Heading2"/>
      </w:pPr>
      <w:r>
        <w:separator/>
      </w:r>
    </w:p>
  </w:footnote>
  <w:footnote w:type="continuationSeparator" w:id="0">
    <w:p w14:paraId="7EFA052F" w14:textId="77777777" w:rsidR="009A6C57" w:rsidRDefault="009A6C57">
      <w:pPr>
        <w:pStyle w:val="Head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BB18" w14:textId="77777777" w:rsidR="0051483D" w:rsidRDefault="00514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A2A42C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61FE3"/>
    <w:multiLevelType w:val="hybridMultilevel"/>
    <w:tmpl w:val="0C50D1AE"/>
    <w:lvl w:ilvl="0" w:tplc="C5A25B60">
      <w:start w:val="8"/>
      <w:numFmt w:val="decimal"/>
      <w:lvlText w:val="%1."/>
      <w:lvlJc w:val="left"/>
      <w:pPr>
        <w:tabs>
          <w:tab w:val="num" w:pos="765"/>
        </w:tabs>
        <w:ind w:left="765" w:hanging="4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327523"/>
    <w:multiLevelType w:val="hybridMultilevel"/>
    <w:tmpl w:val="0414E71A"/>
    <w:lvl w:ilvl="0" w:tplc="C410132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574673E"/>
    <w:multiLevelType w:val="hybridMultilevel"/>
    <w:tmpl w:val="F8100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81D726C"/>
    <w:multiLevelType w:val="hybridMultilevel"/>
    <w:tmpl w:val="AFAA7A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8F67197"/>
    <w:multiLevelType w:val="multilevel"/>
    <w:tmpl w:val="8F7AC0D0"/>
    <w:lvl w:ilvl="0">
      <w:start w:val="1"/>
      <w:numFmt w:val="bullet"/>
      <w:lvlText w:val=""/>
      <w:lvlJc w:val="left"/>
      <w:pPr>
        <w:tabs>
          <w:tab w:val="num" w:pos="473"/>
        </w:tabs>
        <w:ind w:left="11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3F69CD"/>
    <w:multiLevelType w:val="hybridMultilevel"/>
    <w:tmpl w:val="45042E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B747FC5"/>
    <w:multiLevelType w:val="hybridMultilevel"/>
    <w:tmpl w:val="D780F628"/>
    <w:lvl w:ilvl="0" w:tplc="10B2DAD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F544528"/>
    <w:multiLevelType w:val="hybridMultilevel"/>
    <w:tmpl w:val="873C8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77E1C"/>
    <w:multiLevelType w:val="hybridMultilevel"/>
    <w:tmpl w:val="E12268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B2EBC"/>
    <w:multiLevelType w:val="hybridMultilevel"/>
    <w:tmpl w:val="30C2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3A770B"/>
    <w:multiLevelType w:val="hybridMultilevel"/>
    <w:tmpl w:val="00F0558A"/>
    <w:lvl w:ilvl="0" w:tplc="806A097A">
      <w:start w:val="169"/>
      <w:numFmt w:val="bullet"/>
      <w:lvlText w:val="-"/>
      <w:lvlJc w:val="left"/>
      <w:pPr>
        <w:ind w:left="400" w:hanging="360"/>
      </w:pPr>
      <w:rPr>
        <w:rFonts w:ascii="Calibri" w:eastAsia="Times New Roman" w:hAnsi="Calibri" w:cs="Aria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2" w15:restartNumberingAfterBreak="0">
    <w:nsid w:val="1F9F46D3"/>
    <w:multiLevelType w:val="hybridMultilevel"/>
    <w:tmpl w:val="81D8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032F43"/>
    <w:multiLevelType w:val="hybridMultilevel"/>
    <w:tmpl w:val="4F06F232"/>
    <w:lvl w:ilvl="0" w:tplc="2624AB7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A861EAB"/>
    <w:multiLevelType w:val="hybridMultilevel"/>
    <w:tmpl w:val="582C0148"/>
    <w:lvl w:ilvl="0" w:tplc="836685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96070A"/>
    <w:multiLevelType w:val="multilevel"/>
    <w:tmpl w:val="45042E5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59C65F7"/>
    <w:multiLevelType w:val="hybridMultilevel"/>
    <w:tmpl w:val="E74E5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A366B2"/>
    <w:multiLevelType w:val="multilevel"/>
    <w:tmpl w:val="45042E5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5F06A76"/>
    <w:multiLevelType w:val="hybridMultilevel"/>
    <w:tmpl w:val="22AC95AE"/>
    <w:lvl w:ilvl="0" w:tplc="08090001">
      <w:start w:val="1"/>
      <w:numFmt w:val="bullet"/>
      <w:lvlText w:val=""/>
      <w:lvlJc w:val="left"/>
      <w:pPr>
        <w:ind w:left="371" w:hanging="360"/>
      </w:pPr>
      <w:rPr>
        <w:rFonts w:ascii="Symbol" w:hAnsi="Symbol" w:hint="default"/>
      </w:rPr>
    </w:lvl>
    <w:lvl w:ilvl="1" w:tplc="08090003">
      <w:start w:val="1"/>
      <w:numFmt w:val="bullet"/>
      <w:lvlText w:val="o"/>
      <w:lvlJc w:val="left"/>
      <w:pPr>
        <w:ind w:left="1091" w:hanging="360"/>
      </w:pPr>
      <w:rPr>
        <w:rFonts w:ascii="Courier New" w:hAnsi="Courier New" w:cs="Courier New" w:hint="default"/>
      </w:rPr>
    </w:lvl>
    <w:lvl w:ilvl="2" w:tplc="08090005">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9" w15:restartNumberingAfterBreak="0">
    <w:nsid w:val="36BC7E9A"/>
    <w:multiLevelType w:val="hybridMultilevel"/>
    <w:tmpl w:val="6E9A6CCC"/>
    <w:lvl w:ilvl="0" w:tplc="28C8F0A4">
      <w:start w:val="3"/>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ABA4455"/>
    <w:multiLevelType w:val="hybridMultilevel"/>
    <w:tmpl w:val="4776C9FA"/>
    <w:lvl w:ilvl="0" w:tplc="C204A6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D47CF3"/>
    <w:multiLevelType w:val="hybridMultilevel"/>
    <w:tmpl w:val="19AADF48"/>
    <w:lvl w:ilvl="0" w:tplc="C778F322">
      <w:start w:val="30"/>
      <w:numFmt w:val="bullet"/>
      <w:lvlText w:val="-"/>
      <w:lvlJc w:val="left"/>
      <w:pPr>
        <w:tabs>
          <w:tab w:val="num" w:pos="720"/>
        </w:tabs>
        <w:ind w:left="720" w:hanging="360"/>
      </w:pPr>
      <w:rPr>
        <w:rFonts w:ascii="Times New Roman" w:eastAsia="MS Mincho"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1879A1"/>
    <w:multiLevelType w:val="hybridMultilevel"/>
    <w:tmpl w:val="7ED8BB72"/>
    <w:lvl w:ilvl="0" w:tplc="B618492C">
      <w:start w:val="27"/>
      <w:numFmt w:val="bullet"/>
      <w:lvlText w:val="-"/>
      <w:lvlJc w:val="left"/>
      <w:pPr>
        <w:ind w:left="720" w:hanging="360"/>
      </w:pPr>
      <w:rPr>
        <w:rFonts w:ascii="Calibri" w:eastAsia="MS Mincho"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5231026"/>
    <w:multiLevelType w:val="hybridMultilevel"/>
    <w:tmpl w:val="60BE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3D2DA9"/>
    <w:multiLevelType w:val="hybridMultilevel"/>
    <w:tmpl w:val="87E4AA44"/>
    <w:lvl w:ilvl="0" w:tplc="FA065FB8">
      <w:numFmt w:val="bullet"/>
      <w:lvlText w:val="•"/>
      <w:lvlJc w:val="left"/>
      <w:pPr>
        <w:ind w:left="1080" w:hanging="72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6E6E48"/>
    <w:multiLevelType w:val="multilevel"/>
    <w:tmpl w:val="45042E5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8D0098D"/>
    <w:multiLevelType w:val="hybridMultilevel"/>
    <w:tmpl w:val="1F58FCC6"/>
    <w:lvl w:ilvl="0" w:tplc="10B2DAD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9D36476"/>
    <w:multiLevelType w:val="hybridMultilevel"/>
    <w:tmpl w:val="AC3E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084AA9"/>
    <w:multiLevelType w:val="hybridMultilevel"/>
    <w:tmpl w:val="04F8115E"/>
    <w:lvl w:ilvl="0" w:tplc="10B2DAD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E1531F0"/>
    <w:multiLevelType w:val="hybridMultilevel"/>
    <w:tmpl w:val="884A0132"/>
    <w:lvl w:ilvl="0" w:tplc="CB2012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B31755"/>
    <w:multiLevelType w:val="hybridMultilevel"/>
    <w:tmpl w:val="F6BEA3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4836EE2"/>
    <w:multiLevelType w:val="multilevel"/>
    <w:tmpl w:val="8F7AC0D0"/>
    <w:lvl w:ilvl="0">
      <w:start w:val="1"/>
      <w:numFmt w:val="bullet"/>
      <w:lvlText w:val=""/>
      <w:lvlJc w:val="left"/>
      <w:pPr>
        <w:tabs>
          <w:tab w:val="num" w:pos="473"/>
        </w:tabs>
        <w:ind w:left="11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0D258D"/>
    <w:multiLevelType w:val="hybridMultilevel"/>
    <w:tmpl w:val="573295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661026A"/>
    <w:multiLevelType w:val="multilevel"/>
    <w:tmpl w:val="45042E5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7731833"/>
    <w:multiLevelType w:val="hybridMultilevel"/>
    <w:tmpl w:val="46C4383E"/>
    <w:lvl w:ilvl="0" w:tplc="FA065FB8">
      <w:numFmt w:val="bullet"/>
      <w:lvlText w:val="•"/>
      <w:lvlJc w:val="left"/>
      <w:pPr>
        <w:ind w:left="720" w:hanging="720"/>
      </w:pPr>
      <w:rPr>
        <w:rFonts w:ascii="Calibri" w:eastAsia="MS Mincho"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825539A"/>
    <w:multiLevelType w:val="hybridMultilevel"/>
    <w:tmpl w:val="06903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8E21490"/>
    <w:multiLevelType w:val="hybridMultilevel"/>
    <w:tmpl w:val="0DCE05B0"/>
    <w:lvl w:ilvl="0" w:tplc="10B2DAD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A4B498F"/>
    <w:multiLevelType w:val="hybridMultilevel"/>
    <w:tmpl w:val="FF5025CA"/>
    <w:lvl w:ilvl="0" w:tplc="B872A6AE">
      <w:start w:val="1"/>
      <w:numFmt w:val="lowerRoman"/>
      <w:lvlText w:val="(%1)"/>
      <w:lvlJc w:val="left"/>
      <w:pPr>
        <w:ind w:left="1160" w:hanging="720"/>
      </w:pPr>
      <w:rPr>
        <w:rFonts w:hint="default"/>
      </w:r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38" w15:restartNumberingAfterBreak="0">
    <w:nsid w:val="61C20826"/>
    <w:multiLevelType w:val="hybridMultilevel"/>
    <w:tmpl w:val="C338D55C"/>
    <w:lvl w:ilvl="0" w:tplc="DEF4B5B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9" w15:restartNumberingAfterBreak="0">
    <w:nsid w:val="674E6C58"/>
    <w:multiLevelType w:val="hybridMultilevel"/>
    <w:tmpl w:val="52BA4170"/>
    <w:lvl w:ilvl="0" w:tplc="E2C2C26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6F0F59B5"/>
    <w:multiLevelType w:val="hybridMultilevel"/>
    <w:tmpl w:val="80FCDFF4"/>
    <w:lvl w:ilvl="0" w:tplc="10B2DAD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1ED5AAC"/>
    <w:multiLevelType w:val="hybridMultilevel"/>
    <w:tmpl w:val="8F7AC0D0"/>
    <w:lvl w:ilvl="0" w:tplc="1310A56C">
      <w:start w:val="1"/>
      <w:numFmt w:val="bullet"/>
      <w:lvlText w:val=""/>
      <w:lvlJc w:val="left"/>
      <w:pPr>
        <w:tabs>
          <w:tab w:val="num" w:pos="473"/>
        </w:tabs>
        <w:ind w:left="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A21C91"/>
    <w:multiLevelType w:val="hybridMultilevel"/>
    <w:tmpl w:val="00284336"/>
    <w:lvl w:ilvl="0" w:tplc="E4C04192">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6E46380"/>
    <w:multiLevelType w:val="hybridMultilevel"/>
    <w:tmpl w:val="E3501CAE"/>
    <w:lvl w:ilvl="0" w:tplc="8366853E">
      <w:numFmt w:val="bullet"/>
      <w:lvlText w:val="•"/>
      <w:lvlJc w:val="left"/>
      <w:pPr>
        <w:ind w:left="1080" w:hanging="360"/>
      </w:pPr>
      <w:rPr>
        <w:rFonts w:ascii="Times New Roman" w:eastAsia="Times New Roman" w:hAnsi="Times New Roman" w:cs="Times New Roman" w:hint="default"/>
        <w:b/>
      </w:rPr>
    </w:lvl>
    <w:lvl w:ilvl="1" w:tplc="1C2C1ABE">
      <w:numFmt w:val="bullet"/>
      <w:lvlText w:val="·"/>
      <w:lvlJc w:val="left"/>
      <w:pPr>
        <w:ind w:left="1800" w:hanging="360"/>
      </w:pPr>
      <w:rPr>
        <w:rFonts w:ascii="Times New Roman" w:eastAsia="Arial" w:hAnsi="Times New Roman" w:cs="Times New Roman"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C884890"/>
    <w:multiLevelType w:val="multilevel"/>
    <w:tmpl w:val="45042E5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19"/>
  </w:num>
  <w:num w:numId="2">
    <w:abstractNumId w:val="21"/>
  </w:num>
  <w:num w:numId="3">
    <w:abstractNumId w:val="1"/>
  </w:num>
  <w:num w:numId="4">
    <w:abstractNumId w:val="4"/>
  </w:num>
  <w:num w:numId="5">
    <w:abstractNumId w:val="6"/>
  </w:num>
  <w:num w:numId="6">
    <w:abstractNumId w:val="42"/>
  </w:num>
  <w:num w:numId="7">
    <w:abstractNumId w:val="12"/>
  </w:num>
  <w:num w:numId="8">
    <w:abstractNumId w:val="27"/>
  </w:num>
  <w:num w:numId="9">
    <w:abstractNumId w:val="30"/>
  </w:num>
  <w:num w:numId="10">
    <w:abstractNumId w:val="15"/>
  </w:num>
  <w:num w:numId="11">
    <w:abstractNumId w:val="17"/>
  </w:num>
  <w:num w:numId="12">
    <w:abstractNumId w:val="44"/>
  </w:num>
  <w:num w:numId="13">
    <w:abstractNumId w:val="33"/>
  </w:num>
  <w:num w:numId="14">
    <w:abstractNumId w:val="28"/>
  </w:num>
  <w:num w:numId="15">
    <w:abstractNumId w:val="36"/>
  </w:num>
  <w:num w:numId="16">
    <w:abstractNumId w:val="26"/>
  </w:num>
  <w:num w:numId="17">
    <w:abstractNumId w:val="40"/>
  </w:num>
  <w:num w:numId="18">
    <w:abstractNumId w:val="7"/>
  </w:num>
  <w:num w:numId="19">
    <w:abstractNumId w:val="0"/>
  </w:num>
  <w:num w:numId="20">
    <w:abstractNumId w:val="13"/>
  </w:num>
  <w:num w:numId="21">
    <w:abstractNumId w:val="25"/>
  </w:num>
  <w:num w:numId="22">
    <w:abstractNumId w:val="39"/>
  </w:num>
  <w:num w:numId="23">
    <w:abstractNumId w:val="10"/>
  </w:num>
  <w:num w:numId="24">
    <w:abstractNumId w:val="9"/>
  </w:num>
  <w:num w:numId="25">
    <w:abstractNumId w:val="2"/>
  </w:num>
  <w:num w:numId="26">
    <w:abstractNumId w:val="41"/>
  </w:num>
  <w:num w:numId="27">
    <w:abstractNumId w:val="5"/>
  </w:num>
  <w:num w:numId="28">
    <w:abstractNumId w:val="31"/>
  </w:num>
  <w:num w:numId="29">
    <w:abstractNumId w:val="29"/>
  </w:num>
  <w:num w:numId="30">
    <w:abstractNumId w:val="20"/>
  </w:num>
  <w:num w:numId="31">
    <w:abstractNumId w:val="37"/>
  </w:num>
  <w:num w:numId="32">
    <w:abstractNumId w:val="11"/>
  </w:num>
  <w:num w:numId="33">
    <w:abstractNumId w:val="38"/>
  </w:num>
  <w:num w:numId="34">
    <w:abstractNumId w:val="43"/>
  </w:num>
  <w:num w:numId="35">
    <w:abstractNumId w:val="23"/>
  </w:num>
  <w:num w:numId="36">
    <w:abstractNumId w:val="3"/>
  </w:num>
  <w:num w:numId="37">
    <w:abstractNumId w:val="32"/>
  </w:num>
  <w:num w:numId="38">
    <w:abstractNumId w:val="16"/>
  </w:num>
  <w:num w:numId="39">
    <w:abstractNumId w:val="35"/>
  </w:num>
  <w:num w:numId="40">
    <w:abstractNumId w:val="8"/>
  </w:num>
  <w:num w:numId="41">
    <w:abstractNumId w:val="24"/>
  </w:num>
  <w:num w:numId="42">
    <w:abstractNumId w:val="34"/>
  </w:num>
  <w:num w:numId="43">
    <w:abstractNumId w:val="14"/>
  </w:num>
  <w:num w:numId="44">
    <w:abstractNumId w:val="18"/>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1922F2"/>
    <w:rsid w:val="000017AD"/>
    <w:rsid w:val="00002BE9"/>
    <w:rsid w:val="000035CD"/>
    <w:rsid w:val="00004345"/>
    <w:rsid w:val="00004994"/>
    <w:rsid w:val="00005228"/>
    <w:rsid w:val="000058D2"/>
    <w:rsid w:val="00005A44"/>
    <w:rsid w:val="00006D6E"/>
    <w:rsid w:val="0001096C"/>
    <w:rsid w:val="0001144D"/>
    <w:rsid w:val="000114AD"/>
    <w:rsid w:val="000123D3"/>
    <w:rsid w:val="0001392C"/>
    <w:rsid w:val="000153C5"/>
    <w:rsid w:val="00015587"/>
    <w:rsid w:val="00015CB6"/>
    <w:rsid w:val="00020B04"/>
    <w:rsid w:val="00021538"/>
    <w:rsid w:val="00025CFD"/>
    <w:rsid w:val="00025F63"/>
    <w:rsid w:val="00026A13"/>
    <w:rsid w:val="00027A09"/>
    <w:rsid w:val="0003126D"/>
    <w:rsid w:val="00031935"/>
    <w:rsid w:val="00036B56"/>
    <w:rsid w:val="00040780"/>
    <w:rsid w:val="00040FEA"/>
    <w:rsid w:val="00041961"/>
    <w:rsid w:val="000445C2"/>
    <w:rsid w:val="000462C1"/>
    <w:rsid w:val="00050711"/>
    <w:rsid w:val="00050D34"/>
    <w:rsid w:val="0005320A"/>
    <w:rsid w:val="00055D46"/>
    <w:rsid w:val="0005625A"/>
    <w:rsid w:val="000566EF"/>
    <w:rsid w:val="00056E28"/>
    <w:rsid w:val="000576A8"/>
    <w:rsid w:val="000605AA"/>
    <w:rsid w:val="0006313E"/>
    <w:rsid w:val="000664E6"/>
    <w:rsid w:val="0006735E"/>
    <w:rsid w:val="00067AE8"/>
    <w:rsid w:val="00076671"/>
    <w:rsid w:val="00077413"/>
    <w:rsid w:val="00082BE0"/>
    <w:rsid w:val="00084053"/>
    <w:rsid w:val="0008547E"/>
    <w:rsid w:val="00085B95"/>
    <w:rsid w:val="00086116"/>
    <w:rsid w:val="00087232"/>
    <w:rsid w:val="00092FCA"/>
    <w:rsid w:val="00094692"/>
    <w:rsid w:val="000A06D0"/>
    <w:rsid w:val="000A14BA"/>
    <w:rsid w:val="000A26AB"/>
    <w:rsid w:val="000A2B41"/>
    <w:rsid w:val="000A2EEF"/>
    <w:rsid w:val="000A4535"/>
    <w:rsid w:val="000A63A6"/>
    <w:rsid w:val="000A6872"/>
    <w:rsid w:val="000A71DA"/>
    <w:rsid w:val="000A7AEE"/>
    <w:rsid w:val="000A7DB9"/>
    <w:rsid w:val="000B2BDA"/>
    <w:rsid w:val="000B3682"/>
    <w:rsid w:val="000B41C0"/>
    <w:rsid w:val="000B4423"/>
    <w:rsid w:val="000B596E"/>
    <w:rsid w:val="000B5ED3"/>
    <w:rsid w:val="000C15B2"/>
    <w:rsid w:val="000C2836"/>
    <w:rsid w:val="000C2873"/>
    <w:rsid w:val="000C32D7"/>
    <w:rsid w:val="000C356A"/>
    <w:rsid w:val="000C4476"/>
    <w:rsid w:val="000C46BC"/>
    <w:rsid w:val="000C59F7"/>
    <w:rsid w:val="000C75C2"/>
    <w:rsid w:val="000C7B30"/>
    <w:rsid w:val="000D1119"/>
    <w:rsid w:val="000D3268"/>
    <w:rsid w:val="000D3F6A"/>
    <w:rsid w:val="000D529A"/>
    <w:rsid w:val="000D646A"/>
    <w:rsid w:val="000D70DF"/>
    <w:rsid w:val="000E20AF"/>
    <w:rsid w:val="000E31B7"/>
    <w:rsid w:val="000E6CFC"/>
    <w:rsid w:val="000E7A9C"/>
    <w:rsid w:val="000E7AFF"/>
    <w:rsid w:val="000E7F04"/>
    <w:rsid w:val="000F0952"/>
    <w:rsid w:val="000F2EE9"/>
    <w:rsid w:val="000F34FE"/>
    <w:rsid w:val="000F4A47"/>
    <w:rsid w:val="000F4E0B"/>
    <w:rsid w:val="000F7999"/>
    <w:rsid w:val="00100A4D"/>
    <w:rsid w:val="001016B3"/>
    <w:rsid w:val="001018C4"/>
    <w:rsid w:val="00105918"/>
    <w:rsid w:val="0010791E"/>
    <w:rsid w:val="0011037D"/>
    <w:rsid w:val="00111417"/>
    <w:rsid w:val="00112F16"/>
    <w:rsid w:val="001139B3"/>
    <w:rsid w:val="00113CDA"/>
    <w:rsid w:val="00114834"/>
    <w:rsid w:val="001148E6"/>
    <w:rsid w:val="0011512E"/>
    <w:rsid w:val="00115CF9"/>
    <w:rsid w:val="00117841"/>
    <w:rsid w:val="0011792C"/>
    <w:rsid w:val="001247C2"/>
    <w:rsid w:val="00124D0F"/>
    <w:rsid w:val="001265D5"/>
    <w:rsid w:val="00126F47"/>
    <w:rsid w:val="0013224A"/>
    <w:rsid w:val="00132E46"/>
    <w:rsid w:val="00133439"/>
    <w:rsid w:val="001346C4"/>
    <w:rsid w:val="0013604C"/>
    <w:rsid w:val="001360C2"/>
    <w:rsid w:val="001362F6"/>
    <w:rsid w:val="00137DAF"/>
    <w:rsid w:val="00140829"/>
    <w:rsid w:val="001437CE"/>
    <w:rsid w:val="001459F9"/>
    <w:rsid w:val="00146B08"/>
    <w:rsid w:val="00151287"/>
    <w:rsid w:val="0015242C"/>
    <w:rsid w:val="00152BAC"/>
    <w:rsid w:val="00152C2C"/>
    <w:rsid w:val="0015480A"/>
    <w:rsid w:val="0015493B"/>
    <w:rsid w:val="00156F26"/>
    <w:rsid w:val="00160419"/>
    <w:rsid w:val="00161DC9"/>
    <w:rsid w:val="00162552"/>
    <w:rsid w:val="00164E75"/>
    <w:rsid w:val="00164F61"/>
    <w:rsid w:val="0016615A"/>
    <w:rsid w:val="0016618B"/>
    <w:rsid w:val="00170522"/>
    <w:rsid w:val="001705B4"/>
    <w:rsid w:val="00172B32"/>
    <w:rsid w:val="00173D9C"/>
    <w:rsid w:val="0017523A"/>
    <w:rsid w:val="00176226"/>
    <w:rsid w:val="00177E4B"/>
    <w:rsid w:val="0018371B"/>
    <w:rsid w:val="0018536E"/>
    <w:rsid w:val="00185453"/>
    <w:rsid w:val="001869AB"/>
    <w:rsid w:val="00191306"/>
    <w:rsid w:val="001922F2"/>
    <w:rsid w:val="00192E70"/>
    <w:rsid w:val="00193F94"/>
    <w:rsid w:val="00195D02"/>
    <w:rsid w:val="00196CD7"/>
    <w:rsid w:val="001A074F"/>
    <w:rsid w:val="001A0D90"/>
    <w:rsid w:val="001A16B6"/>
    <w:rsid w:val="001A2161"/>
    <w:rsid w:val="001A21EE"/>
    <w:rsid w:val="001A2752"/>
    <w:rsid w:val="001A4DF9"/>
    <w:rsid w:val="001A6591"/>
    <w:rsid w:val="001A6DC0"/>
    <w:rsid w:val="001A794D"/>
    <w:rsid w:val="001A7E86"/>
    <w:rsid w:val="001B2613"/>
    <w:rsid w:val="001B5ABD"/>
    <w:rsid w:val="001B75A2"/>
    <w:rsid w:val="001B79F3"/>
    <w:rsid w:val="001B7B71"/>
    <w:rsid w:val="001C097E"/>
    <w:rsid w:val="001C0D5B"/>
    <w:rsid w:val="001C387D"/>
    <w:rsid w:val="001C5521"/>
    <w:rsid w:val="001C75FC"/>
    <w:rsid w:val="001D08FD"/>
    <w:rsid w:val="001D1102"/>
    <w:rsid w:val="001D17F8"/>
    <w:rsid w:val="001D3AE4"/>
    <w:rsid w:val="001D3E34"/>
    <w:rsid w:val="001D4288"/>
    <w:rsid w:val="001D4761"/>
    <w:rsid w:val="001D55D1"/>
    <w:rsid w:val="001E0669"/>
    <w:rsid w:val="001E25A6"/>
    <w:rsid w:val="001E3038"/>
    <w:rsid w:val="001E4D36"/>
    <w:rsid w:val="001E704B"/>
    <w:rsid w:val="001F3B00"/>
    <w:rsid w:val="001F4317"/>
    <w:rsid w:val="001F4A36"/>
    <w:rsid w:val="001F4CC8"/>
    <w:rsid w:val="001F509E"/>
    <w:rsid w:val="002002CF"/>
    <w:rsid w:val="00200906"/>
    <w:rsid w:val="00200CA3"/>
    <w:rsid w:val="00201593"/>
    <w:rsid w:val="0020229D"/>
    <w:rsid w:val="00204670"/>
    <w:rsid w:val="00204A00"/>
    <w:rsid w:val="00204BEA"/>
    <w:rsid w:val="0020560D"/>
    <w:rsid w:val="00207090"/>
    <w:rsid w:val="0021041B"/>
    <w:rsid w:val="00210EFE"/>
    <w:rsid w:val="0021170C"/>
    <w:rsid w:val="00211BE2"/>
    <w:rsid w:val="002128E2"/>
    <w:rsid w:val="0021562A"/>
    <w:rsid w:val="00215C38"/>
    <w:rsid w:val="00217300"/>
    <w:rsid w:val="00217313"/>
    <w:rsid w:val="00217E22"/>
    <w:rsid w:val="00220784"/>
    <w:rsid w:val="00220E34"/>
    <w:rsid w:val="00222433"/>
    <w:rsid w:val="00224046"/>
    <w:rsid w:val="00224C65"/>
    <w:rsid w:val="00225975"/>
    <w:rsid w:val="00225A59"/>
    <w:rsid w:val="00226C27"/>
    <w:rsid w:val="00233400"/>
    <w:rsid w:val="002337DA"/>
    <w:rsid w:val="00234798"/>
    <w:rsid w:val="00234DFD"/>
    <w:rsid w:val="0023544D"/>
    <w:rsid w:val="00240D61"/>
    <w:rsid w:val="00241C3A"/>
    <w:rsid w:val="002429BB"/>
    <w:rsid w:val="00243EBD"/>
    <w:rsid w:val="00244419"/>
    <w:rsid w:val="00244729"/>
    <w:rsid w:val="00246D6E"/>
    <w:rsid w:val="0025025D"/>
    <w:rsid w:val="00252124"/>
    <w:rsid w:val="0025371B"/>
    <w:rsid w:val="002538A2"/>
    <w:rsid w:val="00255985"/>
    <w:rsid w:val="00260668"/>
    <w:rsid w:val="00261650"/>
    <w:rsid w:val="0026301D"/>
    <w:rsid w:val="00264E34"/>
    <w:rsid w:val="0026592C"/>
    <w:rsid w:val="0026593B"/>
    <w:rsid w:val="002665FD"/>
    <w:rsid w:val="00270385"/>
    <w:rsid w:val="00270961"/>
    <w:rsid w:val="00273CC2"/>
    <w:rsid w:val="00277A9E"/>
    <w:rsid w:val="002804F9"/>
    <w:rsid w:val="00280931"/>
    <w:rsid w:val="002851CE"/>
    <w:rsid w:val="00285F7D"/>
    <w:rsid w:val="00287392"/>
    <w:rsid w:val="00290043"/>
    <w:rsid w:val="00290F6B"/>
    <w:rsid w:val="0029205A"/>
    <w:rsid w:val="002928BE"/>
    <w:rsid w:val="0029349E"/>
    <w:rsid w:val="00296B84"/>
    <w:rsid w:val="002A345E"/>
    <w:rsid w:val="002A3834"/>
    <w:rsid w:val="002A41C4"/>
    <w:rsid w:val="002A56C3"/>
    <w:rsid w:val="002A5970"/>
    <w:rsid w:val="002A67E3"/>
    <w:rsid w:val="002B17B4"/>
    <w:rsid w:val="002B26DB"/>
    <w:rsid w:val="002B4A29"/>
    <w:rsid w:val="002B7C8F"/>
    <w:rsid w:val="002C125F"/>
    <w:rsid w:val="002D105D"/>
    <w:rsid w:val="002D2208"/>
    <w:rsid w:val="002D5130"/>
    <w:rsid w:val="002D67F8"/>
    <w:rsid w:val="002D6B32"/>
    <w:rsid w:val="002D7231"/>
    <w:rsid w:val="002E0196"/>
    <w:rsid w:val="002E0F29"/>
    <w:rsid w:val="002E1BD4"/>
    <w:rsid w:val="002E4743"/>
    <w:rsid w:val="002E526E"/>
    <w:rsid w:val="002E6647"/>
    <w:rsid w:val="002F0E1C"/>
    <w:rsid w:val="002F2D45"/>
    <w:rsid w:val="002F45CE"/>
    <w:rsid w:val="002F7371"/>
    <w:rsid w:val="002F77FE"/>
    <w:rsid w:val="002F7A9D"/>
    <w:rsid w:val="00300F4C"/>
    <w:rsid w:val="003039E1"/>
    <w:rsid w:val="00306714"/>
    <w:rsid w:val="003074EA"/>
    <w:rsid w:val="00311064"/>
    <w:rsid w:val="003127BA"/>
    <w:rsid w:val="00314000"/>
    <w:rsid w:val="00315A20"/>
    <w:rsid w:val="00320301"/>
    <w:rsid w:val="003204E0"/>
    <w:rsid w:val="00322C38"/>
    <w:rsid w:val="0032323C"/>
    <w:rsid w:val="00323FEB"/>
    <w:rsid w:val="00325E66"/>
    <w:rsid w:val="00327C6B"/>
    <w:rsid w:val="003305AC"/>
    <w:rsid w:val="00332BA4"/>
    <w:rsid w:val="00334128"/>
    <w:rsid w:val="003371D2"/>
    <w:rsid w:val="003408BA"/>
    <w:rsid w:val="0034191B"/>
    <w:rsid w:val="003427EE"/>
    <w:rsid w:val="0034549D"/>
    <w:rsid w:val="00351683"/>
    <w:rsid w:val="00354409"/>
    <w:rsid w:val="003548CD"/>
    <w:rsid w:val="00355AE4"/>
    <w:rsid w:val="00355F6E"/>
    <w:rsid w:val="00360DC6"/>
    <w:rsid w:val="00361ED2"/>
    <w:rsid w:val="00362349"/>
    <w:rsid w:val="00363A7A"/>
    <w:rsid w:val="00365BE6"/>
    <w:rsid w:val="00365C4C"/>
    <w:rsid w:val="0037044B"/>
    <w:rsid w:val="0037331D"/>
    <w:rsid w:val="003742C6"/>
    <w:rsid w:val="0037574E"/>
    <w:rsid w:val="00375853"/>
    <w:rsid w:val="00375F91"/>
    <w:rsid w:val="00376F4D"/>
    <w:rsid w:val="0037709C"/>
    <w:rsid w:val="00377E92"/>
    <w:rsid w:val="00377EA3"/>
    <w:rsid w:val="003841D5"/>
    <w:rsid w:val="00386189"/>
    <w:rsid w:val="00386240"/>
    <w:rsid w:val="003871DE"/>
    <w:rsid w:val="00390A51"/>
    <w:rsid w:val="00390C5B"/>
    <w:rsid w:val="00391605"/>
    <w:rsid w:val="00393792"/>
    <w:rsid w:val="003938F2"/>
    <w:rsid w:val="00395B9A"/>
    <w:rsid w:val="00395CC8"/>
    <w:rsid w:val="003963B8"/>
    <w:rsid w:val="0039667F"/>
    <w:rsid w:val="00396877"/>
    <w:rsid w:val="003A1AA5"/>
    <w:rsid w:val="003A486F"/>
    <w:rsid w:val="003A4D9E"/>
    <w:rsid w:val="003A6E18"/>
    <w:rsid w:val="003B26DB"/>
    <w:rsid w:val="003B3E8C"/>
    <w:rsid w:val="003B4EFA"/>
    <w:rsid w:val="003B7342"/>
    <w:rsid w:val="003C05D3"/>
    <w:rsid w:val="003C0D97"/>
    <w:rsid w:val="003C1EE5"/>
    <w:rsid w:val="003C37A0"/>
    <w:rsid w:val="003C6F07"/>
    <w:rsid w:val="003C7529"/>
    <w:rsid w:val="003C7919"/>
    <w:rsid w:val="003D11D3"/>
    <w:rsid w:val="003D2E19"/>
    <w:rsid w:val="003D38DD"/>
    <w:rsid w:val="003D45ED"/>
    <w:rsid w:val="003E1B87"/>
    <w:rsid w:val="003E398B"/>
    <w:rsid w:val="003E3DE6"/>
    <w:rsid w:val="003E5C35"/>
    <w:rsid w:val="003E6E2D"/>
    <w:rsid w:val="003E6FA7"/>
    <w:rsid w:val="003E7227"/>
    <w:rsid w:val="003E7F34"/>
    <w:rsid w:val="003F0599"/>
    <w:rsid w:val="003F287D"/>
    <w:rsid w:val="003F4574"/>
    <w:rsid w:val="003F75C7"/>
    <w:rsid w:val="003F7FF9"/>
    <w:rsid w:val="0040309E"/>
    <w:rsid w:val="00403B4D"/>
    <w:rsid w:val="00403C3B"/>
    <w:rsid w:val="00406886"/>
    <w:rsid w:val="00406D99"/>
    <w:rsid w:val="004131A1"/>
    <w:rsid w:val="00413EED"/>
    <w:rsid w:val="00414999"/>
    <w:rsid w:val="00416415"/>
    <w:rsid w:val="00417560"/>
    <w:rsid w:val="0041772C"/>
    <w:rsid w:val="004200B9"/>
    <w:rsid w:val="00420BA3"/>
    <w:rsid w:val="00420F16"/>
    <w:rsid w:val="00421250"/>
    <w:rsid w:val="004229F8"/>
    <w:rsid w:val="0042352C"/>
    <w:rsid w:val="00423BE4"/>
    <w:rsid w:val="00423E97"/>
    <w:rsid w:val="00424C1C"/>
    <w:rsid w:val="00425A19"/>
    <w:rsid w:val="00430BDB"/>
    <w:rsid w:val="00430F88"/>
    <w:rsid w:val="00431187"/>
    <w:rsid w:val="00432B2E"/>
    <w:rsid w:val="00433283"/>
    <w:rsid w:val="0043449D"/>
    <w:rsid w:val="00434B03"/>
    <w:rsid w:val="0043546B"/>
    <w:rsid w:val="004364EF"/>
    <w:rsid w:val="004366F7"/>
    <w:rsid w:val="00437ECA"/>
    <w:rsid w:val="00440F10"/>
    <w:rsid w:val="00441706"/>
    <w:rsid w:val="00442FE0"/>
    <w:rsid w:val="004435E6"/>
    <w:rsid w:val="00446A85"/>
    <w:rsid w:val="00446E7F"/>
    <w:rsid w:val="0045042B"/>
    <w:rsid w:val="0045159A"/>
    <w:rsid w:val="004532A8"/>
    <w:rsid w:val="0045350E"/>
    <w:rsid w:val="0045416E"/>
    <w:rsid w:val="00455016"/>
    <w:rsid w:val="00457C90"/>
    <w:rsid w:val="004613DC"/>
    <w:rsid w:val="004617E7"/>
    <w:rsid w:val="0046329E"/>
    <w:rsid w:val="0046394A"/>
    <w:rsid w:val="00463B2D"/>
    <w:rsid w:val="004665D5"/>
    <w:rsid w:val="0046679D"/>
    <w:rsid w:val="00467257"/>
    <w:rsid w:val="00467CDF"/>
    <w:rsid w:val="00470641"/>
    <w:rsid w:val="004706AA"/>
    <w:rsid w:val="00470777"/>
    <w:rsid w:val="00470D5D"/>
    <w:rsid w:val="00471825"/>
    <w:rsid w:val="00471CC3"/>
    <w:rsid w:val="00472211"/>
    <w:rsid w:val="004725C3"/>
    <w:rsid w:val="004740DD"/>
    <w:rsid w:val="004746B3"/>
    <w:rsid w:val="00474AFD"/>
    <w:rsid w:val="0047672D"/>
    <w:rsid w:val="004773DE"/>
    <w:rsid w:val="00477D5B"/>
    <w:rsid w:val="00480894"/>
    <w:rsid w:val="00480D35"/>
    <w:rsid w:val="0048274C"/>
    <w:rsid w:val="004850EC"/>
    <w:rsid w:val="00485BBB"/>
    <w:rsid w:val="00486A47"/>
    <w:rsid w:val="00490E79"/>
    <w:rsid w:val="004914D4"/>
    <w:rsid w:val="004919EB"/>
    <w:rsid w:val="004929B9"/>
    <w:rsid w:val="00492B7A"/>
    <w:rsid w:val="0049322C"/>
    <w:rsid w:val="00495A8C"/>
    <w:rsid w:val="004A0E9C"/>
    <w:rsid w:val="004A17CE"/>
    <w:rsid w:val="004A23FA"/>
    <w:rsid w:val="004A35FB"/>
    <w:rsid w:val="004A3BB5"/>
    <w:rsid w:val="004A51B9"/>
    <w:rsid w:val="004A6697"/>
    <w:rsid w:val="004A7550"/>
    <w:rsid w:val="004B01AB"/>
    <w:rsid w:val="004B01AC"/>
    <w:rsid w:val="004B1789"/>
    <w:rsid w:val="004B21B6"/>
    <w:rsid w:val="004B2257"/>
    <w:rsid w:val="004B43C8"/>
    <w:rsid w:val="004B756E"/>
    <w:rsid w:val="004C0025"/>
    <w:rsid w:val="004C014F"/>
    <w:rsid w:val="004C0297"/>
    <w:rsid w:val="004C07F9"/>
    <w:rsid w:val="004C18D5"/>
    <w:rsid w:val="004C3784"/>
    <w:rsid w:val="004C4B1A"/>
    <w:rsid w:val="004C4E51"/>
    <w:rsid w:val="004C59C4"/>
    <w:rsid w:val="004C6A6E"/>
    <w:rsid w:val="004C727E"/>
    <w:rsid w:val="004D4E15"/>
    <w:rsid w:val="004D553F"/>
    <w:rsid w:val="004E09FC"/>
    <w:rsid w:val="004E1F40"/>
    <w:rsid w:val="004E20E1"/>
    <w:rsid w:val="004E3983"/>
    <w:rsid w:val="004E512E"/>
    <w:rsid w:val="004E5B48"/>
    <w:rsid w:val="004E6D38"/>
    <w:rsid w:val="004E77C1"/>
    <w:rsid w:val="004E789E"/>
    <w:rsid w:val="004F00FC"/>
    <w:rsid w:val="004F3192"/>
    <w:rsid w:val="004F37DA"/>
    <w:rsid w:val="004F3DD6"/>
    <w:rsid w:val="004F549F"/>
    <w:rsid w:val="005025A6"/>
    <w:rsid w:val="0050314A"/>
    <w:rsid w:val="00503377"/>
    <w:rsid w:val="00503F60"/>
    <w:rsid w:val="005045F5"/>
    <w:rsid w:val="00504D1F"/>
    <w:rsid w:val="00505362"/>
    <w:rsid w:val="00505399"/>
    <w:rsid w:val="005065A0"/>
    <w:rsid w:val="00507D4F"/>
    <w:rsid w:val="00510EA4"/>
    <w:rsid w:val="00512EE7"/>
    <w:rsid w:val="00514525"/>
    <w:rsid w:val="0051483D"/>
    <w:rsid w:val="00515AA4"/>
    <w:rsid w:val="00515C9F"/>
    <w:rsid w:val="00516D4C"/>
    <w:rsid w:val="00517325"/>
    <w:rsid w:val="0051761E"/>
    <w:rsid w:val="00517BD7"/>
    <w:rsid w:val="00517D02"/>
    <w:rsid w:val="00521847"/>
    <w:rsid w:val="00523C81"/>
    <w:rsid w:val="005251C2"/>
    <w:rsid w:val="00525E59"/>
    <w:rsid w:val="005269AE"/>
    <w:rsid w:val="005278B9"/>
    <w:rsid w:val="00530ABA"/>
    <w:rsid w:val="0053123E"/>
    <w:rsid w:val="00531922"/>
    <w:rsid w:val="0053326F"/>
    <w:rsid w:val="00534857"/>
    <w:rsid w:val="0053711C"/>
    <w:rsid w:val="00541956"/>
    <w:rsid w:val="00542DA4"/>
    <w:rsid w:val="0054412E"/>
    <w:rsid w:val="005474C4"/>
    <w:rsid w:val="00550DF5"/>
    <w:rsid w:val="0055233E"/>
    <w:rsid w:val="005534A5"/>
    <w:rsid w:val="0055402B"/>
    <w:rsid w:val="0055410F"/>
    <w:rsid w:val="0055429C"/>
    <w:rsid w:val="00555BF2"/>
    <w:rsid w:val="00556BCC"/>
    <w:rsid w:val="0056155E"/>
    <w:rsid w:val="0056286D"/>
    <w:rsid w:val="005644E9"/>
    <w:rsid w:val="00573618"/>
    <w:rsid w:val="005742C2"/>
    <w:rsid w:val="0057629B"/>
    <w:rsid w:val="005764AF"/>
    <w:rsid w:val="005772BE"/>
    <w:rsid w:val="005777A6"/>
    <w:rsid w:val="00582D02"/>
    <w:rsid w:val="00582E6D"/>
    <w:rsid w:val="00583F6F"/>
    <w:rsid w:val="005867EC"/>
    <w:rsid w:val="005907FE"/>
    <w:rsid w:val="0059160C"/>
    <w:rsid w:val="0059230A"/>
    <w:rsid w:val="005926B9"/>
    <w:rsid w:val="005927A1"/>
    <w:rsid w:val="005938D3"/>
    <w:rsid w:val="005939EE"/>
    <w:rsid w:val="00594A58"/>
    <w:rsid w:val="00594B76"/>
    <w:rsid w:val="005956B3"/>
    <w:rsid w:val="00596302"/>
    <w:rsid w:val="005978BC"/>
    <w:rsid w:val="00597ECF"/>
    <w:rsid w:val="005A3179"/>
    <w:rsid w:val="005A3A65"/>
    <w:rsid w:val="005A49C7"/>
    <w:rsid w:val="005A4EDC"/>
    <w:rsid w:val="005A5E94"/>
    <w:rsid w:val="005A5FD2"/>
    <w:rsid w:val="005A6E84"/>
    <w:rsid w:val="005B0E43"/>
    <w:rsid w:val="005B1943"/>
    <w:rsid w:val="005B232E"/>
    <w:rsid w:val="005B34B7"/>
    <w:rsid w:val="005B3714"/>
    <w:rsid w:val="005B6370"/>
    <w:rsid w:val="005B6C5A"/>
    <w:rsid w:val="005B738E"/>
    <w:rsid w:val="005C45C7"/>
    <w:rsid w:val="005C575C"/>
    <w:rsid w:val="005C77DB"/>
    <w:rsid w:val="005D06F0"/>
    <w:rsid w:val="005D11CF"/>
    <w:rsid w:val="005D2641"/>
    <w:rsid w:val="005D2C0F"/>
    <w:rsid w:val="005D303B"/>
    <w:rsid w:val="005D3F03"/>
    <w:rsid w:val="005D7B5B"/>
    <w:rsid w:val="005E3D28"/>
    <w:rsid w:val="005E4260"/>
    <w:rsid w:val="005E4A8A"/>
    <w:rsid w:val="005E57F1"/>
    <w:rsid w:val="005E6B87"/>
    <w:rsid w:val="005F0E57"/>
    <w:rsid w:val="005F10E6"/>
    <w:rsid w:val="005F5165"/>
    <w:rsid w:val="005F5DCB"/>
    <w:rsid w:val="005F7214"/>
    <w:rsid w:val="005F7B9D"/>
    <w:rsid w:val="00600B36"/>
    <w:rsid w:val="0060237D"/>
    <w:rsid w:val="006045DA"/>
    <w:rsid w:val="0060676C"/>
    <w:rsid w:val="00606CFA"/>
    <w:rsid w:val="00613CBF"/>
    <w:rsid w:val="0061483C"/>
    <w:rsid w:val="006155B2"/>
    <w:rsid w:val="0061697B"/>
    <w:rsid w:val="006209B5"/>
    <w:rsid w:val="00621310"/>
    <w:rsid w:val="00621845"/>
    <w:rsid w:val="00622BAD"/>
    <w:rsid w:val="00622DC9"/>
    <w:rsid w:val="00623C18"/>
    <w:rsid w:val="006246B8"/>
    <w:rsid w:val="00625596"/>
    <w:rsid w:val="00625718"/>
    <w:rsid w:val="00625838"/>
    <w:rsid w:val="00631B13"/>
    <w:rsid w:val="00631B6D"/>
    <w:rsid w:val="0063303B"/>
    <w:rsid w:val="006365F7"/>
    <w:rsid w:val="00643995"/>
    <w:rsid w:val="006476E7"/>
    <w:rsid w:val="006503C2"/>
    <w:rsid w:val="0065164E"/>
    <w:rsid w:val="00651705"/>
    <w:rsid w:val="0065203E"/>
    <w:rsid w:val="006527EF"/>
    <w:rsid w:val="0065402D"/>
    <w:rsid w:val="00654310"/>
    <w:rsid w:val="00654AE8"/>
    <w:rsid w:val="00654F5F"/>
    <w:rsid w:val="00654F63"/>
    <w:rsid w:val="0066172B"/>
    <w:rsid w:val="006636C0"/>
    <w:rsid w:val="00664AD4"/>
    <w:rsid w:val="0066617E"/>
    <w:rsid w:val="006665DF"/>
    <w:rsid w:val="00667185"/>
    <w:rsid w:val="00667CCE"/>
    <w:rsid w:val="006702E0"/>
    <w:rsid w:val="006710AD"/>
    <w:rsid w:val="006739DD"/>
    <w:rsid w:val="006742D1"/>
    <w:rsid w:val="00675E20"/>
    <w:rsid w:val="00680EEF"/>
    <w:rsid w:val="00680F1A"/>
    <w:rsid w:val="006821A5"/>
    <w:rsid w:val="006835B0"/>
    <w:rsid w:val="0068602B"/>
    <w:rsid w:val="00687728"/>
    <w:rsid w:val="00687F3B"/>
    <w:rsid w:val="00691FE3"/>
    <w:rsid w:val="006949C9"/>
    <w:rsid w:val="0069632D"/>
    <w:rsid w:val="006979A8"/>
    <w:rsid w:val="00697D40"/>
    <w:rsid w:val="006A2077"/>
    <w:rsid w:val="006A31BB"/>
    <w:rsid w:val="006A3492"/>
    <w:rsid w:val="006A38A4"/>
    <w:rsid w:val="006A4A58"/>
    <w:rsid w:val="006A526E"/>
    <w:rsid w:val="006A52DB"/>
    <w:rsid w:val="006B03D7"/>
    <w:rsid w:val="006B0897"/>
    <w:rsid w:val="006B0AD3"/>
    <w:rsid w:val="006B3F5B"/>
    <w:rsid w:val="006B4167"/>
    <w:rsid w:val="006B4BBA"/>
    <w:rsid w:val="006B5C26"/>
    <w:rsid w:val="006B6128"/>
    <w:rsid w:val="006B6ACB"/>
    <w:rsid w:val="006B7477"/>
    <w:rsid w:val="006C021F"/>
    <w:rsid w:val="006C0798"/>
    <w:rsid w:val="006C0E3E"/>
    <w:rsid w:val="006C1F5F"/>
    <w:rsid w:val="006C2D06"/>
    <w:rsid w:val="006C45C7"/>
    <w:rsid w:val="006C5D23"/>
    <w:rsid w:val="006C5FE6"/>
    <w:rsid w:val="006C6EE1"/>
    <w:rsid w:val="006C70AA"/>
    <w:rsid w:val="006D0BD9"/>
    <w:rsid w:val="006D1BC3"/>
    <w:rsid w:val="006D359B"/>
    <w:rsid w:val="006D4116"/>
    <w:rsid w:val="006D51B6"/>
    <w:rsid w:val="006D59E3"/>
    <w:rsid w:val="006D5D10"/>
    <w:rsid w:val="006D6C8D"/>
    <w:rsid w:val="006D6E2D"/>
    <w:rsid w:val="006E1E4A"/>
    <w:rsid w:val="006E70E7"/>
    <w:rsid w:val="006E7FDC"/>
    <w:rsid w:val="006F07E6"/>
    <w:rsid w:val="006F14D6"/>
    <w:rsid w:val="006F2B38"/>
    <w:rsid w:val="006F2D68"/>
    <w:rsid w:val="006F394C"/>
    <w:rsid w:val="006F4893"/>
    <w:rsid w:val="006F4C62"/>
    <w:rsid w:val="006F69F7"/>
    <w:rsid w:val="006F7795"/>
    <w:rsid w:val="00700179"/>
    <w:rsid w:val="0070162C"/>
    <w:rsid w:val="00704CCF"/>
    <w:rsid w:val="007053C7"/>
    <w:rsid w:val="00706DC9"/>
    <w:rsid w:val="00706E66"/>
    <w:rsid w:val="00707563"/>
    <w:rsid w:val="00710C38"/>
    <w:rsid w:val="00711721"/>
    <w:rsid w:val="007121C6"/>
    <w:rsid w:val="007128EF"/>
    <w:rsid w:val="00713C45"/>
    <w:rsid w:val="00714123"/>
    <w:rsid w:val="00714775"/>
    <w:rsid w:val="00720ECB"/>
    <w:rsid w:val="00723326"/>
    <w:rsid w:val="00723608"/>
    <w:rsid w:val="007260FE"/>
    <w:rsid w:val="00726B4B"/>
    <w:rsid w:val="00727377"/>
    <w:rsid w:val="007274AE"/>
    <w:rsid w:val="00730370"/>
    <w:rsid w:val="00732C9A"/>
    <w:rsid w:val="00733B6C"/>
    <w:rsid w:val="00735FC7"/>
    <w:rsid w:val="007366DC"/>
    <w:rsid w:val="00736770"/>
    <w:rsid w:val="007408CC"/>
    <w:rsid w:val="007433F9"/>
    <w:rsid w:val="0074342E"/>
    <w:rsid w:val="00743534"/>
    <w:rsid w:val="00745A2C"/>
    <w:rsid w:val="00745F07"/>
    <w:rsid w:val="00746DC2"/>
    <w:rsid w:val="00750162"/>
    <w:rsid w:val="00750ABE"/>
    <w:rsid w:val="00753EC5"/>
    <w:rsid w:val="00756A20"/>
    <w:rsid w:val="00757A71"/>
    <w:rsid w:val="00757DEB"/>
    <w:rsid w:val="007602A1"/>
    <w:rsid w:val="00761219"/>
    <w:rsid w:val="007616C6"/>
    <w:rsid w:val="00761DB6"/>
    <w:rsid w:val="00763235"/>
    <w:rsid w:val="00765732"/>
    <w:rsid w:val="0077388B"/>
    <w:rsid w:val="00776521"/>
    <w:rsid w:val="007767AE"/>
    <w:rsid w:val="00776F33"/>
    <w:rsid w:val="00780034"/>
    <w:rsid w:val="0078030E"/>
    <w:rsid w:val="007803C9"/>
    <w:rsid w:val="007813A9"/>
    <w:rsid w:val="00784046"/>
    <w:rsid w:val="007849DA"/>
    <w:rsid w:val="00784D7E"/>
    <w:rsid w:val="007851D7"/>
    <w:rsid w:val="00785DA6"/>
    <w:rsid w:val="00785E3F"/>
    <w:rsid w:val="00786387"/>
    <w:rsid w:val="00794A25"/>
    <w:rsid w:val="00795C6F"/>
    <w:rsid w:val="00796229"/>
    <w:rsid w:val="007970A1"/>
    <w:rsid w:val="00797981"/>
    <w:rsid w:val="007A08DA"/>
    <w:rsid w:val="007A091D"/>
    <w:rsid w:val="007A4683"/>
    <w:rsid w:val="007A5D82"/>
    <w:rsid w:val="007A7239"/>
    <w:rsid w:val="007B0DDB"/>
    <w:rsid w:val="007B142F"/>
    <w:rsid w:val="007B2D95"/>
    <w:rsid w:val="007B5429"/>
    <w:rsid w:val="007B5AAC"/>
    <w:rsid w:val="007C00C9"/>
    <w:rsid w:val="007C0A7E"/>
    <w:rsid w:val="007C315E"/>
    <w:rsid w:val="007C3539"/>
    <w:rsid w:val="007C43C4"/>
    <w:rsid w:val="007C5791"/>
    <w:rsid w:val="007C58E5"/>
    <w:rsid w:val="007C61DE"/>
    <w:rsid w:val="007C6DE7"/>
    <w:rsid w:val="007D1DE0"/>
    <w:rsid w:val="007D30A0"/>
    <w:rsid w:val="007D7630"/>
    <w:rsid w:val="007E07AE"/>
    <w:rsid w:val="007E1F55"/>
    <w:rsid w:val="007E2A35"/>
    <w:rsid w:val="007E5BDB"/>
    <w:rsid w:val="007E7787"/>
    <w:rsid w:val="007F14EC"/>
    <w:rsid w:val="007F1C36"/>
    <w:rsid w:val="007F4723"/>
    <w:rsid w:val="007F5B70"/>
    <w:rsid w:val="007F5FFD"/>
    <w:rsid w:val="007F7B9A"/>
    <w:rsid w:val="008000A5"/>
    <w:rsid w:val="008025A0"/>
    <w:rsid w:val="008047E1"/>
    <w:rsid w:val="008061B2"/>
    <w:rsid w:val="00806525"/>
    <w:rsid w:val="0080769D"/>
    <w:rsid w:val="00807D21"/>
    <w:rsid w:val="008100D8"/>
    <w:rsid w:val="00810B94"/>
    <w:rsid w:val="008114E7"/>
    <w:rsid w:val="00811731"/>
    <w:rsid w:val="00811856"/>
    <w:rsid w:val="008174D4"/>
    <w:rsid w:val="00820269"/>
    <w:rsid w:val="0082071D"/>
    <w:rsid w:val="008217C2"/>
    <w:rsid w:val="0082313C"/>
    <w:rsid w:val="00826414"/>
    <w:rsid w:val="008269A3"/>
    <w:rsid w:val="008276A5"/>
    <w:rsid w:val="008277A8"/>
    <w:rsid w:val="00831C9A"/>
    <w:rsid w:val="00833D21"/>
    <w:rsid w:val="00835E2D"/>
    <w:rsid w:val="008409BA"/>
    <w:rsid w:val="0084104C"/>
    <w:rsid w:val="00841E6C"/>
    <w:rsid w:val="008433CD"/>
    <w:rsid w:val="008438CA"/>
    <w:rsid w:val="00843B72"/>
    <w:rsid w:val="00843D99"/>
    <w:rsid w:val="008459D0"/>
    <w:rsid w:val="00850A67"/>
    <w:rsid w:val="00851B3A"/>
    <w:rsid w:val="00852A0D"/>
    <w:rsid w:val="00854B48"/>
    <w:rsid w:val="00854B63"/>
    <w:rsid w:val="00855455"/>
    <w:rsid w:val="00855591"/>
    <w:rsid w:val="008603CF"/>
    <w:rsid w:val="00860D07"/>
    <w:rsid w:val="00861708"/>
    <w:rsid w:val="00862738"/>
    <w:rsid w:val="00863587"/>
    <w:rsid w:val="008635FD"/>
    <w:rsid w:val="00866D94"/>
    <w:rsid w:val="00872860"/>
    <w:rsid w:val="00873D1B"/>
    <w:rsid w:val="00873D71"/>
    <w:rsid w:val="0087505E"/>
    <w:rsid w:val="008771DF"/>
    <w:rsid w:val="00880C2C"/>
    <w:rsid w:val="008811B7"/>
    <w:rsid w:val="008818E0"/>
    <w:rsid w:val="00882791"/>
    <w:rsid w:val="00882A11"/>
    <w:rsid w:val="008855A9"/>
    <w:rsid w:val="00891410"/>
    <w:rsid w:val="008919BA"/>
    <w:rsid w:val="00893900"/>
    <w:rsid w:val="008953A0"/>
    <w:rsid w:val="008961A6"/>
    <w:rsid w:val="00897D51"/>
    <w:rsid w:val="008A38E3"/>
    <w:rsid w:val="008A3CF2"/>
    <w:rsid w:val="008A4606"/>
    <w:rsid w:val="008A64F7"/>
    <w:rsid w:val="008B0A69"/>
    <w:rsid w:val="008B0B88"/>
    <w:rsid w:val="008B3DC8"/>
    <w:rsid w:val="008B41CD"/>
    <w:rsid w:val="008B7000"/>
    <w:rsid w:val="008C1830"/>
    <w:rsid w:val="008C3CF7"/>
    <w:rsid w:val="008D1333"/>
    <w:rsid w:val="008D20F2"/>
    <w:rsid w:val="008D3A1B"/>
    <w:rsid w:val="008D50C0"/>
    <w:rsid w:val="008D64C6"/>
    <w:rsid w:val="008D6CA9"/>
    <w:rsid w:val="008D74C3"/>
    <w:rsid w:val="008E3FD8"/>
    <w:rsid w:val="008E5254"/>
    <w:rsid w:val="008E559F"/>
    <w:rsid w:val="008E77A7"/>
    <w:rsid w:val="008F1A2C"/>
    <w:rsid w:val="008F5E3A"/>
    <w:rsid w:val="008F5FDD"/>
    <w:rsid w:val="00900E07"/>
    <w:rsid w:val="009024F3"/>
    <w:rsid w:val="00905BAE"/>
    <w:rsid w:val="00905C94"/>
    <w:rsid w:val="009126E8"/>
    <w:rsid w:val="00913CA0"/>
    <w:rsid w:val="0091487D"/>
    <w:rsid w:val="00914DB8"/>
    <w:rsid w:val="00916225"/>
    <w:rsid w:val="00920076"/>
    <w:rsid w:val="00920099"/>
    <w:rsid w:val="00921B98"/>
    <w:rsid w:val="009225A6"/>
    <w:rsid w:val="00924FED"/>
    <w:rsid w:val="00927129"/>
    <w:rsid w:val="00930698"/>
    <w:rsid w:val="00931B67"/>
    <w:rsid w:val="0093279A"/>
    <w:rsid w:val="00933C2E"/>
    <w:rsid w:val="0093465B"/>
    <w:rsid w:val="009348EA"/>
    <w:rsid w:val="00935414"/>
    <w:rsid w:val="00935AC7"/>
    <w:rsid w:val="00936698"/>
    <w:rsid w:val="00940516"/>
    <w:rsid w:val="00942B3C"/>
    <w:rsid w:val="00944E4B"/>
    <w:rsid w:val="009456B8"/>
    <w:rsid w:val="00946C38"/>
    <w:rsid w:val="00947C22"/>
    <w:rsid w:val="00950776"/>
    <w:rsid w:val="00950D4F"/>
    <w:rsid w:val="009557D6"/>
    <w:rsid w:val="00960520"/>
    <w:rsid w:val="0096335F"/>
    <w:rsid w:val="00963DE8"/>
    <w:rsid w:val="00964F64"/>
    <w:rsid w:val="00965894"/>
    <w:rsid w:val="0097603B"/>
    <w:rsid w:val="00976F85"/>
    <w:rsid w:val="009800C4"/>
    <w:rsid w:val="00980E0D"/>
    <w:rsid w:val="009839B8"/>
    <w:rsid w:val="00986614"/>
    <w:rsid w:val="009868A0"/>
    <w:rsid w:val="00987464"/>
    <w:rsid w:val="00993526"/>
    <w:rsid w:val="00994E07"/>
    <w:rsid w:val="00994F8B"/>
    <w:rsid w:val="009A0571"/>
    <w:rsid w:val="009A10B5"/>
    <w:rsid w:val="009A1B12"/>
    <w:rsid w:val="009A25D9"/>
    <w:rsid w:val="009A38BA"/>
    <w:rsid w:val="009A621C"/>
    <w:rsid w:val="009A6C57"/>
    <w:rsid w:val="009A7079"/>
    <w:rsid w:val="009B0283"/>
    <w:rsid w:val="009B361A"/>
    <w:rsid w:val="009B50B4"/>
    <w:rsid w:val="009B62D2"/>
    <w:rsid w:val="009B7A7C"/>
    <w:rsid w:val="009C151D"/>
    <w:rsid w:val="009C1BFB"/>
    <w:rsid w:val="009C3D1B"/>
    <w:rsid w:val="009C40AD"/>
    <w:rsid w:val="009C4BC2"/>
    <w:rsid w:val="009C627A"/>
    <w:rsid w:val="009C63D0"/>
    <w:rsid w:val="009C65F4"/>
    <w:rsid w:val="009C7A67"/>
    <w:rsid w:val="009D06EA"/>
    <w:rsid w:val="009D1EAC"/>
    <w:rsid w:val="009D2A38"/>
    <w:rsid w:val="009D3243"/>
    <w:rsid w:val="009D416D"/>
    <w:rsid w:val="009D5326"/>
    <w:rsid w:val="009D6215"/>
    <w:rsid w:val="009E0003"/>
    <w:rsid w:val="009E0BE9"/>
    <w:rsid w:val="009E32E5"/>
    <w:rsid w:val="009E33FF"/>
    <w:rsid w:val="009E3D6D"/>
    <w:rsid w:val="009E3F17"/>
    <w:rsid w:val="009E5D4C"/>
    <w:rsid w:val="009F134E"/>
    <w:rsid w:val="009F1F7C"/>
    <w:rsid w:val="009F22E2"/>
    <w:rsid w:val="009F2EA5"/>
    <w:rsid w:val="009F2EAD"/>
    <w:rsid w:val="009F3068"/>
    <w:rsid w:val="009F45F6"/>
    <w:rsid w:val="009F7664"/>
    <w:rsid w:val="00A01C6C"/>
    <w:rsid w:val="00A06362"/>
    <w:rsid w:val="00A06616"/>
    <w:rsid w:val="00A068E0"/>
    <w:rsid w:val="00A07718"/>
    <w:rsid w:val="00A10516"/>
    <w:rsid w:val="00A10EAD"/>
    <w:rsid w:val="00A1188A"/>
    <w:rsid w:val="00A1231D"/>
    <w:rsid w:val="00A1435D"/>
    <w:rsid w:val="00A150CD"/>
    <w:rsid w:val="00A15698"/>
    <w:rsid w:val="00A15A65"/>
    <w:rsid w:val="00A172DD"/>
    <w:rsid w:val="00A174BD"/>
    <w:rsid w:val="00A20AAD"/>
    <w:rsid w:val="00A20F4C"/>
    <w:rsid w:val="00A20F89"/>
    <w:rsid w:val="00A216A6"/>
    <w:rsid w:val="00A21BEB"/>
    <w:rsid w:val="00A23110"/>
    <w:rsid w:val="00A23542"/>
    <w:rsid w:val="00A23E39"/>
    <w:rsid w:val="00A240F1"/>
    <w:rsid w:val="00A243F2"/>
    <w:rsid w:val="00A254F3"/>
    <w:rsid w:val="00A25762"/>
    <w:rsid w:val="00A25D83"/>
    <w:rsid w:val="00A26D96"/>
    <w:rsid w:val="00A27FA3"/>
    <w:rsid w:val="00A310FA"/>
    <w:rsid w:val="00A34C4D"/>
    <w:rsid w:val="00A3504B"/>
    <w:rsid w:val="00A37479"/>
    <w:rsid w:val="00A4066C"/>
    <w:rsid w:val="00A40E9C"/>
    <w:rsid w:val="00A41928"/>
    <w:rsid w:val="00A42FA4"/>
    <w:rsid w:val="00A43C07"/>
    <w:rsid w:val="00A44669"/>
    <w:rsid w:val="00A44902"/>
    <w:rsid w:val="00A46D98"/>
    <w:rsid w:val="00A5525A"/>
    <w:rsid w:val="00A55F28"/>
    <w:rsid w:val="00A578F0"/>
    <w:rsid w:val="00A57B64"/>
    <w:rsid w:val="00A67025"/>
    <w:rsid w:val="00A70592"/>
    <w:rsid w:val="00A70C63"/>
    <w:rsid w:val="00A720B5"/>
    <w:rsid w:val="00A738D7"/>
    <w:rsid w:val="00A74EEC"/>
    <w:rsid w:val="00A76AE0"/>
    <w:rsid w:val="00A85A67"/>
    <w:rsid w:val="00A87BC9"/>
    <w:rsid w:val="00A87D78"/>
    <w:rsid w:val="00A90BB3"/>
    <w:rsid w:val="00A915F7"/>
    <w:rsid w:val="00A91A6D"/>
    <w:rsid w:val="00A92704"/>
    <w:rsid w:val="00A939C3"/>
    <w:rsid w:val="00AA1A72"/>
    <w:rsid w:val="00AA4F23"/>
    <w:rsid w:val="00AA7A25"/>
    <w:rsid w:val="00AA7CDB"/>
    <w:rsid w:val="00AB2B57"/>
    <w:rsid w:val="00AB2F7F"/>
    <w:rsid w:val="00AB3A97"/>
    <w:rsid w:val="00AB49DD"/>
    <w:rsid w:val="00AB6371"/>
    <w:rsid w:val="00AB645C"/>
    <w:rsid w:val="00AB6F80"/>
    <w:rsid w:val="00AB738B"/>
    <w:rsid w:val="00AC145E"/>
    <w:rsid w:val="00AC339F"/>
    <w:rsid w:val="00AD1496"/>
    <w:rsid w:val="00AD2EF6"/>
    <w:rsid w:val="00AD332E"/>
    <w:rsid w:val="00AD375F"/>
    <w:rsid w:val="00AD4173"/>
    <w:rsid w:val="00AD4A29"/>
    <w:rsid w:val="00AD5247"/>
    <w:rsid w:val="00AD5626"/>
    <w:rsid w:val="00AE0CD8"/>
    <w:rsid w:val="00AE13BA"/>
    <w:rsid w:val="00AE19DC"/>
    <w:rsid w:val="00AE2171"/>
    <w:rsid w:val="00AE4AAB"/>
    <w:rsid w:val="00AE5962"/>
    <w:rsid w:val="00AF07A2"/>
    <w:rsid w:val="00AF147E"/>
    <w:rsid w:val="00AF5A18"/>
    <w:rsid w:val="00AF65CA"/>
    <w:rsid w:val="00AF7929"/>
    <w:rsid w:val="00AF7BDB"/>
    <w:rsid w:val="00B0088C"/>
    <w:rsid w:val="00B01184"/>
    <w:rsid w:val="00B01445"/>
    <w:rsid w:val="00B03113"/>
    <w:rsid w:val="00B03C49"/>
    <w:rsid w:val="00B042DA"/>
    <w:rsid w:val="00B05ACA"/>
    <w:rsid w:val="00B06D13"/>
    <w:rsid w:val="00B133E3"/>
    <w:rsid w:val="00B14E77"/>
    <w:rsid w:val="00B163E0"/>
    <w:rsid w:val="00B168D4"/>
    <w:rsid w:val="00B2006D"/>
    <w:rsid w:val="00B204E3"/>
    <w:rsid w:val="00B2125E"/>
    <w:rsid w:val="00B2145A"/>
    <w:rsid w:val="00B21794"/>
    <w:rsid w:val="00B2273B"/>
    <w:rsid w:val="00B2273F"/>
    <w:rsid w:val="00B23324"/>
    <w:rsid w:val="00B23FD2"/>
    <w:rsid w:val="00B25D2B"/>
    <w:rsid w:val="00B27088"/>
    <w:rsid w:val="00B37DF5"/>
    <w:rsid w:val="00B40C50"/>
    <w:rsid w:val="00B41420"/>
    <w:rsid w:val="00B42C09"/>
    <w:rsid w:val="00B45505"/>
    <w:rsid w:val="00B45581"/>
    <w:rsid w:val="00B47157"/>
    <w:rsid w:val="00B5041D"/>
    <w:rsid w:val="00B5120D"/>
    <w:rsid w:val="00B51582"/>
    <w:rsid w:val="00B51968"/>
    <w:rsid w:val="00B53425"/>
    <w:rsid w:val="00B53FEB"/>
    <w:rsid w:val="00B57840"/>
    <w:rsid w:val="00B57F28"/>
    <w:rsid w:val="00B6123A"/>
    <w:rsid w:val="00B63A90"/>
    <w:rsid w:val="00B63D8E"/>
    <w:rsid w:val="00B6402E"/>
    <w:rsid w:val="00B65182"/>
    <w:rsid w:val="00B65F7E"/>
    <w:rsid w:val="00B673E3"/>
    <w:rsid w:val="00B7632C"/>
    <w:rsid w:val="00B76393"/>
    <w:rsid w:val="00B76E14"/>
    <w:rsid w:val="00B7727C"/>
    <w:rsid w:val="00B80165"/>
    <w:rsid w:val="00B82D5C"/>
    <w:rsid w:val="00B8374A"/>
    <w:rsid w:val="00B83F6A"/>
    <w:rsid w:val="00B83FF4"/>
    <w:rsid w:val="00B84A0E"/>
    <w:rsid w:val="00B852C9"/>
    <w:rsid w:val="00B85629"/>
    <w:rsid w:val="00B85C17"/>
    <w:rsid w:val="00B93B3A"/>
    <w:rsid w:val="00B94A15"/>
    <w:rsid w:val="00B94A7C"/>
    <w:rsid w:val="00B94C0D"/>
    <w:rsid w:val="00BA1989"/>
    <w:rsid w:val="00BA732B"/>
    <w:rsid w:val="00BA7D12"/>
    <w:rsid w:val="00BB1EAA"/>
    <w:rsid w:val="00BB48B9"/>
    <w:rsid w:val="00BC33C7"/>
    <w:rsid w:val="00BD0554"/>
    <w:rsid w:val="00BD11F5"/>
    <w:rsid w:val="00BD18FA"/>
    <w:rsid w:val="00BD282A"/>
    <w:rsid w:val="00BD28EA"/>
    <w:rsid w:val="00BD4FF0"/>
    <w:rsid w:val="00BD66D2"/>
    <w:rsid w:val="00BD678C"/>
    <w:rsid w:val="00BD6A9D"/>
    <w:rsid w:val="00BD6E77"/>
    <w:rsid w:val="00BD7135"/>
    <w:rsid w:val="00BD7A11"/>
    <w:rsid w:val="00BE4DDA"/>
    <w:rsid w:val="00BE6C63"/>
    <w:rsid w:val="00BE6E1F"/>
    <w:rsid w:val="00BE7349"/>
    <w:rsid w:val="00BF0B6A"/>
    <w:rsid w:val="00BF25BE"/>
    <w:rsid w:val="00BF3419"/>
    <w:rsid w:val="00BF3A38"/>
    <w:rsid w:val="00BF495E"/>
    <w:rsid w:val="00BF4CFB"/>
    <w:rsid w:val="00BF4EB0"/>
    <w:rsid w:val="00C0085C"/>
    <w:rsid w:val="00C008BC"/>
    <w:rsid w:val="00C0115F"/>
    <w:rsid w:val="00C01B80"/>
    <w:rsid w:val="00C02CE9"/>
    <w:rsid w:val="00C0312C"/>
    <w:rsid w:val="00C03178"/>
    <w:rsid w:val="00C051B4"/>
    <w:rsid w:val="00C052E8"/>
    <w:rsid w:val="00C05E9B"/>
    <w:rsid w:val="00C06D00"/>
    <w:rsid w:val="00C11AF1"/>
    <w:rsid w:val="00C126C9"/>
    <w:rsid w:val="00C13EFB"/>
    <w:rsid w:val="00C14786"/>
    <w:rsid w:val="00C14AFF"/>
    <w:rsid w:val="00C17D6E"/>
    <w:rsid w:val="00C200A8"/>
    <w:rsid w:val="00C204CE"/>
    <w:rsid w:val="00C229B6"/>
    <w:rsid w:val="00C229B7"/>
    <w:rsid w:val="00C23F53"/>
    <w:rsid w:val="00C2521D"/>
    <w:rsid w:val="00C259BD"/>
    <w:rsid w:val="00C25BEB"/>
    <w:rsid w:val="00C25CAB"/>
    <w:rsid w:val="00C27AE2"/>
    <w:rsid w:val="00C304E7"/>
    <w:rsid w:val="00C30E96"/>
    <w:rsid w:val="00C31866"/>
    <w:rsid w:val="00C31DAA"/>
    <w:rsid w:val="00C32E9D"/>
    <w:rsid w:val="00C330BA"/>
    <w:rsid w:val="00C337C7"/>
    <w:rsid w:val="00C33D5F"/>
    <w:rsid w:val="00C3418E"/>
    <w:rsid w:val="00C379E7"/>
    <w:rsid w:val="00C419CB"/>
    <w:rsid w:val="00C41E93"/>
    <w:rsid w:val="00C4477B"/>
    <w:rsid w:val="00C46398"/>
    <w:rsid w:val="00C46D37"/>
    <w:rsid w:val="00C509E8"/>
    <w:rsid w:val="00C513C3"/>
    <w:rsid w:val="00C53A4B"/>
    <w:rsid w:val="00C53E94"/>
    <w:rsid w:val="00C5494A"/>
    <w:rsid w:val="00C559E9"/>
    <w:rsid w:val="00C56C1F"/>
    <w:rsid w:val="00C57720"/>
    <w:rsid w:val="00C61432"/>
    <w:rsid w:val="00C65062"/>
    <w:rsid w:val="00C65C00"/>
    <w:rsid w:val="00C661F0"/>
    <w:rsid w:val="00C66995"/>
    <w:rsid w:val="00C673C5"/>
    <w:rsid w:val="00C70340"/>
    <w:rsid w:val="00C7206B"/>
    <w:rsid w:val="00C726C5"/>
    <w:rsid w:val="00C7483F"/>
    <w:rsid w:val="00C76D2F"/>
    <w:rsid w:val="00C80922"/>
    <w:rsid w:val="00C81ED7"/>
    <w:rsid w:val="00C82CA2"/>
    <w:rsid w:val="00C83298"/>
    <w:rsid w:val="00C83B20"/>
    <w:rsid w:val="00C850B1"/>
    <w:rsid w:val="00C855DC"/>
    <w:rsid w:val="00C862FF"/>
    <w:rsid w:val="00C8733D"/>
    <w:rsid w:val="00C87B3C"/>
    <w:rsid w:val="00C917CE"/>
    <w:rsid w:val="00C921D4"/>
    <w:rsid w:val="00C93C87"/>
    <w:rsid w:val="00C95FFB"/>
    <w:rsid w:val="00C96532"/>
    <w:rsid w:val="00C96ED9"/>
    <w:rsid w:val="00C97142"/>
    <w:rsid w:val="00C974DF"/>
    <w:rsid w:val="00CA258C"/>
    <w:rsid w:val="00CA268C"/>
    <w:rsid w:val="00CA4406"/>
    <w:rsid w:val="00CA44E2"/>
    <w:rsid w:val="00CA58E5"/>
    <w:rsid w:val="00CA5B7C"/>
    <w:rsid w:val="00CA7497"/>
    <w:rsid w:val="00CA7ED4"/>
    <w:rsid w:val="00CB0381"/>
    <w:rsid w:val="00CB0413"/>
    <w:rsid w:val="00CB0DBB"/>
    <w:rsid w:val="00CB1871"/>
    <w:rsid w:val="00CB2EE5"/>
    <w:rsid w:val="00CB3FC7"/>
    <w:rsid w:val="00CB5AE4"/>
    <w:rsid w:val="00CB63A5"/>
    <w:rsid w:val="00CB6E91"/>
    <w:rsid w:val="00CB71F0"/>
    <w:rsid w:val="00CC0951"/>
    <w:rsid w:val="00CC2305"/>
    <w:rsid w:val="00CC304C"/>
    <w:rsid w:val="00CC5859"/>
    <w:rsid w:val="00CC5A14"/>
    <w:rsid w:val="00CC5AC0"/>
    <w:rsid w:val="00CC68DD"/>
    <w:rsid w:val="00CC6D40"/>
    <w:rsid w:val="00CC72FA"/>
    <w:rsid w:val="00CC7603"/>
    <w:rsid w:val="00CD1269"/>
    <w:rsid w:val="00CD195A"/>
    <w:rsid w:val="00CD269C"/>
    <w:rsid w:val="00CD26A9"/>
    <w:rsid w:val="00CD7D8A"/>
    <w:rsid w:val="00CE0B95"/>
    <w:rsid w:val="00CE0EB8"/>
    <w:rsid w:val="00CE2362"/>
    <w:rsid w:val="00CE247D"/>
    <w:rsid w:val="00CE299D"/>
    <w:rsid w:val="00CE302B"/>
    <w:rsid w:val="00CE396E"/>
    <w:rsid w:val="00CE3FF3"/>
    <w:rsid w:val="00CE434D"/>
    <w:rsid w:val="00CE455A"/>
    <w:rsid w:val="00CE4839"/>
    <w:rsid w:val="00CE4AC1"/>
    <w:rsid w:val="00CE5727"/>
    <w:rsid w:val="00CE5FAA"/>
    <w:rsid w:val="00CE617C"/>
    <w:rsid w:val="00CE7CD0"/>
    <w:rsid w:val="00CF342E"/>
    <w:rsid w:val="00CF4733"/>
    <w:rsid w:val="00CF4C21"/>
    <w:rsid w:val="00CF6356"/>
    <w:rsid w:val="00CF6F3C"/>
    <w:rsid w:val="00D02BA7"/>
    <w:rsid w:val="00D03C00"/>
    <w:rsid w:val="00D048F4"/>
    <w:rsid w:val="00D06393"/>
    <w:rsid w:val="00D0664C"/>
    <w:rsid w:val="00D11EAC"/>
    <w:rsid w:val="00D12349"/>
    <w:rsid w:val="00D1246E"/>
    <w:rsid w:val="00D1289E"/>
    <w:rsid w:val="00D14672"/>
    <w:rsid w:val="00D14870"/>
    <w:rsid w:val="00D1527F"/>
    <w:rsid w:val="00D1611C"/>
    <w:rsid w:val="00D16459"/>
    <w:rsid w:val="00D2054A"/>
    <w:rsid w:val="00D205E7"/>
    <w:rsid w:val="00D238FD"/>
    <w:rsid w:val="00D23B08"/>
    <w:rsid w:val="00D23E3D"/>
    <w:rsid w:val="00D24C6D"/>
    <w:rsid w:val="00D2556E"/>
    <w:rsid w:val="00D26B93"/>
    <w:rsid w:val="00D270EA"/>
    <w:rsid w:val="00D27D26"/>
    <w:rsid w:val="00D323CB"/>
    <w:rsid w:val="00D340E2"/>
    <w:rsid w:val="00D37268"/>
    <w:rsid w:val="00D408BF"/>
    <w:rsid w:val="00D40AF4"/>
    <w:rsid w:val="00D412C1"/>
    <w:rsid w:val="00D42525"/>
    <w:rsid w:val="00D46B7D"/>
    <w:rsid w:val="00D52146"/>
    <w:rsid w:val="00D528B1"/>
    <w:rsid w:val="00D5333B"/>
    <w:rsid w:val="00D53972"/>
    <w:rsid w:val="00D55F68"/>
    <w:rsid w:val="00D5715A"/>
    <w:rsid w:val="00D63008"/>
    <w:rsid w:val="00D6416C"/>
    <w:rsid w:val="00D64E9E"/>
    <w:rsid w:val="00D6569B"/>
    <w:rsid w:val="00D658B5"/>
    <w:rsid w:val="00D65C3D"/>
    <w:rsid w:val="00D710D0"/>
    <w:rsid w:val="00D7182A"/>
    <w:rsid w:val="00D734A2"/>
    <w:rsid w:val="00D74D22"/>
    <w:rsid w:val="00D75804"/>
    <w:rsid w:val="00D76FF4"/>
    <w:rsid w:val="00D80034"/>
    <w:rsid w:val="00D81D26"/>
    <w:rsid w:val="00D85ADA"/>
    <w:rsid w:val="00D87AF5"/>
    <w:rsid w:val="00D87C20"/>
    <w:rsid w:val="00D906DC"/>
    <w:rsid w:val="00D906E8"/>
    <w:rsid w:val="00D90B1B"/>
    <w:rsid w:val="00D93C7F"/>
    <w:rsid w:val="00D94D2C"/>
    <w:rsid w:val="00D953C2"/>
    <w:rsid w:val="00D965EB"/>
    <w:rsid w:val="00D97609"/>
    <w:rsid w:val="00DA3480"/>
    <w:rsid w:val="00DA5BEF"/>
    <w:rsid w:val="00DA6099"/>
    <w:rsid w:val="00DA6907"/>
    <w:rsid w:val="00DA6B53"/>
    <w:rsid w:val="00DB0524"/>
    <w:rsid w:val="00DB3056"/>
    <w:rsid w:val="00DB30A0"/>
    <w:rsid w:val="00DB3B3E"/>
    <w:rsid w:val="00DB48D0"/>
    <w:rsid w:val="00DB7E6F"/>
    <w:rsid w:val="00DC0E8B"/>
    <w:rsid w:val="00DC1914"/>
    <w:rsid w:val="00DC1C9A"/>
    <w:rsid w:val="00DC6085"/>
    <w:rsid w:val="00DD0615"/>
    <w:rsid w:val="00DD2706"/>
    <w:rsid w:val="00DD2866"/>
    <w:rsid w:val="00DD3433"/>
    <w:rsid w:val="00DD3EED"/>
    <w:rsid w:val="00DD41BF"/>
    <w:rsid w:val="00DD45DD"/>
    <w:rsid w:val="00DD4849"/>
    <w:rsid w:val="00DD4C5F"/>
    <w:rsid w:val="00DD4E83"/>
    <w:rsid w:val="00DD6C93"/>
    <w:rsid w:val="00DD7F4B"/>
    <w:rsid w:val="00DE0C13"/>
    <w:rsid w:val="00DE0DFB"/>
    <w:rsid w:val="00DE144A"/>
    <w:rsid w:val="00DE3759"/>
    <w:rsid w:val="00DE3E91"/>
    <w:rsid w:val="00DE4A37"/>
    <w:rsid w:val="00DE57A4"/>
    <w:rsid w:val="00DF04D0"/>
    <w:rsid w:val="00DF1100"/>
    <w:rsid w:val="00DF2592"/>
    <w:rsid w:val="00DF303C"/>
    <w:rsid w:val="00DF4498"/>
    <w:rsid w:val="00DF4C14"/>
    <w:rsid w:val="00DF52C3"/>
    <w:rsid w:val="00DF5369"/>
    <w:rsid w:val="00DF55BC"/>
    <w:rsid w:val="00DF6233"/>
    <w:rsid w:val="00DF6B2E"/>
    <w:rsid w:val="00E00DEC"/>
    <w:rsid w:val="00E02164"/>
    <w:rsid w:val="00E0444C"/>
    <w:rsid w:val="00E045B5"/>
    <w:rsid w:val="00E04A80"/>
    <w:rsid w:val="00E04F82"/>
    <w:rsid w:val="00E05C60"/>
    <w:rsid w:val="00E07A55"/>
    <w:rsid w:val="00E1159A"/>
    <w:rsid w:val="00E12B8D"/>
    <w:rsid w:val="00E13C95"/>
    <w:rsid w:val="00E14844"/>
    <w:rsid w:val="00E174DE"/>
    <w:rsid w:val="00E17B2B"/>
    <w:rsid w:val="00E20147"/>
    <w:rsid w:val="00E2091C"/>
    <w:rsid w:val="00E22504"/>
    <w:rsid w:val="00E2389D"/>
    <w:rsid w:val="00E25088"/>
    <w:rsid w:val="00E2580F"/>
    <w:rsid w:val="00E258DB"/>
    <w:rsid w:val="00E25941"/>
    <w:rsid w:val="00E25D28"/>
    <w:rsid w:val="00E26664"/>
    <w:rsid w:val="00E26E00"/>
    <w:rsid w:val="00E26E3D"/>
    <w:rsid w:val="00E27209"/>
    <w:rsid w:val="00E27929"/>
    <w:rsid w:val="00E27A82"/>
    <w:rsid w:val="00E27E4E"/>
    <w:rsid w:val="00E31F30"/>
    <w:rsid w:val="00E32177"/>
    <w:rsid w:val="00E33DC2"/>
    <w:rsid w:val="00E34780"/>
    <w:rsid w:val="00E34959"/>
    <w:rsid w:val="00E34D56"/>
    <w:rsid w:val="00E34FE6"/>
    <w:rsid w:val="00E366EE"/>
    <w:rsid w:val="00E374C8"/>
    <w:rsid w:val="00E41DE9"/>
    <w:rsid w:val="00E43D11"/>
    <w:rsid w:val="00E43DA8"/>
    <w:rsid w:val="00E4689E"/>
    <w:rsid w:val="00E50671"/>
    <w:rsid w:val="00E5069C"/>
    <w:rsid w:val="00E50CDC"/>
    <w:rsid w:val="00E51B39"/>
    <w:rsid w:val="00E529CE"/>
    <w:rsid w:val="00E5489B"/>
    <w:rsid w:val="00E54F52"/>
    <w:rsid w:val="00E566C6"/>
    <w:rsid w:val="00E61578"/>
    <w:rsid w:val="00E61A1F"/>
    <w:rsid w:val="00E61E12"/>
    <w:rsid w:val="00E61EC5"/>
    <w:rsid w:val="00E64B83"/>
    <w:rsid w:val="00E72D0B"/>
    <w:rsid w:val="00E73BE9"/>
    <w:rsid w:val="00E74923"/>
    <w:rsid w:val="00E769F1"/>
    <w:rsid w:val="00E8083E"/>
    <w:rsid w:val="00E8152D"/>
    <w:rsid w:val="00E82CD4"/>
    <w:rsid w:val="00E8387E"/>
    <w:rsid w:val="00E84FEE"/>
    <w:rsid w:val="00E85FB6"/>
    <w:rsid w:val="00E90AAC"/>
    <w:rsid w:val="00E931FE"/>
    <w:rsid w:val="00E94438"/>
    <w:rsid w:val="00E955AE"/>
    <w:rsid w:val="00E96198"/>
    <w:rsid w:val="00EA0116"/>
    <w:rsid w:val="00EA0128"/>
    <w:rsid w:val="00EA0824"/>
    <w:rsid w:val="00EA0D03"/>
    <w:rsid w:val="00EA1257"/>
    <w:rsid w:val="00EA151E"/>
    <w:rsid w:val="00EA173A"/>
    <w:rsid w:val="00EA3F3A"/>
    <w:rsid w:val="00EA4731"/>
    <w:rsid w:val="00EA6870"/>
    <w:rsid w:val="00EA6FC4"/>
    <w:rsid w:val="00EB10E7"/>
    <w:rsid w:val="00EB1756"/>
    <w:rsid w:val="00EB558D"/>
    <w:rsid w:val="00EB5950"/>
    <w:rsid w:val="00EB6496"/>
    <w:rsid w:val="00EB770C"/>
    <w:rsid w:val="00EB7809"/>
    <w:rsid w:val="00EB7C2D"/>
    <w:rsid w:val="00EB7F6C"/>
    <w:rsid w:val="00EC019F"/>
    <w:rsid w:val="00EC034A"/>
    <w:rsid w:val="00EC03B4"/>
    <w:rsid w:val="00EC14BB"/>
    <w:rsid w:val="00EC2DB2"/>
    <w:rsid w:val="00EC2E17"/>
    <w:rsid w:val="00EC2F70"/>
    <w:rsid w:val="00EC33BE"/>
    <w:rsid w:val="00EC35BC"/>
    <w:rsid w:val="00EC4C05"/>
    <w:rsid w:val="00EC6A01"/>
    <w:rsid w:val="00EC6A11"/>
    <w:rsid w:val="00EC72B2"/>
    <w:rsid w:val="00ED196B"/>
    <w:rsid w:val="00ED3082"/>
    <w:rsid w:val="00ED3B39"/>
    <w:rsid w:val="00ED41FF"/>
    <w:rsid w:val="00EE1E5B"/>
    <w:rsid w:val="00EE4527"/>
    <w:rsid w:val="00EE538F"/>
    <w:rsid w:val="00EE54B0"/>
    <w:rsid w:val="00EE5BCE"/>
    <w:rsid w:val="00EE6041"/>
    <w:rsid w:val="00EE674A"/>
    <w:rsid w:val="00EE75C8"/>
    <w:rsid w:val="00EF05F2"/>
    <w:rsid w:val="00EF0DAA"/>
    <w:rsid w:val="00EF10F2"/>
    <w:rsid w:val="00EF168B"/>
    <w:rsid w:val="00EF1B8D"/>
    <w:rsid w:val="00EF2F3C"/>
    <w:rsid w:val="00EF62F2"/>
    <w:rsid w:val="00F00F70"/>
    <w:rsid w:val="00F020FF"/>
    <w:rsid w:val="00F054F0"/>
    <w:rsid w:val="00F06CD6"/>
    <w:rsid w:val="00F07382"/>
    <w:rsid w:val="00F10731"/>
    <w:rsid w:val="00F128CB"/>
    <w:rsid w:val="00F146EE"/>
    <w:rsid w:val="00F14B24"/>
    <w:rsid w:val="00F16682"/>
    <w:rsid w:val="00F167A0"/>
    <w:rsid w:val="00F17183"/>
    <w:rsid w:val="00F20920"/>
    <w:rsid w:val="00F20FD5"/>
    <w:rsid w:val="00F2140A"/>
    <w:rsid w:val="00F214AB"/>
    <w:rsid w:val="00F22992"/>
    <w:rsid w:val="00F23D45"/>
    <w:rsid w:val="00F240EE"/>
    <w:rsid w:val="00F25219"/>
    <w:rsid w:val="00F278C8"/>
    <w:rsid w:val="00F27ED5"/>
    <w:rsid w:val="00F322A0"/>
    <w:rsid w:val="00F32BAD"/>
    <w:rsid w:val="00F32D3B"/>
    <w:rsid w:val="00F34A27"/>
    <w:rsid w:val="00F35A0A"/>
    <w:rsid w:val="00F401C0"/>
    <w:rsid w:val="00F4131C"/>
    <w:rsid w:val="00F41BAE"/>
    <w:rsid w:val="00F41C7C"/>
    <w:rsid w:val="00F45720"/>
    <w:rsid w:val="00F45D95"/>
    <w:rsid w:val="00F527D6"/>
    <w:rsid w:val="00F53910"/>
    <w:rsid w:val="00F53DEC"/>
    <w:rsid w:val="00F559E9"/>
    <w:rsid w:val="00F562E5"/>
    <w:rsid w:val="00F5673A"/>
    <w:rsid w:val="00F56943"/>
    <w:rsid w:val="00F6260A"/>
    <w:rsid w:val="00F6430F"/>
    <w:rsid w:val="00F6532D"/>
    <w:rsid w:val="00F67C28"/>
    <w:rsid w:val="00F7236A"/>
    <w:rsid w:val="00F73576"/>
    <w:rsid w:val="00F75601"/>
    <w:rsid w:val="00F75A94"/>
    <w:rsid w:val="00F77B72"/>
    <w:rsid w:val="00F85076"/>
    <w:rsid w:val="00F90768"/>
    <w:rsid w:val="00F90F43"/>
    <w:rsid w:val="00F91F68"/>
    <w:rsid w:val="00F91FC9"/>
    <w:rsid w:val="00F93019"/>
    <w:rsid w:val="00F93073"/>
    <w:rsid w:val="00F95801"/>
    <w:rsid w:val="00F96498"/>
    <w:rsid w:val="00FA1A74"/>
    <w:rsid w:val="00FA2656"/>
    <w:rsid w:val="00FA2A79"/>
    <w:rsid w:val="00FA3335"/>
    <w:rsid w:val="00FA4474"/>
    <w:rsid w:val="00FA5918"/>
    <w:rsid w:val="00FA5E3F"/>
    <w:rsid w:val="00FA65C7"/>
    <w:rsid w:val="00FA7EE6"/>
    <w:rsid w:val="00FB0C19"/>
    <w:rsid w:val="00FB1AFA"/>
    <w:rsid w:val="00FB1F38"/>
    <w:rsid w:val="00FB2A05"/>
    <w:rsid w:val="00FB3D88"/>
    <w:rsid w:val="00FB3DEC"/>
    <w:rsid w:val="00FC0B3B"/>
    <w:rsid w:val="00FC0FFC"/>
    <w:rsid w:val="00FC12F0"/>
    <w:rsid w:val="00FC1372"/>
    <w:rsid w:val="00FC1BCB"/>
    <w:rsid w:val="00FC4F27"/>
    <w:rsid w:val="00FC6EFD"/>
    <w:rsid w:val="00FD0345"/>
    <w:rsid w:val="00FD15B1"/>
    <w:rsid w:val="00FD1CBF"/>
    <w:rsid w:val="00FD1F9B"/>
    <w:rsid w:val="00FD39E4"/>
    <w:rsid w:val="00FD43F6"/>
    <w:rsid w:val="00FD53CB"/>
    <w:rsid w:val="00FD583E"/>
    <w:rsid w:val="00FD7A74"/>
    <w:rsid w:val="00FE072C"/>
    <w:rsid w:val="00FE0C32"/>
    <w:rsid w:val="00FE13E8"/>
    <w:rsid w:val="00FE21DD"/>
    <w:rsid w:val="00FE3D68"/>
    <w:rsid w:val="00FE40F3"/>
    <w:rsid w:val="00FE5A72"/>
    <w:rsid w:val="00FE5C53"/>
    <w:rsid w:val="00FE646E"/>
    <w:rsid w:val="00FE77F7"/>
    <w:rsid w:val="00FF00D5"/>
    <w:rsid w:val="00FF172C"/>
    <w:rsid w:val="00FF17A1"/>
    <w:rsid w:val="00FF2B76"/>
    <w:rsid w:val="00FF3E0A"/>
    <w:rsid w:val="00FF425D"/>
    <w:rsid w:val="00FF6C69"/>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ED484E"/>
  <w15:docId w15:val="{59D365F1-5BBB-4DA0-99E3-B0B5F213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D5"/>
    <w:rPr>
      <w:sz w:val="24"/>
      <w:szCs w:val="24"/>
      <w:lang w:val="en-GB" w:eastAsia="ja-JP"/>
    </w:rPr>
  </w:style>
  <w:style w:type="paragraph" w:styleId="Heading1">
    <w:name w:val="heading 1"/>
    <w:basedOn w:val="Normal"/>
    <w:next w:val="Normal"/>
    <w:link w:val="Heading1Char"/>
    <w:uiPriority w:val="99"/>
    <w:qFormat/>
    <w:rsid w:val="004665D5"/>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9"/>
    <w:qFormat/>
    <w:rsid w:val="004665D5"/>
    <w:pPr>
      <w:keepNext/>
      <w:spacing w:before="240" w:after="60"/>
      <w:outlineLvl w:val="1"/>
    </w:pPr>
    <w:rPr>
      <w:rFonts w:ascii="Arial" w:hAnsi="Arial"/>
      <w:b/>
      <w:bCs/>
      <w:i/>
      <w:iCs/>
      <w:sz w:val="28"/>
      <w:szCs w:val="28"/>
      <w:lang w:eastAsia="en-US"/>
    </w:rPr>
  </w:style>
  <w:style w:type="paragraph" w:styleId="Heading3">
    <w:name w:val="heading 3"/>
    <w:basedOn w:val="Normal"/>
    <w:next w:val="Normal"/>
    <w:link w:val="Heading3Char"/>
    <w:uiPriority w:val="99"/>
    <w:qFormat/>
    <w:rsid w:val="004665D5"/>
    <w:pPr>
      <w:keepNext/>
      <w:spacing w:before="240" w:after="60"/>
      <w:outlineLvl w:val="2"/>
    </w:pPr>
    <w:rPr>
      <w:rFonts w:ascii="Calibri" w:hAnsi="Calibri" w:cs="Arial"/>
      <w:b/>
      <w:bCs/>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5918"/>
    <w:rPr>
      <w:rFonts w:ascii="Cambria" w:hAnsi="Cambria" w:cs="Times New Roman"/>
      <w:b/>
      <w:bCs/>
      <w:kern w:val="32"/>
      <w:sz w:val="32"/>
      <w:szCs w:val="32"/>
      <w:lang w:eastAsia="ja-JP"/>
    </w:rPr>
  </w:style>
  <w:style w:type="character" w:customStyle="1" w:styleId="Heading2Char">
    <w:name w:val="Heading 2 Char"/>
    <w:basedOn w:val="DefaultParagraphFont"/>
    <w:link w:val="Heading2"/>
    <w:uiPriority w:val="99"/>
    <w:locked/>
    <w:rsid w:val="008438CA"/>
    <w:rPr>
      <w:rFonts w:ascii="Arial" w:hAnsi="Arial" w:cs="Times New Roman"/>
      <w:b/>
      <w:i/>
      <w:sz w:val="28"/>
      <w:lang w:eastAsia="en-US"/>
    </w:rPr>
  </w:style>
  <w:style w:type="character" w:customStyle="1" w:styleId="Heading3Char">
    <w:name w:val="Heading 3 Char"/>
    <w:basedOn w:val="DefaultParagraphFont"/>
    <w:link w:val="Heading3"/>
    <w:uiPriority w:val="99"/>
    <w:semiHidden/>
    <w:locked/>
    <w:rsid w:val="00FA5918"/>
    <w:rPr>
      <w:rFonts w:ascii="Cambria" w:hAnsi="Cambria" w:cs="Times New Roman"/>
      <w:b/>
      <w:bCs/>
      <w:sz w:val="26"/>
      <w:szCs w:val="26"/>
      <w:lang w:eastAsia="ja-JP"/>
    </w:rPr>
  </w:style>
  <w:style w:type="character" w:customStyle="1" w:styleId="fn">
    <w:name w:val="fn"/>
    <w:uiPriority w:val="99"/>
    <w:rsid w:val="004665D5"/>
  </w:style>
  <w:style w:type="character" w:customStyle="1" w:styleId="fj">
    <w:name w:val="fj"/>
    <w:uiPriority w:val="99"/>
    <w:rsid w:val="004665D5"/>
  </w:style>
  <w:style w:type="character" w:styleId="Hyperlink">
    <w:name w:val="Hyperlink"/>
    <w:basedOn w:val="DefaultParagraphFont"/>
    <w:uiPriority w:val="99"/>
    <w:rsid w:val="004665D5"/>
    <w:rPr>
      <w:rFonts w:cs="Times New Roman"/>
      <w:color w:val="0000FF"/>
      <w:u w:val="single"/>
    </w:rPr>
  </w:style>
  <w:style w:type="table" w:styleId="TableGrid">
    <w:name w:val="Table Grid"/>
    <w:basedOn w:val="TableNormal"/>
    <w:uiPriority w:val="99"/>
    <w:rsid w:val="004665D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665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5918"/>
    <w:rPr>
      <w:rFonts w:cs="Times New Roman"/>
      <w:sz w:val="2"/>
      <w:lang w:eastAsia="ja-JP"/>
    </w:rPr>
  </w:style>
  <w:style w:type="paragraph" w:styleId="DocumentMap">
    <w:name w:val="Document Map"/>
    <w:basedOn w:val="Normal"/>
    <w:link w:val="DocumentMapChar"/>
    <w:uiPriority w:val="99"/>
    <w:semiHidden/>
    <w:rsid w:val="004665D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FA5918"/>
    <w:rPr>
      <w:rFonts w:cs="Times New Roman"/>
      <w:sz w:val="2"/>
      <w:lang w:eastAsia="ja-JP"/>
    </w:rPr>
  </w:style>
  <w:style w:type="paragraph" w:styleId="Header">
    <w:name w:val="header"/>
    <w:basedOn w:val="Normal"/>
    <w:link w:val="HeaderChar"/>
    <w:uiPriority w:val="99"/>
    <w:rsid w:val="004665D5"/>
    <w:pPr>
      <w:tabs>
        <w:tab w:val="center" w:pos="4320"/>
        <w:tab w:val="right" w:pos="8640"/>
      </w:tabs>
    </w:pPr>
    <w:rPr>
      <w:lang w:eastAsia="en-US"/>
    </w:rPr>
  </w:style>
  <w:style w:type="character" w:customStyle="1" w:styleId="HeaderChar">
    <w:name w:val="Header Char"/>
    <w:basedOn w:val="DefaultParagraphFont"/>
    <w:link w:val="Header"/>
    <w:uiPriority w:val="99"/>
    <w:semiHidden/>
    <w:locked/>
    <w:rsid w:val="00FA5918"/>
    <w:rPr>
      <w:rFonts w:cs="Times New Roman"/>
      <w:sz w:val="24"/>
      <w:szCs w:val="24"/>
      <w:lang w:eastAsia="ja-JP"/>
    </w:rPr>
  </w:style>
  <w:style w:type="paragraph" w:styleId="Footer">
    <w:name w:val="footer"/>
    <w:basedOn w:val="Normal"/>
    <w:link w:val="FooterChar"/>
    <w:uiPriority w:val="99"/>
    <w:rsid w:val="004665D5"/>
    <w:pPr>
      <w:tabs>
        <w:tab w:val="center" w:pos="4320"/>
        <w:tab w:val="right" w:pos="8640"/>
      </w:tabs>
    </w:pPr>
    <w:rPr>
      <w:lang w:eastAsia="en-US"/>
    </w:rPr>
  </w:style>
  <w:style w:type="character" w:customStyle="1" w:styleId="FooterChar">
    <w:name w:val="Footer Char"/>
    <w:basedOn w:val="DefaultParagraphFont"/>
    <w:link w:val="Footer"/>
    <w:uiPriority w:val="99"/>
    <w:semiHidden/>
    <w:locked/>
    <w:rsid w:val="00FA5918"/>
    <w:rPr>
      <w:rFonts w:cs="Times New Roman"/>
      <w:sz w:val="24"/>
      <w:szCs w:val="24"/>
      <w:lang w:eastAsia="ja-JP"/>
    </w:rPr>
  </w:style>
  <w:style w:type="paragraph" w:customStyle="1" w:styleId="ColorfulList-Accent11">
    <w:name w:val="Colorful List - Accent 11"/>
    <w:basedOn w:val="Normal"/>
    <w:uiPriority w:val="99"/>
    <w:rsid w:val="007C00C9"/>
    <w:pPr>
      <w:ind w:left="720"/>
      <w:contextualSpacing/>
    </w:pPr>
    <w:rPr>
      <w:rFonts w:ascii="Cambria" w:hAnsi="Cambria"/>
      <w:lang w:val="en-US"/>
    </w:rPr>
  </w:style>
  <w:style w:type="character" w:styleId="CommentReference">
    <w:name w:val="annotation reference"/>
    <w:basedOn w:val="DefaultParagraphFont"/>
    <w:uiPriority w:val="99"/>
    <w:rsid w:val="008438CA"/>
    <w:rPr>
      <w:rFonts w:cs="Times New Roman"/>
      <w:sz w:val="16"/>
    </w:rPr>
  </w:style>
  <w:style w:type="paragraph" w:styleId="CommentText">
    <w:name w:val="annotation text"/>
    <w:basedOn w:val="Normal"/>
    <w:link w:val="CommentTextChar"/>
    <w:uiPriority w:val="99"/>
    <w:rsid w:val="008438CA"/>
    <w:rPr>
      <w:sz w:val="20"/>
      <w:szCs w:val="20"/>
      <w:lang w:eastAsia="en-US"/>
    </w:rPr>
  </w:style>
  <w:style w:type="character" w:customStyle="1" w:styleId="CommentTextChar">
    <w:name w:val="Comment Text Char"/>
    <w:basedOn w:val="DefaultParagraphFont"/>
    <w:link w:val="CommentText"/>
    <w:uiPriority w:val="99"/>
    <w:locked/>
    <w:rsid w:val="008438CA"/>
    <w:rPr>
      <w:rFonts w:eastAsia="Times New Roman" w:cs="Times New Roman"/>
      <w:lang w:eastAsia="en-US"/>
    </w:rPr>
  </w:style>
  <w:style w:type="paragraph" w:styleId="CommentSubject">
    <w:name w:val="annotation subject"/>
    <w:basedOn w:val="CommentText"/>
    <w:next w:val="CommentText"/>
    <w:link w:val="CommentSubjectChar"/>
    <w:uiPriority w:val="99"/>
    <w:rsid w:val="008438CA"/>
    <w:rPr>
      <w:b/>
      <w:bCs/>
    </w:rPr>
  </w:style>
  <w:style w:type="character" w:customStyle="1" w:styleId="CommentSubjectChar">
    <w:name w:val="Comment Subject Char"/>
    <w:basedOn w:val="CommentTextChar"/>
    <w:link w:val="CommentSubject"/>
    <w:uiPriority w:val="99"/>
    <w:locked/>
    <w:rsid w:val="008438CA"/>
    <w:rPr>
      <w:rFonts w:eastAsia="Times New Roman" w:cs="Times New Roman"/>
      <w:b/>
      <w:lang w:eastAsia="en-US"/>
    </w:rPr>
  </w:style>
  <w:style w:type="character" w:styleId="Emphasis">
    <w:name w:val="Emphasis"/>
    <w:basedOn w:val="DefaultParagraphFont"/>
    <w:uiPriority w:val="99"/>
    <w:qFormat/>
    <w:rsid w:val="000C75C2"/>
    <w:rPr>
      <w:rFonts w:cs="Times New Roman"/>
      <w:i/>
    </w:rPr>
  </w:style>
  <w:style w:type="paragraph" w:customStyle="1" w:styleId="ColorfulShading-Accent11">
    <w:name w:val="Colorful Shading - Accent 11"/>
    <w:hidden/>
    <w:uiPriority w:val="99"/>
    <w:rsid w:val="00523C81"/>
    <w:rPr>
      <w:sz w:val="24"/>
      <w:szCs w:val="24"/>
      <w:lang w:val="en-GB" w:eastAsia="ja-JP"/>
    </w:rPr>
  </w:style>
  <w:style w:type="paragraph" w:customStyle="1" w:styleId="StyleLatinCalibriBefore6ptAfter6pt">
    <w:name w:val="Style (Latin) Calibri Before:  6 pt After:  6 pt"/>
    <w:basedOn w:val="Normal"/>
    <w:uiPriority w:val="99"/>
    <w:rsid w:val="00A07718"/>
    <w:pPr>
      <w:spacing w:before="120" w:after="120"/>
    </w:pPr>
    <w:rPr>
      <w:rFonts w:ascii="Calibri" w:hAnsi="Calibri"/>
      <w:szCs w:val="20"/>
      <w:lang w:eastAsia="en-US"/>
    </w:rPr>
  </w:style>
  <w:style w:type="paragraph" w:customStyle="1" w:styleId="LstRomanIMS">
    <w:name w:val="LstRoman/IMS"/>
    <w:basedOn w:val="Normal"/>
    <w:uiPriority w:val="99"/>
    <w:rsid w:val="009456B8"/>
    <w:pPr>
      <w:spacing w:before="120"/>
      <w:ind w:left="518" w:hanging="518"/>
    </w:pPr>
    <w:rPr>
      <w:sz w:val="20"/>
      <w:szCs w:val="20"/>
      <w:lang w:val="en-US" w:eastAsia="en-US"/>
    </w:rPr>
  </w:style>
  <w:style w:type="paragraph" w:customStyle="1" w:styleId="ParaIMS">
    <w:name w:val="Para/IMS"/>
    <w:basedOn w:val="Normal"/>
    <w:uiPriority w:val="99"/>
    <w:rsid w:val="009456B8"/>
    <w:pPr>
      <w:spacing w:before="160"/>
    </w:pPr>
    <w:rPr>
      <w:sz w:val="20"/>
      <w:szCs w:val="20"/>
      <w:lang w:val="en-US" w:eastAsia="en-US"/>
    </w:rPr>
  </w:style>
  <w:style w:type="paragraph" w:styleId="ListParagraph">
    <w:name w:val="List Paragraph"/>
    <w:basedOn w:val="Normal"/>
    <w:uiPriority w:val="63"/>
    <w:qFormat/>
    <w:rsid w:val="00D6416C"/>
    <w:pPr>
      <w:ind w:left="720"/>
      <w:contextualSpacing/>
    </w:pPr>
  </w:style>
  <w:style w:type="paragraph" w:styleId="Revision">
    <w:name w:val="Revision"/>
    <w:hidden/>
    <w:uiPriority w:val="99"/>
    <w:semiHidden/>
    <w:rsid w:val="00B82D5C"/>
    <w:rPr>
      <w:sz w:val="24"/>
      <w:szCs w:val="24"/>
      <w:lang w:val="en-GB" w:eastAsia="ja-JP"/>
    </w:rPr>
  </w:style>
  <w:style w:type="paragraph" w:customStyle="1" w:styleId="bl">
    <w:name w:val="bl"/>
    <w:basedOn w:val="Normal"/>
    <w:uiPriority w:val="99"/>
    <w:rsid w:val="00FE646E"/>
    <w:pPr>
      <w:spacing w:before="100" w:beforeAutospacing="1" w:after="100" w:afterAutospacing="1"/>
    </w:pPr>
    <w:rPr>
      <w:lang w:val="en-US" w:eastAsia="en-US"/>
    </w:rPr>
  </w:style>
  <w:style w:type="paragraph" w:customStyle="1" w:styleId="bm">
    <w:name w:val="bm"/>
    <w:basedOn w:val="Normal"/>
    <w:uiPriority w:val="99"/>
    <w:rsid w:val="00FE646E"/>
    <w:pPr>
      <w:spacing w:before="100" w:beforeAutospacing="1" w:after="100" w:afterAutospacing="1"/>
    </w:pPr>
    <w:rPr>
      <w:lang w:val="en-US" w:eastAsia="en-US"/>
    </w:rPr>
  </w:style>
  <w:style w:type="paragraph" w:customStyle="1" w:styleId="bn">
    <w:name w:val="bn"/>
    <w:basedOn w:val="Normal"/>
    <w:uiPriority w:val="99"/>
    <w:rsid w:val="00FE646E"/>
    <w:pPr>
      <w:spacing w:before="100" w:beforeAutospacing="1" w:after="100" w:afterAutospacing="1"/>
    </w:pPr>
    <w:rPr>
      <w:lang w:val="en-US" w:eastAsia="en-US"/>
    </w:rPr>
  </w:style>
  <w:style w:type="paragraph" w:customStyle="1" w:styleId="a">
    <w:name w:val="a"/>
    <w:basedOn w:val="Normal"/>
    <w:uiPriority w:val="99"/>
    <w:rsid w:val="00FE646E"/>
    <w:pPr>
      <w:spacing w:before="100" w:beforeAutospacing="1" w:after="100" w:afterAutospacing="1"/>
    </w:pPr>
    <w:rPr>
      <w:lang w:val="en-US" w:eastAsia="en-US"/>
    </w:rPr>
  </w:style>
  <w:style w:type="paragraph" w:customStyle="1" w:styleId="de">
    <w:name w:val="de"/>
    <w:basedOn w:val="Normal"/>
    <w:rsid w:val="00C14AFF"/>
    <w:pPr>
      <w:spacing w:before="100" w:beforeAutospacing="1" w:after="100" w:afterAutospacing="1"/>
    </w:pPr>
    <w:rPr>
      <w:rFonts w:eastAsia="Times New Roman"/>
      <w:lang w:eastAsia="en-GB"/>
    </w:rPr>
  </w:style>
  <w:style w:type="character" w:customStyle="1" w:styleId="cz">
    <w:name w:val="cz"/>
    <w:basedOn w:val="DefaultParagraphFont"/>
    <w:rsid w:val="00C14AFF"/>
  </w:style>
  <w:style w:type="paragraph" w:customStyle="1" w:styleId="df">
    <w:name w:val="df"/>
    <w:basedOn w:val="Normal"/>
    <w:rsid w:val="00C14AFF"/>
    <w:pPr>
      <w:spacing w:before="100" w:beforeAutospacing="1" w:after="100" w:afterAutospacing="1"/>
    </w:pPr>
    <w:rPr>
      <w:rFonts w:eastAsia="Times New Roman"/>
      <w:lang w:eastAsia="en-GB"/>
    </w:rPr>
  </w:style>
  <w:style w:type="paragraph" w:customStyle="1" w:styleId="Paratext">
    <w:name w:val="Para_text"/>
    <w:basedOn w:val="Normal"/>
    <w:qFormat/>
    <w:rsid w:val="00D14672"/>
    <w:pPr>
      <w:ind w:left="440"/>
      <w:jc w:val="both"/>
    </w:pPr>
    <w:rPr>
      <w:rFonts w:eastAsia="Times New Roman"/>
      <w:sz w:val="20"/>
      <w:szCs w:val="20"/>
      <w:lang w:eastAsia="en-GB"/>
    </w:rPr>
  </w:style>
  <w:style w:type="character" w:customStyle="1" w:styleId="anw">
    <w:name w:val="anw"/>
    <w:basedOn w:val="DefaultParagraphFont"/>
    <w:rsid w:val="00224046"/>
  </w:style>
  <w:style w:type="character" w:customStyle="1" w:styleId="li">
    <w:name w:val="li"/>
    <w:basedOn w:val="DefaultParagraphFont"/>
    <w:rsid w:val="00224046"/>
  </w:style>
  <w:style w:type="character" w:styleId="UnresolvedMention">
    <w:name w:val="Unresolved Mention"/>
    <w:basedOn w:val="DefaultParagraphFont"/>
    <w:uiPriority w:val="99"/>
    <w:semiHidden/>
    <w:unhideWhenUsed/>
    <w:rsid w:val="00697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8452">
      <w:marLeft w:val="0"/>
      <w:marRight w:val="0"/>
      <w:marTop w:val="0"/>
      <w:marBottom w:val="0"/>
      <w:divBdr>
        <w:top w:val="none" w:sz="0" w:space="0" w:color="auto"/>
        <w:left w:val="none" w:sz="0" w:space="0" w:color="auto"/>
        <w:bottom w:val="none" w:sz="0" w:space="0" w:color="auto"/>
        <w:right w:val="none" w:sz="0" w:space="0" w:color="auto"/>
      </w:divBdr>
    </w:div>
    <w:div w:id="59208453">
      <w:marLeft w:val="0"/>
      <w:marRight w:val="0"/>
      <w:marTop w:val="0"/>
      <w:marBottom w:val="0"/>
      <w:divBdr>
        <w:top w:val="none" w:sz="0" w:space="0" w:color="auto"/>
        <w:left w:val="none" w:sz="0" w:space="0" w:color="auto"/>
        <w:bottom w:val="none" w:sz="0" w:space="0" w:color="auto"/>
        <w:right w:val="none" w:sz="0" w:space="0" w:color="auto"/>
      </w:divBdr>
    </w:div>
    <w:div w:id="59208454">
      <w:marLeft w:val="0"/>
      <w:marRight w:val="0"/>
      <w:marTop w:val="0"/>
      <w:marBottom w:val="0"/>
      <w:divBdr>
        <w:top w:val="none" w:sz="0" w:space="0" w:color="auto"/>
        <w:left w:val="none" w:sz="0" w:space="0" w:color="auto"/>
        <w:bottom w:val="none" w:sz="0" w:space="0" w:color="auto"/>
        <w:right w:val="none" w:sz="0" w:space="0" w:color="auto"/>
      </w:divBdr>
    </w:div>
    <w:div w:id="59208455">
      <w:marLeft w:val="0"/>
      <w:marRight w:val="0"/>
      <w:marTop w:val="0"/>
      <w:marBottom w:val="0"/>
      <w:divBdr>
        <w:top w:val="none" w:sz="0" w:space="0" w:color="auto"/>
        <w:left w:val="none" w:sz="0" w:space="0" w:color="auto"/>
        <w:bottom w:val="none" w:sz="0" w:space="0" w:color="auto"/>
        <w:right w:val="none" w:sz="0" w:space="0" w:color="auto"/>
      </w:divBdr>
    </w:div>
    <w:div w:id="59208456">
      <w:marLeft w:val="0"/>
      <w:marRight w:val="0"/>
      <w:marTop w:val="0"/>
      <w:marBottom w:val="0"/>
      <w:divBdr>
        <w:top w:val="none" w:sz="0" w:space="0" w:color="auto"/>
        <w:left w:val="none" w:sz="0" w:space="0" w:color="auto"/>
        <w:bottom w:val="none" w:sz="0" w:space="0" w:color="auto"/>
        <w:right w:val="none" w:sz="0" w:space="0" w:color="auto"/>
      </w:divBdr>
    </w:div>
    <w:div w:id="59208457">
      <w:marLeft w:val="0"/>
      <w:marRight w:val="0"/>
      <w:marTop w:val="0"/>
      <w:marBottom w:val="0"/>
      <w:divBdr>
        <w:top w:val="none" w:sz="0" w:space="0" w:color="auto"/>
        <w:left w:val="none" w:sz="0" w:space="0" w:color="auto"/>
        <w:bottom w:val="none" w:sz="0" w:space="0" w:color="auto"/>
        <w:right w:val="none" w:sz="0" w:space="0" w:color="auto"/>
      </w:divBdr>
    </w:div>
    <w:div w:id="59208458">
      <w:marLeft w:val="0"/>
      <w:marRight w:val="0"/>
      <w:marTop w:val="0"/>
      <w:marBottom w:val="0"/>
      <w:divBdr>
        <w:top w:val="none" w:sz="0" w:space="0" w:color="auto"/>
        <w:left w:val="none" w:sz="0" w:space="0" w:color="auto"/>
        <w:bottom w:val="none" w:sz="0" w:space="0" w:color="auto"/>
        <w:right w:val="none" w:sz="0" w:space="0" w:color="auto"/>
      </w:divBdr>
    </w:div>
    <w:div w:id="59208459">
      <w:marLeft w:val="0"/>
      <w:marRight w:val="0"/>
      <w:marTop w:val="0"/>
      <w:marBottom w:val="0"/>
      <w:divBdr>
        <w:top w:val="none" w:sz="0" w:space="0" w:color="auto"/>
        <w:left w:val="none" w:sz="0" w:space="0" w:color="auto"/>
        <w:bottom w:val="none" w:sz="0" w:space="0" w:color="auto"/>
        <w:right w:val="none" w:sz="0" w:space="0" w:color="auto"/>
      </w:divBdr>
    </w:div>
    <w:div w:id="59208460">
      <w:marLeft w:val="0"/>
      <w:marRight w:val="0"/>
      <w:marTop w:val="0"/>
      <w:marBottom w:val="0"/>
      <w:divBdr>
        <w:top w:val="none" w:sz="0" w:space="0" w:color="auto"/>
        <w:left w:val="none" w:sz="0" w:space="0" w:color="auto"/>
        <w:bottom w:val="none" w:sz="0" w:space="0" w:color="auto"/>
        <w:right w:val="none" w:sz="0" w:space="0" w:color="auto"/>
      </w:divBdr>
    </w:div>
    <w:div w:id="59208461">
      <w:marLeft w:val="0"/>
      <w:marRight w:val="0"/>
      <w:marTop w:val="0"/>
      <w:marBottom w:val="0"/>
      <w:divBdr>
        <w:top w:val="none" w:sz="0" w:space="0" w:color="auto"/>
        <w:left w:val="none" w:sz="0" w:space="0" w:color="auto"/>
        <w:bottom w:val="none" w:sz="0" w:space="0" w:color="auto"/>
        <w:right w:val="none" w:sz="0" w:space="0" w:color="auto"/>
      </w:divBdr>
    </w:div>
    <w:div w:id="59208462">
      <w:marLeft w:val="0"/>
      <w:marRight w:val="0"/>
      <w:marTop w:val="0"/>
      <w:marBottom w:val="0"/>
      <w:divBdr>
        <w:top w:val="none" w:sz="0" w:space="0" w:color="auto"/>
        <w:left w:val="none" w:sz="0" w:space="0" w:color="auto"/>
        <w:bottom w:val="none" w:sz="0" w:space="0" w:color="auto"/>
        <w:right w:val="none" w:sz="0" w:space="0" w:color="auto"/>
      </w:divBdr>
    </w:div>
    <w:div w:id="59208463">
      <w:marLeft w:val="0"/>
      <w:marRight w:val="0"/>
      <w:marTop w:val="0"/>
      <w:marBottom w:val="0"/>
      <w:divBdr>
        <w:top w:val="none" w:sz="0" w:space="0" w:color="auto"/>
        <w:left w:val="none" w:sz="0" w:space="0" w:color="auto"/>
        <w:bottom w:val="none" w:sz="0" w:space="0" w:color="auto"/>
        <w:right w:val="none" w:sz="0" w:space="0" w:color="auto"/>
      </w:divBdr>
    </w:div>
    <w:div w:id="59208464">
      <w:marLeft w:val="0"/>
      <w:marRight w:val="0"/>
      <w:marTop w:val="0"/>
      <w:marBottom w:val="0"/>
      <w:divBdr>
        <w:top w:val="none" w:sz="0" w:space="0" w:color="auto"/>
        <w:left w:val="none" w:sz="0" w:space="0" w:color="auto"/>
        <w:bottom w:val="none" w:sz="0" w:space="0" w:color="auto"/>
        <w:right w:val="none" w:sz="0" w:space="0" w:color="auto"/>
      </w:divBdr>
    </w:div>
    <w:div w:id="59208465">
      <w:marLeft w:val="0"/>
      <w:marRight w:val="0"/>
      <w:marTop w:val="0"/>
      <w:marBottom w:val="0"/>
      <w:divBdr>
        <w:top w:val="none" w:sz="0" w:space="0" w:color="auto"/>
        <w:left w:val="none" w:sz="0" w:space="0" w:color="auto"/>
        <w:bottom w:val="none" w:sz="0" w:space="0" w:color="auto"/>
        <w:right w:val="none" w:sz="0" w:space="0" w:color="auto"/>
      </w:divBdr>
    </w:div>
    <w:div w:id="59208466">
      <w:marLeft w:val="0"/>
      <w:marRight w:val="0"/>
      <w:marTop w:val="0"/>
      <w:marBottom w:val="0"/>
      <w:divBdr>
        <w:top w:val="none" w:sz="0" w:space="0" w:color="auto"/>
        <w:left w:val="none" w:sz="0" w:space="0" w:color="auto"/>
        <w:bottom w:val="none" w:sz="0" w:space="0" w:color="auto"/>
        <w:right w:val="none" w:sz="0" w:space="0" w:color="auto"/>
      </w:divBdr>
    </w:div>
    <w:div w:id="59208467">
      <w:marLeft w:val="0"/>
      <w:marRight w:val="0"/>
      <w:marTop w:val="0"/>
      <w:marBottom w:val="0"/>
      <w:divBdr>
        <w:top w:val="none" w:sz="0" w:space="0" w:color="auto"/>
        <w:left w:val="none" w:sz="0" w:space="0" w:color="auto"/>
        <w:bottom w:val="none" w:sz="0" w:space="0" w:color="auto"/>
        <w:right w:val="none" w:sz="0" w:space="0" w:color="auto"/>
      </w:divBdr>
    </w:div>
    <w:div w:id="59208468">
      <w:marLeft w:val="0"/>
      <w:marRight w:val="0"/>
      <w:marTop w:val="0"/>
      <w:marBottom w:val="0"/>
      <w:divBdr>
        <w:top w:val="none" w:sz="0" w:space="0" w:color="auto"/>
        <w:left w:val="none" w:sz="0" w:space="0" w:color="auto"/>
        <w:bottom w:val="none" w:sz="0" w:space="0" w:color="auto"/>
        <w:right w:val="none" w:sz="0" w:space="0" w:color="auto"/>
      </w:divBdr>
    </w:div>
    <w:div w:id="59208469">
      <w:marLeft w:val="0"/>
      <w:marRight w:val="0"/>
      <w:marTop w:val="0"/>
      <w:marBottom w:val="0"/>
      <w:divBdr>
        <w:top w:val="none" w:sz="0" w:space="0" w:color="auto"/>
        <w:left w:val="none" w:sz="0" w:space="0" w:color="auto"/>
        <w:bottom w:val="none" w:sz="0" w:space="0" w:color="auto"/>
        <w:right w:val="none" w:sz="0" w:space="0" w:color="auto"/>
      </w:divBdr>
    </w:div>
    <w:div w:id="59208470">
      <w:marLeft w:val="0"/>
      <w:marRight w:val="0"/>
      <w:marTop w:val="0"/>
      <w:marBottom w:val="0"/>
      <w:divBdr>
        <w:top w:val="none" w:sz="0" w:space="0" w:color="auto"/>
        <w:left w:val="none" w:sz="0" w:space="0" w:color="auto"/>
        <w:bottom w:val="none" w:sz="0" w:space="0" w:color="auto"/>
        <w:right w:val="none" w:sz="0" w:space="0" w:color="auto"/>
      </w:divBdr>
    </w:div>
    <w:div w:id="59208471">
      <w:marLeft w:val="0"/>
      <w:marRight w:val="0"/>
      <w:marTop w:val="0"/>
      <w:marBottom w:val="0"/>
      <w:divBdr>
        <w:top w:val="none" w:sz="0" w:space="0" w:color="auto"/>
        <w:left w:val="none" w:sz="0" w:space="0" w:color="auto"/>
        <w:bottom w:val="none" w:sz="0" w:space="0" w:color="auto"/>
        <w:right w:val="none" w:sz="0" w:space="0" w:color="auto"/>
      </w:divBdr>
    </w:div>
    <w:div w:id="59208472">
      <w:marLeft w:val="0"/>
      <w:marRight w:val="0"/>
      <w:marTop w:val="0"/>
      <w:marBottom w:val="0"/>
      <w:divBdr>
        <w:top w:val="none" w:sz="0" w:space="0" w:color="auto"/>
        <w:left w:val="none" w:sz="0" w:space="0" w:color="auto"/>
        <w:bottom w:val="none" w:sz="0" w:space="0" w:color="auto"/>
        <w:right w:val="none" w:sz="0" w:space="0" w:color="auto"/>
      </w:divBdr>
    </w:div>
    <w:div w:id="59208473">
      <w:marLeft w:val="0"/>
      <w:marRight w:val="0"/>
      <w:marTop w:val="0"/>
      <w:marBottom w:val="0"/>
      <w:divBdr>
        <w:top w:val="none" w:sz="0" w:space="0" w:color="auto"/>
        <w:left w:val="none" w:sz="0" w:space="0" w:color="auto"/>
        <w:bottom w:val="none" w:sz="0" w:space="0" w:color="auto"/>
        <w:right w:val="none" w:sz="0" w:space="0" w:color="auto"/>
      </w:divBdr>
    </w:div>
    <w:div w:id="59208474">
      <w:marLeft w:val="0"/>
      <w:marRight w:val="0"/>
      <w:marTop w:val="0"/>
      <w:marBottom w:val="0"/>
      <w:divBdr>
        <w:top w:val="none" w:sz="0" w:space="0" w:color="auto"/>
        <w:left w:val="none" w:sz="0" w:space="0" w:color="auto"/>
        <w:bottom w:val="none" w:sz="0" w:space="0" w:color="auto"/>
        <w:right w:val="none" w:sz="0" w:space="0" w:color="auto"/>
      </w:divBdr>
    </w:div>
    <w:div w:id="59208475">
      <w:marLeft w:val="0"/>
      <w:marRight w:val="0"/>
      <w:marTop w:val="0"/>
      <w:marBottom w:val="0"/>
      <w:divBdr>
        <w:top w:val="none" w:sz="0" w:space="0" w:color="auto"/>
        <w:left w:val="none" w:sz="0" w:space="0" w:color="auto"/>
        <w:bottom w:val="none" w:sz="0" w:space="0" w:color="auto"/>
        <w:right w:val="none" w:sz="0" w:space="0" w:color="auto"/>
      </w:divBdr>
    </w:div>
    <w:div w:id="59208476">
      <w:marLeft w:val="0"/>
      <w:marRight w:val="0"/>
      <w:marTop w:val="0"/>
      <w:marBottom w:val="0"/>
      <w:divBdr>
        <w:top w:val="none" w:sz="0" w:space="0" w:color="auto"/>
        <w:left w:val="none" w:sz="0" w:space="0" w:color="auto"/>
        <w:bottom w:val="none" w:sz="0" w:space="0" w:color="auto"/>
        <w:right w:val="none" w:sz="0" w:space="0" w:color="auto"/>
      </w:divBdr>
    </w:div>
    <w:div w:id="59208477">
      <w:marLeft w:val="0"/>
      <w:marRight w:val="0"/>
      <w:marTop w:val="0"/>
      <w:marBottom w:val="0"/>
      <w:divBdr>
        <w:top w:val="none" w:sz="0" w:space="0" w:color="auto"/>
        <w:left w:val="none" w:sz="0" w:space="0" w:color="auto"/>
        <w:bottom w:val="none" w:sz="0" w:space="0" w:color="auto"/>
        <w:right w:val="none" w:sz="0" w:space="0" w:color="auto"/>
      </w:divBdr>
    </w:div>
    <w:div w:id="59208478">
      <w:marLeft w:val="0"/>
      <w:marRight w:val="0"/>
      <w:marTop w:val="0"/>
      <w:marBottom w:val="0"/>
      <w:divBdr>
        <w:top w:val="none" w:sz="0" w:space="0" w:color="auto"/>
        <w:left w:val="none" w:sz="0" w:space="0" w:color="auto"/>
        <w:bottom w:val="none" w:sz="0" w:space="0" w:color="auto"/>
        <w:right w:val="none" w:sz="0" w:space="0" w:color="auto"/>
      </w:divBdr>
    </w:div>
    <w:div w:id="59208479">
      <w:marLeft w:val="0"/>
      <w:marRight w:val="0"/>
      <w:marTop w:val="0"/>
      <w:marBottom w:val="0"/>
      <w:divBdr>
        <w:top w:val="none" w:sz="0" w:space="0" w:color="auto"/>
        <w:left w:val="none" w:sz="0" w:space="0" w:color="auto"/>
        <w:bottom w:val="none" w:sz="0" w:space="0" w:color="auto"/>
        <w:right w:val="none" w:sz="0" w:space="0" w:color="auto"/>
      </w:divBdr>
    </w:div>
    <w:div w:id="59208480">
      <w:marLeft w:val="0"/>
      <w:marRight w:val="0"/>
      <w:marTop w:val="0"/>
      <w:marBottom w:val="0"/>
      <w:divBdr>
        <w:top w:val="none" w:sz="0" w:space="0" w:color="auto"/>
        <w:left w:val="none" w:sz="0" w:space="0" w:color="auto"/>
        <w:bottom w:val="none" w:sz="0" w:space="0" w:color="auto"/>
        <w:right w:val="none" w:sz="0" w:space="0" w:color="auto"/>
      </w:divBdr>
    </w:div>
    <w:div w:id="59208481">
      <w:marLeft w:val="0"/>
      <w:marRight w:val="0"/>
      <w:marTop w:val="0"/>
      <w:marBottom w:val="0"/>
      <w:divBdr>
        <w:top w:val="none" w:sz="0" w:space="0" w:color="auto"/>
        <w:left w:val="none" w:sz="0" w:space="0" w:color="auto"/>
        <w:bottom w:val="none" w:sz="0" w:space="0" w:color="auto"/>
        <w:right w:val="none" w:sz="0" w:space="0" w:color="auto"/>
      </w:divBdr>
    </w:div>
    <w:div w:id="59208482">
      <w:marLeft w:val="0"/>
      <w:marRight w:val="0"/>
      <w:marTop w:val="0"/>
      <w:marBottom w:val="0"/>
      <w:divBdr>
        <w:top w:val="none" w:sz="0" w:space="0" w:color="auto"/>
        <w:left w:val="none" w:sz="0" w:space="0" w:color="auto"/>
        <w:bottom w:val="none" w:sz="0" w:space="0" w:color="auto"/>
        <w:right w:val="none" w:sz="0" w:space="0" w:color="auto"/>
      </w:divBdr>
    </w:div>
    <w:div w:id="59208483">
      <w:marLeft w:val="0"/>
      <w:marRight w:val="0"/>
      <w:marTop w:val="0"/>
      <w:marBottom w:val="0"/>
      <w:divBdr>
        <w:top w:val="none" w:sz="0" w:space="0" w:color="auto"/>
        <w:left w:val="none" w:sz="0" w:space="0" w:color="auto"/>
        <w:bottom w:val="none" w:sz="0" w:space="0" w:color="auto"/>
        <w:right w:val="none" w:sz="0" w:space="0" w:color="auto"/>
      </w:divBdr>
    </w:div>
    <w:div w:id="59208484">
      <w:marLeft w:val="0"/>
      <w:marRight w:val="0"/>
      <w:marTop w:val="0"/>
      <w:marBottom w:val="0"/>
      <w:divBdr>
        <w:top w:val="none" w:sz="0" w:space="0" w:color="auto"/>
        <w:left w:val="none" w:sz="0" w:space="0" w:color="auto"/>
        <w:bottom w:val="none" w:sz="0" w:space="0" w:color="auto"/>
        <w:right w:val="none" w:sz="0" w:space="0" w:color="auto"/>
      </w:divBdr>
    </w:div>
    <w:div w:id="59208485">
      <w:marLeft w:val="0"/>
      <w:marRight w:val="0"/>
      <w:marTop w:val="0"/>
      <w:marBottom w:val="0"/>
      <w:divBdr>
        <w:top w:val="none" w:sz="0" w:space="0" w:color="auto"/>
        <w:left w:val="none" w:sz="0" w:space="0" w:color="auto"/>
        <w:bottom w:val="none" w:sz="0" w:space="0" w:color="auto"/>
        <w:right w:val="none" w:sz="0" w:space="0" w:color="auto"/>
      </w:divBdr>
    </w:div>
    <w:div w:id="59208486">
      <w:marLeft w:val="0"/>
      <w:marRight w:val="0"/>
      <w:marTop w:val="0"/>
      <w:marBottom w:val="0"/>
      <w:divBdr>
        <w:top w:val="none" w:sz="0" w:space="0" w:color="auto"/>
        <w:left w:val="none" w:sz="0" w:space="0" w:color="auto"/>
        <w:bottom w:val="none" w:sz="0" w:space="0" w:color="auto"/>
        <w:right w:val="none" w:sz="0" w:space="0" w:color="auto"/>
      </w:divBdr>
    </w:div>
    <w:div w:id="59208487">
      <w:marLeft w:val="0"/>
      <w:marRight w:val="0"/>
      <w:marTop w:val="0"/>
      <w:marBottom w:val="0"/>
      <w:divBdr>
        <w:top w:val="none" w:sz="0" w:space="0" w:color="auto"/>
        <w:left w:val="none" w:sz="0" w:space="0" w:color="auto"/>
        <w:bottom w:val="none" w:sz="0" w:space="0" w:color="auto"/>
        <w:right w:val="none" w:sz="0" w:space="0" w:color="auto"/>
      </w:divBdr>
    </w:div>
    <w:div w:id="59208488">
      <w:marLeft w:val="0"/>
      <w:marRight w:val="0"/>
      <w:marTop w:val="0"/>
      <w:marBottom w:val="0"/>
      <w:divBdr>
        <w:top w:val="none" w:sz="0" w:space="0" w:color="auto"/>
        <w:left w:val="none" w:sz="0" w:space="0" w:color="auto"/>
        <w:bottom w:val="none" w:sz="0" w:space="0" w:color="auto"/>
        <w:right w:val="none" w:sz="0" w:space="0" w:color="auto"/>
      </w:divBdr>
    </w:div>
    <w:div w:id="59208489">
      <w:marLeft w:val="0"/>
      <w:marRight w:val="0"/>
      <w:marTop w:val="0"/>
      <w:marBottom w:val="0"/>
      <w:divBdr>
        <w:top w:val="none" w:sz="0" w:space="0" w:color="auto"/>
        <w:left w:val="none" w:sz="0" w:space="0" w:color="auto"/>
        <w:bottom w:val="none" w:sz="0" w:space="0" w:color="auto"/>
        <w:right w:val="none" w:sz="0" w:space="0" w:color="auto"/>
      </w:divBdr>
    </w:div>
    <w:div w:id="59208490">
      <w:marLeft w:val="0"/>
      <w:marRight w:val="0"/>
      <w:marTop w:val="0"/>
      <w:marBottom w:val="0"/>
      <w:divBdr>
        <w:top w:val="none" w:sz="0" w:space="0" w:color="auto"/>
        <w:left w:val="none" w:sz="0" w:space="0" w:color="auto"/>
        <w:bottom w:val="none" w:sz="0" w:space="0" w:color="auto"/>
        <w:right w:val="none" w:sz="0" w:space="0" w:color="auto"/>
      </w:divBdr>
    </w:div>
    <w:div w:id="59208491">
      <w:marLeft w:val="0"/>
      <w:marRight w:val="0"/>
      <w:marTop w:val="0"/>
      <w:marBottom w:val="0"/>
      <w:divBdr>
        <w:top w:val="none" w:sz="0" w:space="0" w:color="auto"/>
        <w:left w:val="none" w:sz="0" w:space="0" w:color="auto"/>
        <w:bottom w:val="none" w:sz="0" w:space="0" w:color="auto"/>
        <w:right w:val="none" w:sz="0" w:space="0" w:color="auto"/>
      </w:divBdr>
    </w:div>
    <w:div w:id="59208492">
      <w:marLeft w:val="0"/>
      <w:marRight w:val="0"/>
      <w:marTop w:val="0"/>
      <w:marBottom w:val="0"/>
      <w:divBdr>
        <w:top w:val="none" w:sz="0" w:space="0" w:color="auto"/>
        <w:left w:val="none" w:sz="0" w:space="0" w:color="auto"/>
        <w:bottom w:val="none" w:sz="0" w:space="0" w:color="auto"/>
        <w:right w:val="none" w:sz="0" w:space="0" w:color="auto"/>
      </w:divBdr>
    </w:div>
    <w:div w:id="59208493">
      <w:marLeft w:val="0"/>
      <w:marRight w:val="0"/>
      <w:marTop w:val="0"/>
      <w:marBottom w:val="0"/>
      <w:divBdr>
        <w:top w:val="none" w:sz="0" w:space="0" w:color="auto"/>
        <w:left w:val="none" w:sz="0" w:space="0" w:color="auto"/>
        <w:bottom w:val="none" w:sz="0" w:space="0" w:color="auto"/>
        <w:right w:val="none" w:sz="0" w:space="0" w:color="auto"/>
      </w:divBdr>
    </w:div>
    <w:div w:id="59208494">
      <w:marLeft w:val="0"/>
      <w:marRight w:val="0"/>
      <w:marTop w:val="0"/>
      <w:marBottom w:val="0"/>
      <w:divBdr>
        <w:top w:val="none" w:sz="0" w:space="0" w:color="auto"/>
        <w:left w:val="none" w:sz="0" w:space="0" w:color="auto"/>
        <w:bottom w:val="none" w:sz="0" w:space="0" w:color="auto"/>
        <w:right w:val="none" w:sz="0" w:space="0" w:color="auto"/>
      </w:divBdr>
    </w:div>
    <w:div w:id="59208495">
      <w:marLeft w:val="0"/>
      <w:marRight w:val="0"/>
      <w:marTop w:val="0"/>
      <w:marBottom w:val="0"/>
      <w:divBdr>
        <w:top w:val="none" w:sz="0" w:space="0" w:color="auto"/>
        <w:left w:val="none" w:sz="0" w:space="0" w:color="auto"/>
        <w:bottom w:val="none" w:sz="0" w:space="0" w:color="auto"/>
        <w:right w:val="none" w:sz="0" w:space="0" w:color="auto"/>
      </w:divBdr>
    </w:div>
    <w:div w:id="59208496">
      <w:marLeft w:val="0"/>
      <w:marRight w:val="0"/>
      <w:marTop w:val="0"/>
      <w:marBottom w:val="0"/>
      <w:divBdr>
        <w:top w:val="none" w:sz="0" w:space="0" w:color="auto"/>
        <w:left w:val="none" w:sz="0" w:space="0" w:color="auto"/>
        <w:bottom w:val="none" w:sz="0" w:space="0" w:color="auto"/>
        <w:right w:val="none" w:sz="0" w:space="0" w:color="auto"/>
      </w:divBdr>
    </w:div>
    <w:div w:id="59208497">
      <w:marLeft w:val="0"/>
      <w:marRight w:val="0"/>
      <w:marTop w:val="0"/>
      <w:marBottom w:val="0"/>
      <w:divBdr>
        <w:top w:val="none" w:sz="0" w:space="0" w:color="auto"/>
        <w:left w:val="none" w:sz="0" w:space="0" w:color="auto"/>
        <w:bottom w:val="none" w:sz="0" w:space="0" w:color="auto"/>
        <w:right w:val="none" w:sz="0" w:space="0" w:color="auto"/>
      </w:divBdr>
    </w:div>
    <w:div w:id="59208498">
      <w:marLeft w:val="0"/>
      <w:marRight w:val="0"/>
      <w:marTop w:val="0"/>
      <w:marBottom w:val="0"/>
      <w:divBdr>
        <w:top w:val="none" w:sz="0" w:space="0" w:color="auto"/>
        <w:left w:val="none" w:sz="0" w:space="0" w:color="auto"/>
        <w:bottom w:val="none" w:sz="0" w:space="0" w:color="auto"/>
        <w:right w:val="none" w:sz="0" w:space="0" w:color="auto"/>
      </w:divBdr>
    </w:div>
    <w:div w:id="59208499">
      <w:marLeft w:val="0"/>
      <w:marRight w:val="0"/>
      <w:marTop w:val="0"/>
      <w:marBottom w:val="0"/>
      <w:divBdr>
        <w:top w:val="none" w:sz="0" w:space="0" w:color="auto"/>
        <w:left w:val="none" w:sz="0" w:space="0" w:color="auto"/>
        <w:bottom w:val="none" w:sz="0" w:space="0" w:color="auto"/>
        <w:right w:val="none" w:sz="0" w:space="0" w:color="auto"/>
      </w:divBdr>
    </w:div>
    <w:div w:id="59208500">
      <w:marLeft w:val="0"/>
      <w:marRight w:val="0"/>
      <w:marTop w:val="0"/>
      <w:marBottom w:val="0"/>
      <w:divBdr>
        <w:top w:val="none" w:sz="0" w:space="0" w:color="auto"/>
        <w:left w:val="none" w:sz="0" w:space="0" w:color="auto"/>
        <w:bottom w:val="none" w:sz="0" w:space="0" w:color="auto"/>
        <w:right w:val="none" w:sz="0" w:space="0" w:color="auto"/>
      </w:divBdr>
    </w:div>
    <w:div w:id="59208501">
      <w:marLeft w:val="0"/>
      <w:marRight w:val="0"/>
      <w:marTop w:val="0"/>
      <w:marBottom w:val="0"/>
      <w:divBdr>
        <w:top w:val="none" w:sz="0" w:space="0" w:color="auto"/>
        <w:left w:val="none" w:sz="0" w:space="0" w:color="auto"/>
        <w:bottom w:val="none" w:sz="0" w:space="0" w:color="auto"/>
        <w:right w:val="none" w:sz="0" w:space="0" w:color="auto"/>
      </w:divBdr>
    </w:div>
    <w:div w:id="59208502">
      <w:marLeft w:val="0"/>
      <w:marRight w:val="0"/>
      <w:marTop w:val="0"/>
      <w:marBottom w:val="0"/>
      <w:divBdr>
        <w:top w:val="none" w:sz="0" w:space="0" w:color="auto"/>
        <w:left w:val="none" w:sz="0" w:space="0" w:color="auto"/>
        <w:bottom w:val="none" w:sz="0" w:space="0" w:color="auto"/>
        <w:right w:val="none" w:sz="0" w:space="0" w:color="auto"/>
      </w:divBdr>
    </w:div>
    <w:div w:id="59208503">
      <w:marLeft w:val="0"/>
      <w:marRight w:val="0"/>
      <w:marTop w:val="0"/>
      <w:marBottom w:val="0"/>
      <w:divBdr>
        <w:top w:val="none" w:sz="0" w:space="0" w:color="auto"/>
        <w:left w:val="none" w:sz="0" w:space="0" w:color="auto"/>
        <w:bottom w:val="none" w:sz="0" w:space="0" w:color="auto"/>
        <w:right w:val="none" w:sz="0" w:space="0" w:color="auto"/>
      </w:divBdr>
    </w:div>
    <w:div w:id="59208504">
      <w:marLeft w:val="0"/>
      <w:marRight w:val="0"/>
      <w:marTop w:val="0"/>
      <w:marBottom w:val="0"/>
      <w:divBdr>
        <w:top w:val="none" w:sz="0" w:space="0" w:color="auto"/>
        <w:left w:val="none" w:sz="0" w:space="0" w:color="auto"/>
        <w:bottom w:val="none" w:sz="0" w:space="0" w:color="auto"/>
        <w:right w:val="none" w:sz="0" w:space="0" w:color="auto"/>
      </w:divBdr>
    </w:div>
    <w:div w:id="59208505">
      <w:marLeft w:val="0"/>
      <w:marRight w:val="0"/>
      <w:marTop w:val="0"/>
      <w:marBottom w:val="0"/>
      <w:divBdr>
        <w:top w:val="none" w:sz="0" w:space="0" w:color="auto"/>
        <w:left w:val="none" w:sz="0" w:space="0" w:color="auto"/>
        <w:bottom w:val="none" w:sz="0" w:space="0" w:color="auto"/>
        <w:right w:val="none" w:sz="0" w:space="0" w:color="auto"/>
      </w:divBdr>
    </w:div>
    <w:div w:id="59208506">
      <w:marLeft w:val="0"/>
      <w:marRight w:val="0"/>
      <w:marTop w:val="0"/>
      <w:marBottom w:val="0"/>
      <w:divBdr>
        <w:top w:val="none" w:sz="0" w:space="0" w:color="auto"/>
        <w:left w:val="none" w:sz="0" w:space="0" w:color="auto"/>
        <w:bottom w:val="none" w:sz="0" w:space="0" w:color="auto"/>
        <w:right w:val="none" w:sz="0" w:space="0" w:color="auto"/>
      </w:divBdr>
    </w:div>
    <w:div w:id="59208507">
      <w:marLeft w:val="0"/>
      <w:marRight w:val="0"/>
      <w:marTop w:val="0"/>
      <w:marBottom w:val="0"/>
      <w:divBdr>
        <w:top w:val="none" w:sz="0" w:space="0" w:color="auto"/>
        <w:left w:val="none" w:sz="0" w:space="0" w:color="auto"/>
        <w:bottom w:val="none" w:sz="0" w:space="0" w:color="auto"/>
        <w:right w:val="none" w:sz="0" w:space="0" w:color="auto"/>
      </w:divBdr>
    </w:div>
    <w:div w:id="59208508">
      <w:marLeft w:val="0"/>
      <w:marRight w:val="0"/>
      <w:marTop w:val="0"/>
      <w:marBottom w:val="0"/>
      <w:divBdr>
        <w:top w:val="none" w:sz="0" w:space="0" w:color="auto"/>
        <w:left w:val="none" w:sz="0" w:space="0" w:color="auto"/>
        <w:bottom w:val="none" w:sz="0" w:space="0" w:color="auto"/>
        <w:right w:val="none" w:sz="0" w:space="0" w:color="auto"/>
      </w:divBdr>
    </w:div>
    <w:div w:id="59208509">
      <w:marLeft w:val="0"/>
      <w:marRight w:val="0"/>
      <w:marTop w:val="0"/>
      <w:marBottom w:val="0"/>
      <w:divBdr>
        <w:top w:val="none" w:sz="0" w:space="0" w:color="auto"/>
        <w:left w:val="none" w:sz="0" w:space="0" w:color="auto"/>
        <w:bottom w:val="none" w:sz="0" w:space="0" w:color="auto"/>
        <w:right w:val="none" w:sz="0" w:space="0" w:color="auto"/>
      </w:divBdr>
    </w:div>
    <w:div w:id="59208510">
      <w:marLeft w:val="0"/>
      <w:marRight w:val="0"/>
      <w:marTop w:val="0"/>
      <w:marBottom w:val="0"/>
      <w:divBdr>
        <w:top w:val="none" w:sz="0" w:space="0" w:color="auto"/>
        <w:left w:val="none" w:sz="0" w:space="0" w:color="auto"/>
        <w:bottom w:val="none" w:sz="0" w:space="0" w:color="auto"/>
        <w:right w:val="none" w:sz="0" w:space="0" w:color="auto"/>
      </w:divBdr>
    </w:div>
    <w:div w:id="59208511">
      <w:marLeft w:val="0"/>
      <w:marRight w:val="0"/>
      <w:marTop w:val="0"/>
      <w:marBottom w:val="0"/>
      <w:divBdr>
        <w:top w:val="none" w:sz="0" w:space="0" w:color="auto"/>
        <w:left w:val="none" w:sz="0" w:space="0" w:color="auto"/>
        <w:bottom w:val="none" w:sz="0" w:space="0" w:color="auto"/>
        <w:right w:val="none" w:sz="0" w:space="0" w:color="auto"/>
      </w:divBdr>
    </w:div>
    <w:div w:id="59208512">
      <w:marLeft w:val="0"/>
      <w:marRight w:val="0"/>
      <w:marTop w:val="0"/>
      <w:marBottom w:val="0"/>
      <w:divBdr>
        <w:top w:val="none" w:sz="0" w:space="0" w:color="auto"/>
        <w:left w:val="none" w:sz="0" w:space="0" w:color="auto"/>
        <w:bottom w:val="none" w:sz="0" w:space="0" w:color="auto"/>
        <w:right w:val="none" w:sz="0" w:space="0" w:color="auto"/>
      </w:divBdr>
    </w:div>
    <w:div w:id="59208513">
      <w:marLeft w:val="0"/>
      <w:marRight w:val="0"/>
      <w:marTop w:val="0"/>
      <w:marBottom w:val="0"/>
      <w:divBdr>
        <w:top w:val="none" w:sz="0" w:space="0" w:color="auto"/>
        <w:left w:val="none" w:sz="0" w:space="0" w:color="auto"/>
        <w:bottom w:val="none" w:sz="0" w:space="0" w:color="auto"/>
        <w:right w:val="none" w:sz="0" w:space="0" w:color="auto"/>
      </w:divBdr>
    </w:div>
    <w:div w:id="59208514">
      <w:marLeft w:val="0"/>
      <w:marRight w:val="0"/>
      <w:marTop w:val="0"/>
      <w:marBottom w:val="0"/>
      <w:divBdr>
        <w:top w:val="none" w:sz="0" w:space="0" w:color="auto"/>
        <w:left w:val="none" w:sz="0" w:space="0" w:color="auto"/>
        <w:bottom w:val="none" w:sz="0" w:space="0" w:color="auto"/>
        <w:right w:val="none" w:sz="0" w:space="0" w:color="auto"/>
      </w:divBdr>
    </w:div>
    <w:div w:id="59208515">
      <w:marLeft w:val="0"/>
      <w:marRight w:val="0"/>
      <w:marTop w:val="0"/>
      <w:marBottom w:val="0"/>
      <w:divBdr>
        <w:top w:val="none" w:sz="0" w:space="0" w:color="auto"/>
        <w:left w:val="none" w:sz="0" w:space="0" w:color="auto"/>
        <w:bottom w:val="none" w:sz="0" w:space="0" w:color="auto"/>
        <w:right w:val="none" w:sz="0" w:space="0" w:color="auto"/>
      </w:divBdr>
    </w:div>
    <w:div w:id="59208516">
      <w:marLeft w:val="0"/>
      <w:marRight w:val="0"/>
      <w:marTop w:val="0"/>
      <w:marBottom w:val="0"/>
      <w:divBdr>
        <w:top w:val="none" w:sz="0" w:space="0" w:color="auto"/>
        <w:left w:val="none" w:sz="0" w:space="0" w:color="auto"/>
        <w:bottom w:val="none" w:sz="0" w:space="0" w:color="auto"/>
        <w:right w:val="none" w:sz="0" w:space="0" w:color="auto"/>
      </w:divBdr>
    </w:div>
    <w:div w:id="59208518">
      <w:marLeft w:val="0"/>
      <w:marRight w:val="0"/>
      <w:marTop w:val="0"/>
      <w:marBottom w:val="0"/>
      <w:divBdr>
        <w:top w:val="none" w:sz="0" w:space="0" w:color="auto"/>
        <w:left w:val="none" w:sz="0" w:space="0" w:color="auto"/>
        <w:bottom w:val="none" w:sz="0" w:space="0" w:color="auto"/>
        <w:right w:val="none" w:sz="0" w:space="0" w:color="auto"/>
      </w:divBdr>
      <w:divsChild>
        <w:div w:id="59208520">
          <w:marLeft w:val="0"/>
          <w:marRight w:val="0"/>
          <w:marTop w:val="0"/>
          <w:marBottom w:val="0"/>
          <w:divBdr>
            <w:top w:val="none" w:sz="0" w:space="0" w:color="auto"/>
            <w:left w:val="none" w:sz="0" w:space="0" w:color="auto"/>
            <w:bottom w:val="none" w:sz="0" w:space="0" w:color="auto"/>
            <w:right w:val="none" w:sz="0" w:space="0" w:color="auto"/>
          </w:divBdr>
          <w:divsChild>
            <w:div w:id="59208517">
              <w:marLeft w:val="0"/>
              <w:marRight w:val="0"/>
              <w:marTop w:val="0"/>
              <w:marBottom w:val="0"/>
              <w:divBdr>
                <w:top w:val="none" w:sz="0" w:space="0" w:color="auto"/>
                <w:left w:val="none" w:sz="0" w:space="0" w:color="auto"/>
                <w:bottom w:val="none" w:sz="0" w:space="0" w:color="auto"/>
                <w:right w:val="none" w:sz="0" w:space="0" w:color="auto"/>
              </w:divBdr>
              <w:divsChild>
                <w:div w:id="59208521">
                  <w:marLeft w:val="85"/>
                  <w:marRight w:val="85"/>
                  <w:marTop w:val="0"/>
                  <w:marBottom w:val="0"/>
                  <w:divBdr>
                    <w:top w:val="single" w:sz="6" w:space="14" w:color="FFFFFF"/>
                    <w:left w:val="single" w:sz="6" w:space="17" w:color="FFFFFF"/>
                    <w:bottom w:val="single" w:sz="6" w:space="14" w:color="FFFFFF"/>
                    <w:right w:val="single" w:sz="6" w:space="8" w:color="FFFFFF"/>
                  </w:divBdr>
                  <w:divsChild>
                    <w:div w:id="59208522">
                      <w:marLeft w:val="0"/>
                      <w:marRight w:val="0"/>
                      <w:marTop w:val="0"/>
                      <w:marBottom w:val="0"/>
                      <w:divBdr>
                        <w:top w:val="none" w:sz="0" w:space="0" w:color="auto"/>
                        <w:left w:val="none" w:sz="0" w:space="0" w:color="auto"/>
                        <w:bottom w:val="none" w:sz="0" w:space="0" w:color="auto"/>
                        <w:right w:val="none" w:sz="0" w:space="0" w:color="auto"/>
                      </w:divBdr>
                      <w:divsChild>
                        <w:div w:id="5920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98436">
      <w:bodyDiv w:val="1"/>
      <w:marLeft w:val="0"/>
      <w:marRight w:val="0"/>
      <w:marTop w:val="0"/>
      <w:marBottom w:val="0"/>
      <w:divBdr>
        <w:top w:val="none" w:sz="0" w:space="0" w:color="auto"/>
        <w:left w:val="none" w:sz="0" w:space="0" w:color="auto"/>
        <w:bottom w:val="none" w:sz="0" w:space="0" w:color="auto"/>
        <w:right w:val="none" w:sz="0" w:space="0" w:color="auto"/>
      </w:divBdr>
    </w:div>
    <w:div w:id="272135590">
      <w:bodyDiv w:val="1"/>
      <w:marLeft w:val="0"/>
      <w:marRight w:val="0"/>
      <w:marTop w:val="0"/>
      <w:marBottom w:val="0"/>
      <w:divBdr>
        <w:top w:val="none" w:sz="0" w:space="0" w:color="auto"/>
        <w:left w:val="none" w:sz="0" w:space="0" w:color="auto"/>
        <w:bottom w:val="none" w:sz="0" w:space="0" w:color="auto"/>
        <w:right w:val="none" w:sz="0" w:space="0" w:color="auto"/>
      </w:divBdr>
    </w:div>
    <w:div w:id="470443025">
      <w:bodyDiv w:val="1"/>
      <w:marLeft w:val="0"/>
      <w:marRight w:val="0"/>
      <w:marTop w:val="0"/>
      <w:marBottom w:val="0"/>
      <w:divBdr>
        <w:top w:val="none" w:sz="0" w:space="0" w:color="auto"/>
        <w:left w:val="none" w:sz="0" w:space="0" w:color="auto"/>
        <w:bottom w:val="none" w:sz="0" w:space="0" w:color="auto"/>
        <w:right w:val="none" w:sz="0" w:space="0" w:color="auto"/>
      </w:divBdr>
    </w:div>
    <w:div w:id="480851221">
      <w:bodyDiv w:val="1"/>
      <w:marLeft w:val="0"/>
      <w:marRight w:val="0"/>
      <w:marTop w:val="0"/>
      <w:marBottom w:val="0"/>
      <w:divBdr>
        <w:top w:val="none" w:sz="0" w:space="0" w:color="auto"/>
        <w:left w:val="none" w:sz="0" w:space="0" w:color="auto"/>
        <w:bottom w:val="none" w:sz="0" w:space="0" w:color="auto"/>
        <w:right w:val="none" w:sz="0" w:space="0" w:color="auto"/>
      </w:divBdr>
    </w:div>
    <w:div w:id="724061849">
      <w:bodyDiv w:val="1"/>
      <w:marLeft w:val="0"/>
      <w:marRight w:val="0"/>
      <w:marTop w:val="0"/>
      <w:marBottom w:val="0"/>
      <w:divBdr>
        <w:top w:val="none" w:sz="0" w:space="0" w:color="auto"/>
        <w:left w:val="none" w:sz="0" w:space="0" w:color="auto"/>
        <w:bottom w:val="none" w:sz="0" w:space="0" w:color="auto"/>
        <w:right w:val="none" w:sz="0" w:space="0" w:color="auto"/>
      </w:divBdr>
    </w:div>
    <w:div w:id="756288030">
      <w:bodyDiv w:val="1"/>
      <w:marLeft w:val="0"/>
      <w:marRight w:val="0"/>
      <w:marTop w:val="0"/>
      <w:marBottom w:val="0"/>
      <w:divBdr>
        <w:top w:val="none" w:sz="0" w:space="0" w:color="auto"/>
        <w:left w:val="none" w:sz="0" w:space="0" w:color="auto"/>
        <w:bottom w:val="none" w:sz="0" w:space="0" w:color="auto"/>
        <w:right w:val="none" w:sz="0" w:space="0" w:color="auto"/>
      </w:divBdr>
    </w:div>
    <w:div w:id="862984277">
      <w:bodyDiv w:val="1"/>
      <w:marLeft w:val="0"/>
      <w:marRight w:val="0"/>
      <w:marTop w:val="0"/>
      <w:marBottom w:val="0"/>
      <w:divBdr>
        <w:top w:val="none" w:sz="0" w:space="0" w:color="auto"/>
        <w:left w:val="none" w:sz="0" w:space="0" w:color="auto"/>
        <w:bottom w:val="none" w:sz="0" w:space="0" w:color="auto"/>
        <w:right w:val="none" w:sz="0" w:space="0" w:color="auto"/>
      </w:divBdr>
    </w:div>
    <w:div w:id="996693151">
      <w:bodyDiv w:val="1"/>
      <w:marLeft w:val="0"/>
      <w:marRight w:val="0"/>
      <w:marTop w:val="0"/>
      <w:marBottom w:val="0"/>
      <w:divBdr>
        <w:top w:val="none" w:sz="0" w:space="0" w:color="auto"/>
        <w:left w:val="none" w:sz="0" w:space="0" w:color="auto"/>
        <w:bottom w:val="none" w:sz="0" w:space="0" w:color="auto"/>
        <w:right w:val="none" w:sz="0" w:space="0" w:color="auto"/>
      </w:divBdr>
    </w:div>
    <w:div w:id="1138452905">
      <w:bodyDiv w:val="1"/>
      <w:marLeft w:val="0"/>
      <w:marRight w:val="0"/>
      <w:marTop w:val="0"/>
      <w:marBottom w:val="0"/>
      <w:divBdr>
        <w:top w:val="none" w:sz="0" w:space="0" w:color="auto"/>
        <w:left w:val="none" w:sz="0" w:space="0" w:color="auto"/>
        <w:bottom w:val="none" w:sz="0" w:space="0" w:color="auto"/>
        <w:right w:val="none" w:sz="0" w:space="0" w:color="auto"/>
      </w:divBdr>
    </w:div>
    <w:div w:id="1224095974">
      <w:bodyDiv w:val="1"/>
      <w:marLeft w:val="0"/>
      <w:marRight w:val="0"/>
      <w:marTop w:val="0"/>
      <w:marBottom w:val="0"/>
      <w:divBdr>
        <w:top w:val="none" w:sz="0" w:space="0" w:color="auto"/>
        <w:left w:val="none" w:sz="0" w:space="0" w:color="auto"/>
        <w:bottom w:val="none" w:sz="0" w:space="0" w:color="auto"/>
        <w:right w:val="none" w:sz="0" w:space="0" w:color="auto"/>
      </w:divBdr>
    </w:div>
    <w:div w:id="1293755827">
      <w:bodyDiv w:val="1"/>
      <w:marLeft w:val="0"/>
      <w:marRight w:val="0"/>
      <w:marTop w:val="0"/>
      <w:marBottom w:val="0"/>
      <w:divBdr>
        <w:top w:val="none" w:sz="0" w:space="0" w:color="auto"/>
        <w:left w:val="none" w:sz="0" w:space="0" w:color="auto"/>
        <w:bottom w:val="none" w:sz="0" w:space="0" w:color="auto"/>
        <w:right w:val="none" w:sz="0" w:space="0" w:color="auto"/>
      </w:divBdr>
    </w:div>
    <w:div w:id="1297375073">
      <w:bodyDiv w:val="1"/>
      <w:marLeft w:val="0"/>
      <w:marRight w:val="0"/>
      <w:marTop w:val="0"/>
      <w:marBottom w:val="0"/>
      <w:divBdr>
        <w:top w:val="none" w:sz="0" w:space="0" w:color="auto"/>
        <w:left w:val="none" w:sz="0" w:space="0" w:color="auto"/>
        <w:bottom w:val="none" w:sz="0" w:space="0" w:color="auto"/>
        <w:right w:val="none" w:sz="0" w:space="0" w:color="auto"/>
      </w:divBdr>
    </w:div>
    <w:div w:id="1380325183">
      <w:bodyDiv w:val="1"/>
      <w:marLeft w:val="0"/>
      <w:marRight w:val="0"/>
      <w:marTop w:val="0"/>
      <w:marBottom w:val="0"/>
      <w:divBdr>
        <w:top w:val="none" w:sz="0" w:space="0" w:color="auto"/>
        <w:left w:val="none" w:sz="0" w:space="0" w:color="auto"/>
        <w:bottom w:val="none" w:sz="0" w:space="0" w:color="auto"/>
        <w:right w:val="none" w:sz="0" w:space="0" w:color="auto"/>
      </w:divBdr>
    </w:div>
    <w:div w:id="1518041360">
      <w:bodyDiv w:val="1"/>
      <w:marLeft w:val="0"/>
      <w:marRight w:val="0"/>
      <w:marTop w:val="0"/>
      <w:marBottom w:val="0"/>
      <w:divBdr>
        <w:top w:val="none" w:sz="0" w:space="0" w:color="auto"/>
        <w:left w:val="none" w:sz="0" w:space="0" w:color="auto"/>
        <w:bottom w:val="none" w:sz="0" w:space="0" w:color="auto"/>
        <w:right w:val="none" w:sz="0" w:space="0" w:color="auto"/>
      </w:divBdr>
    </w:div>
    <w:div w:id="1666400298">
      <w:bodyDiv w:val="1"/>
      <w:marLeft w:val="0"/>
      <w:marRight w:val="0"/>
      <w:marTop w:val="0"/>
      <w:marBottom w:val="0"/>
      <w:divBdr>
        <w:top w:val="none" w:sz="0" w:space="0" w:color="auto"/>
        <w:left w:val="none" w:sz="0" w:space="0" w:color="auto"/>
        <w:bottom w:val="none" w:sz="0" w:space="0" w:color="auto"/>
        <w:right w:val="none" w:sz="0" w:space="0" w:color="auto"/>
      </w:divBdr>
    </w:div>
    <w:div w:id="1716614550">
      <w:bodyDiv w:val="1"/>
      <w:marLeft w:val="0"/>
      <w:marRight w:val="0"/>
      <w:marTop w:val="0"/>
      <w:marBottom w:val="0"/>
      <w:divBdr>
        <w:top w:val="none" w:sz="0" w:space="0" w:color="auto"/>
        <w:left w:val="none" w:sz="0" w:space="0" w:color="auto"/>
        <w:bottom w:val="none" w:sz="0" w:space="0" w:color="auto"/>
        <w:right w:val="none" w:sz="0" w:space="0" w:color="auto"/>
      </w:divBdr>
    </w:div>
    <w:div w:id="1728258274">
      <w:bodyDiv w:val="1"/>
      <w:marLeft w:val="0"/>
      <w:marRight w:val="0"/>
      <w:marTop w:val="0"/>
      <w:marBottom w:val="0"/>
      <w:divBdr>
        <w:top w:val="none" w:sz="0" w:space="0" w:color="auto"/>
        <w:left w:val="none" w:sz="0" w:space="0" w:color="auto"/>
        <w:bottom w:val="none" w:sz="0" w:space="0" w:color="auto"/>
        <w:right w:val="none" w:sz="0" w:space="0" w:color="auto"/>
      </w:divBdr>
    </w:div>
    <w:div w:id="1747651831">
      <w:bodyDiv w:val="1"/>
      <w:marLeft w:val="0"/>
      <w:marRight w:val="0"/>
      <w:marTop w:val="0"/>
      <w:marBottom w:val="0"/>
      <w:divBdr>
        <w:top w:val="none" w:sz="0" w:space="0" w:color="auto"/>
        <w:left w:val="none" w:sz="0" w:space="0" w:color="auto"/>
        <w:bottom w:val="none" w:sz="0" w:space="0" w:color="auto"/>
        <w:right w:val="none" w:sz="0" w:space="0" w:color="auto"/>
      </w:divBdr>
    </w:div>
    <w:div w:id="2010016720">
      <w:bodyDiv w:val="1"/>
      <w:marLeft w:val="0"/>
      <w:marRight w:val="0"/>
      <w:marTop w:val="0"/>
      <w:marBottom w:val="0"/>
      <w:divBdr>
        <w:top w:val="none" w:sz="0" w:space="0" w:color="auto"/>
        <w:left w:val="none" w:sz="0" w:space="0" w:color="auto"/>
        <w:bottom w:val="none" w:sz="0" w:space="0" w:color="auto"/>
        <w:right w:val="none" w:sz="0" w:space="0" w:color="auto"/>
      </w:divBdr>
    </w:div>
    <w:div w:id="2071419246">
      <w:bodyDiv w:val="1"/>
      <w:marLeft w:val="0"/>
      <w:marRight w:val="0"/>
      <w:marTop w:val="0"/>
      <w:marBottom w:val="0"/>
      <w:divBdr>
        <w:top w:val="none" w:sz="0" w:space="0" w:color="auto"/>
        <w:left w:val="none" w:sz="0" w:space="0" w:color="auto"/>
        <w:bottom w:val="none" w:sz="0" w:space="0" w:color="auto"/>
        <w:right w:val="none" w:sz="0" w:space="0" w:color="auto"/>
      </w:divBdr>
    </w:div>
    <w:div w:id="21106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turney@kavangoresource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avangoresources.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E6977-094B-424A-8280-C99A6B0EC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3622</Words>
  <Characters>20006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Ortac Resources Ltd / Epic: OTC / Market: AIM / Sector: Mining &amp; Exploration</vt:lpstr>
    </vt:vector>
  </TitlesOfParts>
  <Company>Seymour Pierce Limited</Company>
  <LinksUpToDate>false</LinksUpToDate>
  <CharactersWithSpaces>23581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Ortac Resources Ltd / Epic: OTC / Market: AIM / Sector: Mining &amp; Exploration</dc:title>
  <dc:subject/>
  <dc:creator>Lottie</dc:creator>
  <cp:keywords/>
  <dc:description/>
  <cp:lastModifiedBy>Melanie Hooker</cp:lastModifiedBy>
  <cp:revision>2</cp:revision>
  <cp:lastPrinted>2018-09-25T13:17:00Z</cp:lastPrinted>
  <dcterms:created xsi:type="dcterms:W3CDTF">2021-09-29T14:10:00Z</dcterms:created>
  <dcterms:modified xsi:type="dcterms:W3CDTF">2021-09-29T14:10:00Z</dcterms:modified>
</cp:coreProperties>
</file>