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CD635" w14:textId="32A23207" w:rsidR="007D3313" w:rsidRDefault="007D3313" w:rsidP="007D33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7D331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12 April 2024</w:t>
      </w:r>
    </w:p>
    <w:p w14:paraId="5C64BE60" w14:textId="3781BEAD" w:rsidR="00F37124" w:rsidRPr="007D3313" w:rsidRDefault="00F37124" w:rsidP="00F371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7D331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Phoenix Group Holdings plc</w:t>
      </w:r>
    </w:p>
    <w:p w14:paraId="5CEA5BE3" w14:textId="2EED86EE" w:rsidR="00CB5C88" w:rsidRPr="007D3313" w:rsidRDefault="00E85DEC" w:rsidP="00F3712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7D331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Supplemental Circular</w:t>
      </w:r>
      <w:r w:rsidR="00175780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</w:p>
    <w:p w14:paraId="0468E4F4" w14:textId="084A07AD" w:rsidR="007D3313" w:rsidRPr="007D3313" w:rsidRDefault="00010159" w:rsidP="007D33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7D331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Phoenix Group Holdings plc (the </w:t>
      </w:r>
      <w:r w:rsidR="009515AC" w:rsidRPr="007D331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‘</w:t>
      </w:r>
      <w:r w:rsidRPr="007D331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Company</w:t>
      </w:r>
      <w:r w:rsidR="009515AC" w:rsidRPr="007D331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’) </w:t>
      </w:r>
      <w:r w:rsidRPr="007D331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has today distributed to shareholders </w:t>
      </w:r>
      <w:r w:rsidR="007D3313" w:rsidRPr="007D331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a Supplemental Circular to the 2024 Notice of Annual General Meeting (‘AGM’). </w:t>
      </w:r>
    </w:p>
    <w:p w14:paraId="56F4556C" w14:textId="72C6B645" w:rsidR="007D3313" w:rsidRPr="007D3313" w:rsidRDefault="007D3313" w:rsidP="007D3313">
      <w:pPr>
        <w:jc w:val="both"/>
        <w:rPr>
          <w:rFonts w:ascii="Arial" w:hAnsi="Arial" w:cs="Arial"/>
          <w:sz w:val="20"/>
          <w:szCs w:val="20"/>
        </w:rPr>
      </w:pPr>
      <w:r w:rsidRPr="007D3313">
        <w:rPr>
          <w:rFonts w:ascii="Arial" w:hAnsi="Arial" w:cs="Arial"/>
          <w:sz w:val="20"/>
          <w:szCs w:val="20"/>
        </w:rPr>
        <w:t xml:space="preserve">As detailed in the Notice of AGM, KPMG LLP will be appointed as Auditor of the Company commencing with the period starting from 1 January 2024, subject to shareholder approval at the AGM. </w:t>
      </w:r>
    </w:p>
    <w:p w14:paraId="5804B9F9" w14:textId="04211656" w:rsidR="007D3313" w:rsidRDefault="007D3313" w:rsidP="007D3313">
      <w:pPr>
        <w:jc w:val="both"/>
        <w:rPr>
          <w:rFonts w:ascii="Arial" w:hAnsi="Arial" w:cs="Arial"/>
          <w:sz w:val="20"/>
          <w:szCs w:val="20"/>
        </w:rPr>
      </w:pPr>
      <w:r w:rsidRPr="007D3313">
        <w:rPr>
          <w:rFonts w:ascii="Arial" w:hAnsi="Arial" w:cs="Arial"/>
          <w:sz w:val="20"/>
          <w:szCs w:val="20"/>
        </w:rPr>
        <w:t>On page seven of the Notice of AGM, we informed shareholders that the outgoing Auditor would provide the Company with a Statement of Reasons, which sets out the reasons for their resignation, as required under s.519 of the Companies Act 2006. The Statement of Reasons, signed by Ernst &amp; Young LLP, has today been circulated to shareholders</w:t>
      </w:r>
      <w:r w:rsidR="000B71C2">
        <w:rPr>
          <w:rFonts w:ascii="Arial" w:hAnsi="Arial" w:cs="Arial"/>
          <w:sz w:val="20"/>
          <w:szCs w:val="20"/>
        </w:rPr>
        <w:t xml:space="preserve"> and are available on the Company’s website at </w:t>
      </w:r>
      <w:hyperlink r:id="rId5" w:history="1">
        <w:r w:rsidR="000B71C2" w:rsidRPr="004836B4">
          <w:rPr>
            <w:rStyle w:val="Hyperlink"/>
            <w:rFonts w:ascii="Arial" w:hAnsi="Arial" w:cs="Arial"/>
            <w:sz w:val="20"/>
            <w:szCs w:val="20"/>
          </w:rPr>
          <w:t>www.thephoenixgroup.com</w:t>
        </w:r>
      </w:hyperlink>
      <w:r w:rsidR="00441954">
        <w:rPr>
          <w:rFonts w:ascii="Arial" w:hAnsi="Arial" w:cs="Arial"/>
          <w:sz w:val="20"/>
          <w:szCs w:val="20"/>
        </w:rPr>
        <w:t xml:space="preserve">. </w:t>
      </w:r>
      <w:r w:rsidRPr="007D3313">
        <w:rPr>
          <w:rFonts w:ascii="Arial" w:hAnsi="Arial" w:cs="Arial"/>
          <w:sz w:val="20"/>
          <w:szCs w:val="20"/>
        </w:rPr>
        <w:t xml:space="preserve">All other matters of business in the original Notice of AGM remain valid and have not changed. </w:t>
      </w:r>
    </w:p>
    <w:p w14:paraId="0D3C7F45" w14:textId="34DCF8CB" w:rsidR="007D3313" w:rsidRPr="007D3313" w:rsidRDefault="007D3313" w:rsidP="007D331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</w:pPr>
      <w:r w:rsidRPr="007D331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In accordance with Listing Rule 9.6.1, a copy of will be submitted to the UK Listing Authority via the National Storage Mechanism and will shortly be available for inspection for inspection at</w:t>
      </w:r>
      <w:r w:rsidRPr="007D3313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> </w:t>
      </w:r>
      <w:hyperlink r:id="rId6" w:anchor="/nsm/nationalstoragemechanism" w:history="1">
        <w:r w:rsidRPr="007D3313">
          <w:rPr>
            <w:rFonts w:ascii="Arial" w:eastAsia="Times New Roman" w:hAnsi="Arial" w:cs="Arial"/>
            <w:color w:val="0000FF"/>
            <w:kern w:val="0"/>
            <w:sz w:val="20"/>
            <w:szCs w:val="20"/>
            <w:u w:val="single"/>
            <w:lang w:eastAsia="en-GB"/>
            <w14:ligatures w14:val="none"/>
          </w:rPr>
          <w:t>https://data.fca.org.uk/#/nsm/nationalstoragemechanism</w:t>
        </w:r>
      </w:hyperlink>
      <w:r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 xml:space="preserve"> </w:t>
      </w:r>
      <w:r w:rsidRPr="007D331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Copies of the 2023 Annual Report and Accounts and the 2024 Notice of AGM are also available on the Company's website at</w:t>
      </w:r>
      <w:r w:rsidRPr="007D3313">
        <w:rPr>
          <w:rFonts w:ascii="Arial" w:eastAsia="Times New Roman" w:hAnsi="Arial" w:cs="Arial"/>
          <w:color w:val="000000"/>
          <w:kern w:val="0"/>
          <w:sz w:val="18"/>
          <w:szCs w:val="18"/>
          <w:lang w:eastAsia="en-GB"/>
          <w14:ligatures w14:val="none"/>
        </w:rPr>
        <w:t> </w:t>
      </w:r>
      <w:hyperlink r:id="rId7" w:history="1">
        <w:r w:rsidRPr="007D3313">
          <w:rPr>
            <w:rStyle w:val="Hyperlink"/>
            <w:rFonts w:ascii="Arial" w:eastAsia="Times New Roman" w:hAnsi="Arial" w:cs="Arial"/>
            <w:kern w:val="0"/>
            <w:sz w:val="20"/>
            <w:szCs w:val="20"/>
            <w:lang w:eastAsia="en-GB"/>
            <w14:ligatures w14:val="none"/>
          </w:rPr>
          <w:t>www.thephoenixgroup.com</w:t>
        </w:r>
      </w:hyperlink>
    </w:p>
    <w:p w14:paraId="31BDB544" w14:textId="77777777" w:rsidR="007D3313" w:rsidRPr="007D3313" w:rsidRDefault="007D3313" w:rsidP="00B272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</w:p>
    <w:p w14:paraId="32975A89" w14:textId="63DD0961" w:rsidR="00F37124" w:rsidRPr="007D3313" w:rsidRDefault="00F37124" w:rsidP="00B272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</w:pPr>
      <w:r w:rsidRPr="007D3313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 xml:space="preserve">2024 Annual General Meeting </w:t>
      </w:r>
    </w:p>
    <w:p w14:paraId="04B8F2F4" w14:textId="77777777" w:rsidR="00F37124" w:rsidRPr="007D3313" w:rsidRDefault="00F37124" w:rsidP="00B272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</w:p>
    <w:p w14:paraId="4073D2BD" w14:textId="267D8AAD" w:rsidR="00B2724F" w:rsidRPr="007D3313" w:rsidRDefault="00010159" w:rsidP="00B2724F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FF"/>
          <w:kern w:val="0"/>
          <w:sz w:val="20"/>
          <w:szCs w:val="20"/>
          <w:u w:val="single"/>
          <w:lang w:eastAsia="en-GB"/>
          <w14:ligatures w14:val="none"/>
        </w:rPr>
      </w:pPr>
      <w:r w:rsidRPr="007D331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The Company's 2024 Annual General Meeting will be held at</w:t>
      </w:r>
      <w:r w:rsidR="00895623" w:rsidRPr="007D331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Floor 22,</w:t>
      </w:r>
      <w:r w:rsidR="00490D44" w:rsidRPr="007D331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Freshfields Bruckhaus Deringer LLP,</w:t>
      </w:r>
      <w:r w:rsidRPr="007D331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100 Bishopsgate</w:t>
      </w:r>
      <w:r w:rsidR="00CB5C88" w:rsidRPr="007D331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, London, EC2P 2SR</w:t>
      </w:r>
      <w:r w:rsidRPr="007D331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on Tuesday 14 May 2024 at 10am.</w:t>
      </w:r>
      <w:r w:rsidR="00B2724F" w:rsidRPr="007D331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 </w:t>
      </w:r>
      <w:r w:rsidRPr="007D3313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 xml:space="preserve">Any changes to the arrangements set out in the Notice of 2024 Annual General Meeting will be communicated to shareholders via the Company's website: </w:t>
      </w:r>
      <w:hyperlink r:id="rId8" w:history="1">
        <w:r w:rsidR="00EF1AE9" w:rsidRPr="007D3313">
          <w:rPr>
            <w:rStyle w:val="Hyperlink"/>
            <w:rFonts w:ascii="Arial" w:eastAsia="Times New Roman" w:hAnsi="Arial" w:cs="Arial"/>
            <w:kern w:val="0"/>
            <w:sz w:val="20"/>
            <w:szCs w:val="20"/>
            <w:lang w:eastAsia="en-GB"/>
            <w14:ligatures w14:val="none"/>
          </w:rPr>
          <w:t>www.thephoenixgroup.com</w:t>
        </w:r>
      </w:hyperlink>
    </w:p>
    <w:p w14:paraId="61360327" w14:textId="77777777" w:rsidR="00010159" w:rsidRPr="00010159" w:rsidRDefault="00010159" w:rsidP="004556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</w:pPr>
      <w:r w:rsidRPr="00010159">
        <w:rPr>
          <w:rFonts w:ascii="Arial" w:eastAsia="Times New Roman" w:hAnsi="Arial" w:cs="Arial"/>
          <w:color w:val="000000"/>
          <w:kern w:val="0"/>
          <w:lang w:eastAsia="en-GB"/>
          <w14:ligatures w14:val="none"/>
        </w:rPr>
        <w:t> </w:t>
      </w:r>
    </w:p>
    <w:p w14:paraId="28D1B8AB" w14:textId="77777777" w:rsidR="00010159" w:rsidRPr="00010159" w:rsidRDefault="00010159" w:rsidP="0045569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01015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</w:t>
      </w:r>
    </w:p>
    <w:p w14:paraId="10A62E73" w14:textId="77777777" w:rsidR="00010159" w:rsidRPr="00010159" w:rsidRDefault="00010159" w:rsidP="00010159">
      <w:pPr>
        <w:shd w:val="clear" w:color="auto" w:fill="FFFFFF"/>
        <w:spacing w:after="240" w:line="240" w:lineRule="auto"/>
        <w:jc w:val="both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010159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:lang w:eastAsia="en-GB"/>
          <w14:ligatures w14:val="none"/>
        </w:rPr>
        <w:t>Enquiries:</w:t>
      </w:r>
    </w:p>
    <w:tbl>
      <w:tblPr>
        <w:tblW w:w="85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51"/>
        <w:gridCol w:w="3971"/>
      </w:tblGrid>
      <w:tr w:rsidR="00010159" w:rsidRPr="00010159" w14:paraId="7FE45655" w14:textId="77777777" w:rsidTr="00010159">
        <w:trPr>
          <w:trHeight w:val="1886"/>
        </w:trPr>
        <w:tc>
          <w:tcPr>
            <w:tcW w:w="43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09957" w14:textId="77777777" w:rsidR="00010159" w:rsidRPr="00010159" w:rsidRDefault="00010159" w:rsidP="0001015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01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Media</w:t>
            </w:r>
            <w:r w:rsidRPr="000101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0101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Douglas Campbell</w:t>
            </w:r>
          </w:p>
          <w:p w14:paraId="791774D8" w14:textId="77777777" w:rsidR="00010159" w:rsidRPr="00010159" w:rsidRDefault="00010159" w:rsidP="0001015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101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Teneo</w:t>
            </w:r>
            <w:proofErr w:type="spellEnd"/>
          </w:p>
          <w:p w14:paraId="13EA854C" w14:textId="77777777" w:rsidR="00010159" w:rsidRPr="00010159" w:rsidRDefault="00010159" w:rsidP="00010159">
            <w:pPr>
              <w:spacing w:after="150" w:line="27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01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+44 (0)7753 136628</w:t>
            </w:r>
          </w:p>
          <w:p w14:paraId="27086DC8" w14:textId="77777777" w:rsidR="00010159" w:rsidRPr="00010159" w:rsidRDefault="00010159" w:rsidP="0001015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01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Shellie Wells, Corporate Communications Director, Phoenix Group</w:t>
            </w:r>
          </w:p>
          <w:p w14:paraId="09685BD7" w14:textId="3339D64F" w:rsidR="00010159" w:rsidRPr="00010159" w:rsidRDefault="00010159" w:rsidP="00010159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01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+44 (0) 204 559 3031</w:t>
            </w:r>
            <w:r w:rsidRPr="00010159">
              <w:rPr>
                <w:rFonts w:ascii="Calibri" w:eastAsia="Times New Roman" w:hAnsi="Calibri" w:cs="Calibri"/>
                <w:noProof/>
                <w:kern w:val="0"/>
                <w:sz w:val="20"/>
                <w:szCs w:val="20"/>
                <w:lang w:eastAsia="en-GB"/>
                <w14:ligatures w14:val="none"/>
              </w:rPr>
              <w:drawing>
                <wp:inline distT="0" distB="0" distL="0" distR="0" wp14:anchorId="30F4E4CA" wp14:editId="07787554">
                  <wp:extent cx="152400" cy="152400"/>
                  <wp:effectExtent l="0" t="0" r="0" b="0"/>
                  <wp:docPr id="192157857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97F3D7" w14:textId="2ED1F023" w:rsidR="00010159" w:rsidRPr="00010159" w:rsidRDefault="00010159" w:rsidP="00010159">
            <w:pPr>
              <w:spacing w:before="242" w:after="150" w:line="270" w:lineRule="atLeas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0159">
              <w:rPr>
                <w:rFonts w:ascii="Arial" w:eastAsia="Times New Roman" w:hAnsi="Arial" w:cs="Arial"/>
                <w:b/>
                <w:bCs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Investors</w:t>
            </w:r>
            <w:r w:rsidRPr="0001015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br/>
            </w:r>
            <w:r w:rsidRPr="000101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Claire Hawkins, Corporate Affairs Director, Phoenix Group</w:t>
            </w:r>
            <w:r w:rsidRPr="000101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br/>
              <w:t>+44 (0) 204 559 3161</w:t>
            </w:r>
            <w:r w:rsidRPr="00010159">
              <w:rPr>
                <w:rFonts w:ascii="Arial" w:eastAsia="Times New Roman" w:hAnsi="Arial" w:cs="Arial"/>
                <w:noProof/>
                <w:kern w:val="0"/>
                <w:sz w:val="20"/>
                <w:szCs w:val="20"/>
                <w:lang w:eastAsia="en-GB"/>
                <w14:ligatures w14:val="none"/>
              </w:rPr>
              <w:drawing>
                <wp:inline distT="0" distB="0" distL="0" distR="0" wp14:anchorId="3DF9F745" wp14:editId="4C7B3CA2">
                  <wp:extent cx="152400" cy="152400"/>
                  <wp:effectExtent l="0" t="0" r="0" b="0"/>
                  <wp:docPr id="135402480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7724370" w14:textId="77777777" w:rsidR="00010159" w:rsidRPr="00010159" w:rsidRDefault="00010159" w:rsidP="00010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0159">
              <w:rPr>
                <w:rFonts w:ascii="Arial" w:eastAsia="Times New Roman" w:hAnsi="Arial" w:cs="Arial"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t>Andrew Downey, Investor Relations Director, Phoenix Group</w:t>
            </w:r>
          </w:p>
          <w:p w14:paraId="759212B3" w14:textId="34B70DF4" w:rsidR="00010159" w:rsidRPr="00010159" w:rsidRDefault="00010159" w:rsidP="00010159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10159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+44 (0) 204 559 3145</w:t>
            </w:r>
            <w:r w:rsidRPr="00010159">
              <w:rPr>
                <w:rFonts w:ascii="Arial" w:eastAsia="Times New Roman" w:hAnsi="Arial" w:cs="Arial"/>
                <w:noProof/>
                <w:color w:val="333333"/>
                <w:kern w:val="0"/>
                <w:sz w:val="20"/>
                <w:szCs w:val="20"/>
                <w:lang w:eastAsia="en-GB"/>
                <w14:ligatures w14:val="none"/>
              </w:rPr>
              <w:drawing>
                <wp:inline distT="0" distB="0" distL="0" distR="0" wp14:anchorId="398FDC65" wp14:editId="2DABD92B">
                  <wp:extent cx="152400" cy="152400"/>
                  <wp:effectExtent l="0" t="0" r="0" b="0"/>
                  <wp:docPr id="370746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D0FE13" w14:textId="77777777" w:rsidR="00010159" w:rsidRPr="00010159" w:rsidRDefault="00010159" w:rsidP="000101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01015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</w:t>
      </w:r>
    </w:p>
    <w:p w14:paraId="6DB02133" w14:textId="77777777" w:rsidR="00010159" w:rsidRPr="00010159" w:rsidRDefault="00010159" w:rsidP="0001015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</w:pPr>
      <w:r w:rsidRPr="00010159">
        <w:rPr>
          <w:rFonts w:ascii="Arial" w:eastAsia="Times New Roman" w:hAnsi="Arial" w:cs="Arial"/>
          <w:color w:val="000000"/>
          <w:kern w:val="0"/>
          <w:sz w:val="20"/>
          <w:szCs w:val="20"/>
          <w:lang w:eastAsia="en-GB"/>
          <w14:ligatures w14:val="none"/>
        </w:rPr>
        <w:t> </w:t>
      </w:r>
    </w:p>
    <w:p w14:paraId="254D9A4F" w14:textId="77777777" w:rsidR="00010159" w:rsidRDefault="00010159"/>
    <w:sectPr w:rsidR="000101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AB114B"/>
    <w:multiLevelType w:val="hybridMultilevel"/>
    <w:tmpl w:val="393AE51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782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159"/>
    <w:rsid w:val="00010159"/>
    <w:rsid w:val="000B71C2"/>
    <w:rsid w:val="00175780"/>
    <w:rsid w:val="00441954"/>
    <w:rsid w:val="00455690"/>
    <w:rsid w:val="00490D44"/>
    <w:rsid w:val="004C3713"/>
    <w:rsid w:val="007D3313"/>
    <w:rsid w:val="00895623"/>
    <w:rsid w:val="00942B62"/>
    <w:rsid w:val="009515AC"/>
    <w:rsid w:val="009B4179"/>
    <w:rsid w:val="00AA2F7D"/>
    <w:rsid w:val="00AD3264"/>
    <w:rsid w:val="00B26C16"/>
    <w:rsid w:val="00B2724F"/>
    <w:rsid w:val="00B35E3E"/>
    <w:rsid w:val="00BF1DB6"/>
    <w:rsid w:val="00CB5C88"/>
    <w:rsid w:val="00D17567"/>
    <w:rsid w:val="00D32DF1"/>
    <w:rsid w:val="00D8367F"/>
    <w:rsid w:val="00DE22CB"/>
    <w:rsid w:val="00E85DEC"/>
    <w:rsid w:val="00EF1AE9"/>
    <w:rsid w:val="00F01EF0"/>
    <w:rsid w:val="00F239F6"/>
    <w:rsid w:val="00F350BD"/>
    <w:rsid w:val="00F35E64"/>
    <w:rsid w:val="00F3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26E0"/>
  <w15:chartTrackingRefBased/>
  <w15:docId w15:val="{C110B055-A354-4DFC-BE7D-14A79F611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1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q">
    <w:name w:val="q"/>
    <w:basedOn w:val="DefaultParagraphFont"/>
    <w:rsid w:val="00010159"/>
  </w:style>
  <w:style w:type="character" w:customStyle="1" w:styleId="bd">
    <w:name w:val="bd"/>
    <w:basedOn w:val="DefaultParagraphFont"/>
    <w:rsid w:val="00010159"/>
  </w:style>
  <w:style w:type="paragraph" w:customStyle="1" w:styleId="as">
    <w:name w:val="as"/>
    <w:basedOn w:val="Normal"/>
    <w:rsid w:val="0001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be">
    <w:name w:val="be"/>
    <w:basedOn w:val="DefaultParagraphFont"/>
    <w:rsid w:val="00010159"/>
  </w:style>
  <w:style w:type="character" w:customStyle="1" w:styleId="bf">
    <w:name w:val="bf"/>
    <w:basedOn w:val="DefaultParagraphFont"/>
    <w:rsid w:val="00010159"/>
  </w:style>
  <w:style w:type="paragraph" w:customStyle="1" w:styleId="ar">
    <w:name w:val="ar"/>
    <w:basedOn w:val="Normal"/>
    <w:rsid w:val="0001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aq">
    <w:name w:val="aq"/>
    <w:basedOn w:val="Normal"/>
    <w:rsid w:val="0001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bg">
    <w:name w:val="bg"/>
    <w:basedOn w:val="DefaultParagraphFont"/>
    <w:rsid w:val="00010159"/>
  </w:style>
  <w:style w:type="paragraph" w:customStyle="1" w:styleId="ao">
    <w:name w:val="ao"/>
    <w:basedOn w:val="Normal"/>
    <w:rsid w:val="0001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bh">
    <w:name w:val="bh"/>
    <w:basedOn w:val="DefaultParagraphFont"/>
    <w:rsid w:val="00010159"/>
  </w:style>
  <w:style w:type="character" w:customStyle="1" w:styleId="at">
    <w:name w:val="at"/>
    <w:basedOn w:val="DefaultParagraphFont"/>
    <w:rsid w:val="00010159"/>
  </w:style>
  <w:style w:type="character" w:styleId="Hyperlink">
    <w:name w:val="Hyperlink"/>
    <w:basedOn w:val="DefaultParagraphFont"/>
    <w:uiPriority w:val="99"/>
    <w:unhideWhenUsed/>
    <w:rsid w:val="00010159"/>
    <w:rPr>
      <w:color w:val="0000FF"/>
      <w:u w:val="single"/>
    </w:rPr>
  </w:style>
  <w:style w:type="paragraph" w:customStyle="1" w:styleId="j">
    <w:name w:val="j"/>
    <w:basedOn w:val="Normal"/>
    <w:rsid w:val="0001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p">
    <w:name w:val="p"/>
    <w:basedOn w:val="DefaultParagraphFont"/>
    <w:rsid w:val="00010159"/>
  </w:style>
  <w:style w:type="paragraph" w:customStyle="1" w:styleId="a">
    <w:name w:val="a"/>
    <w:basedOn w:val="Normal"/>
    <w:rsid w:val="0001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bj">
    <w:name w:val="bj"/>
    <w:basedOn w:val="Normal"/>
    <w:rsid w:val="0001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bl">
    <w:name w:val="bl"/>
    <w:basedOn w:val="Normal"/>
    <w:rsid w:val="0001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m">
    <w:name w:val="am"/>
    <w:basedOn w:val="DefaultParagraphFont"/>
    <w:rsid w:val="00010159"/>
  </w:style>
  <w:style w:type="paragraph" w:customStyle="1" w:styleId="bm">
    <w:name w:val="bm"/>
    <w:basedOn w:val="Normal"/>
    <w:rsid w:val="0001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bn">
    <w:name w:val="bn"/>
    <w:basedOn w:val="Normal"/>
    <w:rsid w:val="0001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customStyle="1" w:styleId="l">
    <w:name w:val="l"/>
    <w:basedOn w:val="Normal"/>
    <w:rsid w:val="00010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01015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101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15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15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1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15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32DF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90D44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272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5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phoenixgroup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hephoenixgroup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ta.fca.org.uk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thephoenixgroup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Phoenix Group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Prescott</dc:creator>
  <cp:keywords/>
  <dc:description/>
  <cp:lastModifiedBy>Rachel Prescott</cp:lastModifiedBy>
  <cp:revision>3</cp:revision>
  <cp:lastPrinted>2024-04-03T13:55:00Z</cp:lastPrinted>
  <dcterms:created xsi:type="dcterms:W3CDTF">2024-04-12T11:40:00Z</dcterms:created>
  <dcterms:modified xsi:type="dcterms:W3CDTF">2024-04-12T12:52:00Z</dcterms:modified>
</cp:coreProperties>
</file>