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3B77A" w14:textId="246C6DC6" w:rsidR="00C04888" w:rsidRPr="00C04888" w:rsidRDefault="00C04888" w:rsidP="00C04888">
      <w:pPr>
        <w:jc w:val="center"/>
        <w:rPr>
          <w:rFonts w:cs="Times New Roman"/>
          <w:b/>
          <w:u w:val="single"/>
        </w:rPr>
      </w:pPr>
      <w:r w:rsidRPr="00C04888">
        <w:rPr>
          <w:rFonts w:cs="Times New Roman"/>
          <w:b/>
          <w:u w:val="single"/>
        </w:rPr>
        <w:t xml:space="preserve">Riverstone Credit Opportunities Income </w:t>
      </w:r>
      <w:proofErr w:type="gramStart"/>
      <w:r w:rsidRPr="00C04888">
        <w:rPr>
          <w:rFonts w:cs="Times New Roman"/>
          <w:b/>
          <w:u w:val="single"/>
        </w:rPr>
        <w:t>plc</w:t>
      </w:r>
      <w:proofErr w:type="gramEnd"/>
      <w:r w:rsidRPr="00C04888">
        <w:rPr>
          <w:rFonts w:cs="Times New Roman"/>
          <w:b/>
          <w:u w:val="single"/>
        </w:rPr>
        <w:t xml:space="preserve"> Announces Results of Annual General Meeting held on 18 May 2023</w:t>
      </w:r>
    </w:p>
    <w:p w14:paraId="154F40AD" w14:textId="3EC2B1FD" w:rsidR="00A14307" w:rsidRPr="008B6984" w:rsidRDefault="00C04888" w:rsidP="00C04888">
      <w:pPr>
        <w:jc w:val="center"/>
        <w:rPr>
          <w:rFonts w:cs="Times New Roman"/>
          <w:b/>
          <w:u w:val="single"/>
        </w:rPr>
      </w:pPr>
      <w:r w:rsidRPr="00C04888">
        <w:rPr>
          <w:rFonts w:cs="Times New Roman"/>
          <w:b/>
          <w:u w:val="single"/>
        </w:rPr>
        <w:t>Full text of the resolutions and summary of the results</w:t>
      </w:r>
    </w:p>
    <w:p w14:paraId="715F2126" w14:textId="3CDC37F4" w:rsidR="00C04888" w:rsidRPr="00C04888" w:rsidRDefault="00A14307" w:rsidP="00C04888">
      <w:r w:rsidRPr="00A14307">
        <w:rPr>
          <w:b/>
          <w:bCs/>
        </w:rPr>
        <w:t>Ordinary Business</w:t>
      </w:r>
    </w:p>
    <w:p w14:paraId="1149BFD4" w14:textId="496612D7" w:rsidR="00C04888" w:rsidRPr="00C04888" w:rsidRDefault="00C04888" w:rsidP="00C04888">
      <w:pPr>
        <w:spacing w:before="19" w:line="220" w:lineRule="exact"/>
        <w:jc w:val="both"/>
        <w:rPr>
          <w:rFonts w:cs="Times New Roman"/>
          <w:lang w:eastAsia="zh-CN"/>
        </w:rPr>
      </w:pPr>
      <w:r w:rsidRPr="00C04888">
        <w:rPr>
          <w:rFonts w:cs="Times New Roman"/>
          <w:lang w:eastAsia="zh-CN"/>
        </w:rPr>
        <w:t>To consider and, if thought fit, to pass the following resolutions as ordinary resolutions:</w:t>
      </w:r>
    </w:p>
    <w:p w14:paraId="1D2EBDD9" w14:textId="4E90D37A" w:rsidR="00C04888" w:rsidRPr="00C04888" w:rsidRDefault="00C04888" w:rsidP="00C04888">
      <w:pPr>
        <w:spacing w:before="19" w:line="220" w:lineRule="exact"/>
        <w:ind w:left="720" w:hanging="720"/>
        <w:jc w:val="both"/>
        <w:rPr>
          <w:rFonts w:cs="Times New Roman"/>
          <w:lang w:eastAsia="zh-CN"/>
        </w:rPr>
      </w:pPr>
      <w:r w:rsidRPr="00C04888">
        <w:rPr>
          <w:rFonts w:cs="Times New Roman"/>
          <w:lang w:eastAsia="zh-CN"/>
        </w:rPr>
        <w:t>1.</w:t>
      </w:r>
      <w:r w:rsidRPr="00C04888">
        <w:rPr>
          <w:rFonts w:cs="Times New Roman"/>
          <w:lang w:eastAsia="zh-CN"/>
        </w:rPr>
        <w:tab/>
        <w:t>To receive and adopt the Report of the Directors and the audited accounts of the Company for the financial period ended 31 December 2022 together with the Independent Auditor’s Report on those audited accounts (the “Annual Report and Accounts”).</w:t>
      </w:r>
    </w:p>
    <w:p w14:paraId="22729E72" w14:textId="06BE535D" w:rsidR="00C04888" w:rsidRPr="00C04888" w:rsidRDefault="00C04888" w:rsidP="00C04888">
      <w:pPr>
        <w:spacing w:before="19" w:line="220" w:lineRule="exact"/>
        <w:ind w:left="720" w:hanging="720"/>
        <w:jc w:val="both"/>
        <w:rPr>
          <w:rFonts w:cs="Times New Roman"/>
          <w:lang w:eastAsia="zh-CN"/>
        </w:rPr>
      </w:pPr>
      <w:r w:rsidRPr="00C04888">
        <w:rPr>
          <w:rFonts w:cs="Times New Roman"/>
          <w:lang w:eastAsia="zh-CN"/>
        </w:rPr>
        <w:t>2.</w:t>
      </w:r>
      <w:r w:rsidRPr="00C04888">
        <w:rPr>
          <w:rFonts w:cs="Times New Roman"/>
          <w:lang w:eastAsia="zh-CN"/>
        </w:rPr>
        <w:tab/>
        <w:t>To approve the Directors’ Remuneration Report contained within the Annual Report and Accounts.</w:t>
      </w:r>
    </w:p>
    <w:p w14:paraId="7117A72C" w14:textId="250DCE1B" w:rsidR="00C04888" w:rsidRPr="00C04888" w:rsidRDefault="00C04888" w:rsidP="00C04888">
      <w:pPr>
        <w:spacing w:before="19" w:line="220" w:lineRule="exact"/>
        <w:ind w:left="720" w:hanging="720"/>
        <w:jc w:val="both"/>
        <w:rPr>
          <w:rFonts w:cs="Times New Roman"/>
          <w:lang w:eastAsia="zh-CN"/>
        </w:rPr>
      </w:pPr>
      <w:r w:rsidRPr="00C04888">
        <w:rPr>
          <w:rFonts w:cs="Times New Roman"/>
          <w:lang w:eastAsia="zh-CN"/>
        </w:rPr>
        <w:t>3.</w:t>
      </w:r>
      <w:r w:rsidRPr="00C04888">
        <w:rPr>
          <w:rFonts w:cs="Times New Roman"/>
          <w:lang w:eastAsia="zh-CN"/>
        </w:rPr>
        <w:tab/>
        <w:t>To approve the Directors’ Remuneration Policy set out on page 31 of the Directors’ Remuneration Report contained within the Annual Report and Accounts.</w:t>
      </w:r>
    </w:p>
    <w:p w14:paraId="34A239FB" w14:textId="18E6CC9B" w:rsidR="00C04888" w:rsidRPr="00C04888" w:rsidRDefault="00C04888" w:rsidP="00C04888">
      <w:pPr>
        <w:spacing w:before="19" w:line="220" w:lineRule="exact"/>
        <w:ind w:left="720" w:hanging="720"/>
        <w:jc w:val="both"/>
        <w:rPr>
          <w:rFonts w:cs="Times New Roman"/>
          <w:lang w:eastAsia="zh-CN"/>
        </w:rPr>
      </w:pPr>
      <w:r w:rsidRPr="00C04888">
        <w:rPr>
          <w:rFonts w:cs="Times New Roman"/>
          <w:lang w:eastAsia="zh-CN"/>
        </w:rPr>
        <w:t>4.</w:t>
      </w:r>
      <w:r w:rsidRPr="00C04888">
        <w:rPr>
          <w:rFonts w:cs="Times New Roman"/>
          <w:lang w:eastAsia="zh-CN"/>
        </w:rPr>
        <w:tab/>
        <w:t>To appoint Ernst &amp; Young LLP as auditors of the Company, to hold office until the conclusion of</w:t>
      </w:r>
      <w:r>
        <w:rPr>
          <w:rFonts w:cs="Times New Roman"/>
          <w:lang w:eastAsia="zh-CN"/>
        </w:rPr>
        <w:t xml:space="preserve"> </w:t>
      </w:r>
      <w:r w:rsidRPr="00C04888">
        <w:rPr>
          <w:rFonts w:cs="Times New Roman"/>
          <w:lang w:eastAsia="zh-CN"/>
        </w:rPr>
        <w:t>the next annual general meeting at which the Annual Report and Accounts are laid before the meeting.</w:t>
      </w:r>
    </w:p>
    <w:p w14:paraId="17D15BBE" w14:textId="6BE90FD9" w:rsidR="00C04888" w:rsidRPr="00C04888" w:rsidRDefault="00C04888" w:rsidP="00C04888">
      <w:pPr>
        <w:spacing w:before="19" w:line="220" w:lineRule="exact"/>
        <w:jc w:val="both"/>
        <w:rPr>
          <w:rFonts w:cs="Times New Roman"/>
          <w:lang w:eastAsia="zh-CN"/>
        </w:rPr>
      </w:pPr>
      <w:r w:rsidRPr="00C04888">
        <w:rPr>
          <w:rFonts w:cs="Times New Roman"/>
          <w:lang w:eastAsia="zh-CN"/>
        </w:rPr>
        <w:t>5.</w:t>
      </w:r>
      <w:r w:rsidRPr="00C04888">
        <w:rPr>
          <w:rFonts w:cs="Times New Roman"/>
          <w:lang w:eastAsia="zh-CN"/>
        </w:rPr>
        <w:tab/>
        <w:t xml:space="preserve">To authorise the Board of Directors to determine the remuneration of Ernst &amp; Young LLP. </w:t>
      </w:r>
    </w:p>
    <w:p w14:paraId="4148AB59" w14:textId="6711DEC8" w:rsidR="00C04888" w:rsidRPr="00C04888" w:rsidRDefault="00C04888" w:rsidP="00C04888">
      <w:pPr>
        <w:spacing w:before="19" w:line="220" w:lineRule="exact"/>
        <w:jc w:val="both"/>
        <w:rPr>
          <w:rFonts w:cs="Times New Roman"/>
          <w:lang w:eastAsia="zh-CN"/>
        </w:rPr>
      </w:pPr>
      <w:r w:rsidRPr="00C04888">
        <w:rPr>
          <w:rFonts w:cs="Times New Roman"/>
          <w:lang w:eastAsia="zh-CN"/>
        </w:rPr>
        <w:t>6.</w:t>
      </w:r>
      <w:r w:rsidRPr="00C04888">
        <w:rPr>
          <w:rFonts w:cs="Times New Roman"/>
          <w:lang w:eastAsia="zh-CN"/>
        </w:rPr>
        <w:tab/>
        <w:t>To re-elect Reuben Jeffery, III as a Director.</w:t>
      </w:r>
    </w:p>
    <w:p w14:paraId="555A2D44" w14:textId="339C8EAD" w:rsidR="00C04888" w:rsidRPr="00C04888" w:rsidRDefault="00C04888" w:rsidP="00C04888">
      <w:pPr>
        <w:spacing w:before="19" w:line="220" w:lineRule="exact"/>
        <w:jc w:val="both"/>
        <w:rPr>
          <w:rFonts w:cs="Times New Roman"/>
          <w:lang w:eastAsia="zh-CN"/>
        </w:rPr>
      </w:pPr>
      <w:r w:rsidRPr="00C04888">
        <w:rPr>
          <w:rFonts w:cs="Times New Roman"/>
          <w:lang w:eastAsia="zh-CN"/>
        </w:rPr>
        <w:t>7.</w:t>
      </w:r>
      <w:r w:rsidRPr="00C04888">
        <w:rPr>
          <w:rFonts w:cs="Times New Roman"/>
          <w:lang w:eastAsia="zh-CN"/>
        </w:rPr>
        <w:tab/>
        <w:t xml:space="preserve">To re-elect Emma Davies as a Director. </w:t>
      </w:r>
    </w:p>
    <w:p w14:paraId="09306F98" w14:textId="181A4B88" w:rsidR="00C04888" w:rsidRPr="00C04888" w:rsidRDefault="00C04888" w:rsidP="00C04888">
      <w:pPr>
        <w:spacing w:before="19" w:line="220" w:lineRule="exact"/>
        <w:jc w:val="both"/>
        <w:rPr>
          <w:rFonts w:cs="Times New Roman"/>
          <w:lang w:eastAsia="zh-CN"/>
        </w:rPr>
      </w:pPr>
      <w:r w:rsidRPr="00C04888">
        <w:rPr>
          <w:rFonts w:cs="Times New Roman"/>
          <w:lang w:eastAsia="zh-CN"/>
        </w:rPr>
        <w:t>8.</w:t>
      </w:r>
      <w:r w:rsidRPr="00C04888">
        <w:rPr>
          <w:rFonts w:cs="Times New Roman"/>
          <w:lang w:eastAsia="zh-CN"/>
        </w:rPr>
        <w:tab/>
        <w:t xml:space="preserve">To re-elect Edward Cumming-Bruce as a Director. </w:t>
      </w:r>
    </w:p>
    <w:p w14:paraId="2532A3C4" w14:textId="22C14E40" w:rsidR="00C04888" w:rsidRPr="00C04888" w:rsidRDefault="00C04888" w:rsidP="00C04888">
      <w:pPr>
        <w:spacing w:before="19" w:line="220" w:lineRule="exact"/>
        <w:ind w:left="720" w:hanging="720"/>
        <w:jc w:val="both"/>
        <w:rPr>
          <w:rFonts w:cs="Times New Roman"/>
          <w:lang w:eastAsia="zh-CN"/>
        </w:rPr>
      </w:pPr>
      <w:r w:rsidRPr="00C04888">
        <w:rPr>
          <w:rFonts w:cs="Times New Roman"/>
          <w:lang w:eastAsia="zh-CN"/>
        </w:rPr>
        <w:t>9.</w:t>
      </w:r>
      <w:r w:rsidRPr="00C04888">
        <w:rPr>
          <w:rFonts w:cs="Times New Roman"/>
          <w:lang w:eastAsia="zh-CN"/>
        </w:rPr>
        <w:tab/>
        <w:t xml:space="preserve">That the Directors of the Company are generally and unconditionally authorised to exercise the powers conferred upon them by Article 136 of the Articles of Association to offer Shareholders in the Company who have elected to receive them, an allotment of ordinary shares, credited as fully paid, instead of the whole or any part of any cash dividends paid by the Directors or declared by the </w:t>
      </w:r>
      <w:r w:rsidRPr="00C04888">
        <w:rPr>
          <w:rFonts w:cs="Times New Roman"/>
          <w:lang w:eastAsia="zh-CN"/>
        </w:rPr>
        <w:tab/>
        <w:t>Company in a general meeting (as the case may be) from the date of the passing of this Resolution until the conclusion of the next annual general meeting of the Company, and the Directors are permitted to do all acts and things required or permitted to be done in Article 136 of the Articles of Association of the Company.</w:t>
      </w:r>
    </w:p>
    <w:p w14:paraId="0384F212" w14:textId="6CE3C1FE" w:rsidR="00C04888" w:rsidRPr="00C04888" w:rsidRDefault="00C04888" w:rsidP="00C04888">
      <w:pPr>
        <w:spacing w:before="19" w:line="220" w:lineRule="exact"/>
        <w:ind w:left="720" w:hanging="720"/>
        <w:jc w:val="both"/>
        <w:rPr>
          <w:rFonts w:cs="Times New Roman"/>
          <w:lang w:eastAsia="zh-CN"/>
        </w:rPr>
      </w:pPr>
      <w:r w:rsidRPr="00C04888">
        <w:rPr>
          <w:rFonts w:cs="Times New Roman"/>
          <w:lang w:eastAsia="zh-CN"/>
        </w:rPr>
        <w:t>10.</w:t>
      </w:r>
      <w:r w:rsidRPr="00C04888">
        <w:rPr>
          <w:rFonts w:cs="Times New Roman"/>
          <w:lang w:eastAsia="zh-CN"/>
        </w:rPr>
        <w:tab/>
        <w:t>That, in substitution for all subsisting authorities to the extent unused, the Directors be and they are hereby generally and unconditionally authorised, in accordance with section 551 Companies Act 2006, to exercise all the powers of the Company to allot equity securities in the capital of the Company and to grant rights to subscribe for, or to convert any security into, equity securities in the Company up to an aggregate nominal amount equal to $302,684.12.</w:t>
      </w:r>
    </w:p>
    <w:p w14:paraId="4FF6DA81" w14:textId="4C2972FC" w:rsidR="004226EB" w:rsidRPr="00C04888" w:rsidRDefault="00C04888" w:rsidP="004226EB">
      <w:pPr>
        <w:spacing w:before="19" w:line="220" w:lineRule="exact"/>
        <w:ind w:left="720"/>
        <w:jc w:val="both"/>
        <w:rPr>
          <w:rFonts w:cs="Times New Roman"/>
          <w:lang w:eastAsia="zh-CN"/>
        </w:rPr>
      </w:pPr>
      <w:r w:rsidRPr="00C04888">
        <w:rPr>
          <w:rFonts w:cs="Times New Roman"/>
          <w:lang w:eastAsia="zh-CN"/>
        </w:rPr>
        <w:t xml:space="preserve">The authority hereby conferred on the Directors shall expire at the conclusion of the next annual general meeting of the Company after the date of the passing of this Resolution, or the date which </w:t>
      </w:r>
      <w:r w:rsidRPr="00C04888">
        <w:rPr>
          <w:rFonts w:cs="Times New Roman"/>
          <w:lang w:eastAsia="zh-CN"/>
        </w:rPr>
        <w:tab/>
        <w:t>falls 15 months after the date on which this Resolution is passed, whichever is the earlier, save that under this authority the Company may, before such expiry, make offers or enter into agreements which would or might require shares to be allotted or rights to subscribe for, or to convert any security into, shares to be granted after such expiry and the Directors may allot shares or grant rights to subscribe for, or to convert any security into, shares (as the case may be) in pursuance of such an offer or agreement as if the authority conferred hereby had not expired</w:t>
      </w:r>
    </w:p>
    <w:p w14:paraId="38C40264" w14:textId="429B9908" w:rsidR="00C04888" w:rsidRPr="004226EB" w:rsidRDefault="00C04888" w:rsidP="00C04888">
      <w:pPr>
        <w:spacing w:before="19" w:line="220" w:lineRule="exact"/>
        <w:jc w:val="both"/>
        <w:rPr>
          <w:rFonts w:cs="Times New Roman"/>
          <w:b/>
          <w:bCs/>
          <w:lang w:eastAsia="zh-CN"/>
        </w:rPr>
      </w:pPr>
      <w:r w:rsidRPr="00C04888">
        <w:rPr>
          <w:rFonts w:cs="Times New Roman"/>
          <w:b/>
          <w:bCs/>
          <w:lang w:eastAsia="zh-CN"/>
        </w:rPr>
        <w:t xml:space="preserve">Special Business </w:t>
      </w:r>
    </w:p>
    <w:p w14:paraId="57993E3A" w14:textId="5DA7DAAD" w:rsidR="00C04888" w:rsidRPr="004226EB" w:rsidRDefault="00C04888" w:rsidP="00C04888">
      <w:pPr>
        <w:spacing w:before="19" w:line="220" w:lineRule="exact"/>
        <w:ind w:left="720" w:hanging="720"/>
        <w:jc w:val="both"/>
        <w:rPr>
          <w:rFonts w:cs="Times New Roman"/>
          <w:lang w:eastAsia="zh-CN"/>
        </w:rPr>
      </w:pPr>
      <w:r w:rsidRPr="00C04888">
        <w:rPr>
          <w:rFonts w:cs="Times New Roman"/>
          <w:lang w:eastAsia="zh-CN"/>
        </w:rPr>
        <w:t>11.</w:t>
      </w:r>
      <w:r w:rsidRPr="00C04888">
        <w:rPr>
          <w:rFonts w:cs="Times New Roman"/>
          <w:lang w:eastAsia="zh-CN"/>
        </w:rPr>
        <w:tab/>
        <w:t>That, subject to the passing of Resolution 10 above, in substitution for all subsisting authorities to the extent unused, the Directors be and they are hereby authorised, pursuant to section 570 and</w:t>
      </w:r>
      <w:r>
        <w:rPr>
          <w:rFonts w:cs="Times New Roman"/>
          <w:lang w:eastAsia="zh-CN"/>
        </w:rPr>
        <w:t xml:space="preserve"> </w:t>
      </w:r>
      <w:r w:rsidRPr="00C04888">
        <w:rPr>
          <w:rFonts w:cs="Times New Roman"/>
          <w:lang w:eastAsia="zh-CN"/>
        </w:rPr>
        <w:t>section 573 Companies Act 2006, to allot equity securities (within the meaning of section 560</w:t>
      </w:r>
      <w:r>
        <w:rPr>
          <w:rFonts w:cs="Times New Roman"/>
          <w:lang w:eastAsia="zh-CN"/>
        </w:rPr>
        <w:t xml:space="preserve"> </w:t>
      </w:r>
      <w:r w:rsidRPr="00C04888">
        <w:rPr>
          <w:rFonts w:cs="Times New Roman"/>
          <w:lang w:eastAsia="zh-CN"/>
        </w:rPr>
        <w:t>Companies Act 2006) for cash either pursuant to the authority conferred by Resolution 10 or by way</w:t>
      </w:r>
      <w:r>
        <w:rPr>
          <w:rFonts w:cs="Times New Roman"/>
          <w:lang w:eastAsia="zh-CN"/>
        </w:rPr>
        <w:t xml:space="preserve"> </w:t>
      </w:r>
      <w:r w:rsidRPr="00C04888">
        <w:rPr>
          <w:rFonts w:cs="Times New Roman"/>
          <w:lang w:eastAsia="zh-CN"/>
        </w:rPr>
        <w:t xml:space="preserve">of a sale of treasury shares, as if section 561(1) Companies Act 2006 did not apply </w:t>
      </w:r>
      <w:r w:rsidRPr="00C04888">
        <w:rPr>
          <w:rFonts w:cs="Times New Roman"/>
          <w:lang w:eastAsia="zh-CN"/>
        </w:rPr>
        <w:lastRenderedPageBreak/>
        <w:t>to any such</w:t>
      </w:r>
      <w:r>
        <w:rPr>
          <w:rFonts w:cs="Times New Roman"/>
          <w:lang w:eastAsia="zh-CN"/>
        </w:rPr>
        <w:t xml:space="preserve"> </w:t>
      </w:r>
      <w:r w:rsidRPr="00C04888">
        <w:rPr>
          <w:rFonts w:cs="Times New Roman"/>
          <w:lang w:eastAsia="zh-CN"/>
        </w:rPr>
        <w:t xml:space="preserve">allotment, provided that this authority shall be limited to the allotment of equity </w:t>
      </w:r>
      <w:r w:rsidRPr="004226EB">
        <w:rPr>
          <w:rFonts w:cs="Times New Roman"/>
          <w:lang w:eastAsia="zh-CN"/>
        </w:rPr>
        <w:t>securities in connection with an offer of equity securities:</w:t>
      </w:r>
    </w:p>
    <w:p w14:paraId="236D26BB" w14:textId="28D963FE" w:rsidR="004226EB" w:rsidRPr="004226EB" w:rsidRDefault="00C04888" w:rsidP="004226EB">
      <w:pPr>
        <w:pStyle w:val="ListParagraph"/>
        <w:numPr>
          <w:ilvl w:val="0"/>
          <w:numId w:val="9"/>
        </w:numPr>
        <w:spacing w:before="19" w:line="220" w:lineRule="exact"/>
        <w:jc w:val="both"/>
        <w:rPr>
          <w:rFonts w:ascii="Times New Roman" w:hAnsi="Times New Roman" w:cs="Times New Roman"/>
          <w:lang w:eastAsia="zh-CN"/>
        </w:rPr>
      </w:pPr>
      <w:r w:rsidRPr="004226EB">
        <w:rPr>
          <w:rFonts w:ascii="Times New Roman" w:hAnsi="Times New Roman" w:cs="Times New Roman"/>
          <w:lang w:eastAsia="zh-CN"/>
        </w:rPr>
        <w:t>to holders of ordinary shareholders in proportion (as nearly as may be practicable) to their</w:t>
      </w:r>
      <w:r w:rsidR="004226EB">
        <w:rPr>
          <w:rFonts w:ascii="Times New Roman" w:hAnsi="Times New Roman" w:cs="Times New Roman"/>
          <w:lang w:eastAsia="zh-CN"/>
        </w:rPr>
        <w:t xml:space="preserve"> </w:t>
      </w:r>
      <w:r w:rsidRPr="004226EB">
        <w:rPr>
          <w:rFonts w:ascii="Times New Roman" w:hAnsi="Times New Roman" w:cs="Times New Roman"/>
          <w:lang w:eastAsia="zh-CN"/>
        </w:rPr>
        <w:t>existing holdings; and</w:t>
      </w:r>
    </w:p>
    <w:p w14:paraId="1A70004D" w14:textId="4149E4E5" w:rsidR="00C04888" w:rsidRPr="004226EB" w:rsidRDefault="00C04888" w:rsidP="004226EB">
      <w:pPr>
        <w:pStyle w:val="ListParagraph"/>
        <w:numPr>
          <w:ilvl w:val="0"/>
          <w:numId w:val="9"/>
        </w:numPr>
        <w:spacing w:before="19" w:line="220" w:lineRule="exact"/>
        <w:jc w:val="both"/>
        <w:rPr>
          <w:rFonts w:ascii="Times New Roman" w:hAnsi="Times New Roman" w:cs="Times New Roman"/>
          <w:lang w:eastAsia="zh-CN"/>
        </w:rPr>
      </w:pPr>
      <w:r w:rsidRPr="004226EB">
        <w:rPr>
          <w:rFonts w:ascii="Times New Roman" w:hAnsi="Times New Roman" w:cs="Times New Roman"/>
          <w:lang w:eastAsia="zh-CN"/>
        </w:rPr>
        <w:t xml:space="preserve">to holders of other equity securities as required by the rights of those securities or as the Directors otherwise consider necessary, </w:t>
      </w:r>
    </w:p>
    <w:p w14:paraId="7DADD929" w14:textId="6AE75AF8" w:rsidR="00C04888" w:rsidRPr="00C04888" w:rsidRDefault="00C04888" w:rsidP="00C04888">
      <w:pPr>
        <w:spacing w:before="19" w:line="220" w:lineRule="exact"/>
        <w:ind w:left="720"/>
        <w:jc w:val="both"/>
        <w:rPr>
          <w:rFonts w:cs="Times New Roman"/>
          <w:lang w:eastAsia="zh-CN"/>
        </w:rPr>
      </w:pPr>
      <w:r w:rsidRPr="00C04888">
        <w:rPr>
          <w:rFonts w:cs="Times New Roman"/>
          <w:lang w:eastAsia="zh-CN"/>
        </w:rPr>
        <w:t>and so that the Directors may impose any limits or restrictions and make any arrangements which</w:t>
      </w:r>
      <w:r w:rsidR="004226EB">
        <w:rPr>
          <w:rFonts w:cs="Times New Roman"/>
          <w:lang w:eastAsia="zh-CN"/>
        </w:rPr>
        <w:t xml:space="preserve"> </w:t>
      </w:r>
      <w:r w:rsidRPr="00C04888">
        <w:rPr>
          <w:rFonts w:cs="Times New Roman"/>
          <w:lang w:eastAsia="zh-CN"/>
        </w:rPr>
        <w:t xml:space="preserve">they consider necessary or appropriate to deal with any treasury shares, fractional entitlements or securities represented by depositary receipts, record dates, legal, </w:t>
      </w:r>
      <w:proofErr w:type="gramStart"/>
      <w:r w:rsidRPr="00C04888">
        <w:rPr>
          <w:rFonts w:cs="Times New Roman"/>
          <w:lang w:eastAsia="zh-CN"/>
        </w:rPr>
        <w:t>regulatory</w:t>
      </w:r>
      <w:proofErr w:type="gramEnd"/>
      <w:r w:rsidRPr="00C04888">
        <w:rPr>
          <w:rFonts w:cs="Times New Roman"/>
          <w:lang w:eastAsia="zh-CN"/>
        </w:rPr>
        <w:t xml:space="preserve"> or practical problems in, or under the laws of, any territory or the requirements of any regulatory body or stock exchange or</w:t>
      </w:r>
      <w:r>
        <w:rPr>
          <w:rFonts w:cs="Times New Roman"/>
          <w:lang w:eastAsia="zh-CN"/>
        </w:rPr>
        <w:t xml:space="preserve"> </w:t>
      </w:r>
      <w:r w:rsidRPr="00C04888">
        <w:rPr>
          <w:rFonts w:cs="Times New Roman"/>
          <w:lang w:eastAsia="zh-CN"/>
        </w:rPr>
        <w:t xml:space="preserve">any other matter. </w:t>
      </w:r>
    </w:p>
    <w:p w14:paraId="379EB297" w14:textId="5AF74505" w:rsidR="00C04888" w:rsidRPr="00C04888" w:rsidRDefault="00C04888" w:rsidP="00C04888">
      <w:pPr>
        <w:spacing w:before="19" w:line="220" w:lineRule="exact"/>
        <w:ind w:left="720"/>
        <w:jc w:val="both"/>
        <w:rPr>
          <w:rFonts w:cs="Times New Roman"/>
          <w:lang w:eastAsia="zh-CN"/>
        </w:rPr>
      </w:pPr>
      <w:r w:rsidRPr="00C04888">
        <w:rPr>
          <w:rFonts w:cs="Times New Roman"/>
          <w:lang w:eastAsia="zh-CN"/>
        </w:rPr>
        <w:t xml:space="preserve">The authority hereby conferred shall expire at the conclusion of the next annual general meeting of the Company after the passing of this Resolution, or the date which falls 15 months after the date on </w:t>
      </w:r>
      <w:r w:rsidRPr="00C04888">
        <w:rPr>
          <w:rFonts w:cs="Times New Roman"/>
          <w:lang w:eastAsia="zh-CN"/>
        </w:rPr>
        <w:tab/>
        <w:t xml:space="preserve">which this Resolution is passed, whichever is the earlier, save that the Company may, before such expiry, make offers and enter into agreements which would or might require equity securities to be </w:t>
      </w:r>
      <w:r w:rsidRPr="00C04888">
        <w:rPr>
          <w:rFonts w:cs="Times New Roman"/>
          <w:lang w:eastAsia="zh-CN"/>
        </w:rPr>
        <w:tab/>
        <w:t xml:space="preserve">allotted after such expiry and the Directors may allot equity securities in pursuance of such offers or agreements as if the authority conferred hereby had not expired. </w:t>
      </w:r>
    </w:p>
    <w:p w14:paraId="5BA3CF6F" w14:textId="5B1FB8BE" w:rsidR="00C04888" w:rsidRPr="00C04888" w:rsidRDefault="00C04888" w:rsidP="00C04888">
      <w:pPr>
        <w:spacing w:before="19" w:line="220" w:lineRule="exact"/>
        <w:ind w:left="720" w:hanging="720"/>
        <w:jc w:val="both"/>
        <w:rPr>
          <w:rFonts w:cs="Times New Roman"/>
          <w:lang w:eastAsia="zh-CN"/>
        </w:rPr>
      </w:pPr>
      <w:r w:rsidRPr="00C04888">
        <w:rPr>
          <w:rFonts w:cs="Times New Roman"/>
          <w:lang w:eastAsia="zh-CN"/>
        </w:rPr>
        <w:t>12.</w:t>
      </w:r>
      <w:r w:rsidRPr="00C04888">
        <w:rPr>
          <w:rFonts w:cs="Times New Roman"/>
          <w:lang w:eastAsia="zh-CN"/>
        </w:rPr>
        <w:tab/>
        <w:t xml:space="preserve">That, subject to the passing of Resolution 10 above, in addition to the authority granted by Resolution 11, but in substitution for all other subsisting authorities to the extent unused, the Directors be and they are hereby authorised, pursuant to section 570 and section 573 Companies Act 2006, to allot equity securities (within the meaning of section 560 Companies Act 2006) for cash either pursuant to the authority conferred by Resolution 10 or by way of a sale of treasury shares, as if section 561(1) Companies Act 2006 did not apply to any such allotment, provided that this authority shall be limited to the allotment of equity securities in connection with an offer of equity securities up to an aggregate nominal amount of US$90,805.24. </w:t>
      </w:r>
    </w:p>
    <w:p w14:paraId="2A8A8575" w14:textId="51B0A0D7" w:rsidR="00C04888" w:rsidRPr="00C04888" w:rsidRDefault="00C04888" w:rsidP="004226EB">
      <w:pPr>
        <w:spacing w:before="19" w:line="220" w:lineRule="exact"/>
        <w:ind w:left="720"/>
        <w:jc w:val="both"/>
        <w:rPr>
          <w:rFonts w:cs="Times New Roman"/>
          <w:lang w:eastAsia="zh-CN"/>
        </w:rPr>
      </w:pPr>
      <w:r w:rsidRPr="00C04888">
        <w:rPr>
          <w:rFonts w:cs="Times New Roman"/>
          <w:lang w:eastAsia="zh-CN"/>
        </w:rPr>
        <w:t xml:space="preserve">The authority hereby conferred shall expire at the conclusion of the next annual general meeting of the Company after the passing of this Resolution, or the date which falls 15 months after the date on </w:t>
      </w:r>
      <w:r w:rsidRPr="00C04888">
        <w:rPr>
          <w:rFonts w:cs="Times New Roman"/>
          <w:lang w:eastAsia="zh-CN"/>
        </w:rPr>
        <w:tab/>
        <w:t xml:space="preserve">which this Resolution is passed, whichever is the earlier, save that the Company may, before such expiry, make offers and enter into agreements which would or might require equity securities to be </w:t>
      </w:r>
      <w:r w:rsidRPr="00C04888">
        <w:rPr>
          <w:rFonts w:cs="Times New Roman"/>
          <w:lang w:eastAsia="zh-CN"/>
        </w:rPr>
        <w:tab/>
        <w:t>allotted after such expiry and the Directors may allot equity securities</w:t>
      </w:r>
      <w:r>
        <w:rPr>
          <w:rFonts w:cs="Times New Roman"/>
          <w:lang w:eastAsia="zh-CN"/>
        </w:rPr>
        <w:t xml:space="preserve"> </w:t>
      </w:r>
      <w:r w:rsidRPr="00C04888">
        <w:rPr>
          <w:rFonts w:cs="Times New Roman"/>
          <w:lang w:eastAsia="zh-CN"/>
        </w:rPr>
        <w:t>in pursuance of such offers or agreements as if the authority conferred hereby had not expired.</w:t>
      </w:r>
    </w:p>
    <w:p w14:paraId="5989D7D8" w14:textId="40D1512E" w:rsidR="00C04888" w:rsidRPr="00C04888" w:rsidRDefault="00C04888" w:rsidP="00C04888">
      <w:pPr>
        <w:spacing w:before="19" w:line="220" w:lineRule="exact"/>
        <w:ind w:left="720" w:hanging="720"/>
        <w:jc w:val="both"/>
        <w:rPr>
          <w:rFonts w:cs="Times New Roman"/>
          <w:lang w:eastAsia="zh-CN"/>
        </w:rPr>
      </w:pPr>
      <w:r w:rsidRPr="00C04888">
        <w:rPr>
          <w:rFonts w:cs="Times New Roman"/>
          <w:lang w:eastAsia="zh-CN"/>
        </w:rPr>
        <w:t>13.</w:t>
      </w:r>
      <w:r w:rsidRPr="00C04888">
        <w:rPr>
          <w:rFonts w:cs="Times New Roman"/>
          <w:lang w:eastAsia="zh-CN"/>
        </w:rPr>
        <w:tab/>
        <w:t xml:space="preserve">That the Company be and is hereby generally and unconditionally authorised for the purposes of section 701 Companies Act 2006, to make market purchases (within the meaning of section 693(4) </w:t>
      </w:r>
      <w:r w:rsidRPr="00C04888">
        <w:rPr>
          <w:rFonts w:cs="Times New Roman"/>
          <w:lang w:eastAsia="zh-CN"/>
        </w:rPr>
        <w:tab/>
        <w:t xml:space="preserve">Companies Act 2006) of ordinary shares of one penny each in the capital of the Company on such terms and in such manner as the Directors shall from time to time determine, provided </w:t>
      </w:r>
      <w:proofErr w:type="gramStart"/>
      <w:r w:rsidRPr="00C04888">
        <w:rPr>
          <w:rFonts w:cs="Times New Roman"/>
          <w:lang w:eastAsia="zh-CN"/>
        </w:rPr>
        <w:t>that:-</w:t>
      </w:r>
      <w:proofErr w:type="gramEnd"/>
    </w:p>
    <w:p w14:paraId="2BED2250" w14:textId="193C7E98" w:rsidR="00C04888" w:rsidRPr="00C04888" w:rsidRDefault="00C04888" w:rsidP="00C04888">
      <w:pPr>
        <w:spacing w:before="19" w:line="220" w:lineRule="exact"/>
        <w:ind w:left="1440" w:hanging="720"/>
        <w:jc w:val="both"/>
        <w:rPr>
          <w:rFonts w:cs="Times New Roman"/>
          <w:lang w:eastAsia="zh-CN"/>
        </w:rPr>
      </w:pPr>
      <w:r w:rsidRPr="00C04888">
        <w:rPr>
          <w:rFonts w:cs="Times New Roman"/>
          <w:lang w:eastAsia="zh-CN"/>
        </w:rPr>
        <w:t>a.</w:t>
      </w:r>
      <w:r w:rsidRPr="00C04888">
        <w:rPr>
          <w:rFonts w:cs="Times New Roman"/>
          <w:lang w:eastAsia="zh-CN"/>
        </w:rPr>
        <w:tab/>
        <w:t>the maximum number of ordinary shares hereby authorised to be purchased is 13,611,705.03</w:t>
      </w:r>
    </w:p>
    <w:p w14:paraId="447E5218" w14:textId="77777777" w:rsidR="004226EB" w:rsidRDefault="00C04888" w:rsidP="004226EB">
      <w:pPr>
        <w:spacing w:before="19" w:line="220" w:lineRule="exact"/>
        <w:ind w:left="1440" w:hanging="720"/>
        <w:jc w:val="both"/>
        <w:rPr>
          <w:rFonts w:cs="Times New Roman"/>
          <w:lang w:eastAsia="zh-CN"/>
        </w:rPr>
      </w:pPr>
      <w:r w:rsidRPr="00C04888">
        <w:rPr>
          <w:rFonts w:cs="Times New Roman"/>
          <w:lang w:eastAsia="zh-CN"/>
        </w:rPr>
        <w:t>b.</w:t>
      </w:r>
      <w:r w:rsidRPr="00C04888">
        <w:rPr>
          <w:rFonts w:cs="Times New Roman"/>
          <w:lang w:eastAsia="zh-CN"/>
        </w:rPr>
        <w:tab/>
        <w:t xml:space="preserve">the minimum price (exclusive of expenses) which may be paid for an ordinary share is one </w:t>
      </w:r>
      <w:proofErr w:type="gramStart"/>
      <w:r w:rsidRPr="00C04888">
        <w:rPr>
          <w:rFonts w:cs="Times New Roman"/>
          <w:lang w:eastAsia="zh-CN"/>
        </w:rPr>
        <w:t>cent;</w:t>
      </w:r>
      <w:proofErr w:type="gramEnd"/>
    </w:p>
    <w:p w14:paraId="10C37EB2" w14:textId="6190123E" w:rsidR="00C04888" w:rsidRPr="00C04888" w:rsidRDefault="004226EB" w:rsidP="004226EB">
      <w:pPr>
        <w:spacing w:before="19" w:line="220" w:lineRule="exact"/>
        <w:ind w:left="1440" w:hanging="720"/>
        <w:jc w:val="both"/>
        <w:rPr>
          <w:rFonts w:cs="Times New Roman"/>
          <w:lang w:eastAsia="zh-CN"/>
        </w:rPr>
      </w:pPr>
      <w:r>
        <w:rPr>
          <w:rFonts w:cs="Times New Roman"/>
          <w:lang w:eastAsia="zh-CN"/>
        </w:rPr>
        <w:t>c.</w:t>
      </w:r>
      <w:r>
        <w:rPr>
          <w:rFonts w:cs="Times New Roman"/>
          <w:lang w:eastAsia="zh-CN"/>
        </w:rPr>
        <w:tab/>
      </w:r>
      <w:r w:rsidR="00C04888" w:rsidRPr="00C04888">
        <w:rPr>
          <w:rFonts w:cs="Times New Roman"/>
          <w:lang w:eastAsia="zh-CN"/>
        </w:rPr>
        <w:t>the maximum price (exclusive of expenses) which may be paid for an ordinary share shall be not more than the higher of: (</w:t>
      </w:r>
      <w:proofErr w:type="spellStart"/>
      <w:r w:rsidR="00C04888" w:rsidRPr="00C04888">
        <w:rPr>
          <w:rFonts w:cs="Times New Roman"/>
          <w:lang w:eastAsia="zh-CN"/>
        </w:rPr>
        <w:t>i</w:t>
      </w:r>
      <w:proofErr w:type="spellEnd"/>
      <w:r w:rsidR="00C04888" w:rsidRPr="00C04888">
        <w:rPr>
          <w:rFonts w:cs="Times New Roman"/>
          <w:lang w:eastAsia="zh-CN"/>
        </w:rPr>
        <w:t xml:space="preserve">) an amount equal to 14.99 per cent. of the average of the middle market quotations for an Ordinary Share (as derived from the London Stock Exchange Daily Official List) for the five business days immediately preceding the date on which that Ordinary Share is contracted to be purchased; and (ii) an amount equal to the higher of the price of the last independent trade of an ordinary share and the highest current independent bid on the trading venues where the purchase is carried out; </w:t>
      </w:r>
    </w:p>
    <w:p w14:paraId="50D07CFD" w14:textId="20585B48" w:rsidR="00C04888" w:rsidRPr="00C04888" w:rsidRDefault="00C04888" w:rsidP="00D81268">
      <w:pPr>
        <w:spacing w:before="19" w:line="220" w:lineRule="exact"/>
        <w:ind w:left="1440" w:hanging="720"/>
        <w:jc w:val="both"/>
        <w:rPr>
          <w:rFonts w:cs="Times New Roman"/>
          <w:lang w:eastAsia="zh-CN"/>
        </w:rPr>
      </w:pPr>
      <w:r w:rsidRPr="00C04888">
        <w:rPr>
          <w:rFonts w:cs="Times New Roman"/>
          <w:lang w:eastAsia="zh-CN"/>
        </w:rPr>
        <w:t>d.</w:t>
      </w:r>
      <w:r w:rsidRPr="00C04888">
        <w:rPr>
          <w:rFonts w:cs="Times New Roman"/>
          <w:lang w:eastAsia="zh-CN"/>
        </w:rPr>
        <w:tab/>
        <w:t xml:space="preserve">the authority hereby conferred shall expire at the conclusion of the next annual general meeting of the Company after the passing of this Resolution, or the date which falls 15 months after the date on which this Resolution 13 is passed, whichever is the earlier (unless </w:t>
      </w:r>
      <w:r w:rsidRPr="00C04888">
        <w:rPr>
          <w:rFonts w:cs="Times New Roman"/>
          <w:lang w:eastAsia="zh-CN"/>
        </w:rPr>
        <w:tab/>
        <w:t>previously revoked, varied or renewed by the Company in general meeting prior to such</w:t>
      </w:r>
      <w:r w:rsidR="00D81268">
        <w:rPr>
          <w:rFonts w:cs="Times New Roman"/>
          <w:lang w:eastAsia="zh-CN"/>
        </w:rPr>
        <w:t xml:space="preserve"> </w:t>
      </w:r>
      <w:r w:rsidRPr="00C04888">
        <w:rPr>
          <w:rFonts w:cs="Times New Roman"/>
          <w:lang w:eastAsia="zh-CN"/>
        </w:rPr>
        <w:t xml:space="preserve">time); and </w:t>
      </w:r>
    </w:p>
    <w:p w14:paraId="6BE8E678" w14:textId="5E5D69F6" w:rsidR="00C04888" w:rsidRPr="00C04888" w:rsidRDefault="00C04888" w:rsidP="00D81268">
      <w:pPr>
        <w:spacing w:before="19" w:line="220" w:lineRule="exact"/>
        <w:ind w:left="1440" w:hanging="720"/>
        <w:jc w:val="both"/>
        <w:rPr>
          <w:rFonts w:cs="Times New Roman"/>
          <w:lang w:eastAsia="zh-CN"/>
        </w:rPr>
      </w:pPr>
      <w:r w:rsidRPr="00C04888">
        <w:rPr>
          <w:rFonts w:cs="Times New Roman"/>
          <w:lang w:eastAsia="zh-CN"/>
        </w:rPr>
        <w:lastRenderedPageBreak/>
        <w:t>e.</w:t>
      </w:r>
      <w:r w:rsidRPr="00C04888">
        <w:rPr>
          <w:rFonts w:cs="Times New Roman"/>
          <w:lang w:eastAsia="zh-CN"/>
        </w:rPr>
        <w:tab/>
        <w:t xml:space="preserve">the Company may at any time prior to the expiry of such authority </w:t>
      </w:r>
      <w:proofErr w:type="gramStart"/>
      <w:r w:rsidRPr="00C04888">
        <w:rPr>
          <w:rFonts w:cs="Times New Roman"/>
          <w:lang w:eastAsia="zh-CN"/>
        </w:rPr>
        <w:t>enter into</w:t>
      </w:r>
      <w:proofErr w:type="gramEnd"/>
      <w:r w:rsidRPr="00C04888">
        <w:rPr>
          <w:rFonts w:cs="Times New Roman"/>
          <w:lang w:eastAsia="zh-CN"/>
        </w:rPr>
        <w:t xml:space="preserve"> such a contract or contracts under which a purchase of ordinary shares under such authority will or may be</w:t>
      </w:r>
      <w:r w:rsidR="00D81268">
        <w:rPr>
          <w:rFonts w:cs="Times New Roman"/>
          <w:lang w:eastAsia="zh-CN"/>
        </w:rPr>
        <w:t xml:space="preserve"> </w:t>
      </w:r>
      <w:r w:rsidRPr="00C04888">
        <w:rPr>
          <w:rFonts w:cs="Times New Roman"/>
          <w:lang w:eastAsia="zh-CN"/>
        </w:rPr>
        <w:t>completed or executed wholly or partly after the expiration of such authority and the Company may purchase ordinary shares in pursuance of any such contract or contracts as if</w:t>
      </w:r>
      <w:r w:rsidR="00D81268">
        <w:rPr>
          <w:rFonts w:cs="Times New Roman"/>
          <w:lang w:eastAsia="zh-CN"/>
        </w:rPr>
        <w:t xml:space="preserve"> </w:t>
      </w:r>
      <w:r w:rsidRPr="00C04888">
        <w:rPr>
          <w:rFonts w:cs="Times New Roman"/>
          <w:lang w:eastAsia="zh-CN"/>
        </w:rPr>
        <w:t>the authority conferred hereby had not expired.</w:t>
      </w:r>
    </w:p>
    <w:p w14:paraId="7AF79FA0" w14:textId="40B6E74C" w:rsidR="00C04888" w:rsidRDefault="00C04888" w:rsidP="00D81268">
      <w:pPr>
        <w:spacing w:before="19" w:line="220" w:lineRule="exact"/>
        <w:ind w:left="720" w:hanging="720"/>
        <w:jc w:val="both"/>
        <w:rPr>
          <w:rFonts w:cs="Times New Roman"/>
          <w:lang w:eastAsia="zh-CN"/>
        </w:rPr>
      </w:pPr>
      <w:r w:rsidRPr="00C04888">
        <w:rPr>
          <w:rFonts w:cs="Times New Roman"/>
          <w:lang w:eastAsia="zh-CN"/>
        </w:rPr>
        <w:t>14.</w:t>
      </w:r>
      <w:r w:rsidRPr="00C04888">
        <w:rPr>
          <w:rFonts w:cs="Times New Roman"/>
          <w:lang w:eastAsia="zh-CN"/>
        </w:rPr>
        <w:tab/>
        <w:t>That, a general meeting of the Company (other than an annual general meeting) may be called on not less than 14 days’ notice.</w:t>
      </w:r>
    </w:p>
    <w:p w14:paraId="0E512A63" w14:textId="77777777" w:rsidR="006F014A" w:rsidRDefault="006F014A" w:rsidP="00D81268">
      <w:pPr>
        <w:spacing w:before="19" w:line="220" w:lineRule="exact"/>
        <w:ind w:left="720" w:hanging="720"/>
        <w:jc w:val="both"/>
        <w:rPr>
          <w:rFonts w:cs="Times New Roman"/>
          <w:lang w:eastAsia="zh-CN"/>
        </w:rPr>
      </w:pPr>
    </w:p>
    <w:p w14:paraId="77EA59B6" w14:textId="77777777" w:rsidR="006F014A" w:rsidRDefault="006F014A" w:rsidP="00D81268">
      <w:pPr>
        <w:spacing w:before="19" w:line="220" w:lineRule="exact"/>
        <w:ind w:left="720" w:hanging="720"/>
        <w:jc w:val="both"/>
        <w:rPr>
          <w:rFonts w:cs="Times New Roman"/>
          <w:lang w:eastAsia="zh-CN"/>
        </w:rPr>
      </w:pPr>
    </w:p>
    <w:p w14:paraId="0385F98B" w14:textId="77777777" w:rsidR="006F014A" w:rsidRDefault="006F014A" w:rsidP="00D81268">
      <w:pPr>
        <w:spacing w:before="19" w:line="220" w:lineRule="exact"/>
        <w:ind w:left="720" w:hanging="720"/>
        <w:jc w:val="both"/>
        <w:rPr>
          <w:rFonts w:cs="Times New Roman"/>
          <w:lang w:eastAsia="zh-CN"/>
        </w:rPr>
      </w:pPr>
    </w:p>
    <w:p w14:paraId="62534671" w14:textId="77777777" w:rsidR="006F014A" w:rsidRDefault="006F014A" w:rsidP="00D81268">
      <w:pPr>
        <w:spacing w:before="19" w:line="220" w:lineRule="exact"/>
        <w:ind w:left="720" w:hanging="720"/>
        <w:jc w:val="both"/>
        <w:rPr>
          <w:rFonts w:cs="Times New Roman"/>
          <w:lang w:eastAsia="zh-CN"/>
        </w:rPr>
      </w:pPr>
    </w:p>
    <w:tbl>
      <w:tblPr>
        <w:tblW w:w="4920" w:type="dxa"/>
        <w:tblInd w:w="108" w:type="dxa"/>
        <w:tblLook w:val="04A0" w:firstRow="1" w:lastRow="0" w:firstColumn="1" w:lastColumn="0" w:noHBand="0" w:noVBand="1"/>
      </w:tblPr>
      <w:tblGrid>
        <w:gridCol w:w="2040"/>
        <w:gridCol w:w="960"/>
        <w:gridCol w:w="960"/>
        <w:gridCol w:w="960"/>
      </w:tblGrid>
      <w:tr w:rsidR="006F014A" w:rsidRPr="003A4A56" w14:paraId="097568EC" w14:textId="77777777" w:rsidTr="00F13F03">
        <w:trPr>
          <w:trHeight w:val="290"/>
        </w:trPr>
        <w:tc>
          <w:tcPr>
            <w:tcW w:w="2040" w:type="dxa"/>
            <w:tcBorders>
              <w:top w:val="nil"/>
              <w:left w:val="nil"/>
              <w:bottom w:val="nil"/>
              <w:right w:val="nil"/>
            </w:tcBorders>
            <w:shd w:val="clear" w:color="auto" w:fill="auto"/>
            <w:noWrap/>
            <w:vAlign w:val="bottom"/>
            <w:hideMark/>
          </w:tcPr>
          <w:p w14:paraId="07B2B91D" w14:textId="77777777" w:rsidR="006F014A" w:rsidRPr="003A4A56" w:rsidRDefault="006F014A" w:rsidP="00F13F03">
            <w:pPr>
              <w:spacing w:after="0" w:line="240" w:lineRule="auto"/>
              <w:rPr>
                <w:rFonts w:ascii="Calibri" w:eastAsia="Times New Roman" w:hAnsi="Calibri" w:cs="Calibri"/>
                <w:color w:val="000000"/>
                <w:lang w:eastAsia="en-GB"/>
              </w:rPr>
            </w:pPr>
            <w:r w:rsidRPr="003A4A56">
              <w:rPr>
                <w:rFonts w:ascii="Calibri" w:eastAsia="Times New Roman" w:hAnsi="Calibri" w:cs="Calibri"/>
                <w:color w:val="000000"/>
                <w:lang w:eastAsia="en-GB"/>
              </w:rPr>
              <w:t>Summary Totals</w:t>
            </w:r>
          </w:p>
        </w:tc>
        <w:tc>
          <w:tcPr>
            <w:tcW w:w="960" w:type="dxa"/>
            <w:tcBorders>
              <w:top w:val="nil"/>
              <w:left w:val="nil"/>
              <w:bottom w:val="nil"/>
              <w:right w:val="nil"/>
            </w:tcBorders>
            <w:shd w:val="clear" w:color="auto" w:fill="auto"/>
            <w:noWrap/>
            <w:vAlign w:val="bottom"/>
            <w:hideMark/>
          </w:tcPr>
          <w:p w14:paraId="6E743B2A" w14:textId="77777777" w:rsidR="006F014A" w:rsidRPr="003A4A56" w:rsidRDefault="006F014A" w:rsidP="00F13F03">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C0EABD9" w14:textId="77777777" w:rsidR="006F014A" w:rsidRPr="003A4A56" w:rsidRDefault="006F014A" w:rsidP="00F13F03">
            <w:pPr>
              <w:spacing w:after="0" w:line="240" w:lineRule="auto"/>
              <w:rPr>
                <w:rFonts w:eastAsia="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E38BC2" w14:textId="77777777" w:rsidR="006F014A" w:rsidRPr="003A4A56" w:rsidRDefault="006F014A" w:rsidP="00F13F03">
            <w:pPr>
              <w:spacing w:after="0" w:line="240" w:lineRule="auto"/>
              <w:rPr>
                <w:rFonts w:eastAsia="Times New Roman" w:cs="Times New Roman"/>
                <w:sz w:val="20"/>
                <w:szCs w:val="20"/>
                <w:lang w:eastAsia="en-GB"/>
              </w:rPr>
            </w:pPr>
          </w:p>
        </w:tc>
      </w:tr>
      <w:tr w:rsidR="006F014A" w:rsidRPr="003A4A56" w14:paraId="50E25FF8" w14:textId="77777777" w:rsidTr="00F13F03">
        <w:trPr>
          <w:trHeight w:val="290"/>
        </w:trPr>
        <w:tc>
          <w:tcPr>
            <w:tcW w:w="4920" w:type="dxa"/>
            <w:gridSpan w:val="4"/>
            <w:tcBorders>
              <w:top w:val="nil"/>
              <w:left w:val="nil"/>
              <w:bottom w:val="nil"/>
              <w:right w:val="nil"/>
            </w:tcBorders>
            <w:shd w:val="clear" w:color="auto" w:fill="auto"/>
            <w:noWrap/>
            <w:vAlign w:val="bottom"/>
            <w:hideMark/>
          </w:tcPr>
          <w:p w14:paraId="7846D83C" w14:textId="77777777" w:rsidR="006F014A" w:rsidRPr="003A4A56" w:rsidRDefault="006F014A" w:rsidP="00F13F03">
            <w:pPr>
              <w:spacing w:after="0" w:line="240" w:lineRule="auto"/>
              <w:rPr>
                <w:rFonts w:ascii="Calibri" w:eastAsia="Times New Roman" w:hAnsi="Calibri" w:cs="Calibri"/>
                <w:color w:val="000000"/>
                <w:lang w:eastAsia="en-GB"/>
              </w:rPr>
            </w:pPr>
            <w:r w:rsidRPr="003A4A56">
              <w:rPr>
                <w:rFonts w:ascii="Calibri" w:eastAsia="Times New Roman" w:hAnsi="Calibri" w:cs="Calibri"/>
                <w:color w:val="000000"/>
                <w:lang w:eastAsia="en-GB"/>
              </w:rPr>
              <w:t>RIVERSTONE CREDIT OPPORTUNITIES INCOME PLC</w:t>
            </w:r>
          </w:p>
        </w:tc>
      </w:tr>
      <w:tr w:rsidR="006F014A" w:rsidRPr="003A4A56" w14:paraId="6DE676E3" w14:textId="77777777" w:rsidTr="00F13F03">
        <w:trPr>
          <w:trHeight w:val="290"/>
        </w:trPr>
        <w:tc>
          <w:tcPr>
            <w:tcW w:w="4920" w:type="dxa"/>
            <w:gridSpan w:val="4"/>
            <w:tcBorders>
              <w:top w:val="nil"/>
              <w:left w:val="nil"/>
              <w:bottom w:val="nil"/>
              <w:right w:val="nil"/>
            </w:tcBorders>
            <w:shd w:val="clear" w:color="auto" w:fill="auto"/>
            <w:noWrap/>
            <w:vAlign w:val="bottom"/>
            <w:hideMark/>
          </w:tcPr>
          <w:p w14:paraId="178895C5" w14:textId="77777777" w:rsidR="006F014A" w:rsidRPr="003A4A56" w:rsidRDefault="006F014A" w:rsidP="00F13F03">
            <w:pPr>
              <w:spacing w:after="0" w:line="240" w:lineRule="auto"/>
              <w:rPr>
                <w:rFonts w:ascii="Calibri" w:eastAsia="Times New Roman" w:hAnsi="Calibri" w:cs="Calibri"/>
                <w:color w:val="000000"/>
                <w:lang w:eastAsia="en-GB"/>
              </w:rPr>
            </w:pPr>
            <w:r w:rsidRPr="003A4A56">
              <w:rPr>
                <w:rFonts w:ascii="Calibri" w:eastAsia="Times New Roman" w:hAnsi="Calibri" w:cs="Calibri"/>
                <w:color w:val="000000"/>
                <w:lang w:eastAsia="en-GB"/>
              </w:rPr>
              <w:t>Annual General Meeting, 18-MAY-2023 09:00</w:t>
            </w:r>
          </w:p>
        </w:tc>
      </w:tr>
      <w:tr w:rsidR="006F014A" w:rsidRPr="003A4A56" w14:paraId="199469F0" w14:textId="77777777" w:rsidTr="00F13F03">
        <w:trPr>
          <w:trHeight w:val="290"/>
        </w:trPr>
        <w:tc>
          <w:tcPr>
            <w:tcW w:w="2040" w:type="dxa"/>
            <w:tcBorders>
              <w:top w:val="nil"/>
              <w:left w:val="nil"/>
              <w:bottom w:val="nil"/>
              <w:right w:val="nil"/>
            </w:tcBorders>
            <w:shd w:val="clear" w:color="auto" w:fill="auto"/>
            <w:noWrap/>
            <w:vAlign w:val="bottom"/>
            <w:hideMark/>
          </w:tcPr>
          <w:p w14:paraId="3D6BD7E1" w14:textId="77777777" w:rsidR="006F014A" w:rsidRDefault="006F014A" w:rsidP="00F13F03">
            <w:pPr>
              <w:spacing w:after="0" w:line="240" w:lineRule="auto"/>
              <w:rPr>
                <w:rFonts w:ascii="Calibri" w:eastAsia="Times New Roman" w:hAnsi="Calibri" w:cs="Calibri"/>
                <w:color w:val="000000"/>
                <w:lang w:eastAsia="en-GB"/>
              </w:rPr>
            </w:pPr>
            <w:r w:rsidRPr="003A4A56">
              <w:rPr>
                <w:rFonts w:ascii="Calibri" w:eastAsia="Times New Roman" w:hAnsi="Calibri" w:cs="Calibri"/>
                <w:color w:val="000000"/>
                <w:lang w:eastAsia="en-GB"/>
              </w:rPr>
              <w:t>ORDINARY SHA</w:t>
            </w:r>
            <w:r>
              <w:rPr>
                <w:rFonts w:ascii="Calibri" w:eastAsia="Times New Roman" w:hAnsi="Calibri" w:cs="Calibri"/>
                <w:color w:val="000000"/>
                <w:lang w:eastAsia="en-GB"/>
              </w:rPr>
              <w:t>RES</w:t>
            </w:r>
          </w:p>
          <w:p w14:paraId="6D459E7D" w14:textId="77777777" w:rsidR="006F014A" w:rsidRPr="003A4A56" w:rsidRDefault="006F014A" w:rsidP="00F13F03">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2DE13C1" w14:textId="77777777" w:rsidR="006F014A" w:rsidRPr="003A4A56" w:rsidRDefault="006F014A" w:rsidP="00F13F03">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CA88DC8" w14:textId="77777777" w:rsidR="006F014A" w:rsidRPr="003A4A56" w:rsidRDefault="006F014A" w:rsidP="00F13F03">
            <w:pPr>
              <w:spacing w:after="0" w:line="240" w:lineRule="auto"/>
              <w:rPr>
                <w:rFonts w:eastAsia="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954141D" w14:textId="77777777" w:rsidR="006F014A" w:rsidRPr="003A4A56" w:rsidRDefault="006F014A" w:rsidP="00F13F03">
            <w:pPr>
              <w:spacing w:after="0" w:line="240" w:lineRule="auto"/>
              <w:rPr>
                <w:rFonts w:eastAsia="Times New Roman" w:cs="Times New Roman"/>
                <w:sz w:val="20"/>
                <w:szCs w:val="20"/>
                <w:lang w:eastAsia="en-GB"/>
              </w:rPr>
            </w:pPr>
          </w:p>
        </w:tc>
      </w:tr>
    </w:tbl>
    <w:p w14:paraId="6DB0E803" w14:textId="77777777" w:rsidR="006F014A" w:rsidRDefault="006F014A" w:rsidP="006F014A">
      <w:pPr>
        <w:pStyle w:val="BodyText"/>
        <w:tabs>
          <w:tab w:val="left" w:pos="909"/>
        </w:tabs>
        <w:spacing w:line="252" w:lineRule="auto"/>
        <w:ind w:right="116"/>
        <w:jc w:val="both"/>
        <w:rPr>
          <w:rFonts w:ascii="Times New Roman" w:hAnsi="Times New Roman"/>
          <w:sz w:val="22"/>
          <w:szCs w:val="22"/>
        </w:rPr>
      </w:pPr>
    </w:p>
    <w:p w14:paraId="36C1B466" w14:textId="77777777" w:rsidR="006F014A" w:rsidRDefault="006F014A" w:rsidP="006F014A">
      <w:pPr>
        <w:pStyle w:val="BodyText"/>
        <w:tabs>
          <w:tab w:val="left" w:pos="909"/>
        </w:tabs>
        <w:spacing w:line="360" w:lineRule="auto"/>
        <w:ind w:right="116"/>
        <w:jc w:val="both"/>
        <w:rPr>
          <w:rFonts w:ascii="Times New Roman" w:hAnsi="Times New Roman"/>
          <w:sz w:val="22"/>
          <w:szCs w:val="22"/>
        </w:rPr>
      </w:pPr>
    </w:p>
    <w:tbl>
      <w:tblPr>
        <w:tblW w:w="7986" w:type="dxa"/>
        <w:tblInd w:w="108" w:type="dxa"/>
        <w:tblLook w:val="04A0" w:firstRow="1" w:lastRow="0" w:firstColumn="1" w:lastColumn="0" w:noHBand="0" w:noVBand="1"/>
      </w:tblPr>
      <w:tblGrid>
        <w:gridCol w:w="1693"/>
        <w:gridCol w:w="1764"/>
        <w:gridCol w:w="1627"/>
        <w:gridCol w:w="1391"/>
        <w:gridCol w:w="1511"/>
      </w:tblGrid>
      <w:tr w:rsidR="006F014A" w:rsidRPr="003A4A56" w14:paraId="7A19E127" w14:textId="77777777" w:rsidTr="00F13F03">
        <w:trPr>
          <w:trHeight w:val="348"/>
        </w:trPr>
        <w:tc>
          <w:tcPr>
            <w:tcW w:w="1693" w:type="dxa"/>
            <w:tcBorders>
              <w:top w:val="nil"/>
              <w:left w:val="nil"/>
              <w:bottom w:val="nil"/>
              <w:right w:val="nil"/>
            </w:tcBorders>
            <w:shd w:val="clear" w:color="auto" w:fill="auto"/>
            <w:noWrap/>
            <w:vAlign w:val="bottom"/>
            <w:hideMark/>
          </w:tcPr>
          <w:p w14:paraId="403289E4" w14:textId="77777777" w:rsidR="006F014A" w:rsidRPr="003A4A56" w:rsidRDefault="006F014A" w:rsidP="00F13F03">
            <w:pPr>
              <w:spacing w:after="0" w:line="360" w:lineRule="auto"/>
              <w:jc w:val="center"/>
              <w:rPr>
                <w:rFonts w:eastAsia="Times New Roman" w:cs="Times New Roman"/>
                <w:b/>
                <w:bCs/>
                <w:sz w:val="20"/>
                <w:szCs w:val="20"/>
                <w:lang w:eastAsia="en-GB"/>
              </w:rPr>
            </w:pPr>
          </w:p>
        </w:tc>
        <w:tc>
          <w:tcPr>
            <w:tcW w:w="1764" w:type="dxa"/>
            <w:tcBorders>
              <w:top w:val="nil"/>
              <w:left w:val="nil"/>
              <w:bottom w:val="nil"/>
              <w:right w:val="nil"/>
            </w:tcBorders>
            <w:shd w:val="clear" w:color="auto" w:fill="auto"/>
            <w:noWrap/>
            <w:vAlign w:val="bottom"/>
            <w:hideMark/>
          </w:tcPr>
          <w:p w14:paraId="6DE0CBB0"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In Favour</w:t>
            </w:r>
          </w:p>
        </w:tc>
        <w:tc>
          <w:tcPr>
            <w:tcW w:w="1627" w:type="dxa"/>
            <w:tcBorders>
              <w:top w:val="nil"/>
              <w:left w:val="nil"/>
              <w:bottom w:val="nil"/>
              <w:right w:val="nil"/>
            </w:tcBorders>
            <w:shd w:val="clear" w:color="auto" w:fill="auto"/>
            <w:noWrap/>
            <w:vAlign w:val="bottom"/>
            <w:hideMark/>
          </w:tcPr>
          <w:p w14:paraId="63F3134D"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Discretion</w:t>
            </w:r>
          </w:p>
        </w:tc>
        <w:tc>
          <w:tcPr>
            <w:tcW w:w="1391" w:type="dxa"/>
            <w:tcBorders>
              <w:top w:val="nil"/>
              <w:left w:val="nil"/>
              <w:bottom w:val="nil"/>
              <w:right w:val="nil"/>
            </w:tcBorders>
            <w:shd w:val="clear" w:color="auto" w:fill="auto"/>
            <w:noWrap/>
            <w:vAlign w:val="bottom"/>
            <w:hideMark/>
          </w:tcPr>
          <w:p w14:paraId="7F384E41"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Against</w:t>
            </w:r>
          </w:p>
        </w:tc>
        <w:tc>
          <w:tcPr>
            <w:tcW w:w="1511" w:type="dxa"/>
            <w:tcBorders>
              <w:top w:val="nil"/>
              <w:left w:val="nil"/>
              <w:bottom w:val="nil"/>
              <w:right w:val="nil"/>
            </w:tcBorders>
            <w:shd w:val="clear" w:color="auto" w:fill="auto"/>
            <w:noWrap/>
            <w:vAlign w:val="bottom"/>
            <w:hideMark/>
          </w:tcPr>
          <w:p w14:paraId="2E1F1949"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Withheld</w:t>
            </w:r>
          </w:p>
        </w:tc>
      </w:tr>
      <w:tr w:rsidR="006F014A" w:rsidRPr="003A4A56" w14:paraId="0FD44AAE" w14:textId="77777777" w:rsidTr="00F13F03">
        <w:trPr>
          <w:trHeight w:val="348"/>
        </w:trPr>
        <w:tc>
          <w:tcPr>
            <w:tcW w:w="1693" w:type="dxa"/>
            <w:tcBorders>
              <w:top w:val="nil"/>
              <w:left w:val="nil"/>
              <w:bottom w:val="nil"/>
              <w:right w:val="nil"/>
            </w:tcBorders>
            <w:shd w:val="clear" w:color="auto" w:fill="auto"/>
            <w:noWrap/>
            <w:vAlign w:val="bottom"/>
            <w:hideMark/>
          </w:tcPr>
          <w:p w14:paraId="4DDF9AFD"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Resolution</w:t>
            </w:r>
          </w:p>
        </w:tc>
        <w:tc>
          <w:tcPr>
            <w:tcW w:w="1764" w:type="dxa"/>
            <w:tcBorders>
              <w:top w:val="nil"/>
              <w:left w:val="nil"/>
              <w:bottom w:val="nil"/>
              <w:right w:val="nil"/>
            </w:tcBorders>
            <w:shd w:val="clear" w:color="auto" w:fill="auto"/>
            <w:noWrap/>
            <w:vAlign w:val="bottom"/>
            <w:hideMark/>
          </w:tcPr>
          <w:p w14:paraId="1649C5A3"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Votes</w:t>
            </w:r>
          </w:p>
        </w:tc>
        <w:tc>
          <w:tcPr>
            <w:tcW w:w="1627" w:type="dxa"/>
            <w:tcBorders>
              <w:top w:val="nil"/>
              <w:left w:val="nil"/>
              <w:bottom w:val="nil"/>
              <w:right w:val="nil"/>
            </w:tcBorders>
            <w:shd w:val="clear" w:color="auto" w:fill="auto"/>
            <w:noWrap/>
            <w:vAlign w:val="bottom"/>
            <w:hideMark/>
          </w:tcPr>
          <w:p w14:paraId="272FBD02"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Votes</w:t>
            </w:r>
          </w:p>
        </w:tc>
        <w:tc>
          <w:tcPr>
            <w:tcW w:w="1391" w:type="dxa"/>
            <w:tcBorders>
              <w:top w:val="nil"/>
              <w:left w:val="nil"/>
              <w:bottom w:val="nil"/>
              <w:right w:val="nil"/>
            </w:tcBorders>
            <w:shd w:val="clear" w:color="auto" w:fill="auto"/>
            <w:noWrap/>
            <w:vAlign w:val="bottom"/>
            <w:hideMark/>
          </w:tcPr>
          <w:p w14:paraId="6D72B171"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Votes</w:t>
            </w:r>
          </w:p>
        </w:tc>
        <w:tc>
          <w:tcPr>
            <w:tcW w:w="1511" w:type="dxa"/>
            <w:tcBorders>
              <w:top w:val="nil"/>
              <w:left w:val="nil"/>
              <w:bottom w:val="nil"/>
              <w:right w:val="nil"/>
            </w:tcBorders>
            <w:shd w:val="clear" w:color="auto" w:fill="auto"/>
            <w:noWrap/>
            <w:vAlign w:val="bottom"/>
            <w:hideMark/>
          </w:tcPr>
          <w:p w14:paraId="640E3356" w14:textId="77777777" w:rsidR="006F014A" w:rsidRPr="003A4A56" w:rsidRDefault="006F014A" w:rsidP="00F13F03">
            <w:pPr>
              <w:spacing w:after="0" w:line="360" w:lineRule="auto"/>
              <w:jc w:val="center"/>
              <w:rPr>
                <w:rFonts w:ascii="Calibri" w:eastAsia="Times New Roman" w:hAnsi="Calibri" w:cs="Calibri"/>
                <w:b/>
                <w:bCs/>
                <w:color w:val="000000"/>
                <w:lang w:eastAsia="en-GB"/>
              </w:rPr>
            </w:pPr>
            <w:r w:rsidRPr="003A4A56">
              <w:rPr>
                <w:rFonts w:ascii="Calibri" w:eastAsia="Times New Roman" w:hAnsi="Calibri" w:cs="Calibri"/>
                <w:b/>
                <w:bCs/>
                <w:color w:val="000000"/>
                <w:lang w:eastAsia="en-GB"/>
              </w:rPr>
              <w:t>Votes</w:t>
            </w:r>
          </w:p>
        </w:tc>
      </w:tr>
      <w:tr w:rsidR="006F014A" w:rsidRPr="003A4A56" w14:paraId="18E9CBE4" w14:textId="77777777" w:rsidTr="00F13F03">
        <w:trPr>
          <w:trHeight w:val="348"/>
        </w:trPr>
        <w:tc>
          <w:tcPr>
            <w:tcW w:w="1693" w:type="dxa"/>
            <w:tcBorders>
              <w:top w:val="nil"/>
              <w:left w:val="nil"/>
              <w:bottom w:val="nil"/>
              <w:right w:val="nil"/>
            </w:tcBorders>
            <w:shd w:val="clear" w:color="auto" w:fill="auto"/>
            <w:noWrap/>
            <w:vAlign w:val="bottom"/>
            <w:hideMark/>
          </w:tcPr>
          <w:p w14:paraId="5E419FEB"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1</w:t>
            </w:r>
          </w:p>
        </w:tc>
        <w:tc>
          <w:tcPr>
            <w:tcW w:w="1764" w:type="dxa"/>
            <w:tcBorders>
              <w:top w:val="nil"/>
              <w:left w:val="nil"/>
              <w:bottom w:val="nil"/>
              <w:right w:val="nil"/>
            </w:tcBorders>
            <w:shd w:val="clear" w:color="auto" w:fill="auto"/>
            <w:noWrap/>
            <w:vAlign w:val="bottom"/>
            <w:hideMark/>
          </w:tcPr>
          <w:p w14:paraId="16A0E8BE"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40,356,903</w:t>
            </w:r>
          </w:p>
        </w:tc>
        <w:tc>
          <w:tcPr>
            <w:tcW w:w="1627" w:type="dxa"/>
            <w:tcBorders>
              <w:top w:val="nil"/>
              <w:left w:val="nil"/>
              <w:bottom w:val="nil"/>
              <w:right w:val="nil"/>
            </w:tcBorders>
            <w:shd w:val="clear" w:color="auto" w:fill="auto"/>
            <w:noWrap/>
            <w:vAlign w:val="bottom"/>
          </w:tcPr>
          <w:p w14:paraId="360D89DB"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406E5F50"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654B6836"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r>
      <w:tr w:rsidR="006F014A" w:rsidRPr="003A4A56" w14:paraId="5D11BA89" w14:textId="77777777" w:rsidTr="00F13F03">
        <w:trPr>
          <w:trHeight w:val="348"/>
        </w:trPr>
        <w:tc>
          <w:tcPr>
            <w:tcW w:w="1693" w:type="dxa"/>
            <w:tcBorders>
              <w:top w:val="nil"/>
              <w:left w:val="nil"/>
              <w:bottom w:val="nil"/>
              <w:right w:val="nil"/>
            </w:tcBorders>
            <w:shd w:val="clear" w:color="auto" w:fill="auto"/>
            <w:noWrap/>
            <w:vAlign w:val="bottom"/>
            <w:hideMark/>
          </w:tcPr>
          <w:p w14:paraId="5C3FAF5C"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2</w:t>
            </w:r>
          </w:p>
        </w:tc>
        <w:tc>
          <w:tcPr>
            <w:tcW w:w="1764" w:type="dxa"/>
            <w:tcBorders>
              <w:top w:val="nil"/>
              <w:left w:val="nil"/>
              <w:bottom w:val="nil"/>
              <w:right w:val="nil"/>
            </w:tcBorders>
            <w:shd w:val="clear" w:color="auto" w:fill="auto"/>
            <w:noWrap/>
            <w:vAlign w:val="bottom"/>
            <w:hideMark/>
          </w:tcPr>
          <w:p w14:paraId="12374BD8"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40,342,903</w:t>
            </w:r>
          </w:p>
        </w:tc>
        <w:tc>
          <w:tcPr>
            <w:tcW w:w="1627" w:type="dxa"/>
            <w:tcBorders>
              <w:top w:val="nil"/>
              <w:left w:val="nil"/>
              <w:bottom w:val="nil"/>
              <w:right w:val="nil"/>
            </w:tcBorders>
            <w:shd w:val="clear" w:color="auto" w:fill="auto"/>
            <w:noWrap/>
            <w:vAlign w:val="bottom"/>
          </w:tcPr>
          <w:p w14:paraId="6E6554C3"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4071BEFE"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66B8DD61"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14,000</w:t>
            </w:r>
          </w:p>
        </w:tc>
      </w:tr>
      <w:tr w:rsidR="006F014A" w:rsidRPr="003A4A56" w14:paraId="3F65F402" w14:textId="77777777" w:rsidTr="00F13F03">
        <w:trPr>
          <w:trHeight w:val="348"/>
        </w:trPr>
        <w:tc>
          <w:tcPr>
            <w:tcW w:w="1693" w:type="dxa"/>
            <w:tcBorders>
              <w:top w:val="nil"/>
              <w:left w:val="nil"/>
              <w:bottom w:val="nil"/>
              <w:right w:val="nil"/>
            </w:tcBorders>
            <w:shd w:val="clear" w:color="auto" w:fill="auto"/>
            <w:noWrap/>
            <w:vAlign w:val="bottom"/>
            <w:hideMark/>
          </w:tcPr>
          <w:p w14:paraId="0C2E13FB"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3</w:t>
            </w:r>
          </w:p>
        </w:tc>
        <w:tc>
          <w:tcPr>
            <w:tcW w:w="1764" w:type="dxa"/>
            <w:tcBorders>
              <w:top w:val="nil"/>
              <w:left w:val="nil"/>
              <w:bottom w:val="nil"/>
              <w:right w:val="nil"/>
            </w:tcBorders>
            <w:shd w:val="clear" w:color="auto" w:fill="auto"/>
            <w:noWrap/>
            <w:vAlign w:val="bottom"/>
            <w:hideMark/>
          </w:tcPr>
          <w:p w14:paraId="5EC14179"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40,342,903</w:t>
            </w:r>
          </w:p>
        </w:tc>
        <w:tc>
          <w:tcPr>
            <w:tcW w:w="1627" w:type="dxa"/>
            <w:tcBorders>
              <w:top w:val="nil"/>
              <w:left w:val="nil"/>
              <w:bottom w:val="nil"/>
              <w:right w:val="nil"/>
            </w:tcBorders>
            <w:shd w:val="clear" w:color="auto" w:fill="auto"/>
            <w:noWrap/>
            <w:vAlign w:val="bottom"/>
          </w:tcPr>
          <w:p w14:paraId="36F9AF20"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23C0353F"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1FC76477"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14,000</w:t>
            </w:r>
          </w:p>
        </w:tc>
      </w:tr>
      <w:tr w:rsidR="006F014A" w:rsidRPr="003A4A56" w14:paraId="7A9D7FD8" w14:textId="77777777" w:rsidTr="00F13F03">
        <w:trPr>
          <w:trHeight w:val="348"/>
        </w:trPr>
        <w:tc>
          <w:tcPr>
            <w:tcW w:w="1693" w:type="dxa"/>
            <w:tcBorders>
              <w:top w:val="nil"/>
              <w:left w:val="nil"/>
              <w:bottom w:val="nil"/>
              <w:right w:val="nil"/>
            </w:tcBorders>
            <w:shd w:val="clear" w:color="auto" w:fill="auto"/>
            <w:noWrap/>
            <w:vAlign w:val="bottom"/>
            <w:hideMark/>
          </w:tcPr>
          <w:p w14:paraId="454ED535"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4</w:t>
            </w:r>
          </w:p>
        </w:tc>
        <w:tc>
          <w:tcPr>
            <w:tcW w:w="1764" w:type="dxa"/>
            <w:tcBorders>
              <w:top w:val="nil"/>
              <w:left w:val="nil"/>
              <w:bottom w:val="nil"/>
              <w:right w:val="nil"/>
            </w:tcBorders>
            <w:shd w:val="clear" w:color="auto" w:fill="auto"/>
            <w:noWrap/>
            <w:vAlign w:val="bottom"/>
            <w:hideMark/>
          </w:tcPr>
          <w:p w14:paraId="7C561BFB"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40,339,653</w:t>
            </w:r>
          </w:p>
        </w:tc>
        <w:tc>
          <w:tcPr>
            <w:tcW w:w="1627" w:type="dxa"/>
            <w:tcBorders>
              <w:top w:val="nil"/>
              <w:left w:val="nil"/>
              <w:bottom w:val="nil"/>
              <w:right w:val="nil"/>
            </w:tcBorders>
            <w:shd w:val="clear" w:color="auto" w:fill="auto"/>
            <w:noWrap/>
            <w:vAlign w:val="bottom"/>
          </w:tcPr>
          <w:p w14:paraId="0E7C6233"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54CFF54D"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49025C58"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17,250</w:t>
            </w:r>
          </w:p>
        </w:tc>
      </w:tr>
      <w:tr w:rsidR="006F014A" w:rsidRPr="003A4A56" w14:paraId="2A534E29" w14:textId="77777777" w:rsidTr="00F13F03">
        <w:trPr>
          <w:trHeight w:val="348"/>
        </w:trPr>
        <w:tc>
          <w:tcPr>
            <w:tcW w:w="1693" w:type="dxa"/>
            <w:tcBorders>
              <w:top w:val="nil"/>
              <w:left w:val="nil"/>
              <w:bottom w:val="nil"/>
              <w:right w:val="nil"/>
            </w:tcBorders>
            <w:shd w:val="clear" w:color="auto" w:fill="auto"/>
            <w:noWrap/>
            <w:vAlign w:val="bottom"/>
            <w:hideMark/>
          </w:tcPr>
          <w:p w14:paraId="073E868C"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5</w:t>
            </w:r>
          </w:p>
        </w:tc>
        <w:tc>
          <w:tcPr>
            <w:tcW w:w="1764" w:type="dxa"/>
            <w:tcBorders>
              <w:top w:val="nil"/>
              <w:left w:val="nil"/>
              <w:bottom w:val="nil"/>
              <w:right w:val="nil"/>
            </w:tcBorders>
            <w:shd w:val="clear" w:color="auto" w:fill="auto"/>
            <w:noWrap/>
            <w:vAlign w:val="bottom"/>
            <w:hideMark/>
          </w:tcPr>
          <w:p w14:paraId="04BC4CC1"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40,356,903</w:t>
            </w:r>
          </w:p>
        </w:tc>
        <w:tc>
          <w:tcPr>
            <w:tcW w:w="1627" w:type="dxa"/>
            <w:tcBorders>
              <w:top w:val="nil"/>
              <w:left w:val="nil"/>
              <w:bottom w:val="nil"/>
              <w:right w:val="nil"/>
            </w:tcBorders>
            <w:shd w:val="clear" w:color="auto" w:fill="auto"/>
            <w:noWrap/>
            <w:vAlign w:val="bottom"/>
          </w:tcPr>
          <w:p w14:paraId="46D93BD0"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16D88124"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0ADF0F1C"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r>
      <w:tr w:rsidR="006F014A" w:rsidRPr="003A4A56" w14:paraId="0CE27AD6" w14:textId="77777777" w:rsidTr="00F13F03">
        <w:trPr>
          <w:trHeight w:val="348"/>
        </w:trPr>
        <w:tc>
          <w:tcPr>
            <w:tcW w:w="1693" w:type="dxa"/>
            <w:tcBorders>
              <w:top w:val="nil"/>
              <w:left w:val="nil"/>
              <w:bottom w:val="nil"/>
              <w:right w:val="nil"/>
            </w:tcBorders>
            <w:shd w:val="clear" w:color="auto" w:fill="auto"/>
            <w:noWrap/>
            <w:vAlign w:val="bottom"/>
            <w:hideMark/>
          </w:tcPr>
          <w:p w14:paraId="58EA3C15"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6</w:t>
            </w:r>
          </w:p>
        </w:tc>
        <w:tc>
          <w:tcPr>
            <w:tcW w:w="1764" w:type="dxa"/>
            <w:tcBorders>
              <w:top w:val="nil"/>
              <w:left w:val="nil"/>
              <w:bottom w:val="nil"/>
              <w:right w:val="nil"/>
            </w:tcBorders>
            <w:shd w:val="clear" w:color="auto" w:fill="auto"/>
            <w:noWrap/>
            <w:vAlign w:val="bottom"/>
            <w:hideMark/>
          </w:tcPr>
          <w:p w14:paraId="2D0FCC85"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40,353,653</w:t>
            </w:r>
          </w:p>
        </w:tc>
        <w:tc>
          <w:tcPr>
            <w:tcW w:w="1627" w:type="dxa"/>
            <w:tcBorders>
              <w:top w:val="nil"/>
              <w:left w:val="nil"/>
              <w:bottom w:val="nil"/>
              <w:right w:val="nil"/>
            </w:tcBorders>
            <w:shd w:val="clear" w:color="auto" w:fill="auto"/>
            <w:noWrap/>
            <w:vAlign w:val="bottom"/>
          </w:tcPr>
          <w:p w14:paraId="5225CA74"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0ED4B091"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108657C9"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3,250</w:t>
            </w:r>
          </w:p>
        </w:tc>
      </w:tr>
      <w:tr w:rsidR="006F014A" w:rsidRPr="003A4A56" w14:paraId="6EDF38CA" w14:textId="77777777" w:rsidTr="00F13F03">
        <w:trPr>
          <w:trHeight w:val="348"/>
        </w:trPr>
        <w:tc>
          <w:tcPr>
            <w:tcW w:w="1693" w:type="dxa"/>
            <w:tcBorders>
              <w:top w:val="nil"/>
              <w:left w:val="nil"/>
              <w:bottom w:val="nil"/>
              <w:right w:val="nil"/>
            </w:tcBorders>
            <w:shd w:val="clear" w:color="auto" w:fill="auto"/>
            <w:noWrap/>
            <w:vAlign w:val="bottom"/>
            <w:hideMark/>
          </w:tcPr>
          <w:p w14:paraId="678F1BC9"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7</w:t>
            </w:r>
          </w:p>
        </w:tc>
        <w:tc>
          <w:tcPr>
            <w:tcW w:w="1764" w:type="dxa"/>
            <w:tcBorders>
              <w:top w:val="nil"/>
              <w:left w:val="nil"/>
              <w:bottom w:val="nil"/>
              <w:right w:val="nil"/>
            </w:tcBorders>
            <w:shd w:val="clear" w:color="auto" w:fill="auto"/>
            <w:noWrap/>
            <w:vAlign w:val="bottom"/>
            <w:hideMark/>
          </w:tcPr>
          <w:p w14:paraId="7829E920"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40,353,653</w:t>
            </w:r>
          </w:p>
        </w:tc>
        <w:tc>
          <w:tcPr>
            <w:tcW w:w="1627" w:type="dxa"/>
            <w:tcBorders>
              <w:top w:val="nil"/>
              <w:left w:val="nil"/>
              <w:bottom w:val="nil"/>
              <w:right w:val="nil"/>
            </w:tcBorders>
            <w:shd w:val="clear" w:color="auto" w:fill="auto"/>
            <w:noWrap/>
            <w:vAlign w:val="bottom"/>
          </w:tcPr>
          <w:p w14:paraId="7AE15B2B"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32738C37"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15D6DCBF"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3,250</w:t>
            </w:r>
          </w:p>
        </w:tc>
      </w:tr>
      <w:tr w:rsidR="006F014A" w:rsidRPr="003A4A56" w14:paraId="3C94C6B0" w14:textId="77777777" w:rsidTr="00F13F03">
        <w:trPr>
          <w:trHeight w:val="348"/>
        </w:trPr>
        <w:tc>
          <w:tcPr>
            <w:tcW w:w="1693" w:type="dxa"/>
            <w:tcBorders>
              <w:top w:val="nil"/>
              <w:left w:val="nil"/>
              <w:bottom w:val="nil"/>
              <w:right w:val="nil"/>
            </w:tcBorders>
            <w:shd w:val="clear" w:color="auto" w:fill="auto"/>
            <w:noWrap/>
            <w:vAlign w:val="bottom"/>
            <w:hideMark/>
          </w:tcPr>
          <w:p w14:paraId="0492A070"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8</w:t>
            </w:r>
          </w:p>
        </w:tc>
        <w:tc>
          <w:tcPr>
            <w:tcW w:w="1764" w:type="dxa"/>
            <w:tcBorders>
              <w:top w:val="nil"/>
              <w:left w:val="nil"/>
              <w:bottom w:val="nil"/>
              <w:right w:val="nil"/>
            </w:tcBorders>
            <w:shd w:val="clear" w:color="auto" w:fill="auto"/>
            <w:noWrap/>
            <w:vAlign w:val="bottom"/>
            <w:hideMark/>
          </w:tcPr>
          <w:p w14:paraId="08219054"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40,353,653</w:t>
            </w:r>
          </w:p>
        </w:tc>
        <w:tc>
          <w:tcPr>
            <w:tcW w:w="1627" w:type="dxa"/>
            <w:tcBorders>
              <w:top w:val="nil"/>
              <w:left w:val="nil"/>
              <w:bottom w:val="nil"/>
              <w:right w:val="nil"/>
            </w:tcBorders>
            <w:shd w:val="clear" w:color="auto" w:fill="auto"/>
            <w:noWrap/>
            <w:vAlign w:val="bottom"/>
          </w:tcPr>
          <w:p w14:paraId="0AAA9D5E"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4E63D120"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665A9862"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3,250</w:t>
            </w:r>
          </w:p>
        </w:tc>
      </w:tr>
      <w:tr w:rsidR="006F014A" w:rsidRPr="003A4A56" w14:paraId="26E74718" w14:textId="77777777" w:rsidTr="00F13F03">
        <w:trPr>
          <w:trHeight w:val="348"/>
        </w:trPr>
        <w:tc>
          <w:tcPr>
            <w:tcW w:w="1693" w:type="dxa"/>
            <w:tcBorders>
              <w:top w:val="nil"/>
              <w:left w:val="nil"/>
              <w:bottom w:val="nil"/>
              <w:right w:val="nil"/>
            </w:tcBorders>
            <w:shd w:val="clear" w:color="auto" w:fill="auto"/>
            <w:noWrap/>
            <w:vAlign w:val="bottom"/>
            <w:hideMark/>
          </w:tcPr>
          <w:p w14:paraId="329714AC"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9</w:t>
            </w:r>
          </w:p>
        </w:tc>
        <w:tc>
          <w:tcPr>
            <w:tcW w:w="1764" w:type="dxa"/>
            <w:tcBorders>
              <w:top w:val="nil"/>
              <w:left w:val="nil"/>
              <w:bottom w:val="nil"/>
              <w:right w:val="nil"/>
            </w:tcBorders>
            <w:shd w:val="clear" w:color="auto" w:fill="auto"/>
            <w:noWrap/>
            <w:vAlign w:val="bottom"/>
            <w:hideMark/>
          </w:tcPr>
          <w:p w14:paraId="6900CFF1"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40,353,653</w:t>
            </w:r>
          </w:p>
        </w:tc>
        <w:tc>
          <w:tcPr>
            <w:tcW w:w="1627" w:type="dxa"/>
            <w:tcBorders>
              <w:top w:val="nil"/>
              <w:left w:val="nil"/>
              <w:bottom w:val="nil"/>
              <w:right w:val="nil"/>
            </w:tcBorders>
            <w:shd w:val="clear" w:color="auto" w:fill="auto"/>
            <w:noWrap/>
            <w:vAlign w:val="bottom"/>
          </w:tcPr>
          <w:p w14:paraId="5F363900"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3E3596C8"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28E65212"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3,250</w:t>
            </w:r>
          </w:p>
        </w:tc>
      </w:tr>
      <w:tr w:rsidR="006F014A" w:rsidRPr="003A4A56" w14:paraId="06780815" w14:textId="77777777" w:rsidTr="00F13F03">
        <w:trPr>
          <w:trHeight w:val="348"/>
        </w:trPr>
        <w:tc>
          <w:tcPr>
            <w:tcW w:w="1693" w:type="dxa"/>
            <w:tcBorders>
              <w:top w:val="nil"/>
              <w:left w:val="nil"/>
              <w:bottom w:val="nil"/>
              <w:right w:val="nil"/>
            </w:tcBorders>
            <w:shd w:val="clear" w:color="auto" w:fill="auto"/>
            <w:noWrap/>
            <w:vAlign w:val="bottom"/>
            <w:hideMark/>
          </w:tcPr>
          <w:p w14:paraId="119F334C"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10</w:t>
            </w:r>
          </w:p>
        </w:tc>
        <w:tc>
          <w:tcPr>
            <w:tcW w:w="1764" w:type="dxa"/>
            <w:tcBorders>
              <w:top w:val="nil"/>
              <w:left w:val="nil"/>
              <w:bottom w:val="nil"/>
              <w:right w:val="nil"/>
            </w:tcBorders>
            <w:shd w:val="clear" w:color="auto" w:fill="auto"/>
            <w:noWrap/>
            <w:vAlign w:val="bottom"/>
            <w:hideMark/>
          </w:tcPr>
          <w:p w14:paraId="237F9A57"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40,353,653</w:t>
            </w:r>
          </w:p>
        </w:tc>
        <w:tc>
          <w:tcPr>
            <w:tcW w:w="1627" w:type="dxa"/>
            <w:tcBorders>
              <w:top w:val="nil"/>
              <w:left w:val="nil"/>
              <w:bottom w:val="nil"/>
              <w:right w:val="nil"/>
            </w:tcBorders>
            <w:shd w:val="clear" w:color="auto" w:fill="auto"/>
            <w:noWrap/>
            <w:vAlign w:val="bottom"/>
          </w:tcPr>
          <w:p w14:paraId="7150CA21"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43673B9D"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6A66D7F7"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3,250</w:t>
            </w:r>
          </w:p>
        </w:tc>
      </w:tr>
      <w:tr w:rsidR="006F014A" w:rsidRPr="003A4A56" w14:paraId="3768B85E" w14:textId="77777777" w:rsidTr="00F13F03">
        <w:trPr>
          <w:trHeight w:val="348"/>
        </w:trPr>
        <w:tc>
          <w:tcPr>
            <w:tcW w:w="1693" w:type="dxa"/>
            <w:tcBorders>
              <w:top w:val="nil"/>
              <w:left w:val="nil"/>
              <w:bottom w:val="nil"/>
              <w:right w:val="nil"/>
            </w:tcBorders>
            <w:shd w:val="clear" w:color="auto" w:fill="auto"/>
            <w:noWrap/>
            <w:vAlign w:val="bottom"/>
            <w:hideMark/>
          </w:tcPr>
          <w:p w14:paraId="45DACFF1"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11</w:t>
            </w:r>
          </w:p>
        </w:tc>
        <w:tc>
          <w:tcPr>
            <w:tcW w:w="1764" w:type="dxa"/>
            <w:tcBorders>
              <w:top w:val="nil"/>
              <w:left w:val="nil"/>
              <w:bottom w:val="nil"/>
              <w:right w:val="nil"/>
            </w:tcBorders>
            <w:shd w:val="clear" w:color="auto" w:fill="auto"/>
            <w:noWrap/>
            <w:vAlign w:val="bottom"/>
            <w:hideMark/>
          </w:tcPr>
          <w:p w14:paraId="766820DF"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40,353,653</w:t>
            </w:r>
          </w:p>
        </w:tc>
        <w:tc>
          <w:tcPr>
            <w:tcW w:w="1627" w:type="dxa"/>
            <w:tcBorders>
              <w:top w:val="nil"/>
              <w:left w:val="nil"/>
              <w:bottom w:val="nil"/>
              <w:right w:val="nil"/>
            </w:tcBorders>
            <w:shd w:val="clear" w:color="auto" w:fill="auto"/>
            <w:noWrap/>
            <w:vAlign w:val="bottom"/>
          </w:tcPr>
          <w:p w14:paraId="13C2006D"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1497215A"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04E745AD"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3,250</w:t>
            </w:r>
          </w:p>
        </w:tc>
      </w:tr>
      <w:tr w:rsidR="006F014A" w:rsidRPr="003A4A56" w14:paraId="1AE037BE" w14:textId="77777777" w:rsidTr="00F13F03">
        <w:trPr>
          <w:trHeight w:val="348"/>
        </w:trPr>
        <w:tc>
          <w:tcPr>
            <w:tcW w:w="1693" w:type="dxa"/>
            <w:tcBorders>
              <w:top w:val="nil"/>
              <w:left w:val="nil"/>
              <w:bottom w:val="nil"/>
              <w:right w:val="nil"/>
            </w:tcBorders>
            <w:shd w:val="clear" w:color="auto" w:fill="auto"/>
            <w:noWrap/>
            <w:vAlign w:val="bottom"/>
            <w:hideMark/>
          </w:tcPr>
          <w:p w14:paraId="4775C2AB"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12</w:t>
            </w:r>
          </w:p>
        </w:tc>
        <w:tc>
          <w:tcPr>
            <w:tcW w:w="1764" w:type="dxa"/>
            <w:tcBorders>
              <w:top w:val="nil"/>
              <w:left w:val="nil"/>
              <w:bottom w:val="nil"/>
              <w:right w:val="nil"/>
            </w:tcBorders>
            <w:shd w:val="clear" w:color="auto" w:fill="auto"/>
            <w:noWrap/>
            <w:vAlign w:val="bottom"/>
            <w:hideMark/>
          </w:tcPr>
          <w:p w14:paraId="0BB9EFC5"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40,353,653</w:t>
            </w:r>
          </w:p>
        </w:tc>
        <w:tc>
          <w:tcPr>
            <w:tcW w:w="1627" w:type="dxa"/>
            <w:tcBorders>
              <w:top w:val="nil"/>
              <w:left w:val="nil"/>
              <w:bottom w:val="nil"/>
              <w:right w:val="nil"/>
            </w:tcBorders>
            <w:shd w:val="clear" w:color="auto" w:fill="auto"/>
            <w:noWrap/>
            <w:vAlign w:val="bottom"/>
          </w:tcPr>
          <w:p w14:paraId="772FFD47"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07148D26"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3A77A420"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3,250</w:t>
            </w:r>
          </w:p>
        </w:tc>
      </w:tr>
      <w:tr w:rsidR="006F014A" w:rsidRPr="003A4A56" w14:paraId="1A5F1151" w14:textId="77777777" w:rsidTr="00F13F03">
        <w:trPr>
          <w:trHeight w:val="348"/>
        </w:trPr>
        <w:tc>
          <w:tcPr>
            <w:tcW w:w="1693" w:type="dxa"/>
            <w:tcBorders>
              <w:top w:val="nil"/>
              <w:left w:val="nil"/>
              <w:bottom w:val="nil"/>
              <w:right w:val="nil"/>
            </w:tcBorders>
            <w:shd w:val="clear" w:color="auto" w:fill="auto"/>
            <w:noWrap/>
            <w:vAlign w:val="bottom"/>
            <w:hideMark/>
          </w:tcPr>
          <w:p w14:paraId="26C73EE1"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13</w:t>
            </w:r>
          </w:p>
        </w:tc>
        <w:tc>
          <w:tcPr>
            <w:tcW w:w="1764" w:type="dxa"/>
            <w:tcBorders>
              <w:top w:val="nil"/>
              <w:left w:val="nil"/>
              <w:bottom w:val="nil"/>
              <w:right w:val="nil"/>
            </w:tcBorders>
            <w:shd w:val="clear" w:color="auto" w:fill="auto"/>
            <w:noWrap/>
            <w:vAlign w:val="bottom"/>
            <w:hideMark/>
          </w:tcPr>
          <w:p w14:paraId="44C402D2"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40,353,653</w:t>
            </w:r>
          </w:p>
        </w:tc>
        <w:tc>
          <w:tcPr>
            <w:tcW w:w="1627" w:type="dxa"/>
            <w:tcBorders>
              <w:top w:val="nil"/>
              <w:left w:val="nil"/>
              <w:bottom w:val="nil"/>
              <w:right w:val="nil"/>
            </w:tcBorders>
            <w:shd w:val="clear" w:color="auto" w:fill="auto"/>
            <w:noWrap/>
            <w:vAlign w:val="bottom"/>
          </w:tcPr>
          <w:p w14:paraId="2EAD1E43"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426EC05D"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2DD68953"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3,250</w:t>
            </w:r>
          </w:p>
        </w:tc>
      </w:tr>
      <w:tr w:rsidR="006F014A" w:rsidRPr="003A4A56" w14:paraId="14C323D7" w14:textId="77777777" w:rsidTr="00F13F03">
        <w:trPr>
          <w:trHeight w:val="348"/>
        </w:trPr>
        <w:tc>
          <w:tcPr>
            <w:tcW w:w="1693" w:type="dxa"/>
            <w:tcBorders>
              <w:top w:val="nil"/>
              <w:left w:val="nil"/>
              <w:bottom w:val="nil"/>
              <w:right w:val="nil"/>
            </w:tcBorders>
            <w:shd w:val="clear" w:color="auto" w:fill="auto"/>
            <w:noWrap/>
            <w:vAlign w:val="bottom"/>
            <w:hideMark/>
          </w:tcPr>
          <w:p w14:paraId="4C2813F0" w14:textId="77777777" w:rsidR="006F014A" w:rsidRPr="003A4A56" w:rsidRDefault="006F014A" w:rsidP="00F13F03">
            <w:pPr>
              <w:spacing w:after="0" w:line="360" w:lineRule="auto"/>
              <w:jc w:val="center"/>
              <w:rPr>
                <w:rFonts w:ascii="Calibri" w:eastAsia="Times New Roman" w:hAnsi="Calibri" w:cs="Calibri"/>
                <w:color w:val="000000"/>
                <w:lang w:eastAsia="en-GB"/>
              </w:rPr>
            </w:pPr>
            <w:r w:rsidRPr="003A4A56">
              <w:rPr>
                <w:rFonts w:ascii="Calibri" w:eastAsia="Times New Roman" w:hAnsi="Calibri" w:cs="Calibri"/>
                <w:color w:val="000000"/>
                <w:lang w:eastAsia="en-GB"/>
              </w:rPr>
              <w:t>14</w:t>
            </w:r>
          </w:p>
        </w:tc>
        <w:tc>
          <w:tcPr>
            <w:tcW w:w="1764" w:type="dxa"/>
            <w:tcBorders>
              <w:top w:val="nil"/>
              <w:left w:val="nil"/>
              <w:bottom w:val="nil"/>
              <w:right w:val="nil"/>
            </w:tcBorders>
            <w:shd w:val="clear" w:color="auto" w:fill="auto"/>
            <w:noWrap/>
            <w:vAlign w:val="bottom"/>
            <w:hideMark/>
          </w:tcPr>
          <w:p w14:paraId="3891AAEA"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40,356,903</w:t>
            </w:r>
          </w:p>
        </w:tc>
        <w:tc>
          <w:tcPr>
            <w:tcW w:w="1627" w:type="dxa"/>
            <w:tcBorders>
              <w:top w:val="nil"/>
              <w:left w:val="nil"/>
              <w:bottom w:val="nil"/>
              <w:right w:val="nil"/>
            </w:tcBorders>
            <w:shd w:val="clear" w:color="auto" w:fill="auto"/>
            <w:noWrap/>
            <w:vAlign w:val="bottom"/>
          </w:tcPr>
          <w:p w14:paraId="4756ACD9"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391" w:type="dxa"/>
            <w:tcBorders>
              <w:top w:val="nil"/>
              <w:left w:val="nil"/>
              <w:bottom w:val="nil"/>
              <w:right w:val="nil"/>
            </w:tcBorders>
            <w:shd w:val="clear" w:color="auto" w:fill="auto"/>
            <w:noWrap/>
            <w:vAlign w:val="bottom"/>
            <w:hideMark/>
          </w:tcPr>
          <w:p w14:paraId="6331D281"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c>
          <w:tcPr>
            <w:tcW w:w="1511" w:type="dxa"/>
            <w:tcBorders>
              <w:top w:val="nil"/>
              <w:left w:val="nil"/>
              <w:bottom w:val="nil"/>
              <w:right w:val="nil"/>
            </w:tcBorders>
            <w:shd w:val="clear" w:color="auto" w:fill="auto"/>
            <w:noWrap/>
            <w:vAlign w:val="bottom"/>
            <w:hideMark/>
          </w:tcPr>
          <w:p w14:paraId="09657842" w14:textId="77777777" w:rsidR="006F014A" w:rsidRPr="003A4A56" w:rsidRDefault="006F014A" w:rsidP="00F13F03">
            <w:pPr>
              <w:spacing w:after="0" w:line="360" w:lineRule="auto"/>
              <w:jc w:val="right"/>
              <w:rPr>
                <w:rFonts w:ascii="Calibri" w:eastAsia="Times New Roman" w:hAnsi="Calibri" w:cs="Calibri"/>
                <w:color w:val="000000"/>
                <w:lang w:eastAsia="en-GB"/>
              </w:rPr>
            </w:pPr>
            <w:r w:rsidRPr="003A4A56">
              <w:rPr>
                <w:rFonts w:ascii="Calibri" w:eastAsia="Times New Roman" w:hAnsi="Calibri" w:cs="Calibri"/>
                <w:color w:val="000000"/>
                <w:lang w:eastAsia="en-GB"/>
              </w:rPr>
              <w:t>0</w:t>
            </w:r>
          </w:p>
        </w:tc>
      </w:tr>
    </w:tbl>
    <w:p w14:paraId="1D42BADC" w14:textId="77777777" w:rsidR="006F014A" w:rsidRPr="009A4621" w:rsidRDefault="006F014A" w:rsidP="006F014A">
      <w:pPr>
        <w:pStyle w:val="BodyText"/>
        <w:tabs>
          <w:tab w:val="left" w:pos="909"/>
        </w:tabs>
        <w:spacing w:line="252" w:lineRule="auto"/>
        <w:ind w:right="116"/>
        <w:jc w:val="both"/>
        <w:rPr>
          <w:rFonts w:ascii="Times New Roman" w:hAnsi="Times New Roman"/>
          <w:sz w:val="22"/>
          <w:szCs w:val="22"/>
        </w:rPr>
      </w:pPr>
    </w:p>
    <w:p w14:paraId="240755E7" w14:textId="77777777" w:rsidR="006F014A" w:rsidRDefault="006F014A" w:rsidP="006F014A">
      <w:pPr>
        <w:spacing w:before="19" w:line="220" w:lineRule="exact"/>
        <w:rPr>
          <w:rFonts w:cs="Times New Roman"/>
          <w:lang w:eastAsia="zh-CN"/>
        </w:rPr>
      </w:pPr>
    </w:p>
    <w:p w14:paraId="04994ADF" w14:textId="5B2492A2" w:rsidR="00D81268" w:rsidRDefault="00D81268"/>
    <w:sectPr w:rsidR="00D8126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9310" w14:textId="77777777" w:rsidR="00B21130" w:rsidRDefault="00B21130" w:rsidP="00B21130">
      <w:pPr>
        <w:spacing w:after="0" w:line="240" w:lineRule="auto"/>
      </w:pPr>
      <w:r>
        <w:separator/>
      </w:r>
    </w:p>
  </w:endnote>
  <w:endnote w:type="continuationSeparator" w:id="0">
    <w:p w14:paraId="06F31BB9" w14:textId="77777777" w:rsidR="00B21130" w:rsidRDefault="00B21130" w:rsidP="00B2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026642"/>
      <w:docPartObj>
        <w:docPartGallery w:val="Page Numbers (Bottom of Page)"/>
        <w:docPartUnique/>
      </w:docPartObj>
    </w:sdtPr>
    <w:sdtEndPr>
      <w:rPr>
        <w:noProof/>
      </w:rPr>
    </w:sdtEndPr>
    <w:sdtContent>
      <w:p w14:paraId="20819586" w14:textId="7FBD49FB" w:rsidR="00B21130" w:rsidRDefault="00B211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A3AF7" w14:textId="77777777" w:rsidR="00B21130" w:rsidRDefault="00B2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1963" w14:textId="77777777" w:rsidR="00B21130" w:rsidRDefault="00B21130" w:rsidP="00B21130">
      <w:pPr>
        <w:spacing w:after="0" w:line="240" w:lineRule="auto"/>
      </w:pPr>
      <w:r>
        <w:separator/>
      </w:r>
    </w:p>
  </w:footnote>
  <w:footnote w:type="continuationSeparator" w:id="0">
    <w:p w14:paraId="304467F9" w14:textId="77777777" w:rsidR="00B21130" w:rsidRDefault="00B21130" w:rsidP="00B21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4F7D"/>
    <w:multiLevelType w:val="multilevel"/>
    <w:tmpl w:val="D10C32CC"/>
    <w:lvl w:ilvl="0">
      <w:start w:val="8"/>
      <w:numFmt w:val="none"/>
      <w:pStyle w:val="Level1"/>
      <w:lvlText w:val="1."/>
      <w:lvlJc w:val="left"/>
      <w:pPr>
        <w:ind w:left="896" w:hanging="709"/>
      </w:pPr>
      <w:rPr>
        <w:rFonts w:ascii="Times New Roman" w:hAnsi="Times New Roman" w:hint="default"/>
        <w:b/>
      </w:rPr>
    </w:lvl>
    <w:lvl w:ilvl="1">
      <w:start w:val="2"/>
      <w:numFmt w:val="none"/>
      <w:pStyle w:val="Level2"/>
      <w:isLgl/>
      <w:lvlText w:val="7.2"/>
      <w:lvlJc w:val="left"/>
      <w:pPr>
        <w:ind w:left="709" w:hanging="709"/>
      </w:pPr>
      <w:rPr>
        <w:rFonts w:ascii="Times New Roman" w:hAnsi="Times New Roman" w:hint="default"/>
        <w:b w:val="0"/>
        <w:sz w:val="22"/>
        <w:szCs w:val="22"/>
      </w:rPr>
    </w:lvl>
    <w:lvl w:ilvl="2">
      <w:start w:val="1"/>
      <w:numFmt w:val="lowerLetter"/>
      <w:pStyle w:val="Level3"/>
      <w:lvlText w:val="(%3)"/>
      <w:lvlJc w:val="left"/>
      <w:pPr>
        <w:ind w:left="1417" w:hanging="708"/>
      </w:pPr>
      <w:rPr>
        <w:rFonts w:ascii="Arial" w:hAnsi="Arial" w:hint="default"/>
        <w:b w:val="0"/>
      </w:rPr>
    </w:lvl>
    <w:lvl w:ilvl="3">
      <w:start w:val="1"/>
      <w:numFmt w:val="lowerRoman"/>
      <w:pStyle w:val="Level4"/>
      <w:lvlText w:val="(%4)"/>
      <w:lvlJc w:val="left"/>
      <w:pPr>
        <w:ind w:left="2126" w:hanging="709"/>
      </w:pPr>
      <w:rPr>
        <w:rFonts w:ascii="Arial" w:hAnsi="Arial" w:hint="default"/>
        <w:b w:val="0"/>
        <w:i w:val="0"/>
      </w:rPr>
    </w:lvl>
    <w:lvl w:ilvl="4">
      <w:start w:val="1"/>
      <w:numFmt w:val="decimal"/>
      <w:pStyle w:val="Level5"/>
      <w:lvlText w:val="(%5)"/>
      <w:lvlJc w:val="left"/>
      <w:pPr>
        <w:ind w:left="2835" w:hanging="709"/>
      </w:pPr>
      <w:rPr>
        <w:rFonts w:ascii="Arial" w:hAnsi="Arial"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1D5CF1"/>
    <w:multiLevelType w:val="hybridMultilevel"/>
    <w:tmpl w:val="3566E934"/>
    <w:lvl w:ilvl="0" w:tplc="FFFFFFFF">
      <w:start w:val="1"/>
      <w:numFmt w:val="decimal"/>
      <w:lvlText w:val="%1."/>
      <w:lvlJc w:val="left"/>
      <w:pPr>
        <w:ind w:left="644" w:hanging="360"/>
      </w:pPr>
    </w:lvl>
    <w:lvl w:ilvl="1" w:tplc="FFFFFFFF">
      <w:start w:val="1"/>
      <w:numFmt w:val="lowerLetter"/>
      <w:lvlText w:val="(%2)"/>
      <w:lvlJc w:val="left"/>
      <w:pPr>
        <w:ind w:left="1557" w:hanging="360"/>
      </w:pPr>
      <w:rPr>
        <w:rFonts w:ascii="Times New Roman" w:eastAsia="Arial" w:hAnsi="Times New Roman" w:cs="Times New Roman" w:hint="default"/>
        <w:color w:val="231F20"/>
        <w:w w:val="90"/>
        <w:sz w:val="22"/>
        <w:szCs w:val="22"/>
      </w:r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2" w15:restartNumberingAfterBreak="0">
    <w:nsid w:val="23C2798E"/>
    <w:multiLevelType w:val="hybridMultilevel"/>
    <w:tmpl w:val="3566E934"/>
    <w:lvl w:ilvl="0" w:tplc="0809000F">
      <w:start w:val="1"/>
      <w:numFmt w:val="decimal"/>
      <w:lvlText w:val="%1."/>
      <w:lvlJc w:val="left"/>
      <w:pPr>
        <w:ind w:left="644" w:hanging="360"/>
      </w:pPr>
    </w:lvl>
    <w:lvl w:ilvl="1" w:tplc="1F44D090">
      <w:start w:val="1"/>
      <w:numFmt w:val="lowerLetter"/>
      <w:lvlText w:val="(%2)"/>
      <w:lvlJc w:val="left"/>
      <w:pPr>
        <w:ind w:left="1557" w:hanging="360"/>
      </w:pPr>
      <w:rPr>
        <w:rFonts w:ascii="Times New Roman" w:eastAsia="Arial" w:hAnsi="Times New Roman" w:cs="Times New Roman" w:hint="default"/>
        <w:color w:val="231F20"/>
        <w:w w:val="90"/>
        <w:sz w:val="22"/>
        <w:szCs w:val="22"/>
      </w:r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3" w15:restartNumberingAfterBreak="0">
    <w:nsid w:val="342B10C4"/>
    <w:multiLevelType w:val="hybridMultilevel"/>
    <w:tmpl w:val="E18AEA86"/>
    <w:lvl w:ilvl="0" w:tplc="3E3ACB8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1B5869"/>
    <w:multiLevelType w:val="hybridMultilevel"/>
    <w:tmpl w:val="3566E934"/>
    <w:lvl w:ilvl="0" w:tplc="FFFFFFFF">
      <w:start w:val="1"/>
      <w:numFmt w:val="decimal"/>
      <w:lvlText w:val="%1."/>
      <w:lvlJc w:val="left"/>
      <w:pPr>
        <w:ind w:left="644" w:hanging="360"/>
      </w:pPr>
    </w:lvl>
    <w:lvl w:ilvl="1" w:tplc="FFFFFFFF">
      <w:start w:val="1"/>
      <w:numFmt w:val="lowerLetter"/>
      <w:lvlText w:val="(%2)"/>
      <w:lvlJc w:val="left"/>
      <w:pPr>
        <w:ind w:left="1557" w:hanging="360"/>
      </w:pPr>
      <w:rPr>
        <w:rFonts w:ascii="Times New Roman" w:eastAsia="Arial" w:hAnsi="Times New Roman" w:cs="Times New Roman" w:hint="default"/>
        <w:color w:val="231F20"/>
        <w:w w:val="90"/>
        <w:sz w:val="22"/>
        <w:szCs w:val="22"/>
      </w:r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5" w15:restartNumberingAfterBreak="0">
    <w:nsid w:val="5784271B"/>
    <w:multiLevelType w:val="hybridMultilevel"/>
    <w:tmpl w:val="C114C2BE"/>
    <w:lvl w:ilvl="0" w:tplc="A8E25772">
      <w:start w:val="1"/>
      <w:numFmt w:val="lowerLetter"/>
      <w:lvlText w:val="(%1)"/>
      <w:lvlJc w:val="left"/>
      <w:pPr>
        <w:ind w:left="22" w:hanging="396"/>
      </w:pPr>
      <w:rPr>
        <w:rFonts w:ascii="Times New Roman" w:eastAsia="Arial" w:hAnsi="Times New Roman" w:cs="Times New Roman" w:hint="default"/>
        <w:color w:val="231F20"/>
        <w:w w:val="90"/>
        <w:sz w:val="22"/>
        <w:szCs w:val="19"/>
      </w:rPr>
    </w:lvl>
    <w:lvl w:ilvl="1" w:tplc="08090019">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6" w15:restartNumberingAfterBreak="0">
    <w:nsid w:val="60850E4C"/>
    <w:multiLevelType w:val="hybridMultilevel"/>
    <w:tmpl w:val="3566E934"/>
    <w:lvl w:ilvl="0" w:tplc="FFFFFFFF">
      <w:start w:val="1"/>
      <w:numFmt w:val="decimal"/>
      <w:lvlText w:val="%1."/>
      <w:lvlJc w:val="left"/>
      <w:pPr>
        <w:ind w:left="644" w:hanging="360"/>
      </w:pPr>
    </w:lvl>
    <w:lvl w:ilvl="1" w:tplc="FFFFFFFF">
      <w:start w:val="1"/>
      <w:numFmt w:val="lowerLetter"/>
      <w:lvlText w:val="(%2)"/>
      <w:lvlJc w:val="left"/>
      <w:pPr>
        <w:ind w:left="1557" w:hanging="360"/>
      </w:pPr>
      <w:rPr>
        <w:rFonts w:ascii="Times New Roman" w:eastAsia="Arial" w:hAnsi="Times New Roman" w:cs="Times New Roman" w:hint="default"/>
        <w:color w:val="231F20"/>
        <w:w w:val="90"/>
        <w:sz w:val="22"/>
        <w:szCs w:val="22"/>
      </w:r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7" w15:restartNumberingAfterBreak="0">
    <w:nsid w:val="62B86C40"/>
    <w:multiLevelType w:val="hybridMultilevel"/>
    <w:tmpl w:val="ADCA8F16"/>
    <w:lvl w:ilvl="0" w:tplc="08090019">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num w:numId="1" w16cid:durableId="175996672">
    <w:abstractNumId w:val="2"/>
  </w:num>
  <w:num w:numId="2" w16cid:durableId="1125928382">
    <w:abstractNumId w:val="1"/>
  </w:num>
  <w:num w:numId="3" w16cid:durableId="1833257730">
    <w:abstractNumId w:val="4"/>
  </w:num>
  <w:num w:numId="4" w16cid:durableId="982001009">
    <w:abstractNumId w:val="6"/>
  </w:num>
  <w:num w:numId="5" w16cid:durableId="2143688994">
    <w:abstractNumId w:val="3"/>
  </w:num>
  <w:num w:numId="6" w16cid:durableId="56511175">
    <w:abstractNumId w:val="0"/>
  </w:num>
  <w:num w:numId="7" w16cid:durableId="1976329761">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751116">
    <w:abstractNumId w:val="5"/>
  </w:num>
  <w:num w:numId="9" w16cid:durableId="490143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07"/>
    <w:rsid w:val="00067BBA"/>
    <w:rsid w:val="000E2243"/>
    <w:rsid w:val="002135E1"/>
    <w:rsid w:val="002425F6"/>
    <w:rsid w:val="004226EB"/>
    <w:rsid w:val="0061381E"/>
    <w:rsid w:val="006F014A"/>
    <w:rsid w:val="008429AF"/>
    <w:rsid w:val="00A14307"/>
    <w:rsid w:val="00B21130"/>
    <w:rsid w:val="00C04888"/>
    <w:rsid w:val="00D81268"/>
    <w:rsid w:val="00E30682"/>
    <w:rsid w:val="00F1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2916"/>
  <w15:chartTrackingRefBased/>
  <w15:docId w15:val="{C66F100C-2EAE-46C0-B4CA-91C6C2B1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4307"/>
    <w:pPr>
      <w:spacing w:after="200" w:line="276" w:lineRule="auto"/>
    </w:pPr>
    <w:rPr>
      <w:rFonts w:ascii="Times New Roman" w:eastAsia="Calibri" w:hAnsi="Times New Roman" w:cs="Arial"/>
    </w:rPr>
  </w:style>
  <w:style w:type="paragraph" w:styleId="Heading1">
    <w:name w:val="heading 1"/>
    <w:basedOn w:val="Normal"/>
    <w:next w:val="Normal"/>
    <w:link w:val="Heading1Char"/>
    <w:uiPriority w:val="99"/>
    <w:qFormat/>
    <w:rsid w:val="00A14307"/>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307"/>
    <w:rPr>
      <w:rFonts w:ascii="Cambria" w:eastAsia="Times New Roman" w:hAnsi="Cambria" w:cs="Times New Roman"/>
      <w:b/>
      <w:bCs/>
      <w:kern w:val="32"/>
      <w:sz w:val="32"/>
      <w:szCs w:val="32"/>
    </w:rPr>
  </w:style>
  <w:style w:type="paragraph" w:styleId="BodyText">
    <w:name w:val="Body Text"/>
    <w:basedOn w:val="Normal"/>
    <w:link w:val="BodyTextChar"/>
    <w:uiPriority w:val="99"/>
    <w:qFormat/>
    <w:rsid w:val="00A14307"/>
    <w:pPr>
      <w:widowControl w:val="0"/>
      <w:spacing w:after="0" w:line="240" w:lineRule="auto"/>
      <w:ind w:left="512" w:hanging="395"/>
    </w:pPr>
    <w:rPr>
      <w:rFonts w:ascii="Arial" w:eastAsia="Arial" w:hAnsi="Arial" w:cs="Times New Roman"/>
      <w:sz w:val="19"/>
      <w:szCs w:val="19"/>
      <w:lang w:val="en-US"/>
    </w:rPr>
  </w:style>
  <w:style w:type="character" w:customStyle="1" w:styleId="BodyTextChar">
    <w:name w:val="Body Text Char"/>
    <w:basedOn w:val="DefaultParagraphFont"/>
    <w:link w:val="BodyText"/>
    <w:uiPriority w:val="99"/>
    <w:rsid w:val="00A14307"/>
    <w:rPr>
      <w:rFonts w:ascii="Arial" w:eastAsia="Arial" w:hAnsi="Arial" w:cs="Times New Roman"/>
      <w:sz w:val="19"/>
      <w:szCs w:val="19"/>
      <w:lang w:val="en-US"/>
    </w:rPr>
  </w:style>
  <w:style w:type="paragraph" w:styleId="Header">
    <w:name w:val="header"/>
    <w:basedOn w:val="Normal"/>
    <w:link w:val="HeaderChar"/>
    <w:uiPriority w:val="99"/>
    <w:unhideWhenUsed/>
    <w:rsid w:val="00B21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130"/>
    <w:rPr>
      <w:rFonts w:ascii="Times New Roman" w:eastAsia="Calibri" w:hAnsi="Times New Roman" w:cs="Arial"/>
    </w:rPr>
  </w:style>
  <w:style w:type="paragraph" w:styleId="Footer">
    <w:name w:val="footer"/>
    <w:basedOn w:val="Normal"/>
    <w:link w:val="FooterChar"/>
    <w:uiPriority w:val="99"/>
    <w:unhideWhenUsed/>
    <w:rsid w:val="00B21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130"/>
    <w:rPr>
      <w:rFonts w:ascii="Times New Roman" w:eastAsia="Calibri" w:hAnsi="Times New Roman" w:cs="Arial"/>
    </w:rPr>
  </w:style>
  <w:style w:type="paragraph" w:styleId="ListParagraph">
    <w:name w:val="List Paragraph"/>
    <w:basedOn w:val="Normal"/>
    <w:uiPriority w:val="34"/>
    <w:qFormat/>
    <w:rsid w:val="00E30682"/>
    <w:pPr>
      <w:ind w:left="720"/>
      <w:contextualSpacing/>
    </w:pPr>
    <w:rPr>
      <w:rFonts w:asciiTheme="minorHAnsi" w:eastAsiaTheme="minorHAnsi" w:hAnsiTheme="minorHAnsi" w:cstheme="minorBidi"/>
    </w:rPr>
  </w:style>
  <w:style w:type="paragraph" w:customStyle="1" w:styleId="Level1">
    <w:name w:val="Level 1"/>
    <w:basedOn w:val="Normal"/>
    <w:next w:val="Normal"/>
    <w:rsid w:val="00E30682"/>
    <w:pPr>
      <w:numPr>
        <w:numId w:val="6"/>
      </w:numPr>
      <w:spacing w:after="210" w:line="264" w:lineRule="auto"/>
      <w:jc w:val="both"/>
      <w:outlineLvl w:val="0"/>
    </w:pPr>
    <w:rPr>
      <w:rFonts w:ascii="Arial" w:eastAsia="Times New Roman" w:hAnsi="Arial" w:cs="Times New Roman"/>
      <w:color w:val="000000"/>
      <w:sz w:val="20"/>
      <w:szCs w:val="20"/>
      <w:lang w:eastAsia="en-GB"/>
    </w:rPr>
  </w:style>
  <w:style w:type="paragraph" w:customStyle="1" w:styleId="Level2">
    <w:name w:val="Level 2"/>
    <w:basedOn w:val="Normal"/>
    <w:next w:val="Normal"/>
    <w:rsid w:val="00E30682"/>
    <w:pPr>
      <w:numPr>
        <w:ilvl w:val="1"/>
        <w:numId w:val="6"/>
      </w:numPr>
      <w:spacing w:after="210" w:line="264" w:lineRule="auto"/>
      <w:jc w:val="both"/>
      <w:outlineLvl w:val="1"/>
    </w:pPr>
    <w:rPr>
      <w:rFonts w:ascii="Arial" w:eastAsia="Times New Roman" w:hAnsi="Arial" w:cs="Times New Roman"/>
      <w:color w:val="000000"/>
      <w:sz w:val="20"/>
      <w:szCs w:val="20"/>
      <w:lang w:eastAsia="en-GB"/>
    </w:rPr>
  </w:style>
  <w:style w:type="paragraph" w:customStyle="1" w:styleId="Level3">
    <w:name w:val="Level 3"/>
    <w:basedOn w:val="Normal"/>
    <w:next w:val="Normal"/>
    <w:rsid w:val="00E30682"/>
    <w:pPr>
      <w:numPr>
        <w:ilvl w:val="2"/>
        <w:numId w:val="6"/>
      </w:numPr>
      <w:spacing w:after="210" w:line="264" w:lineRule="auto"/>
      <w:jc w:val="both"/>
      <w:outlineLvl w:val="2"/>
    </w:pPr>
    <w:rPr>
      <w:rFonts w:ascii="Arial" w:eastAsia="Times New Roman" w:hAnsi="Arial" w:cs="Times New Roman"/>
      <w:color w:val="000000"/>
      <w:sz w:val="20"/>
      <w:szCs w:val="20"/>
      <w:lang w:eastAsia="en-GB"/>
    </w:rPr>
  </w:style>
  <w:style w:type="paragraph" w:customStyle="1" w:styleId="Level4">
    <w:name w:val="Level 4"/>
    <w:basedOn w:val="Normal"/>
    <w:next w:val="Normal"/>
    <w:rsid w:val="00E30682"/>
    <w:pPr>
      <w:numPr>
        <w:ilvl w:val="3"/>
        <w:numId w:val="6"/>
      </w:numPr>
      <w:spacing w:after="210" w:line="264" w:lineRule="auto"/>
      <w:jc w:val="both"/>
      <w:outlineLvl w:val="3"/>
    </w:pPr>
    <w:rPr>
      <w:rFonts w:ascii="Arial" w:eastAsia="Times New Roman" w:hAnsi="Arial" w:cs="Times New Roman"/>
      <w:color w:val="000000"/>
      <w:sz w:val="20"/>
      <w:szCs w:val="20"/>
      <w:lang w:eastAsia="en-GB"/>
    </w:rPr>
  </w:style>
  <w:style w:type="paragraph" w:customStyle="1" w:styleId="Level5">
    <w:name w:val="Level 5"/>
    <w:basedOn w:val="Normal"/>
    <w:next w:val="Normal"/>
    <w:rsid w:val="00E30682"/>
    <w:pPr>
      <w:numPr>
        <w:ilvl w:val="4"/>
        <w:numId w:val="6"/>
      </w:numPr>
      <w:spacing w:after="210" w:line="264" w:lineRule="auto"/>
      <w:jc w:val="both"/>
      <w:outlineLvl w:val="4"/>
    </w:pPr>
    <w:rPr>
      <w:rFonts w:ascii="Arial" w:eastAsia="Times New Roman" w:hAnsi="Arial"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9496">
      <w:bodyDiv w:val="1"/>
      <w:marLeft w:val="0"/>
      <w:marRight w:val="0"/>
      <w:marTop w:val="0"/>
      <w:marBottom w:val="0"/>
      <w:divBdr>
        <w:top w:val="none" w:sz="0" w:space="0" w:color="auto"/>
        <w:left w:val="none" w:sz="0" w:space="0" w:color="auto"/>
        <w:bottom w:val="none" w:sz="0" w:space="0" w:color="auto"/>
        <w:right w:val="none" w:sz="0" w:space="0" w:color="auto"/>
      </w:divBdr>
    </w:div>
    <w:div w:id="87771986">
      <w:bodyDiv w:val="1"/>
      <w:marLeft w:val="0"/>
      <w:marRight w:val="0"/>
      <w:marTop w:val="0"/>
      <w:marBottom w:val="0"/>
      <w:divBdr>
        <w:top w:val="none" w:sz="0" w:space="0" w:color="auto"/>
        <w:left w:val="none" w:sz="0" w:space="0" w:color="auto"/>
        <w:bottom w:val="none" w:sz="0" w:space="0" w:color="auto"/>
        <w:right w:val="none" w:sz="0" w:space="0" w:color="auto"/>
      </w:divBdr>
    </w:div>
    <w:div w:id="174810154">
      <w:bodyDiv w:val="1"/>
      <w:marLeft w:val="0"/>
      <w:marRight w:val="0"/>
      <w:marTop w:val="0"/>
      <w:marBottom w:val="0"/>
      <w:divBdr>
        <w:top w:val="none" w:sz="0" w:space="0" w:color="auto"/>
        <w:left w:val="none" w:sz="0" w:space="0" w:color="auto"/>
        <w:bottom w:val="none" w:sz="0" w:space="0" w:color="auto"/>
        <w:right w:val="none" w:sz="0" w:space="0" w:color="auto"/>
      </w:divBdr>
    </w:div>
    <w:div w:id="203177445">
      <w:bodyDiv w:val="1"/>
      <w:marLeft w:val="0"/>
      <w:marRight w:val="0"/>
      <w:marTop w:val="0"/>
      <w:marBottom w:val="0"/>
      <w:divBdr>
        <w:top w:val="none" w:sz="0" w:space="0" w:color="auto"/>
        <w:left w:val="none" w:sz="0" w:space="0" w:color="auto"/>
        <w:bottom w:val="none" w:sz="0" w:space="0" w:color="auto"/>
        <w:right w:val="none" w:sz="0" w:space="0" w:color="auto"/>
      </w:divBdr>
    </w:div>
    <w:div w:id="206452023">
      <w:bodyDiv w:val="1"/>
      <w:marLeft w:val="0"/>
      <w:marRight w:val="0"/>
      <w:marTop w:val="0"/>
      <w:marBottom w:val="0"/>
      <w:divBdr>
        <w:top w:val="none" w:sz="0" w:space="0" w:color="auto"/>
        <w:left w:val="none" w:sz="0" w:space="0" w:color="auto"/>
        <w:bottom w:val="none" w:sz="0" w:space="0" w:color="auto"/>
        <w:right w:val="none" w:sz="0" w:space="0" w:color="auto"/>
      </w:divBdr>
    </w:div>
    <w:div w:id="257762922">
      <w:bodyDiv w:val="1"/>
      <w:marLeft w:val="0"/>
      <w:marRight w:val="0"/>
      <w:marTop w:val="0"/>
      <w:marBottom w:val="0"/>
      <w:divBdr>
        <w:top w:val="none" w:sz="0" w:space="0" w:color="auto"/>
        <w:left w:val="none" w:sz="0" w:space="0" w:color="auto"/>
        <w:bottom w:val="none" w:sz="0" w:space="0" w:color="auto"/>
        <w:right w:val="none" w:sz="0" w:space="0" w:color="auto"/>
      </w:divBdr>
    </w:div>
    <w:div w:id="279847251">
      <w:bodyDiv w:val="1"/>
      <w:marLeft w:val="0"/>
      <w:marRight w:val="0"/>
      <w:marTop w:val="0"/>
      <w:marBottom w:val="0"/>
      <w:divBdr>
        <w:top w:val="none" w:sz="0" w:space="0" w:color="auto"/>
        <w:left w:val="none" w:sz="0" w:space="0" w:color="auto"/>
        <w:bottom w:val="none" w:sz="0" w:space="0" w:color="auto"/>
        <w:right w:val="none" w:sz="0" w:space="0" w:color="auto"/>
      </w:divBdr>
    </w:div>
    <w:div w:id="293802248">
      <w:bodyDiv w:val="1"/>
      <w:marLeft w:val="0"/>
      <w:marRight w:val="0"/>
      <w:marTop w:val="0"/>
      <w:marBottom w:val="0"/>
      <w:divBdr>
        <w:top w:val="none" w:sz="0" w:space="0" w:color="auto"/>
        <w:left w:val="none" w:sz="0" w:space="0" w:color="auto"/>
        <w:bottom w:val="none" w:sz="0" w:space="0" w:color="auto"/>
        <w:right w:val="none" w:sz="0" w:space="0" w:color="auto"/>
      </w:divBdr>
    </w:div>
    <w:div w:id="293952106">
      <w:bodyDiv w:val="1"/>
      <w:marLeft w:val="0"/>
      <w:marRight w:val="0"/>
      <w:marTop w:val="0"/>
      <w:marBottom w:val="0"/>
      <w:divBdr>
        <w:top w:val="none" w:sz="0" w:space="0" w:color="auto"/>
        <w:left w:val="none" w:sz="0" w:space="0" w:color="auto"/>
        <w:bottom w:val="none" w:sz="0" w:space="0" w:color="auto"/>
        <w:right w:val="none" w:sz="0" w:space="0" w:color="auto"/>
      </w:divBdr>
    </w:div>
    <w:div w:id="316112715">
      <w:bodyDiv w:val="1"/>
      <w:marLeft w:val="0"/>
      <w:marRight w:val="0"/>
      <w:marTop w:val="0"/>
      <w:marBottom w:val="0"/>
      <w:divBdr>
        <w:top w:val="none" w:sz="0" w:space="0" w:color="auto"/>
        <w:left w:val="none" w:sz="0" w:space="0" w:color="auto"/>
        <w:bottom w:val="none" w:sz="0" w:space="0" w:color="auto"/>
        <w:right w:val="none" w:sz="0" w:space="0" w:color="auto"/>
      </w:divBdr>
    </w:div>
    <w:div w:id="323558755">
      <w:bodyDiv w:val="1"/>
      <w:marLeft w:val="0"/>
      <w:marRight w:val="0"/>
      <w:marTop w:val="0"/>
      <w:marBottom w:val="0"/>
      <w:divBdr>
        <w:top w:val="none" w:sz="0" w:space="0" w:color="auto"/>
        <w:left w:val="none" w:sz="0" w:space="0" w:color="auto"/>
        <w:bottom w:val="none" w:sz="0" w:space="0" w:color="auto"/>
        <w:right w:val="none" w:sz="0" w:space="0" w:color="auto"/>
      </w:divBdr>
    </w:div>
    <w:div w:id="328408588">
      <w:bodyDiv w:val="1"/>
      <w:marLeft w:val="0"/>
      <w:marRight w:val="0"/>
      <w:marTop w:val="0"/>
      <w:marBottom w:val="0"/>
      <w:divBdr>
        <w:top w:val="none" w:sz="0" w:space="0" w:color="auto"/>
        <w:left w:val="none" w:sz="0" w:space="0" w:color="auto"/>
        <w:bottom w:val="none" w:sz="0" w:space="0" w:color="auto"/>
        <w:right w:val="none" w:sz="0" w:space="0" w:color="auto"/>
      </w:divBdr>
    </w:div>
    <w:div w:id="354186645">
      <w:bodyDiv w:val="1"/>
      <w:marLeft w:val="0"/>
      <w:marRight w:val="0"/>
      <w:marTop w:val="0"/>
      <w:marBottom w:val="0"/>
      <w:divBdr>
        <w:top w:val="none" w:sz="0" w:space="0" w:color="auto"/>
        <w:left w:val="none" w:sz="0" w:space="0" w:color="auto"/>
        <w:bottom w:val="none" w:sz="0" w:space="0" w:color="auto"/>
        <w:right w:val="none" w:sz="0" w:space="0" w:color="auto"/>
      </w:divBdr>
    </w:div>
    <w:div w:id="400101029">
      <w:bodyDiv w:val="1"/>
      <w:marLeft w:val="0"/>
      <w:marRight w:val="0"/>
      <w:marTop w:val="0"/>
      <w:marBottom w:val="0"/>
      <w:divBdr>
        <w:top w:val="none" w:sz="0" w:space="0" w:color="auto"/>
        <w:left w:val="none" w:sz="0" w:space="0" w:color="auto"/>
        <w:bottom w:val="none" w:sz="0" w:space="0" w:color="auto"/>
        <w:right w:val="none" w:sz="0" w:space="0" w:color="auto"/>
      </w:divBdr>
    </w:div>
    <w:div w:id="424958057">
      <w:bodyDiv w:val="1"/>
      <w:marLeft w:val="0"/>
      <w:marRight w:val="0"/>
      <w:marTop w:val="0"/>
      <w:marBottom w:val="0"/>
      <w:divBdr>
        <w:top w:val="none" w:sz="0" w:space="0" w:color="auto"/>
        <w:left w:val="none" w:sz="0" w:space="0" w:color="auto"/>
        <w:bottom w:val="none" w:sz="0" w:space="0" w:color="auto"/>
        <w:right w:val="none" w:sz="0" w:space="0" w:color="auto"/>
      </w:divBdr>
    </w:div>
    <w:div w:id="523901271">
      <w:bodyDiv w:val="1"/>
      <w:marLeft w:val="0"/>
      <w:marRight w:val="0"/>
      <w:marTop w:val="0"/>
      <w:marBottom w:val="0"/>
      <w:divBdr>
        <w:top w:val="none" w:sz="0" w:space="0" w:color="auto"/>
        <w:left w:val="none" w:sz="0" w:space="0" w:color="auto"/>
        <w:bottom w:val="none" w:sz="0" w:space="0" w:color="auto"/>
        <w:right w:val="none" w:sz="0" w:space="0" w:color="auto"/>
      </w:divBdr>
    </w:div>
    <w:div w:id="605574062">
      <w:bodyDiv w:val="1"/>
      <w:marLeft w:val="0"/>
      <w:marRight w:val="0"/>
      <w:marTop w:val="0"/>
      <w:marBottom w:val="0"/>
      <w:divBdr>
        <w:top w:val="none" w:sz="0" w:space="0" w:color="auto"/>
        <w:left w:val="none" w:sz="0" w:space="0" w:color="auto"/>
        <w:bottom w:val="none" w:sz="0" w:space="0" w:color="auto"/>
        <w:right w:val="none" w:sz="0" w:space="0" w:color="auto"/>
      </w:divBdr>
    </w:div>
    <w:div w:id="729234484">
      <w:bodyDiv w:val="1"/>
      <w:marLeft w:val="0"/>
      <w:marRight w:val="0"/>
      <w:marTop w:val="0"/>
      <w:marBottom w:val="0"/>
      <w:divBdr>
        <w:top w:val="none" w:sz="0" w:space="0" w:color="auto"/>
        <w:left w:val="none" w:sz="0" w:space="0" w:color="auto"/>
        <w:bottom w:val="none" w:sz="0" w:space="0" w:color="auto"/>
        <w:right w:val="none" w:sz="0" w:space="0" w:color="auto"/>
      </w:divBdr>
    </w:div>
    <w:div w:id="813303737">
      <w:bodyDiv w:val="1"/>
      <w:marLeft w:val="0"/>
      <w:marRight w:val="0"/>
      <w:marTop w:val="0"/>
      <w:marBottom w:val="0"/>
      <w:divBdr>
        <w:top w:val="none" w:sz="0" w:space="0" w:color="auto"/>
        <w:left w:val="none" w:sz="0" w:space="0" w:color="auto"/>
        <w:bottom w:val="none" w:sz="0" w:space="0" w:color="auto"/>
        <w:right w:val="none" w:sz="0" w:space="0" w:color="auto"/>
      </w:divBdr>
    </w:div>
    <w:div w:id="836270677">
      <w:bodyDiv w:val="1"/>
      <w:marLeft w:val="0"/>
      <w:marRight w:val="0"/>
      <w:marTop w:val="0"/>
      <w:marBottom w:val="0"/>
      <w:divBdr>
        <w:top w:val="none" w:sz="0" w:space="0" w:color="auto"/>
        <w:left w:val="none" w:sz="0" w:space="0" w:color="auto"/>
        <w:bottom w:val="none" w:sz="0" w:space="0" w:color="auto"/>
        <w:right w:val="none" w:sz="0" w:space="0" w:color="auto"/>
      </w:divBdr>
    </w:div>
    <w:div w:id="886989685">
      <w:bodyDiv w:val="1"/>
      <w:marLeft w:val="0"/>
      <w:marRight w:val="0"/>
      <w:marTop w:val="0"/>
      <w:marBottom w:val="0"/>
      <w:divBdr>
        <w:top w:val="none" w:sz="0" w:space="0" w:color="auto"/>
        <w:left w:val="none" w:sz="0" w:space="0" w:color="auto"/>
        <w:bottom w:val="none" w:sz="0" w:space="0" w:color="auto"/>
        <w:right w:val="none" w:sz="0" w:space="0" w:color="auto"/>
      </w:divBdr>
    </w:div>
    <w:div w:id="914124903">
      <w:bodyDiv w:val="1"/>
      <w:marLeft w:val="0"/>
      <w:marRight w:val="0"/>
      <w:marTop w:val="0"/>
      <w:marBottom w:val="0"/>
      <w:divBdr>
        <w:top w:val="none" w:sz="0" w:space="0" w:color="auto"/>
        <w:left w:val="none" w:sz="0" w:space="0" w:color="auto"/>
        <w:bottom w:val="none" w:sz="0" w:space="0" w:color="auto"/>
        <w:right w:val="none" w:sz="0" w:space="0" w:color="auto"/>
      </w:divBdr>
    </w:div>
    <w:div w:id="1018119311">
      <w:bodyDiv w:val="1"/>
      <w:marLeft w:val="0"/>
      <w:marRight w:val="0"/>
      <w:marTop w:val="0"/>
      <w:marBottom w:val="0"/>
      <w:divBdr>
        <w:top w:val="none" w:sz="0" w:space="0" w:color="auto"/>
        <w:left w:val="none" w:sz="0" w:space="0" w:color="auto"/>
        <w:bottom w:val="none" w:sz="0" w:space="0" w:color="auto"/>
        <w:right w:val="none" w:sz="0" w:space="0" w:color="auto"/>
      </w:divBdr>
    </w:div>
    <w:div w:id="1031421531">
      <w:bodyDiv w:val="1"/>
      <w:marLeft w:val="0"/>
      <w:marRight w:val="0"/>
      <w:marTop w:val="0"/>
      <w:marBottom w:val="0"/>
      <w:divBdr>
        <w:top w:val="none" w:sz="0" w:space="0" w:color="auto"/>
        <w:left w:val="none" w:sz="0" w:space="0" w:color="auto"/>
        <w:bottom w:val="none" w:sz="0" w:space="0" w:color="auto"/>
        <w:right w:val="none" w:sz="0" w:space="0" w:color="auto"/>
      </w:divBdr>
    </w:div>
    <w:div w:id="1058866288">
      <w:bodyDiv w:val="1"/>
      <w:marLeft w:val="0"/>
      <w:marRight w:val="0"/>
      <w:marTop w:val="0"/>
      <w:marBottom w:val="0"/>
      <w:divBdr>
        <w:top w:val="none" w:sz="0" w:space="0" w:color="auto"/>
        <w:left w:val="none" w:sz="0" w:space="0" w:color="auto"/>
        <w:bottom w:val="none" w:sz="0" w:space="0" w:color="auto"/>
        <w:right w:val="none" w:sz="0" w:space="0" w:color="auto"/>
      </w:divBdr>
    </w:div>
    <w:div w:id="1140346694">
      <w:bodyDiv w:val="1"/>
      <w:marLeft w:val="0"/>
      <w:marRight w:val="0"/>
      <w:marTop w:val="0"/>
      <w:marBottom w:val="0"/>
      <w:divBdr>
        <w:top w:val="none" w:sz="0" w:space="0" w:color="auto"/>
        <w:left w:val="none" w:sz="0" w:space="0" w:color="auto"/>
        <w:bottom w:val="none" w:sz="0" w:space="0" w:color="auto"/>
        <w:right w:val="none" w:sz="0" w:space="0" w:color="auto"/>
      </w:divBdr>
    </w:div>
    <w:div w:id="1144666476">
      <w:bodyDiv w:val="1"/>
      <w:marLeft w:val="0"/>
      <w:marRight w:val="0"/>
      <w:marTop w:val="0"/>
      <w:marBottom w:val="0"/>
      <w:divBdr>
        <w:top w:val="none" w:sz="0" w:space="0" w:color="auto"/>
        <w:left w:val="none" w:sz="0" w:space="0" w:color="auto"/>
        <w:bottom w:val="none" w:sz="0" w:space="0" w:color="auto"/>
        <w:right w:val="none" w:sz="0" w:space="0" w:color="auto"/>
      </w:divBdr>
    </w:div>
    <w:div w:id="1181697342">
      <w:bodyDiv w:val="1"/>
      <w:marLeft w:val="0"/>
      <w:marRight w:val="0"/>
      <w:marTop w:val="0"/>
      <w:marBottom w:val="0"/>
      <w:divBdr>
        <w:top w:val="none" w:sz="0" w:space="0" w:color="auto"/>
        <w:left w:val="none" w:sz="0" w:space="0" w:color="auto"/>
        <w:bottom w:val="none" w:sz="0" w:space="0" w:color="auto"/>
        <w:right w:val="none" w:sz="0" w:space="0" w:color="auto"/>
      </w:divBdr>
    </w:div>
    <w:div w:id="1210722856">
      <w:bodyDiv w:val="1"/>
      <w:marLeft w:val="0"/>
      <w:marRight w:val="0"/>
      <w:marTop w:val="0"/>
      <w:marBottom w:val="0"/>
      <w:divBdr>
        <w:top w:val="none" w:sz="0" w:space="0" w:color="auto"/>
        <w:left w:val="none" w:sz="0" w:space="0" w:color="auto"/>
        <w:bottom w:val="none" w:sz="0" w:space="0" w:color="auto"/>
        <w:right w:val="none" w:sz="0" w:space="0" w:color="auto"/>
      </w:divBdr>
    </w:div>
    <w:div w:id="1239747218">
      <w:bodyDiv w:val="1"/>
      <w:marLeft w:val="0"/>
      <w:marRight w:val="0"/>
      <w:marTop w:val="0"/>
      <w:marBottom w:val="0"/>
      <w:divBdr>
        <w:top w:val="none" w:sz="0" w:space="0" w:color="auto"/>
        <w:left w:val="none" w:sz="0" w:space="0" w:color="auto"/>
        <w:bottom w:val="none" w:sz="0" w:space="0" w:color="auto"/>
        <w:right w:val="none" w:sz="0" w:space="0" w:color="auto"/>
      </w:divBdr>
    </w:div>
    <w:div w:id="1308970962">
      <w:bodyDiv w:val="1"/>
      <w:marLeft w:val="0"/>
      <w:marRight w:val="0"/>
      <w:marTop w:val="0"/>
      <w:marBottom w:val="0"/>
      <w:divBdr>
        <w:top w:val="none" w:sz="0" w:space="0" w:color="auto"/>
        <w:left w:val="none" w:sz="0" w:space="0" w:color="auto"/>
        <w:bottom w:val="none" w:sz="0" w:space="0" w:color="auto"/>
        <w:right w:val="none" w:sz="0" w:space="0" w:color="auto"/>
      </w:divBdr>
    </w:div>
    <w:div w:id="1312100494">
      <w:bodyDiv w:val="1"/>
      <w:marLeft w:val="0"/>
      <w:marRight w:val="0"/>
      <w:marTop w:val="0"/>
      <w:marBottom w:val="0"/>
      <w:divBdr>
        <w:top w:val="none" w:sz="0" w:space="0" w:color="auto"/>
        <w:left w:val="none" w:sz="0" w:space="0" w:color="auto"/>
        <w:bottom w:val="none" w:sz="0" w:space="0" w:color="auto"/>
        <w:right w:val="none" w:sz="0" w:space="0" w:color="auto"/>
      </w:divBdr>
    </w:div>
    <w:div w:id="1340036777">
      <w:bodyDiv w:val="1"/>
      <w:marLeft w:val="0"/>
      <w:marRight w:val="0"/>
      <w:marTop w:val="0"/>
      <w:marBottom w:val="0"/>
      <w:divBdr>
        <w:top w:val="none" w:sz="0" w:space="0" w:color="auto"/>
        <w:left w:val="none" w:sz="0" w:space="0" w:color="auto"/>
        <w:bottom w:val="none" w:sz="0" w:space="0" w:color="auto"/>
        <w:right w:val="none" w:sz="0" w:space="0" w:color="auto"/>
      </w:divBdr>
    </w:div>
    <w:div w:id="1366104914">
      <w:bodyDiv w:val="1"/>
      <w:marLeft w:val="0"/>
      <w:marRight w:val="0"/>
      <w:marTop w:val="0"/>
      <w:marBottom w:val="0"/>
      <w:divBdr>
        <w:top w:val="none" w:sz="0" w:space="0" w:color="auto"/>
        <w:left w:val="none" w:sz="0" w:space="0" w:color="auto"/>
        <w:bottom w:val="none" w:sz="0" w:space="0" w:color="auto"/>
        <w:right w:val="none" w:sz="0" w:space="0" w:color="auto"/>
      </w:divBdr>
    </w:div>
    <w:div w:id="1369794478">
      <w:bodyDiv w:val="1"/>
      <w:marLeft w:val="0"/>
      <w:marRight w:val="0"/>
      <w:marTop w:val="0"/>
      <w:marBottom w:val="0"/>
      <w:divBdr>
        <w:top w:val="none" w:sz="0" w:space="0" w:color="auto"/>
        <w:left w:val="none" w:sz="0" w:space="0" w:color="auto"/>
        <w:bottom w:val="none" w:sz="0" w:space="0" w:color="auto"/>
        <w:right w:val="none" w:sz="0" w:space="0" w:color="auto"/>
      </w:divBdr>
    </w:div>
    <w:div w:id="1390037792">
      <w:bodyDiv w:val="1"/>
      <w:marLeft w:val="0"/>
      <w:marRight w:val="0"/>
      <w:marTop w:val="0"/>
      <w:marBottom w:val="0"/>
      <w:divBdr>
        <w:top w:val="none" w:sz="0" w:space="0" w:color="auto"/>
        <w:left w:val="none" w:sz="0" w:space="0" w:color="auto"/>
        <w:bottom w:val="none" w:sz="0" w:space="0" w:color="auto"/>
        <w:right w:val="none" w:sz="0" w:space="0" w:color="auto"/>
      </w:divBdr>
    </w:div>
    <w:div w:id="1392313874">
      <w:bodyDiv w:val="1"/>
      <w:marLeft w:val="0"/>
      <w:marRight w:val="0"/>
      <w:marTop w:val="0"/>
      <w:marBottom w:val="0"/>
      <w:divBdr>
        <w:top w:val="none" w:sz="0" w:space="0" w:color="auto"/>
        <w:left w:val="none" w:sz="0" w:space="0" w:color="auto"/>
        <w:bottom w:val="none" w:sz="0" w:space="0" w:color="auto"/>
        <w:right w:val="none" w:sz="0" w:space="0" w:color="auto"/>
      </w:divBdr>
    </w:div>
    <w:div w:id="1406685654">
      <w:bodyDiv w:val="1"/>
      <w:marLeft w:val="0"/>
      <w:marRight w:val="0"/>
      <w:marTop w:val="0"/>
      <w:marBottom w:val="0"/>
      <w:divBdr>
        <w:top w:val="none" w:sz="0" w:space="0" w:color="auto"/>
        <w:left w:val="none" w:sz="0" w:space="0" w:color="auto"/>
        <w:bottom w:val="none" w:sz="0" w:space="0" w:color="auto"/>
        <w:right w:val="none" w:sz="0" w:space="0" w:color="auto"/>
      </w:divBdr>
    </w:div>
    <w:div w:id="1420516948">
      <w:bodyDiv w:val="1"/>
      <w:marLeft w:val="0"/>
      <w:marRight w:val="0"/>
      <w:marTop w:val="0"/>
      <w:marBottom w:val="0"/>
      <w:divBdr>
        <w:top w:val="none" w:sz="0" w:space="0" w:color="auto"/>
        <w:left w:val="none" w:sz="0" w:space="0" w:color="auto"/>
        <w:bottom w:val="none" w:sz="0" w:space="0" w:color="auto"/>
        <w:right w:val="none" w:sz="0" w:space="0" w:color="auto"/>
      </w:divBdr>
    </w:div>
    <w:div w:id="1450004619">
      <w:bodyDiv w:val="1"/>
      <w:marLeft w:val="0"/>
      <w:marRight w:val="0"/>
      <w:marTop w:val="0"/>
      <w:marBottom w:val="0"/>
      <w:divBdr>
        <w:top w:val="none" w:sz="0" w:space="0" w:color="auto"/>
        <w:left w:val="none" w:sz="0" w:space="0" w:color="auto"/>
        <w:bottom w:val="none" w:sz="0" w:space="0" w:color="auto"/>
        <w:right w:val="none" w:sz="0" w:space="0" w:color="auto"/>
      </w:divBdr>
    </w:div>
    <w:div w:id="1451826842">
      <w:bodyDiv w:val="1"/>
      <w:marLeft w:val="0"/>
      <w:marRight w:val="0"/>
      <w:marTop w:val="0"/>
      <w:marBottom w:val="0"/>
      <w:divBdr>
        <w:top w:val="none" w:sz="0" w:space="0" w:color="auto"/>
        <w:left w:val="none" w:sz="0" w:space="0" w:color="auto"/>
        <w:bottom w:val="none" w:sz="0" w:space="0" w:color="auto"/>
        <w:right w:val="none" w:sz="0" w:space="0" w:color="auto"/>
      </w:divBdr>
    </w:div>
    <w:div w:id="1475413715">
      <w:bodyDiv w:val="1"/>
      <w:marLeft w:val="0"/>
      <w:marRight w:val="0"/>
      <w:marTop w:val="0"/>
      <w:marBottom w:val="0"/>
      <w:divBdr>
        <w:top w:val="none" w:sz="0" w:space="0" w:color="auto"/>
        <w:left w:val="none" w:sz="0" w:space="0" w:color="auto"/>
        <w:bottom w:val="none" w:sz="0" w:space="0" w:color="auto"/>
        <w:right w:val="none" w:sz="0" w:space="0" w:color="auto"/>
      </w:divBdr>
    </w:div>
    <w:div w:id="1475566619">
      <w:bodyDiv w:val="1"/>
      <w:marLeft w:val="0"/>
      <w:marRight w:val="0"/>
      <w:marTop w:val="0"/>
      <w:marBottom w:val="0"/>
      <w:divBdr>
        <w:top w:val="none" w:sz="0" w:space="0" w:color="auto"/>
        <w:left w:val="none" w:sz="0" w:space="0" w:color="auto"/>
        <w:bottom w:val="none" w:sz="0" w:space="0" w:color="auto"/>
        <w:right w:val="none" w:sz="0" w:space="0" w:color="auto"/>
      </w:divBdr>
    </w:div>
    <w:div w:id="1478766145">
      <w:bodyDiv w:val="1"/>
      <w:marLeft w:val="0"/>
      <w:marRight w:val="0"/>
      <w:marTop w:val="0"/>
      <w:marBottom w:val="0"/>
      <w:divBdr>
        <w:top w:val="none" w:sz="0" w:space="0" w:color="auto"/>
        <w:left w:val="none" w:sz="0" w:space="0" w:color="auto"/>
        <w:bottom w:val="none" w:sz="0" w:space="0" w:color="auto"/>
        <w:right w:val="none" w:sz="0" w:space="0" w:color="auto"/>
      </w:divBdr>
    </w:div>
    <w:div w:id="1485703368">
      <w:bodyDiv w:val="1"/>
      <w:marLeft w:val="0"/>
      <w:marRight w:val="0"/>
      <w:marTop w:val="0"/>
      <w:marBottom w:val="0"/>
      <w:divBdr>
        <w:top w:val="none" w:sz="0" w:space="0" w:color="auto"/>
        <w:left w:val="none" w:sz="0" w:space="0" w:color="auto"/>
        <w:bottom w:val="none" w:sz="0" w:space="0" w:color="auto"/>
        <w:right w:val="none" w:sz="0" w:space="0" w:color="auto"/>
      </w:divBdr>
    </w:div>
    <w:div w:id="1517961342">
      <w:bodyDiv w:val="1"/>
      <w:marLeft w:val="0"/>
      <w:marRight w:val="0"/>
      <w:marTop w:val="0"/>
      <w:marBottom w:val="0"/>
      <w:divBdr>
        <w:top w:val="none" w:sz="0" w:space="0" w:color="auto"/>
        <w:left w:val="none" w:sz="0" w:space="0" w:color="auto"/>
        <w:bottom w:val="none" w:sz="0" w:space="0" w:color="auto"/>
        <w:right w:val="none" w:sz="0" w:space="0" w:color="auto"/>
      </w:divBdr>
    </w:div>
    <w:div w:id="1574587927">
      <w:bodyDiv w:val="1"/>
      <w:marLeft w:val="0"/>
      <w:marRight w:val="0"/>
      <w:marTop w:val="0"/>
      <w:marBottom w:val="0"/>
      <w:divBdr>
        <w:top w:val="none" w:sz="0" w:space="0" w:color="auto"/>
        <w:left w:val="none" w:sz="0" w:space="0" w:color="auto"/>
        <w:bottom w:val="none" w:sz="0" w:space="0" w:color="auto"/>
        <w:right w:val="none" w:sz="0" w:space="0" w:color="auto"/>
      </w:divBdr>
    </w:div>
    <w:div w:id="1614288276">
      <w:bodyDiv w:val="1"/>
      <w:marLeft w:val="0"/>
      <w:marRight w:val="0"/>
      <w:marTop w:val="0"/>
      <w:marBottom w:val="0"/>
      <w:divBdr>
        <w:top w:val="none" w:sz="0" w:space="0" w:color="auto"/>
        <w:left w:val="none" w:sz="0" w:space="0" w:color="auto"/>
        <w:bottom w:val="none" w:sz="0" w:space="0" w:color="auto"/>
        <w:right w:val="none" w:sz="0" w:space="0" w:color="auto"/>
      </w:divBdr>
    </w:div>
    <w:div w:id="1645041793">
      <w:bodyDiv w:val="1"/>
      <w:marLeft w:val="0"/>
      <w:marRight w:val="0"/>
      <w:marTop w:val="0"/>
      <w:marBottom w:val="0"/>
      <w:divBdr>
        <w:top w:val="none" w:sz="0" w:space="0" w:color="auto"/>
        <w:left w:val="none" w:sz="0" w:space="0" w:color="auto"/>
        <w:bottom w:val="none" w:sz="0" w:space="0" w:color="auto"/>
        <w:right w:val="none" w:sz="0" w:space="0" w:color="auto"/>
      </w:divBdr>
    </w:div>
    <w:div w:id="1671106084">
      <w:bodyDiv w:val="1"/>
      <w:marLeft w:val="0"/>
      <w:marRight w:val="0"/>
      <w:marTop w:val="0"/>
      <w:marBottom w:val="0"/>
      <w:divBdr>
        <w:top w:val="none" w:sz="0" w:space="0" w:color="auto"/>
        <w:left w:val="none" w:sz="0" w:space="0" w:color="auto"/>
        <w:bottom w:val="none" w:sz="0" w:space="0" w:color="auto"/>
        <w:right w:val="none" w:sz="0" w:space="0" w:color="auto"/>
      </w:divBdr>
    </w:div>
    <w:div w:id="1674183968">
      <w:bodyDiv w:val="1"/>
      <w:marLeft w:val="0"/>
      <w:marRight w:val="0"/>
      <w:marTop w:val="0"/>
      <w:marBottom w:val="0"/>
      <w:divBdr>
        <w:top w:val="none" w:sz="0" w:space="0" w:color="auto"/>
        <w:left w:val="none" w:sz="0" w:space="0" w:color="auto"/>
        <w:bottom w:val="none" w:sz="0" w:space="0" w:color="auto"/>
        <w:right w:val="none" w:sz="0" w:space="0" w:color="auto"/>
      </w:divBdr>
    </w:div>
    <w:div w:id="1795365599">
      <w:bodyDiv w:val="1"/>
      <w:marLeft w:val="0"/>
      <w:marRight w:val="0"/>
      <w:marTop w:val="0"/>
      <w:marBottom w:val="0"/>
      <w:divBdr>
        <w:top w:val="none" w:sz="0" w:space="0" w:color="auto"/>
        <w:left w:val="none" w:sz="0" w:space="0" w:color="auto"/>
        <w:bottom w:val="none" w:sz="0" w:space="0" w:color="auto"/>
        <w:right w:val="none" w:sz="0" w:space="0" w:color="auto"/>
      </w:divBdr>
    </w:div>
    <w:div w:id="1802336744">
      <w:bodyDiv w:val="1"/>
      <w:marLeft w:val="0"/>
      <w:marRight w:val="0"/>
      <w:marTop w:val="0"/>
      <w:marBottom w:val="0"/>
      <w:divBdr>
        <w:top w:val="none" w:sz="0" w:space="0" w:color="auto"/>
        <w:left w:val="none" w:sz="0" w:space="0" w:color="auto"/>
        <w:bottom w:val="none" w:sz="0" w:space="0" w:color="auto"/>
        <w:right w:val="none" w:sz="0" w:space="0" w:color="auto"/>
      </w:divBdr>
    </w:div>
    <w:div w:id="1901285041">
      <w:bodyDiv w:val="1"/>
      <w:marLeft w:val="0"/>
      <w:marRight w:val="0"/>
      <w:marTop w:val="0"/>
      <w:marBottom w:val="0"/>
      <w:divBdr>
        <w:top w:val="none" w:sz="0" w:space="0" w:color="auto"/>
        <w:left w:val="none" w:sz="0" w:space="0" w:color="auto"/>
        <w:bottom w:val="none" w:sz="0" w:space="0" w:color="auto"/>
        <w:right w:val="none" w:sz="0" w:space="0" w:color="auto"/>
      </w:divBdr>
    </w:div>
    <w:div w:id="1922790690">
      <w:bodyDiv w:val="1"/>
      <w:marLeft w:val="0"/>
      <w:marRight w:val="0"/>
      <w:marTop w:val="0"/>
      <w:marBottom w:val="0"/>
      <w:divBdr>
        <w:top w:val="none" w:sz="0" w:space="0" w:color="auto"/>
        <w:left w:val="none" w:sz="0" w:space="0" w:color="auto"/>
        <w:bottom w:val="none" w:sz="0" w:space="0" w:color="auto"/>
        <w:right w:val="none" w:sz="0" w:space="0" w:color="auto"/>
      </w:divBdr>
    </w:div>
    <w:div w:id="2019696943">
      <w:bodyDiv w:val="1"/>
      <w:marLeft w:val="0"/>
      <w:marRight w:val="0"/>
      <w:marTop w:val="0"/>
      <w:marBottom w:val="0"/>
      <w:divBdr>
        <w:top w:val="none" w:sz="0" w:space="0" w:color="auto"/>
        <w:left w:val="none" w:sz="0" w:space="0" w:color="auto"/>
        <w:bottom w:val="none" w:sz="0" w:space="0" w:color="auto"/>
        <w:right w:val="none" w:sz="0" w:space="0" w:color="auto"/>
      </w:divBdr>
    </w:div>
    <w:div w:id="2042899241">
      <w:bodyDiv w:val="1"/>
      <w:marLeft w:val="0"/>
      <w:marRight w:val="0"/>
      <w:marTop w:val="0"/>
      <w:marBottom w:val="0"/>
      <w:divBdr>
        <w:top w:val="none" w:sz="0" w:space="0" w:color="auto"/>
        <w:left w:val="none" w:sz="0" w:space="0" w:color="auto"/>
        <w:bottom w:val="none" w:sz="0" w:space="0" w:color="auto"/>
        <w:right w:val="none" w:sz="0" w:space="0" w:color="auto"/>
      </w:divBdr>
    </w:div>
    <w:div w:id="2053337653">
      <w:bodyDiv w:val="1"/>
      <w:marLeft w:val="0"/>
      <w:marRight w:val="0"/>
      <w:marTop w:val="0"/>
      <w:marBottom w:val="0"/>
      <w:divBdr>
        <w:top w:val="none" w:sz="0" w:space="0" w:color="auto"/>
        <w:left w:val="none" w:sz="0" w:space="0" w:color="auto"/>
        <w:bottom w:val="none" w:sz="0" w:space="0" w:color="auto"/>
        <w:right w:val="none" w:sz="0" w:space="0" w:color="auto"/>
      </w:divBdr>
    </w:div>
    <w:div w:id="2103606129">
      <w:bodyDiv w:val="1"/>
      <w:marLeft w:val="0"/>
      <w:marRight w:val="0"/>
      <w:marTop w:val="0"/>
      <w:marBottom w:val="0"/>
      <w:divBdr>
        <w:top w:val="none" w:sz="0" w:space="0" w:color="auto"/>
        <w:left w:val="none" w:sz="0" w:space="0" w:color="auto"/>
        <w:bottom w:val="none" w:sz="0" w:space="0" w:color="auto"/>
        <w:right w:val="none" w:sz="0" w:space="0" w:color="auto"/>
      </w:divBdr>
    </w:div>
    <w:div w:id="2121412694">
      <w:bodyDiv w:val="1"/>
      <w:marLeft w:val="0"/>
      <w:marRight w:val="0"/>
      <w:marTop w:val="0"/>
      <w:marBottom w:val="0"/>
      <w:divBdr>
        <w:top w:val="none" w:sz="0" w:space="0" w:color="auto"/>
        <w:left w:val="none" w:sz="0" w:space="0" w:color="auto"/>
        <w:bottom w:val="none" w:sz="0" w:space="0" w:color="auto"/>
        <w:right w:val="none" w:sz="0" w:space="0" w:color="auto"/>
      </w:divBdr>
    </w:div>
    <w:div w:id="21300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Laverty</dc:creator>
  <cp:keywords/>
  <dc:description/>
  <cp:lastModifiedBy>Nina Nuzi</cp:lastModifiedBy>
  <cp:revision>4</cp:revision>
  <dcterms:created xsi:type="dcterms:W3CDTF">2023-05-18T10:08:00Z</dcterms:created>
  <dcterms:modified xsi:type="dcterms:W3CDTF">2023-05-18T10:15:00Z</dcterms:modified>
</cp:coreProperties>
</file>