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7BAD9" w14:textId="77777777" w:rsidR="0077170D" w:rsidRDefault="0077170D">
      <w:pPr>
        <w:pStyle w:val="BodyText"/>
        <w:rPr>
          <w:b/>
          <w:sz w:val="20"/>
        </w:rPr>
      </w:pPr>
    </w:p>
    <w:p w14:paraId="24C7FD90" w14:textId="7B09E5CF" w:rsidR="0077170D" w:rsidRPr="00670603" w:rsidRDefault="0077170D" w:rsidP="00670603">
      <w:pPr>
        <w:pStyle w:val="BodyText"/>
        <w:spacing w:before="2"/>
        <w:ind w:left="567" w:right="627"/>
        <w:rPr>
          <w:rFonts w:ascii="Arial" w:hAnsi="Arial" w:cs="Arial"/>
          <w:b/>
          <w:sz w:val="16"/>
        </w:rPr>
      </w:pPr>
    </w:p>
    <w:p w14:paraId="3F054E9C" w14:textId="77777777" w:rsidR="00670603" w:rsidRPr="00670603" w:rsidRDefault="00641228" w:rsidP="00670603">
      <w:pPr>
        <w:ind w:left="567" w:right="627"/>
        <w:jc w:val="center"/>
        <w:rPr>
          <w:rFonts w:asciiTheme="minorHAnsi" w:hAnsiTheme="minorHAnsi" w:cstheme="minorHAnsi"/>
          <w:b/>
          <w:bCs/>
          <w:spacing w:val="5"/>
        </w:rPr>
      </w:pPr>
      <w:r w:rsidRPr="00670603">
        <w:rPr>
          <w:rFonts w:asciiTheme="minorHAnsi" w:hAnsiTheme="minorHAnsi" w:cstheme="minorHAnsi"/>
          <w:b/>
          <w:bCs/>
          <w:spacing w:val="5"/>
        </w:rPr>
        <w:t>Watches of Switzerland Group PLC</w:t>
      </w:r>
    </w:p>
    <w:p w14:paraId="511EE441" w14:textId="281407A9" w:rsidR="00670603" w:rsidRPr="00670603" w:rsidRDefault="00641228" w:rsidP="00670603">
      <w:pPr>
        <w:ind w:left="567" w:right="627"/>
        <w:jc w:val="center"/>
        <w:rPr>
          <w:rFonts w:asciiTheme="minorHAnsi" w:hAnsiTheme="minorHAnsi" w:cstheme="minorHAnsi"/>
          <w:b/>
          <w:bCs/>
          <w:spacing w:val="5"/>
        </w:rPr>
      </w:pPr>
      <w:r w:rsidRPr="00670603">
        <w:rPr>
          <w:rFonts w:asciiTheme="minorHAnsi" w:hAnsiTheme="minorHAnsi" w:cstheme="minorHAnsi"/>
          <w:b/>
          <w:bCs/>
          <w:spacing w:val="5"/>
        </w:rPr>
        <w:t xml:space="preserve">Result of AGM held on </w:t>
      </w:r>
      <w:r w:rsidR="00A5075F">
        <w:rPr>
          <w:rFonts w:asciiTheme="minorHAnsi" w:hAnsiTheme="minorHAnsi" w:cstheme="minorHAnsi"/>
          <w:b/>
          <w:bCs/>
          <w:spacing w:val="5"/>
        </w:rPr>
        <w:t>3</w:t>
      </w:r>
      <w:r w:rsidR="00017BF1" w:rsidRPr="00017BF1">
        <w:rPr>
          <w:rFonts w:asciiTheme="minorHAnsi" w:hAnsiTheme="minorHAnsi" w:cstheme="minorHAnsi"/>
          <w:b/>
          <w:bCs/>
          <w:spacing w:val="5"/>
          <w:vertAlign w:val="superscript"/>
        </w:rPr>
        <w:t>rd</w:t>
      </w:r>
      <w:r w:rsidR="00017BF1">
        <w:rPr>
          <w:rFonts w:asciiTheme="minorHAnsi" w:hAnsiTheme="minorHAnsi" w:cstheme="minorHAnsi"/>
          <w:b/>
          <w:bCs/>
          <w:spacing w:val="5"/>
        </w:rPr>
        <w:t xml:space="preserve"> September</w:t>
      </w:r>
      <w:r w:rsidR="00A5075F">
        <w:rPr>
          <w:rFonts w:asciiTheme="minorHAnsi" w:hAnsiTheme="minorHAnsi" w:cstheme="minorHAnsi"/>
          <w:b/>
          <w:bCs/>
          <w:spacing w:val="5"/>
        </w:rPr>
        <w:t xml:space="preserve"> 202</w:t>
      </w:r>
      <w:r w:rsidR="00992EC6">
        <w:rPr>
          <w:rFonts w:asciiTheme="minorHAnsi" w:hAnsiTheme="minorHAnsi" w:cstheme="minorHAnsi"/>
          <w:b/>
          <w:bCs/>
          <w:spacing w:val="5"/>
        </w:rPr>
        <w:t>5</w:t>
      </w:r>
    </w:p>
    <w:p w14:paraId="67973B37" w14:textId="10A4D35A" w:rsidR="00670603" w:rsidRDefault="00670603" w:rsidP="00670603">
      <w:pPr>
        <w:ind w:left="567" w:right="627"/>
        <w:jc w:val="center"/>
        <w:rPr>
          <w:rFonts w:asciiTheme="minorHAnsi" w:hAnsiTheme="minorHAnsi" w:cstheme="minorHAnsi"/>
          <w:b/>
          <w:bCs/>
          <w:spacing w:val="-2"/>
          <w:w w:val="120"/>
        </w:rPr>
      </w:pPr>
    </w:p>
    <w:p w14:paraId="1E4CED81" w14:textId="77777777" w:rsidR="00D508C2" w:rsidRDefault="00D508C2" w:rsidP="00670603">
      <w:pPr>
        <w:ind w:left="567" w:right="627"/>
        <w:jc w:val="center"/>
        <w:rPr>
          <w:rFonts w:asciiTheme="minorHAnsi" w:hAnsiTheme="minorHAnsi" w:cstheme="minorHAnsi"/>
          <w:b/>
          <w:bCs/>
          <w:spacing w:val="-2"/>
          <w:w w:val="120"/>
        </w:rPr>
      </w:pPr>
    </w:p>
    <w:p w14:paraId="556B9BBA" w14:textId="3EB2C53D" w:rsidR="0077170D" w:rsidRPr="00670603" w:rsidRDefault="00641228" w:rsidP="00D508C2">
      <w:pPr>
        <w:ind w:left="1134" w:right="627"/>
        <w:rPr>
          <w:rFonts w:asciiTheme="minorHAnsi" w:hAnsiTheme="minorHAnsi" w:cstheme="minorHAnsi"/>
          <w:spacing w:val="5"/>
        </w:rPr>
      </w:pPr>
      <w:r w:rsidRPr="00670603">
        <w:rPr>
          <w:rFonts w:asciiTheme="minorHAnsi" w:hAnsiTheme="minorHAnsi" w:cstheme="minorHAnsi"/>
          <w:spacing w:val="5"/>
        </w:rPr>
        <w:t xml:space="preserve">The Board is pleased to announce that </w:t>
      </w:r>
      <w:proofErr w:type="gramStart"/>
      <w:r w:rsidRPr="00670603">
        <w:rPr>
          <w:rFonts w:asciiTheme="minorHAnsi" w:hAnsiTheme="minorHAnsi" w:cstheme="minorHAnsi"/>
          <w:spacing w:val="5"/>
        </w:rPr>
        <w:t>all of</w:t>
      </w:r>
      <w:proofErr w:type="gramEnd"/>
      <w:r w:rsidRPr="00670603">
        <w:rPr>
          <w:rFonts w:asciiTheme="minorHAnsi" w:hAnsiTheme="minorHAnsi" w:cstheme="minorHAnsi"/>
          <w:spacing w:val="5"/>
        </w:rPr>
        <w:t xml:space="preserve"> the resolutions set out in the Company's notice of AGM </w:t>
      </w:r>
      <w:r w:rsidRPr="00176763">
        <w:rPr>
          <w:rFonts w:asciiTheme="minorHAnsi" w:hAnsiTheme="minorHAnsi" w:cstheme="minorHAnsi"/>
          <w:spacing w:val="5"/>
        </w:rPr>
        <w:t>dated</w:t>
      </w:r>
      <w:r w:rsidR="00353E0E" w:rsidRPr="00176763">
        <w:rPr>
          <w:rFonts w:asciiTheme="minorHAnsi" w:hAnsiTheme="minorHAnsi" w:cstheme="minorHAnsi"/>
          <w:spacing w:val="5"/>
        </w:rPr>
        <w:t xml:space="preserve"> </w:t>
      </w:r>
      <w:r w:rsidR="001E0A52" w:rsidRPr="00176763">
        <w:rPr>
          <w:rFonts w:asciiTheme="minorHAnsi" w:hAnsiTheme="minorHAnsi" w:cstheme="minorHAnsi"/>
          <w:spacing w:val="5"/>
        </w:rPr>
        <w:t>11</w:t>
      </w:r>
      <w:r w:rsidR="00DC2B34" w:rsidRPr="00176763">
        <w:rPr>
          <w:rFonts w:asciiTheme="minorHAnsi" w:hAnsiTheme="minorHAnsi" w:cstheme="minorHAnsi"/>
          <w:spacing w:val="5"/>
        </w:rPr>
        <w:t xml:space="preserve"> July 202</w:t>
      </w:r>
      <w:r w:rsidR="001E0A52" w:rsidRPr="00176763">
        <w:rPr>
          <w:rFonts w:asciiTheme="minorHAnsi" w:hAnsiTheme="minorHAnsi" w:cstheme="minorHAnsi"/>
          <w:spacing w:val="5"/>
        </w:rPr>
        <w:t>5</w:t>
      </w:r>
      <w:r w:rsidR="00670603" w:rsidRPr="00176763">
        <w:rPr>
          <w:rFonts w:asciiTheme="minorHAnsi" w:hAnsiTheme="minorHAnsi" w:cstheme="minorHAnsi"/>
          <w:spacing w:val="5"/>
        </w:rPr>
        <w:t xml:space="preserve"> </w:t>
      </w:r>
      <w:r w:rsidRPr="00176763">
        <w:rPr>
          <w:rFonts w:asciiTheme="minorHAnsi" w:hAnsiTheme="minorHAnsi" w:cstheme="minorHAnsi"/>
          <w:spacing w:val="5"/>
        </w:rPr>
        <w:t>were</w:t>
      </w:r>
      <w:r w:rsidRPr="00670603">
        <w:rPr>
          <w:rFonts w:asciiTheme="minorHAnsi" w:hAnsiTheme="minorHAnsi" w:cstheme="minorHAnsi"/>
          <w:spacing w:val="5"/>
        </w:rPr>
        <w:t xml:space="preserve"> voted on by way of a poll and were passed.</w:t>
      </w:r>
    </w:p>
    <w:p w14:paraId="1C4202CB" w14:textId="77777777" w:rsidR="0077170D" w:rsidRPr="00670603" w:rsidRDefault="0077170D" w:rsidP="00D508C2">
      <w:pPr>
        <w:ind w:left="1134" w:right="627"/>
        <w:rPr>
          <w:rFonts w:asciiTheme="minorHAnsi" w:hAnsiTheme="minorHAnsi" w:cstheme="minorHAnsi"/>
          <w:spacing w:val="5"/>
        </w:rPr>
      </w:pPr>
    </w:p>
    <w:p w14:paraId="2B71DF84" w14:textId="77777777" w:rsidR="0077170D" w:rsidRPr="00670603" w:rsidRDefault="00641228" w:rsidP="00D508C2">
      <w:pPr>
        <w:pStyle w:val="BodyText"/>
        <w:ind w:left="1134" w:right="627"/>
        <w:rPr>
          <w:rFonts w:asciiTheme="minorHAnsi" w:hAnsiTheme="minorHAnsi" w:cstheme="minorHAnsi"/>
          <w:spacing w:val="5"/>
          <w:sz w:val="22"/>
          <w:szCs w:val="22"/>
        </w:rPr>
      </w:pPr>
      <w:r w:rsidRPr="00670603">
        <w:rPr>
          <w:rFonts w:asciiTheme="minorHAnsi" w:hAnsiTheme="minorHAnsi" w:cstheme="minorHAnsi"/>
          <w:spacing w:val="5"/>
          <w:sz w:val="22"/>
          <w:szCs w:val="22"/>
        </w:rPr>
        <w:t>The final voting figures are shown below.</w:t>
      </w:r>
    </w:p>
    <w:p w14:paraId="4A98A684" w14:textId="77777777" w:rsidR="0077170D" w:rsidRPr="00670603" w:rsidRDefault="0077170D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</w:pPr>
    </w:p>
    <w:tbl>
      <w:tblPr>
        <w:tblW w:w="9641" w:type="dxa"/>
        <w:tblInd w:w="9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2"/>
        <w:gridCol w:w="1405"/>
        <w:gridCol w:w="1417"/>
        <w:gridCol w:w="993"/>
        <w:gridCol w:w="1288"/>
        <w:gridCol w:w="1120"/>
        <w:gridCol w:w="996"/>
      </w:tblGrid>
      <w:tr w:rsidR="001B3746" w:rsidRPr="00670603" w14:paraId="593ABD83" w14:textId="77777777" w:rsidTr="00E05E72">
        <w:trPr>
          <w:trHeight w:val="501"/>
        </w:trPr>
        <w:tc>
          <w:tcPr>
            <w:tcW w:w="2422" w:type="dxa"/>
          </w:tcPr>
          <w:p w14:paraId="5D38EE71" w14:textId="77777777" w:rsidR="001B3746" w:rsidRPr="001B3746" w:rsidRDefault="001B3746">
            <w:pPr>
              <w:pStyle w:val="TableParagraph"/>
              <w:ind w:left="64" w:right="0"/>
              <w:jc w:val="left"/>
              <w:rPr>
                <w:rFonts w:asciiTheme="minorHAnsi" w:hAnsiTheme="minorHAnsi" w:cstheme="minorHAnsi"/>
                <w:b/>
                <w:bCs/>
                <w:w w:val="125"/>
                <w:sz w:val="18"/>
                <w:szCs w:val="18"/>
              </w:rPr>
            </w:pPr>
            <w:r w:rsidRPr="001B3746">
              <w:rPr>
                <w:rFonts w:asciiTheme="minorHAnsi" w:hAnsiTheme="minorHAnsi" w:cstheme="minorHAnsi"/>
                <w:b/>
                <w:bCs/>
                <w:w w:val="125"/>
                <w:sz w:val="18"/>
                <w:szCs w:val="18"/>
              </w:rPr>
              <w:t>Resolution</w:t>
            </w:r>
          </w:p>
        </w:tc>
        <w:tc>
          <w:tcPr>
            <w:tcW w:w="1405" w:type="dxa"/>
          </w:tcPr>
          <w:p w14:paraId="6C2052BE" w14:textId="66CFA1BD" w:rsidR="001B3746" w:rsidRPr="001B3746" w:rsidRDefault="001B3746">
            <w:pPr>
              <w:pStyle w:val="TableParagraph"/>
              <w:spacing w:line="268" w:lineRule="auto"/>
              <w:ind w:left="64" w:right="31"/>
              <w:jc w:val="left"/>
              <w:rPr>
                <w:rFonts w:asciiTheme="minorHAnsi" w:hAnsiTheme="minorHAnsi" w:cstheme="minorHAnsi"/>
                <w:b/>
                <w:bCs/>
                <w:w w:val="125"/>
                <w:sz w:val="18"/>
                <w:szCs w:val="18"/>
              </w:rPr>
            </w:pPr>
            <w:r w:rsidRPr="001B3746">
              <w:rPr>
                <w:rFonts w:asciiTheme="minorHAnsi" w:hAnsiTheme="minorHAnsi" w:cstheme="minorHAnsi"/>
                <w:b/>
                <w:bCs/>
                <w:w w:val="125"/>
                <w:sz w:val="18"/>
                <w:szCs w:val="18"/>
              </w:rPr>
              <w:t>Total Votes cast</w:t>
            </w:r>
          </w:p>
        </w:tc>
        <w:tc>
          <w:tcPr>
            <w:tcW w:w="2410" w:type="dxa"/>
            <w:gridSpan w:val="2"/>
          </w:tcPr>
          <w:p w14:paraId="45A2F8A9" w14:textId="3DAA9454" w:rsidR="001B3746" w:rsidRPr="001B3746" w:rsidRDefault="001B3746" w:rsidP="00670603">
            <w:pPr>
              <w:pStyle w:val="TableParagraph"/>
              <w:ind w:left="394" w:right="0"/>
              <w:jc w:val="center"/>
              <w:rPr>
                <w:rFonts w:asciiTheme="minorHAnsi" w:hAnsiTheme="minorHAnsi" w:cstheme="minorHAnsi"/>
                <w:b/>
                <w:bCs/>
                <w:w w:val="125"/>
                <w:sz w:val="18"/>
                <w:szCs w:val="18"/>
              </w:rPr>
            </w:pPr>
            <w:r w:rsidRPr="001B3746">
              <w:rPr>
                <w:rFonts w:asciiTheme="minorHAnsi" w:hAnsiTheme="minorHAnsi" w:cstheme="minorHAnsi"/>
                <w:b/>
                <w:bCs/>
                <w:w w:val="125"/>
                <w:sz w:val="18"/>
                <w:szCs w:val="18"/>
              </w:rPr>
              <w:t>For</w:t>
            </w:r>
          </w:p>
        </w:tc>
        <w:tc>
          <w:tcPr>
            <w:tcW w:w="2408" w:type="dxa"/>
            <w:gridSpan w:val="2"/>
          </w:tcPr>
          <w:p w14:paraId="66B73BE2" w14:textId="7C88ED9B" w:rsidR="001B3746" w:rsidRPr="001B3746" w:rsidRDefault="001B3746" w:rsidP="00670603">
            <w:pPr>
              <w:pStyle w:val="TableParagraph"/>
              <w:ind w:left="394" w:right="0"/>
              <w:jc w:val="center"/>
              <w:rPr>
                <w:rFonts w:asciiTheme="minorHAnsi" w:hAnsiTheme="minorHAnsi" w:cstheme="minorHAnsi"/>
                <w:b/>
                <w:bCs/>
                <w:w w:val="125"/>
                <w:sz w:val="18"/>
                <w:szCs w:val="18"/>
              </w:rPr>
            </w:pPr>
            <w:r w:rsidRPr="001B3746">
              <w:rPr>
                <w:rFonts w:asciiTheme="minorHAnsi" w:hAnsiTheme="minorHAnsi" w:cstheme="minorHAnsi"/>
                <w:b/>
                <w:bCs/>
                <w:w w:val="125"/>
                <w:sz w:val="18"/>
                <w:szCs w:val="18"/>
              </w:rPr>
              <w:t>Against</w:t>
            </w:r>
          </w:p>
        </w:tc>
        <w:tc>
          <w:tcPr>
            <w:tcW w:w="996" w:type="dxa"/>
          </w:tcPr>
          <w:p w14:paraId="1093DEFE" w14:textId="3ECFE36E" w:rsidR="001B3746" w:rsidRPr="001B3746" w:rsidRDefault="001B3746" w:rsidP="001B3746">
            <w:pPr>
              <w:pStyle w:val="TableParagraph"/>
              <w:ind w:right="0" w:hanging="4"/>
              <w:jc w:val="center"/>
              <w:rPr>
                <w:rFonts w:asciiTheme="minorHAnsi" w:hAnsiTheme="minorHAnsi" w:cstheme="minorHAnsi"/>
                <w:b/>
                <w:bCs/>
                <w:w w:val="125"/>
                <w:sz w:val="18"/>
                <w:szCs w:val="18"/>
              </w:rPr>
            </w:pPr>
            <w:r w:rsidRPr="001B3746">
              <w:rPr>
                <w:rFonts w:asciiTheme="minorHAnsi" w:hAnsiTheme="minorHAnsi" w:cstheme="minorHAnsi"/>
                <w:b/>
                <w:bCs/>
                <w:w w:val="125"/>
                <w:sz w:val="18"/>
                <w:szCs w:val="18"/>
              </w:rPr>
              <w:t>Withheld</w:t>
            </w:r>
          </w:p>
        </w:tc>
      </w:tr>
      <w:tr w:rsidR="001B3746" w:rsidRPr="00670603" w14:paraId="05F5DD0E" w14:textId="77777777" w:rsidTr="00E05E72">
        <w:trPr>
          <w:trHeight w:val="333"/>
        </w:trPr>
        <w:tc>
          <w:tcPr>
            <w:tcW w:w="2422" w:type="dxa"/>
          </w:tcPr>
          <w:p w14:paraId="3D85307E" w14:textId="77777777" w:rsidR="001B3746" w:rsidRPr="001B3746" w:rsidRDefault="001B3746">
            <w:pPr>
              <w:pStyle w:val="TableParagraph"/>
              <w:spacing w:line="240" w:lineRule="auto"/>
              <w:ind w:right="0"/>
              <w:jc w:val="left"/>
              <w:rPr>
                <w:rFonts w:asciiTheme="minorHAnsi" w:hAnsiTheme="minorHAnsi" w:cstheme="minorHAnsi"/>
                <w:b/>
                <w:bCs/>
                <w:w w:val="125"/>
                <w:sz w:val="18"/>
                <w:szCs w:val="18"/>
              </w:rPr>
            </w:pPr>
          </w:p>
        </w:tc>
        <w:tc>
          <w:tcPr>
            <w:tcW w:w="1405" w:type="dxa"/>
          </w:tcPr>
          <w:p w14:paraId="39A22CD0" w14:textId="77777777" w:rsidR="001B3746" w:rsidRPr="001B3746" w:rsidRDefault="001B3746">
            <w:pPr>
              <w:pStyle w:val="TableParagraph"/>
              <w:ind w:left="64" w:right="0"/>
              <w:jc w:val="left"/>
              <w:rPr>
                <w:rFonts w:asciiTheme="minorHAnsi" w:hAnsiTheme="minorHAnsi" w:cstheme="minorHAnsi"/>
                <w:b/>
                <w:bCs/>
                <w:w w:val="125"/>
                <w:sz w:val="18"/>
                <w:szCs w:val="18"/>
              </w:rPr>
            </w:pPr>
            <w:r w:rsidRPr="001B3746">
              <w:rPr>
                <w:rFonts w:asciiTheme="minorHAnsi" w:hAnsiTheme="minorHAnsi" w:cstheme="minorHAnsi"/>
                <w:b/>
                <w:bCs/>
                <w:w w:val="125"/>
                <w:sz w:val="18"/>
                <w:szCs w:val="18"/>
              </w:rPr>
              <w:t>Number</w:t>
            </w:r>
          </w:p>
        </w:tc>
        <w:tc>
          <w:tcPr>
            <w:tcW w:w="1417" w:type="dxa"/>
          </w:tcPr>
          <w:p w14:paraId="120CB39A" w14:textId="49A6A452" w:rsidR="001B3746" w:rsidRPr="001B3746" w:rsidRDefault="001B3746" w:rsidP="00670603">
            <w:pPr>
              <w:pStyle w:val="TableParagraph"/>
              <w:ind w:right="90"/>
              <w:jc w:val="center"/>
              <w:rPr>
                <w:rFonts w:asciiTheme="minorHAnsi" w:hAnsiTheme="minorHAnsi" w:cstheme="minorHAnsi"/>
                <w:b/>
                <w:bCs/>
                <w:w w:val="125"/>
                <w:sz w:val="18"/>
                <w:szCs w:val="18"/>
              </w:rPr>
            </w:pPr>
            <w:r w:rsidRPr="001B3746">
              <w:rPr>
                <w:rFonts w:asciiTheme="minorHAnsi" w:hAnsiTheme="minorHAnsi" w:cstheme="minorHAnsi"/>
                <w:b/>
                <w:bCs/>
                <w:w w:val="125"/>
                <w:sz w:val="18"/>
                <w:szCs w:val="18"/>
              </w:rPr>
              <w:t>Number</w:t>
            </w:r>
          </w:p>
        </w:tc>
        <w:tc>
          <w:tcPr>
            <w:tcW w:w="993" w:type="dxa"/>
          </w:tcPr>
          <w:p w14:paraId="2755EFFD" w14:textId="4C7FE73C" w:rsidR="001B3746" w:rsidRPr="001B3746" w:rsidRDefault="001B3746" w:rsidP="001B3746">
            <w:pPr>
              <w:pStyle w:val="TableParagraph"/>
              <w:ind w:right="90"/>
              <w:jc w:val="center"/>
              <w:rPr>
                <w:rFonts w:asciiTheme="minorHAnsi" w:hAnsiTheme="minorHAnsi" w:cstheme="minorHAnsi"/>
                <w:b/>
                <w:bCs/>
                <w:w w:val="125"/>
                <w:sz w:val="18"/>
                <w:szCs w:val="18"/>
              </w:rPr>
            </w:pPr>
            <w:r w:rsidRPr="001B3746">
              <w:rPr>
                <w:rFonts w:asciiTheme="minorHAnsi" w:hAnsiTheme="minorHAnsi" w:cstheme="minorHAnsi"/>
                <w:b/>
                <w:bCs/>
                <w:w w:val="125"/>
                <w:sz w:val="18"/>
                <w:szCs w:val="18"/>
              </w:rPr>
              <w:t>%</w:t>
            </w:r>
          </w:p>
        </w:tc>
        <w:tc>
          <w:tcPr>
            <w:tcW w:w="1288" w:type="dxa"/>
          </w:tcPr>
          <w:p w14:paraId="02F83BDF" w14:textId="122B78EE" w:rsidR="001B3746" w:rsidRPr="001B3746" w:rsidRDefault="001B3746" w:rsidP="001B3746">
            <w:pPr>
              <w:pStyle w:val="TableParagraph"/>
              <w:ind w:right="90"/>
              <w:jc w:val="center"/>
              <w:rPr>
                <w:rFonts w:asciiTheme="minorHAnsi" w:hAnsiTheme="minorHAnsi" w:cstheme="minorHAnsi"/>
                <w:b/>
                <w:bCs/>
                <w:w w:val="125"/>
                <w:sz w:val="18"/>
                <w:szCs w:val="18"/>
              </w:rPr>
            </w:pPr>
            <w:r w:rsidRPr="001B3746">
              <w:rPr>
                <w:rFonts w:asciiTheme="minorHAnsi" w:hAnsiTheme="minorHAnsi" w:cstheme="minorHAnsi"/>
                <w:b/>
                <w:bCs/>
                <w:w w:val="125"/>
                <w:sz w:val="18"/>
                <w:szCs w:val="18"/>
              </w:rPr>
              <w:t>Number</w:t>
            </w:r>
          </w:p>
        </w:tc>
        <w:tc>
          <w:tcPr>
            <w:tcW w:w="1120" w:type="dxa"/>
          </w:tcPr>
          <w:p w14:paraId="2B96C0EA" w14:textId="0DC2846E" w:rsidR="001B3746" w:rsidRPr="001B3746" w:rsidRDefault="001B3746" w:rsidP="001B3746">
            <w:pPr>
              <w:pStyle w:val="TableParagraph"/>
              <w:ind w:right="90"/>
              <w:jc w:val="center"/>
              <w:rPr>
                <w:rFonts w:asciiTheme="minorHAnsi" w:hAnsiTheme="minorHAnsi" w:cstheme="minorHAnsi"/>
                <w:b/>
                <w:bCs/>
                <w:w w:val="125"/>
                <w:sz w:val="18"/>
                <w:szCs w:val="18"/>
              </w:rPr>
            </w:pPr>
            <w:r w:rsidRPr="001B3746">
              <w:rPr>
                <w:rFonts w:asciiTheme="minorHAnsi" w:hAnsiTheme="minorHAnsi" w:cstheme="minorHAnsi"/>
                <w:b/>
                <w:bCs/>
                <w:w w:val="125"/>
                <w:sz w:val="18"/>
                <w:szCs w:val="18"/>
              </w:rPr>
              <w:t>%</w:t>
            </w:r>
          </w:p>
        </w:tc>
        <w:tc>
          <w:tcPr>
            <w:tcW w:w="996" w:type="dxa"/>
          </w:tcPr>
          <w:p w14:paraId="51738AC7" w14:textId="4947FDC4" w:rsidR="001B3746" w:rsidRPr="001B3746" w:rsidRDefault="001B3746" w:rsidP="001B3746">
            <w:pPr>
              <w:pStyle w:val="TableParagraph"/>
              <w:ind w:left="9" w:right="0"/>
              <w:jc w:val="left"/>
              <w:rPr>
                <w:rFonts w:asciiTheme="minorHAnsi" w:hAnsiTheme="minorHAnsi" w:cstheme="minorHAnsi"/>
                <w:b/>
                <w:bCs/>
                <w:w w:val="125"/>
                <w:sz w:val="18"/>
                <w:szCs w:val="18"/>
              </w:rPr>
            </w:pPr>
            <w:r w:rsidRPr="001B3746">
              <w:rPr>
                <w:rFonts w:asciiTheme="minorHAnsi" w:hAnsiTheme="minorHAnsi" w:cstheme="minorHAnsi"/>
                <w:b/>
                <w:bCs/>
                <w:w w:val="125"/>
                <w:sz w:val="18"/>
                <w:szCs w:val="18"/>
              </w:rPr>
              <w:t>Number</w:t>
            </w:r>
          </w:p>
        </w:tc>
      </w:tr>
      <w:tr w:rsidR="00F94248" w:rsidRPr="007428BB" w14:paraId="19B20283" w14:textId="77777777" w:rsidTr="001C3DA8">
        <w:trPr>
          <w:trHeight w:val="1100"/>
        </w:trPr>
        <w:tc>
          <w:tcPr>
            <w:tcW w:w="2422" w:type="dxa"/>
            <w:vAlign w:val="bottom"/>
          </w:tcPr>
          <w:p w14:paraId="442E030E" w14:textId="591BD579" w:rsidR="00F94248" w:rsidRPr="00353E0E" w:rsidRDefault="00F94248" w:rsidP="00F94248">
            <w:pPr>
              <w:pStyle w:val="TableParagraph"/>
              <w:numPr>
                <w:ilvl w:val="0"/>
                <w:numId w:val="2"/>
              </w:numPr>
              <w:spacing w:line="240" w:lineRule="auto"/>
              <w:ind w:left="285" w:right="88" w:hanging="28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53E0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To receive the Group’s Annual Report and Accounts for the financial year ended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27 </w:t>
            </w:r>
            <w:r w:rsidRPr="00353E0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April 202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06EE" w14:textId="30A8806C" w:rsidR="00F94248" w:rsidRPr="00E3248B" w:rsidRDefault="00F94248" w:rsidP="00F94248">
            <w:pPr>
              <w:pStyle w:val="TableParagraph"/>
              <w:spacing w:line="240" w:lineRule="auto"/>
              <w:ind w:left="64" w:righ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48B">
              <w:rPr>
                <w:rFonts w:asciiTheme="minorHAnsi" w:hAnsiTheme="minorHAnsi" w:cstheme="minorHAnsi"/>
                <w:sz w:val="20"/>
                <w:szCs w:val="20"/>
              </w:rPr>
              <w:t>161,370,920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E572" w14:textId="37AA3A59" w:rsidR="00F94248" w:rsidRPr="00E3248B" w:rsidRDefault="00F94248" w:rsidP="00F94248">
            <w:pPr>
              <w:pStyle w:val="TableParagraph"/>
              <w:spacing w:line="240" w:lineRule="auto"/>
              <w:ind w:right="5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48B">
              <w:rPr>
                <w:rFonts w:asciiTheme="minorHAnsi" w:hAnsiTheme="minorHAnsi" w:cstheme="minorHAnsi"/>
                <w:sz w:val="20"/>
                <w:szCs w:val="20"/>
              </w:rPr>
              <w:t>158,532,693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C5DD71" w14:textId="188D29F9" w:rsidR="00F94248" w:rsidRPr="00E3248B" w:rsidRDefault="00F94248" w:rsidP="00F94248">
            <w:pPr>
              <w:pStyle w:val="TableParagraph"/>
              <w:spacing w:line="240" w:lineRule="auto"/>
              <w:ind w:right="5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48B">
              <w:rPr>
                <w:rFonts w:asciiTheme="minorHAnsi" w:hAnsiTheme="minorHAnsi" w:cstheme="minorHAnsi"/>
                <w:sz w:val="20"/>
                <w:szCs w:val="20"/>
              </w:rPr>
              <w:t>98.24%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6AEC" w14:textId="7A8FED6D" w:rsidR="00F94248" w:rsidRPr="00E3248B" w:rsidRDefault="00F94248" w:rsidP="00F94248">
            <w:pPr>
              <w:pStyle w:val="TableParagraph"/>
              <w:spacing w:line="240" w:lineRule="auto"/>
              <w:ind w:right="5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48B">
              <w:rPr>
                <w:rFonts w:asciiTheme="minorHAnsi" w:hAnsiTheme="minorHAnsi" w:cstheme="minorHAnsi"/>
                <w:sz w:val="20"/>
                <w:szCs w:val="20"/>
              </w:rPr>
              <w:t>2,838,227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710D1E" w14:textId="7E9462BC" w:rsidR="00F94248" w:rsidRPr="00E3248B" w:rsidRDefault="00F94248" w:rsidP="00F94248">
            <w:pPr>
              <w:pStyle w:val="TableParagraph"/>
              <w:spacing w:line="240" w:lineRule="auto"/>
              <w:ind w:right="5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48B">
              <w:rPr>
                <w:rFonts w:asciiTheme="minorHAnsi" w:hAnsiTheme="minorHAnsi" w:cstheme="minorHAnsi"/>
                <w:sz w:val="20"/>
                <w:szCs w:val="20"/>
              </w:rPr>
              <w:t>1.76%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1D6E" w14:textId="221452FD" w:rsidR="00F94248" w:rsidRPr="00E3248B" w:rsidRDefault="00F94248" w:rsidP="00F94248">
            <w:pPr>
              <w:pStyle w:val="TableParagraph"/>
              <w:spacing w:line="240" w:lineRule="auto"/>
              <w:ind w:left="42" w:right="34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48B">
              <w:rPr>
                <w:rFonts w:asciiTheme="minorHAnsi" w:hAnsiTheme="minorHAnsi" w:cstheme="minorHAnsi"/>
                <w:sz w:val="20"/>
                <w:szCs w:val="20"/>
              </w:rPr>
              <w:t>549,912</w:t>
            </w:r>
          </w:p>
        </w:tc>
      </w:tr>
      <w:tr w:rsidR="00F94248" w:rsidRPr="007428BB" w14:paraId="25D8D528" w14:textId="77777777" w:rsidTr="001C3DA8">
        <w:trPr>
          <w:trHeight w:val="837"/>
        </w:trPr>
        <w:tc>
          <w:tcPr>
            <w:tcW w:w="2422" w:type="dxa"/>
            <w:vAlign w:val="bottom"/>
          </w:tcPr>
          <w:p w14:paraId="5D17185B" w14:textId="71A66EB2" w:rsidR="00F94248" w:rsidRPr="00353E0E" w:rsidRDefault="00F94248" w:rsidP="00F94248">
            <w:pPr>
              <w:pStyle w:val="TableParagraph"/>
              <w:spacing w:line="240" w:lineRule="auto"/>
              <w:ind w:left="285" w:right="0" w:hanging="283"/>
              <w:jc w:val="left"/>
              <w:rPr>
                <w:rFonts w:asciiTheme="minorHAnsi" w:hAnsiTheme="minorHAnsi" w:cstheme="minorHAnsi"/>
                <w:spacing w:val="-1"/>
                <w:w w:val="125"/>
                <w:sz w:val="20"/>
                <w:szCs w:val="20"/>
              </w:rPr>
            </w:pPr>
            <w:r w:rsidRPr="0058218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 w:rsidRPr="00353E0E">
              <w:rPr>
                <w:rFonts w:asciiTheme="minorHAnsi" w:hAnsiTheme="minorHAnsi" w:cstheme="minorHAnsi"/>
                <w:spacing w:val="-1"/>
                <w:w w:val="125"/>
                <w:sz w:val="20"/>
                <w:szCs w:val="20"/>
              </w:rPr>
              <w:tab/>
            </w:r>
            <w:r w:rsidRPr="00353E0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 approve the Directors' Remuneration Report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40CF" w14:textId="4B537E82" w:rsidR="00F94248" w:rsidRPr="00E3248B" w:rsidRDefault="00F94248" w:rsidP="00F94248">
            <w:pPr>
              <w:pStyle w:val="TableParagraph"/>
              <w:spacing w:line="240" w:lineRule="auto"/>
              <w:ind w:left="64" w:righ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48B">
              <w:rPr>
                <w:rFonts w:asciiTheme="minorHAnsi" w:hAnsiTheme="minorHAnsi" w:cstheme="minorHAnsi"/>
                <w:sz w:val="20"/>
                <w:szCs w:val="20"/>
              </w:rPr>
              <w:t>161,907,134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EF15" w14:textId="1D9CB51E" w:rsidR="00F94248" w:rsidRPr="00E3248B" w:rsidRDefault="00F94248" w:rsidP="00F94248">
            <w:pPr>
              <w:pStyle w:val="TableParagraph"/>
              <w:spacing w:line="240" w:lineRule="auto"/>
              <w:ind w:left="64" w:right="5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48B">
              <w:rPr>
                <w:rFonts w:asciiTheme="minorHAnsi" w:hAnsiTheme="minorHAnsi" w:cstheme="minorHAnsi"/>
                <w:sz w:val="20"/>
                <w:szCs w:val="20"/>
              </w:rPr>
              <w:t>156,518,279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2EC0C8" w14:textId="1FDD0C41" w:rsidR="00F94248" w:rsidRPr="00E3248B" w:rsidRDefault="00F94248" w:rsidP="00F94248">
            <w:pPr>
              <w:pStyle w:val="TableParagraph"/>
              <w:spacing w:line="240" w:lineRule="auto"/>
              <w:ind w:left="64" w:righ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48B">
              <w:rPr>
                <w:rFonts w:asciiTheme="minorHAnsi" w:hAnsiTheme="minorHAnsi" w:cstheme="minorHAnsi"/>
                <w:sz w:val="20"/>
                <w:szCs w:val="20"/>
              </w:rPr>
              <w:t>96.67%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8E0F" w14:textId="7E2BD09B" w:rsidR="00F94248" w:rsidRPr="00E3248B" w:rsidRDefault="00F94248" w:rsidP="00F94248">
            <w:pPr>
              <w:pStyle w:val="TableParagraph"/>
              <w:spacing w:line="240" w:lineRule="auto"/>
              <w:ind w:left="64" w:righ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48B">
              <w:rPr>
                <w:rFonts w:asciiTheme="minorHAnsi" w:hAnsiTheme="minorHAnsi" w:cstheme="minorHAnsi"/>
                <w:sz w:val="20"/>
                <w:szCs w:val="20"/>
              </w:rPr>
              <w:t>5,388,855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BFC456" w14:textId="71EED6F2" w:rsidR="00F94248" w:rsidRPr="00E3248B" w:rsidRDefault="00F94248" w:rsidP="00F94248">
            <w:pPr>
              <w:pStyle w:val="TableParagraph"/>
              <w:spacing w:line="240" w:lineRule="auto"/>
              <w:ind w:left="64" w:righ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48B">
              <w:rPr>
                <w:rFonts w:asciiTheme="minorHAnsi" w:hAnsiTheme="minorHAnsi" w:cstheme="minorHAnsi"/>
                <w:sz w:val="20"/>
                <w:szCs w:val="20"/>
              </w:rPr>
              <w:t>3.33%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CC38" w14:textId="00C084E9" w:rsidR="00F94248" w:rsidRPr="00E3248B" w:rsidRDefault="00F94248" w:rsidP="00F94248">
            <w:pPr>
              <w:pStyle w:val="TableParagraph"/>
              <w:spacing w:line="240" w:lineRule="auto"/>
              <w:ind w:left="64" w:righ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48B">
              <w:rPr>
                <w:rFonts w:asciiTheme="minorHAnsi" w:hAnsiTheme="minorHAnsi" w:cstheme="minorHAnsi"/>
                <w:sz w:val="20"/>
                <w:szCs w:val="20"/>
              </w:rPr>
              <w:t>13,698</w:t>
            </w:r>
          </w:p>
        </w:tc>
      </w:tr>
      <w:tr w:rsidR="00F94248" w:rsidRPr="007428BB" w14:paraId="5029ED02" w14:textId="77777777" w:rsidTr="001C3DA8">
        <w:trPr>
          <w:trHeight w:val="669"/>
        </w:trPr>
        <w:tc>
          <w:tcPr>
            <w:tcW w:w="2422" w:type="dxa"/>
            <w:vAlign w:val="bottom"/>
          </w:tcPr>
          <w:p w14:paraId="1A5CD71D" w14:textId="70B52DF0" w:rsidR="00F94248" w:rsidRPr="00353E0E" w:rsidRDefault="00F94248" w:rsidP="00F94248">
            <w:pPr>
              <w:pStyle w:val="TableParagraph"/>
              <w:spacing w:line="240" w:lineRule="auto"/>
              <w:ind w:left="285" w:right="0" w:hanging="283"/>
              <w:jc w:val="left"/>
              <w:rPr>
                <w:rFonts w:asciiTheme="minorHAnsi" w:hAnsiTheme="minorHAnsi" w:cstheme="minorHAnsi"/>
                <w:spacing w:val="-1"/>
                <w:w w:val="125"/>
                <w:sz w:val="20"/>
                <w:szCs w:val="20"/>
              </w:rPr>
            </w:pPr>
            <w:r w:rsidRPr="0058218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  <w:r w:rsidRPr="00353E0E">
              <w:rPr>
                <w:rFonts w:asciiTheme="minorHAnsi" w:hAnsiTheme="minorHAnsi" w:cstheme="minorHAnsi"/>
                <w:spacing w:val="-1"/>
                <w:w w:val="125"/>
                <w:sz w:val="20"/>
                <w:szCs w:val="20"/>
              </w:rPr>
              <w:tab/>
            </w:r>
            <w:r w:rsidRPr="00353E0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To approve the Directors' Remuneration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Policy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2283" w14:textId="5D2921CF" w:rsidR="00F94248" w:rsidRPr="00E3248B" w:rsidRDefault="00F94248" w:rsidP="00F94248">
            <w:pPr>
              <w:pStyle w:val="TableParagraph"/>
              <w:spacing w:line="240" w:lineRule="auto"/>
              <w:ind w:left="64" w:righ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48B">
              <w:rPr>
                <w:rFonts w:asciiTheme="minorHAnsi" w:hAnsiTheme="minorHAnsi" w:cstheme="minorHAnsi"/>
                <w:sz w:val="20"/>
                <w:szCs w:val="20"/>
              </w:rPr>
              <w:t>160,593,903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9F786" w14:textId="72B8FFDE" w:rsidR="00F94248" w:rsidRPr="00E3248B" w:rsidRDefault="00F94248" w:rsidP="00F94248">
            <w:pPr>
              <w:pStyle w:val="TableParagraph"/>
              <w:spacing w:line="240" w:lineRule="auto"/>
              <w:ind w:left="64" w:right="5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48B">
              <w:rPr>
                <w:rFonts w:asciiTheme="minorHAnsi" w:hAnsiTheme="minorHAnsi" w:cstheme="minorHAnsi"/>
                <w:sz w:val="20"/>
                <w:szCs w:val="20"/>
              </w:rPr>
              <w:t>155,556,527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9993F1" w14:textId="3E3CCE87" w:rsidR="00F94248" w:rsidRPr="00E3248B" w:rsidRDefault="00F94248" w:rsidP="00F94248">
            <w:pPr>
              <w:pStyle w:val="TableParagraph"/>
              <w:spacing w:line="240" w:lineRule="auto"/>
              <w:ind w:left="64" w:righ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48B">
              <w:rPr>
                <w:rFonts w:asciiTheme="minorHAnsi" w:hAnsiTheme="minorHAnsi" w:cstheme="minorHAnsi"/>
                <w:sz w:val="20"/>
                <w:szCs w:val="20"/>
              </w:rPr>
              <w:t>96.86%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D4A3C" w14:textId="3DCBD3A8" w:rsidR="00F94248" w:rsidRPr="00E3248B" w:rsidRDefault="00F94248" w:rsidP="00F94248">
            <w:pPr>
              <w:pStyle w:val="TableParagraph"/>
              <w:spacing w:line="240" w:lineRule="auto"/>
              <w:ind w:left="64" w:righ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48B">
              <w:rPr>
                <w:rFonts w:asciiTheme="minorHAnsi" w:hAnsiTheme="minorHAnsi" w:cstheme="minorHAnsi"/>
                <w:sz w:val="20"/>
                <w:szCs w:val="20"/>
              </w:rPr>
              <w:t>5,037,376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A5B6C9" w14:textId="4F8399DD" w:rsidR="00F94248" w:rsidRPr="00E3248B" w:rsidRDefault="00F94248" w:rsidP="00F94248">
            <w:pPr>
              <w:pStyle w:val="TableParagraph"/>
              <w:spacing w:line="240" w:lineRule="auto"/>
              <w:ind w:left="64" w:righ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48B">
              <w:rPr>
                <w:rFonts w:asciiTheme="minorHAnsi" w:hAnsiTheme="minorHAnsi" w:cstheme="minorHAnsi"/>
                <w:sz w:val="20"/>
                <w:szCs w:val="20"/>
              </w:rPr>
              <w:t>3.14%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238CE" w14:textId="74B79FAE" w:rsidR="00F94248" w:rsidRPr="00E3248B" w:rsidRDefault="00F94248" w:rsidP="00F94248">
            <w:pPr>
              <w:pStyle w:val="TableParagraph"/>
              <w:spacing w:line="240" w:lineRule="auto"/>
              <w:ind w:left="64" w:righ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48B">
              <w:rPr>
                <w:rFonts w:asciiTheme="minorHAnsi" w:hAnsiTheme="minorHAnsi" w:cstheme="minorHAnsi"/>
                <w:sz w:val="20"/>
                <w:szCs w:val="20"/>
              </w:rPr>
              <w:t>1,326,929</w:t>
            </w:r>
          </w:p>
        </w:tc>
      </w:tr>
      <w:tr w:rsidR="00F94248" w:rsidRPr="007428BB" w14:paraId="2A1ED2F9" w14:textId="77777777" w:rsidTr="001C3DA8">
        <w:trPr>
          <w:trHeight w:val="669"/>
        </w:trPr>
        <w:tc>
          <w:tcPr>
            <w:tcW w:w="2422" w:type="dxa"/>
            <w:vAlign w:val="bottom"/>
          </w:tcPr>
          <w:p w14:paraId="7A1D4E7E" w14:textId="1339E764" w:rsidR="00F94248" w:rsidRPr="00353E0E" w:rsidRDefault="00F94248" w:rsidP="00F94248">
            <w:pPr>
              <w:pStyle w:val="TableParagraph"/>
              <w:spacing w:line="240" w:lineRule="auto"/>
              <w:ind w:left="285" w:right="0" w:hanging="283"/>
              <w:jc w:val="left"/>
              <w:rPr>
                <w:rFonts w:asciiTheme="minorHAnsi" w:hAnsiTheme="minorHAnsi" w:cstheme="minorHAnsi"/>
                <w:spacing w:val="-1"/>
                <w:w w:val="125"/>
                <w:sz w:val="20"/>
                <w:szCs w:val="20"/>
              </w:rPr>
            </w:pPr>
            <w:r w:rsidRPr="0058218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  <w:r w:rsidRPr="00353E0E">
              <w:rPr>
                <w:rFonts w:asciiTheme="minorHAnsi" w:hAnsiTheme="minorHAnsi" w:cstheme="minorHAnsi"/>
                <w:spacing w:val="-1"/>
                <w:w w:val="125"/>
                <w:sz w:val="20"/>
                <w:szCs w:val="20"/>
              </w:rPr>
              <w:tab/>
            </w:r>
            <w:r w:rsidRPr="00353E0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To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re-</w:t>
            </w:r>
            <w:r w:rsidRPr="00353E0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elect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Ian Carter</w:t>
            </w:r>
            <w:r w:rsidRPr="00353E0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as a director of the Company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3C8C" w14:textId="0E02E136" w:rsidR="00F94248" w:rsidRPr="00E3248B" w:rsidRDefault="00F94248" w:rsidP="00F94248">
            <w:pPr>
              <w:pStyle w:val="TableParagraph"/>
              <w:spacing w:line="240" w:lineRule="auto"/>
              <w:ind w:left="64" w:righ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48B">
              <w:rPr>
                <w:rFonts w:asciiTheme="minorHAnsi" w:hAnsiTheme="minorHAnsi" w:cstheme="minorHAnsi"/>
                <w:sz w:val="20"/>
                <w:szCs w:val="20"/>
              </w:rPr>
              <w:t>161,905,744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49B9A" w14:textId="06B29838" w:rsidR="00F94248" w:rsidRPr="00E3248B" w:rsidRDefault="00F94248" w:rsidP="00F94248">
            <w:pPr>
              <w:pStyle w:val="TableParagraph"/>
              <w:spacing w:line="240" w:lineRule="auto"/>
              <w:ind w:left="64" w:right="5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48B">
              <w:rPr>
                <w:rFonts w:asciiTheme="minorHAnsi" w:hAnsiTheme="minorHAnsi" w:cstheme="minorHAnsi"/>
                <w:sz w:val="20"/>
                <w:szCs w:val="20"/>
              </w:rPr>
              <w:t>159,900,219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824D7D" w14:textId="0C864329" w:rsidR="00F94248" w:rsidRPr="00E3248B" w:rsidRDefault="00F94248" w:rsidP="00F94248">
            <w:pPr>
              <w:pStyle w:val="TableParagraph"/>
              <w:spacing w:line="240" w:lineRule="auto"/>
              <w:ind w:left="64" w:righ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48B">
              <w:rPr>
                <w:rFonts w:asciiTheme="minorHAnsi" w:hAnsiTheme="minorHAnsi" w:cstheme="minorHAnsi"/>
                <w:sz w:val="20"/>
                <w:szCs w:val="20"/>
              </w:rPr>
              <w:t>98.76%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BFDA" w14:textId="15CB32D2" w:rsidR="00F94248" w:rsidRPr="00E3248B" w:rsidRDefault="00F94248" w:rsidP="00F94248">
            <w:pPr>
              <w:pStyle w:val="TableParagraph"/>
              <w:spacing w:line="240" w:lineRule="auto"/>
              <w:ind w:left="64" w:righ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48B">
              <w:rPr>
                <w:rFonts w:asciiTheme="minorHAnsi" w:hAnsiTheme="minorHAnsi" w:cstheme="minorHAnsi"/>
                <w:sz w:val="20"/>
                <w:szCs w:val="20"/>
              </w:rPr>
              <w:t>2,005,525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43E961" w14:textId="2F695B3C" w:rsidR="00F94248" w:rsidRPr="00E3248B" w:rsidRDefault="00F94248" w:rsidP="00F94248">
            <w:pPr>
              <w:pStyle w:val="TableParagraph"/>
              <w:spacing w:line="240" w:lineRule="auto"/>
              <w:ind w:left="64" w:righ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48B">
              <w:rPr>
                <w:rFonts w:asciiTheme="minorHAnsi" w:hAnsiTheme="minorHAnsi" w:cstheme="minorHAnsi"/>
                <w:sz w:val="20"/>
                <w:szCs w:val="20"/>
              </w:rPr>
              <w:t>1.24%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309C" w14:textId="4375C987" w:rsidR="00F94248" w:rsidRPr="00E3248B" w:rsidRDefault="00F94248" w:rsidP="00F94248">
            <w:pPr>
              <w:pStyle w:val="TableParagraph"/>
              <w:spacing w:line="240" w:lineRule="auto"/>
              <w:ind w:left="64" w:righ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48B">
              <w:rPr>
                <w:rFonts w:asciiTheme="minorHAnsi" w:hAnsiTheme="minorHAnsi" w:cstheme="minorHAnsi"/>
                <w:sz w:val="20"/>
                <w:szCs w:val="20"/>
              </w:rPr>
              <w:t>15,088</w:t>
            </w:r>
          </w:p>
        </w:tc>
      </w:tr>
      <w:tr w:rsidR="00F94248" w:rsidRPr="007428BB" w14:paraId="2DE17050" w14:textId="77777777" w:rsidTr="001C3DA8">
        <w:trPr>
          <w:trHeight w:val="669"/>
        </w:trPr>
        <w:tc>
          <w:tcPr>
            <w:tcW w:w="2422" w:type="dxa"/>
            <w:vAlign w:val="bottom"/>
          </w:tcPr>
          <w:p w14:paraId="6E35CBC3" w14:textId="40ABA8B7" w:rsidR="00F94248" w:rsidRPr="00353E0E" w:rsidRDefault="00F94248" w:rsidP="00F94248">
            <w:pPr>
              <w:pStyle w:val="TableParagraph"/>
              <w:spacing w:line="240" w:lineRule="auto"/>
              <w:ind w:left="285" w:right="0" w:hanging="283"/>
              <w:jc w:val="left"/>
              <w:rPr>
                <w:rFonts w:asciiTheme="minorHAnsi" w:hAnsiTheme="minorHAnsi" w:cstheme="minorHAnsi"/>
                <w:spacing w:val="-1"/>
                <w:w w:val="125"/>
                <w:sz w:val="20"/>
                <w:szCs w:val="20"/>
              </w:rPr>
            </w:pPr>
            <w:r w:rsidRPr="0058218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  <w:r w:rsidRPr="00353E0E">
              <w:rPr>
                <w:rFonts w:asciiTheme="minorHAnsi" w:hAnsiTheme="minorHAnsi" w:cstheme="minorHAnsi"/>
                <w:spacing w:val="-1"/>
                <w:w w:val="125"/>
                <w:sz w:val="20"/>
                <w:szCs w:val="20"/>
              </w:rPr>
              <w:tab/>
            </w:r>
            <w:r w:rsidRPr="00353E0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To re-elect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Brian Duffy</w:t>
            </w:r>
            <w:r w:rsidRPr="00353E0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as a director of the Company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F127" w14:textId="1F869462" w:rsidR="00F94248" w:rsidRPr="00E3248B" w:rsidRDefault="00F94248" w:rsidP="00F94248">
            <w:pPr>
              <w:pStyle w:val="TableParagraph"/>
              <w:spacing w:line="240" w:lineRule="auto"/>
              <w:ind w:left="64" w:righ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48B">
              <w:rPr>
                <w:rFonts w:asciiTheme="minorHAnsi" w:hAnsiTheme="minorHAnsi" w:cstheme="minorHAnsi"/>
                <w:sz w:val="20"/>
                <w:szCs w:val="20"/>
              </w:rPr>
              <w:t>161,906,374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1BA3" w14:textId="77DDE86E" w:rsidR="00F94248" w:rsidRPr="00E3248B" w:rsidRDefault="00F94248" w:rsidP="00F94248">
            <w:pPr>
              <w:pStyle w:val="TableParagraph"/>
              <w:spacing w:line="240" w:lineRule="auto"/>
              <w:ind w:left="64" w:right="5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48B">
              <w:rPr>
                <w:rFonts w:asciiTheme="minorHAnsi" w:hAnsiTheme="minorHAnsi" w:cstheme="minorHAnsi"/>
                <w:sz w:val="20"/>
                <w:szCs w:val="20"/>
              </w:rPr>
              <w:t>161,845,175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A73E70" w14:textId="172AC9C9" w:rsidR="00F94248" w:rsidRPr="00E3248B" w:rsidRDefault="00F94248" w:rsidP="00F94248">
            <w:pPr>
              <w:pStyle w:val="TableParagraph"/>
              <w:spacing w:line="240" w:lineRule="auto"/>
              <w:ind w:left="64" w:righ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48B">
              <w:rPr>
                <w:rFonts w:asciiTheme="minorHAnsi" w:hAnsiTheme="minorHAnsi" w:cstheme="minorHAnsi"/>
                <w:sz w:val="20"/>
                <w:szCs w:val="20"/>
              </w:rPr>
              <w:t>99.96%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4334" w14:textId="5F8BE761" w:rsidR="00F94248" w:rsidRPr="00E3248B" w:rsidRDefault="00F94248" w:rsidP="00F94248">
            <w:pPr>
              <w:pStyle w:val="TableParagraph"/>
              <w:spacing w:line="240" w:lineRule="auto"/>
              <w:ind w:left="64" w:righ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48B">
              <w:rPr>
                <w:rFonts w:asciiTheme="minorHAnsi" w:hAnsiTheme="minorHAnsi" w:cstheme="minorHAnsi"/>
                <w:sz w:val="20"/>
                <w:szCs w:val="20"/>
              </w:rPr>
              <w:t>61,199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05E6C1" w14:textId="15385965" w:rsidR="00F94248" w:rsidRPr="00E3248B" w:rsidRDefault="00F94248" w:rsidP="00F94248">
            <w:pPr>
              <w:pStyle w:val="TableParagraph"/>
              <w:spacing w:line="240" w:lineRule="auto"/>
              <w:ind w:left="64" w:righ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48B">
              <w:rPr>
                <w:rFonts w:asciiTheme="minorHAnsi" w:hAnsiTheme="minorHAnsi" w:cstheme="minorHAnsi"/>
                <w:sz w:val="20"/>
                <w:szCs w:val="20"/>
              </w:rPr>
              <w:t>0.04%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2AD1" w14:textId="18C1140A" w:rsidR="00F94248" w:rsidRPr="00E3248B" w:rsidRDefault="00F94248" w:rsidP="00F94248">
            <w:pPr>
              <w:pStyle w:val="TableParagraph"/>
              <w:spacing w:line="240" w:lineRule="auto"/>
              <w:ind w:left="64" w:righ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48B">
              <w:rPr>
                <w:rFonts w:asciiTheme="minorHAnsi" w:hAnsiTheme="minorHAnsi" w:cstheme="minorHAnsi"/>
                <w:sz w:val="20"/>
                <w:szCs w:val="20"/>
              </w:rPr>
              <w:t>14,458</w:t>
            </w:r>
          </w:p>
        </w:tc>
      </w:tr>
      <w:tr w:rsidR="00F94248" w:rsidRPr="007428BB" w14:paraId="008D27B0" w14:textId="77777777" w:rsidTr="001C3DA8">
        <w:trPr>
          <w:trHeight w:val="669"/>
        </w:trPr>
        <w:tc>
          <w:tcPr>
            <w:tcW w:w="2422" w:type="dxa"/>
            <w:vAlign w:val="bottom"/>
          </w:tcPr>
          <w:p w14:paraId="614A5DE7" w14:textId="4DC227E4" w:rsidR="00F94248" w:rsidRPr="00353E0E" w:rsidRDefault="00F94248" w:rsidP="00F94248">
            <w:pPr>
              <w:pStyle w:val="TableParagraph"/>
              <w:spacing w:line="240" w:lineRule="auto"/>
              <w:ind w:left="285" w:right="0" w:hanging="283"/>
              <w:jc w:val="left"/>
              <w:rPr>
                <w:rFonts w:asciiTheme="minorHAnsi" w:hAnsiTheme="minorHAnsi" w:cstheme="minorHAnsi"/>
                <w:spacing w:val="-1"/>
                <w:w w:val="125"/>
                <w:sz w:val="20"/>
                <w:szCs w:val="20"/>
              </w:rPr>
            </w:pPr>
            <w:r w:rsidRPr="00824EC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  <w:r w:rsidRPr="00353E0E">
              <w:rPr>
                <w:rFonts w:asciiTheme="minorHAnsi" w:hAnsiTheme="minorHAnsi" w:cstheme="minorHAnsi"/>
                <w:spacing w:val="-1"/>
                <w:w w:val="125"/>
                <w:sz w:val="20"/>
                <w:szCs w:val="20"/>
              </w:rPr>
              <w:tab/>
            </w:r>
            <w:r w:rsidRPr="00353E0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To re-elect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Anders Romberg</w:t>
            </w:r>
            <w:r w:rsidRPr="00353E0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as a director of the Company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4C11" w14:textId="08F73D2F" w:rsidR="00F94248" w:rsidRPr="00E3248B" w:rsidRDefault="00F94248" w:rsidP="00F94248">
            <w:pPr>
              <w:pStyle w:val="TableParagraph"/>
              <w:spacing w:line="240" w:lineRule="auto"/>
              <w:ind w:left="64" w:righ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48B">
              <w:rPr>
                <w:rFonts w:asciiTheme="minorHAnsi" w:hAnsiTheme="minorHAnsi" w:cstheme="minorHAnsi"/>
                <w:sz w:val="20"/>
                <w:szCs w:val="20"/>
              </w:rPr>
              <w:t>161,905,732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4873A" w14:textId="2DCA3369" w:rsidR="00F94248" w:rsidRPr="00E3248B" w:rsidRDefault="00F94248" w:rsidP="00F94248">
            <w:pPr>
              <w:pStyle w:val="TableParagraph"/>
              <w:spacing w:line="240" w:lineRule="auto"/>
              <w:ind w:left="64" w:right="5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48B">
              <w:rPr>
                <w:rFonts w:asciiTheme="minorHAnsi" w:hAnsiTheme="minorHAnsi" w:cstheme="minorHAnsi"/>
                <w:sz w:val="20"/>
                <w:szCs w:val="20"/>
              </w:rPr>
              <w:t>161,733,028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6C508E" w14:textId="41231411" w:rsidR="00F94248" w:rsidRPr="00E3248B" w:rsidRDefault="00F94248" w:rsidP="00F94248">
            <w:pPr>
              <w:pStyle w:val="TableParagraph"/>
              <w:spacing w:line="240" w:lineRule="auto"/>
              <w:ind w:left="64" w:righ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48B">
              <w:rPr>
                <w:rFonts w:asciiTheme="minorHAnsi" w:hAnsiTheme="minorHAnsi" w:cstheme="minorHAnsi"/>
                <w:sz w:val="20"/>
                <w:szCs w:val="20"/>
              </w:rPr>
              <w:t>99.89%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309F" w14:textId="79C5B09B" w:rsidR="00F94248" w:rsidRPr="00E3248B" w:rsidRDefault="00F94248" w:rsidP="00F94248">
            <w:pPr>
              <w:pStyle w:val="TableParagraph"/>
              <w:spacing w:line="240" w:lineRule="auto"/>
              <w:ind w:left="64" w:righ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48B">
              <w:rPr>
                <w:rFonts w:asciiTheme="minorHAnsi" w:hAnsiTheme="minorHAnsi" w:cstheme="minorHAnsi"/>
                <w:sz w:val="20"/>
                <w:szCs w:val="20"/>
              </w:rPr>
              <w:t>172,704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E614C3" w14:textId="301521BF" w:rsidR="00F94248" w:rsidRPr="00E3248B" w:rsidRDefault="00F94248" w:rsidP="00F94248">
            <w:pPr>
              <w:pStyle w:val="TableParagraph"/>
              <w:spacing w:line="240" w:lineRule="auto"/>
              <w:ind w:left="64" w:righ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48B">
              <w:rPr>
                <w:rFonts w:asciiTheme="minorHAnsi" w:hAnsiTheme="minorHAnsi" w:cstheme="minorHAnsi"/>
                <w:sz w:val="20"/>
                <w:szCs w:val="20"/>
              </w:rPr>
              <w:t>0.11%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3DE1" w14:textId="422A8EDC" w:rsidR="00F94248" w:rsidRPr="00E3248B" w:rsidRDefault="00F94248" w:rsidP="00F94248">
            <w:pPr>
              <w:pStyle w:val="TableParagraph"/>
              <w:spacing w:line="240" w:lineRule="auto"/>
              <w:ind w:left="64" w:righ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48B">
              <w:rPr>
                <w:rFonts w:asciiTheme="minorHAnsi" w:hAnsiTheme="minorHAnsi" w:cstheme="minorHAnsi"/>
                <w:sz w:val="20"/>
                <w:szCs w:val="20"/>
              </w:rPr>
              <w:t>15,100</w:t>
            </w:r>
          </w:p>
        </w:tc>
      </w:tr>
      <w:tr w:rsidR="00F94248" w:rsidRPr="007428BB" w14:paraId="5784FF26" w14:textId="77777777" w:rsidTr="001C3DA8">
        <w:trPr>
          <w:trHeight w:val="633"/>
        </w:trPr>
        <w:tc>
          <w:tcPr>
            <w:tcW w:w="2422" w:type="dxa"/>
            <w:vAlign w:val="bottom"/>
          </w:tcPr>
          <w:p w14:paraId="1C7B63D2" w14:textId="73480234" w:rsidR="00F94248" w:rsidRPr="00353E0E" w:rsidRDefault="00F94248" w:rsidP="00F94248">
            <w:pPr>
              <w:pStyle w:val="TableParagraph"/>
              <w:spacing w:line="240" w:lineRule="auto"/>
              <w:ind w:left="285" w:right="0" w:hanging="283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  <w:r w:rsidRPr="00353E0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  <w:t>To re-elect Tea Colaianni as a director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2B62" w14:textId="0FF2F5CA" w:rsidR="00F94248" w:rsidRPr="00E3248B" w:rsidRDefault="00F94248" w:rsidP="00F94248">
            <w:pPr>
              <w:pStyle w:val="TableParagraph"/>
              <w:spacing w:line="240" w:lineRule="auto"/>
              <w:ind w:left="64" w:righ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48B">
              <w:rPr>
                <w:rFonts w:asciiTheme="minorHAnsi" w:hAnsiTheme="minorHAnsi" w:cstheme="minorHAnsi"/>
                <w:sz w:val="20"/>
                <w:szCs w:val="20"/>
              </w:rPr>
              <w:t>161,905,744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1316" w14:textId="35BC648B" w:rsidR="00F94248" w:rsidRPr="00E3248B" w:rsidRDefault="00F94248" w:rsidP="00F94248">
            <w:pPr>
              <w:pStyle w:val="TableParagraph"/>
              <w:spacing w:line="240" w:lineRule="auto"/>
              <w:ind w:left="64" w:right="5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48B">
              <w:rPr>
                <w:rFonts w:asciiTheme="minorHAnsi" w:hAnsiTheme="minorHAnsi" w:cstheme="minorHAnsi"/>
                <w:sz w:val="20"/>
                <w:szCs w:val="20"/>
              </w:rPr>
              <w:t>159,764,053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C082CD" w14:textId="1769FF44" w:rsidR="00F94248" w:rsidRPr="00E3248B" w:rsidRDefault="00F94248" w:rsidP="00F94248">
            <w:pPr>
              <w:pStyle w:val="TableParagraph"/>
              <w:spacing w:line="240" w:lineRule="auto"/>
              <w:ind w:left="64" w:righ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48B">
              <w:rPr>
                <w:rFonts w:asciiTheme="minorHAnsi" w:hAnsiTheme="minorHAnsi" w:cstheme="minorHAnsi"/>
                <w:sz w:val="20"/>
                <w:szCs w:val="20"/>
              </w:rPr>
              <w:t>98.68%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63E4" w14:textId="58729437" w:rsidR="00F94248" w:rsidRPr="00E3248B" w:rsidRDefault="00F94248" w:rsidP="00F94248">
            <w:pPr>
              <w:pStyle w:val="TableParagraph"/>
              <w:spacing w:line="240" w:lineRule="auto"/>
              <w:ind w:left="64" w:righ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48B">
              <w:rPr>
                <w:rFonts w:asciiTheme="minorHAnsi" w:hAnsiTheme="minorHAnsi" w:cstheme="minorHAnsi"/>
                <w:sz w:val="20"/>
                <w:szCs w:val="20"/>
              </w:rPr>
              <w:t>2,141,691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A010BF" w14:textId="3EACEAE1" w:rsidR="00F94248" w:rsidRPr="00E3248B" w:rsidRDefault="00F94248" w:rsidP="00F94248">
            <w:pPr>
              <w:pStyle w:val="TableParagraph"/>
              <w:spacing w:line="240" w:lineRule="auto"/>
              <w:ind w:left="64" w:righ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48B">
              <w:rPr>
                <w:rFonts w:asciiTheme="minorHAnsi" w:hAnsiTheme="minorHAnsi" w:cstheme="minorHAnsi"/>
                <w:sz w:val="20"/>
                <w:szCs w:val="20"/>
              </w:rPr>
              <w:t>1.32%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F4C27" w14:textId="75B775D8" w:rsidR="00F94248" w:rsidRPr="00E3248B" w:rsidRDefault="00F94248" w:rsidP="00F94248">
            <w:pPr>
              <w:pStyle w:val="TableParagraph"/>
              <w:spacing w:line="240" w:lineRule="auto"/>
              <w:ind w:left="64" w:righ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48B">
              <w:rPr>
                <w:rFonts w:asciiTheme="minorHAnsi" w:hAnsiTheme="minorHAnsi" w:cstheme="minorHAnsi"/>
                <w:sz w:val="20"/>
                <w:szCs w:val="20"/>
              </w:rPr>
              <w:t>15,088</w:t>
            </w:r>
          </w:p>
        </w:tc>
      </w:tr>
      <w:tr w:rsidR="00F94248" w:rsidRPr="007428BB" w14:paraId="2E52B09C" w14:textId="77777777" w:rsidTr="001C3DA8">
        <w:trPr>
          <w:trHeight w:val="657"/>
        </w:trPr>
        <w:tc>
          <w:tcPr>
            <w:tcW w:w="2422" w:type="dxa"/>
            <w:vAlign w:val="bottom"/>
          </w:tcPr>
          <w:p w14:paraId="243D31A5" w14:textId="31D80612" w:rsidR="00F94248" w:rsidRPr="00353E0E" w:rsidRDefault="00F94248" w:rsidP="00F94248">
            <w:pPr>
              <w:pStyle w:val="TableParagraph"/>
              <w:spacing w:line="240" w:lineRule="auto"/>
              <w:ind w:left="285" w:right="0" w:hanging="283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  <w:r w:rsidRPr="00353E0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  <w:t>To re-elect Rosa Monckton as a director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3C70" w14:textId="76CC0552" w:rsidR="00F94248" w:rsidRPr="00E3248B" w:rsidRDefault="00F94248" w:rsidP="00F94248">
            <w:pPr>
              <w:pStyle w:val="TableParagraph"/>
              <w:spacing w:line="240" w:lineRule="auto"/>
              <w:ind w:left="64" w:righ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48B">
              <w:rPr>
                <w:rFonts w:asciiTheme="minorHAnsi" w:hAnsiTheme="minorHAnsi" w:cstheme="minorHAnsi"/>
                <w:sz w:val="20"/>
                <w:szCs w:val="20"/>
              </w:rPr>
              <w:t>161,906,492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C0440" w14:textId="0ABB9EF8" w:rsidR="00F94248" w:rsidRPr="00E3248B" w:rsidRDefault="00F94248" w:rsidP="00F94248">
            <w:pPr>
              <w:pStyle w:val="TableParagraph"/>
              <w:spacing w:line="240" w:lineRule="auto"/>
              <w:ind w:left="64" w:right="5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48B">
              <w:rPr>
                <w:rFonts w:asciiTheme="minorHAnsi" w:hAnsiTheme="minorHAnsi" w:cstheme="minorHAnsi"/>
                <w:sz w:val="20"/>
                <w:szCs w:val="20"/>
              </w:rPr>
              <w:t>159,414,879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26A859" w14:textId="5ACE52C7" w:rsidR="00F94248" w:rsidRPr="00E3248B" w:rsidRDefault="00F94248" w:rsidP="00F94248">
            <w:pPr>
              <w:pStyle w:val="TableParagraph"/>
              <w:spacing w:line="240" w:lineRule="auto"/>
              <w:ind w:left="64" w:righ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48B">
              <w:rPr>
                <w:rFonts w:asciiTheme="minorHAnsi" w:hAnsiTheme="minorHAnsi" w:cstheme="minorHAnsi"/>
                <w:sz w:val="20"/>
                <w:szCs w:val="20"/>
              </w:rPr>
              <w:t>98.46%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D699" w14:textId="384A8F75" w:rsidR="00F94248" w:rsidRPr="00E3248B" w:rsidRDefault="00F94248" w:rsidP="00F94248">
            <w:pPr>
              <w:pStyle w:val="TableParagraph"/>
              <w:spacing w:line="240" w:lineRule="auto"/>
              <w:ind w:left="64" w:righ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48B">
              <w:rPr>
                <w:rFonts w:asciiTheme="minorHAnsi" w:hAnsiTheme="minorHAnsi" w:cstheme="minorHAnsi"/>
                <w:sz w:val="20"/>
                <w:szCs w:val="20"/>
              </w:rPr>
              <w:t>2,491,613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4D6D29" w14:textId="1F6E5C50" w:rsidR="00F94248" w:rsidRPr="00E3248B" w:rsidRDefault="00F94248" w:rsidP="00F94248">
            <w:pPr>
              <w:pStyle w:val="TableParagraph"/>
              <w:spacing w:line="240" w:lineRule="auto"/>
              <w:ind w:left="64" w:righ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48B">
              <w:rPr>
                <w:rFonts w:asciiTheme="minorHAnsi" w:hAnsiTheme="minorHAnsi" w:cstheme="minorHAnsi"/>
                <w:sz w:val="20"/>
                <w:szCs w:val="20"/>
              </w:rPr>
              <w:t>1.54%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C404" w14:textId="1A30DD33" w:rsidR="00F94248" w:rsidRPr="00E3248B" w:rsidRDefault="00F94248" w:rsidP="00F94248">
            <w:pPr>
              <w:pStyle w:val="TableParagraph"/>
              <w:spacing w:line="240" w:lineRule="auto"/>
              <w:ind w:left="64" w:righ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48B">
              <w:rPr>
                <w:rFonts w:asciiTheme="minorHAnsi" w:hAnsiTheme="minorHAnsi" w:cstheme="minorHAnsi"/>
                <w:sz w:val="20"/>
                <w:szCs w:val="20"/>
              </w:rPr>
              <w:t>14,340</w:t>
            </w:r>
          </w:p>
        </w:tc>
      </w:tr>
      <w:tr w:rsidR="00F94248" w:rsidRPr="007428BB" w14:paraId="13940E88" w14:textId="77777777" w:rsidTr="001C3DA8">
        <w:trPr>
          <w:trHeight w:val="594"/>
        </w:trPr>
        <w:tc>
          <w:tcPr>
            <w:tcW w:w="2422" w:type="dxa"/>
            <w:vAlign w:val="bottom"/>
          </w:tcPr>
          <w:p w14:paraId="354E0DE4" w14:textId="57744E55" w:rsidR="00F94248" w:rsidRPr="00353E0E" w:rsidRDefault="00F94248" w:rsidP="00F94248">
            <w:pPr>
              <w:pStyle w:val="TableParagraph"/>
              <w:spacing w:line="240" w:lineRule="auto"/>
              <w:ind w:left="285" w:right="0" w:hanging="283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  <w:r w:rsidRPr="00353E0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  <w:t>To re-elect Robert Moorhead as a director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A6AB" w14:textId="0BF50ACF" w:rsidR="00F94248" w:rsidRPr="00E3248B" w:rsidRDefault="00F94248" w:rsidP="00F94248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48B">
              <w:rPr>
                <w:rFonts w:asciiTheme="minorHAnsi" w:hAnsiTheme="minorHAnsi" w:cstheme="minorHAnsi"/>
                <w:sz w:val="20"/>
                <w:szCs w:val="20"/>
              </w:rPr>
              <w:t>161,906,494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4009" w14:textId="67D8369C" w:rsidR="00F94248" w:rsidRPr="00E3248B" w:rsidRDefault="00F94248" w:rsidP="00F94248">
            <w:pPr>
              <w:pStyle w:val="TableParagraph"/>
              <w:spacing w:line="240" w:lineRule="auto"/>
              <w:ind w:left="64" w:right="5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48B">
              <w:rPr>
                <w:rFonts w:asciiTheme="minorHAnsi" w:hAnsiTheme="minorHAnsi" w:cstheme="minorHAnsi"/>
                <w:sz w:val="20"/>
                <w:szCs w:val="20"/>
              </w:rPr>
              <w:t>160,243,021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79FABB" w14:textId="6CB3FECC" w:rsidR="00F94248" w:rsidRPr="00E3248B" w:rsidRDefault="00F94248" w:rsidP="00F94248">
            <w:pPr>
              <w:pStyle w:val="TableParagraph"/>
              <w:spacing w:line="240" w:lineRule="auto"/>
              <w:ind w:left="64" w:righ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48B">
              <w:rPr>
                <w:rFonts w:asciiTheme="minorHAnsi" w:hAnsiTheme="minorHAnsi" w:cstheme="minorHAnsi"/>
                <w:sz w:val="20"/>
                <w:szCs w:val="20"/>
              </w:rPr>
              <w:t>98.97%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6996" w14:textId="5042C92D" w:rsidR="00F94248" w:rsidRPr="00E3248B" w:rsidRDefault="00F94248" w:rsidP="00F94248">
            <w:pPr>
              <w:pStyle w:val="TableParagraph"/>
              <w:spacing w:line="240" w:lineRule="auto"/>
              <w:ind w:left="64" w:righ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48B">
              <w:rPr>
                <w:rFonts w:asciiTheme="minorHAnsi" w:hAnsiTheme="minorHAnsi" w:cstheme="minorHAnsi"/>
                <w:sz w:val="20"/>
                <w:szCs w:val="20"/>
              </w:rPr>
              <w:t>1,663,473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1E59B2" w14:textId="2D2CA0EF" w:rsidR="00F94248" w:rsidRPr="00E3248B" w:rsidRDefault="00F94248" w:rsidP="00F94248">
            <w:pPr>
              <w:pStyle w:val="TableParagraph"/>
              <w:spacing w:line="240" w:lineRule="auto"/>
              <w:ind w:left="64" w:righ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48B">
              <w:rPr>
                <w:rFonts w:asciiTheme="minorHAnsi" w:hAnsiTheme="minorHAnsi" w:cstheme="minorHAnsi"/>
                <w:sz w:val="20"/>
                <w:szCs w:val="20"/>
              </w:rPr>
              <w:t>1.03%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AE06" w14:textId="5FA2BF92" w:rsidR="00F94248" w:rsidRPr="00E3248B" w:rsidRDefault="00F94248" w:rsidP="00F94248">
            <w:pPr>
              <w:pStyle w:val="TableParagraph"/>
              <w:spacing w:line="240" w:lineRule="auto"/>
              <w:ind w:left="64" w:righ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48B">
              <w:rPr>
                <w:rFonts w:asciiTheme="minorHAnsi" w:hAnsiTheme="minorHAnsi" w:cstheme="minorHAnsi"/>
                <w:sz w:val="20"/>
                <w:szCs w:val="20"/>
              </w:rPr>
              <w:t>14,338</w:t>
            </w:r>
          </w:p>
        </w:tc>
      </w:tr>
      <w:tr w:rsidR="00F94248" w:rsidRPr="007428BB" w14:paraId="2ADE46D9" w14:textId="77777777" w:rsidTr="001C3DA8">
        <w:trPr>
          <w:trHeight w:val="688"/>
        </w:trPr>
        <w:tc>
          <w:tcPr>
            <w:tcW w:w="2422" w:type="dxa"/>
            <w:tcBorders>
              <w:bottom w:val="single" w:sz="4" w:space="0" w:color="auto"/>
            </w:tcBorders>
            <w:vAlign w:val="bottom"/>
          </w:tcPr>
          <w:p w14:paraId="2738C352" w14:textId="629D3DD4" w:rsidR="00F94248" w:rsidRPr="00353E0E" w:rsidRDefault="00F94248" w:rsidP="00F94248">
            <w:pPr>
              <w:pStyle w:val="TableParagraph"/>
              <w:spacing w:line="240" w:lineRule="auto"/>
              <w:ind w:left="285" w:right="0" w:hanging="283"/>
              <w:jc w:val="left"/>
              <w:rPr>
                <w:rFonts w:asciiTheme="minorHAnsi" w:hAnsiTheme="minorHAnsi" w:cstheme="minorHAnsi"/>
                <w:spacing w:val="-1"/>
                <w:w w:val="125"/>
                <w:sz w:val="20"/>
                <w:szCs w:val="20"/>
              </w:rPr>
            </w:pPr>
            <w:r w:rsidRPr="00824EC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  <w:r w:rsidRPr="00353E0E">
              <w:rPr>
                <w:rFonts w:asciiTheme="minorHAnsi" w:hAnsiTheme="minorHAnsi" w:cstheme="minorHAnsi"/>
                <w:spacing w:val="-1"/>
                <w:w w:val="125"/>
                <w:sz w:val="20"/>
                <w:szCs w:val="20"/>
              </w:rPr>
              <w:tab/>
            </w:r>
            <w:r w:rsidRPr="00353E0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 re-elect Chabi Nouri as a director of the Company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F53C" w14:textId="52AC6FF4" w:rsidR="00F94248" w:rsidRPr="00E3248B" w:rsidRDefault="00F94248" w:rsidP="00F94248">
            <w:pPr>
              <w:pStyle w:val="TableParagraph"/>
              <w:spacing w:line="240" w:lineRule="auto"/>
              <w:ind w:left="64" w:righ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48B">
              <w:rPr>
                <w:rFonts w:asciiTheme="minorHAnsi" w:hAnsiTheme="minorHAnsi" w:cstheme="minorHAnsi"/>
                <w:sz w:val="20"/>
                <w:szCs w:val="20"/>
              </w:rPr>
              <w:t>161,905,715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F771" w14:textId="2426C5A5" w:rsidR="00F94248" w:rsidRPr="00E3248B" w:rsidRDefault="00F94248" w:rsidP="00F94248">
            <w:pPr>
              <w:pStyle w:val="TableParagraph"/>
              <w:spacing w:line="240" w:lineRule="auto"/>
              <w:ind w:left="64" w:right="5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48B">
              <w:rPr>
                <w:rFonts w:asciiTheme="minorHAnsi" w:hAnsiTheme="minorHAnsi" w:cstheme="minorHAnsi"/>
                <w:sz w:val="20"/>
                <w:szCs w:val="20"/>
              </w:rPr>
              <w:t>161,508,803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78017E" w14:textId="7E791617" w:rsidR="00F94248" w:rsidRPr="00E3248B" w:rsidRDefault="00F94248" w:rsidP="00F94248">
            <w:pPr>
              <w:pStyle w:val="TableParagraph"/>
              <w:spacing w:line="240" w:lineRule="auto"/>
              <w:ind w:left="64" w:righ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48B">
              <w:rPr>
                <w:rFonts w:asciiTheme="minorHAnsi" w:hAnsiTheme="minorHAnsi" w:cstheme="minorHAnsi"/>
                <w:sz w:val="20"/>
                <w:szCs w:val="20"/>
              </w:rPr>
              <w:t>99.75%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0177" w14:textId="065177AE" w:rsidR="00F94248" w:rsidRPr="00E3248B" w:rsidRDefault="00F94248" w:rsidP="00F94248">
            <w:pPr>
              <w:pStyle w:val="TableParagraph"/>
              <w:spacing w:line="240" w:lineRule="auto"/>
              <w:ind w:left="64" w:righ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48B">
              <w:rPr>
                <w:rFonts w:asciiTheme="minorHAnsi" w:hAnsiTheme="minorHAnsi" w:cstheme="minorHAnsi"/>
                <w:sz w:val="20"/>
                <w:szCs w:val="20"/>
              </w:rPr>
              <w:t>396,912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895A25" w14:textId="7E69037B" w:rsidR="00F94248" w:rsidRPr="00E3248B" w:rsidRDefault="00F94248" w:rsidP="00F94248">
            <w:pPr>
              <w:pStyle w:val="TableParagraph"/>
              <w:spacing w:line="240" w:lineRule="auto"/>
              <w:ind w:left="64" w:righ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48B">
              <w:rPr>
                <w:rFonts w:asciiTheme="minorHAnsi" w:hAnsiTheme="minorHAnsi" w:cstheme="minorHAnsi"/>
                <w:sz w:val="20"/>
                <w:szCs w:val="20"/>
              </w:rPr>
              <w:t>0.25%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2092" w14:textId="019C4046" w:rsidR="00F94248" w:rsidRPr="00E3248B" w:rsidRDefault="00F94248" w:rsidP="00F94248">
            <w:pPr>
              <w:pStyle w:val="TableParagraph"/>
              <w:spacing w:line="240" w:lineRule="auto"/>
              <w:ind w:left="64" w:righ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48B">
              <w:rPr>
                <w:rFonts w:asciiTheme="minorHAnsi" w:hAnsiTheme="minorHAnsi" w:cstheme="minorHAnsi"/>
                <w:sz w:val="20"/>
                <w:szCs w:val="20"/>
              </w:rPr>
              <w:t>15,117</w:t>
            </w:r>
          </w:p>
        </w:tc>
      </w:tr>
      <w:tr w:rsidR="00F94248" w:rsidRPr="007428BB" w14:paraId="7C4A6C2B" w14:textId="77777777" w:rsidTr="001C3DA8">
        <w:trPr>
          <w:trHeight w:val="845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19A3C" w14:textId="2379CA05" w:rsidR="00F94248" w:rsidRPr="00353E0E" w:rsidRDefault="00F94248" w:rsidP="00F94248">
            <w:pPr>
              <w:pStyle w:val="TableParagraph"/>
              <w:spacing w:line="240" w:lineRule="auto"/>
              <w:ind w:left="285" w:right="0" w:hanging="283"/>
              <w:jc w:val="left"/>
              <w:rPr>
                <w:rFonts w:asciiTheme="minorHAnsi" w:hAnsiTheme="minorHAnsi" w:cstheme="minorHAnsi"/>
                <w:spacing w:val="-1"/>
                <w:w w:val="125"/>
                <w:sz w:val="20"/>
                <w:szCs w:val="20"/>
              </w:rPr>
            </w:pPr>
            <w:r w:rsidRPr="0058218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</w:t>
            </w:r>
            <w:r w:rsidRPr="00353E0E">
              <w:rPr>
                <w:rFonts w:asciiTheme="minorHAnsi" w:hAnsiTheme="minorHAnsi" w:cstheme="minorHAnsi"/>
                <w:spacing w:val="-1"/>
                <w:w w:val="125"/>
                <w:sz w:val="20"/>
                <w:szCs w:val="20"/>
              </w:rPr>
              <w:tab/>
            </w:r>
            <w:r w:rsidRPr="00353E0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 re-appoint Ernst &amp; Yung LLP as Auditors of the Company</w:t>
            </w:r>
            <w:r w:rsidRPr="00353E0E">
              <w:rPr>
                <w:rFonts w:asciiTheme="minorHAnsi" w:hAnsiTheme="minorHAnsi" w:cstheme="minorHAnsi"/>
                <w:spacing w:val="-1"/>
                <w:w w:val="125"/>
                <w:sz w:val="20"/>
                <w:szCs w:val="20"/>
              </w:rPr>
              <w:t xml:space="preserve">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6CB10" w14:textId="3C4FCBCB" w:rsidR="00F94248" w:rsidRPr="00E3248B" w:rsidRDefault="00F94248" w:rsidP="00F94248">
            <w:pPr>
              <w:pStyle w:val="TableParagraph"/>
              <w:spacing w:line="240" w:lineRule="auto"/>
              <w:ind w:left="64" w:righ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48B">
              <w:rPr>
                <w:rFonts w:asciiTheme="minorHAnsi" w:hAnsiTheme="minorHAnsi" w:cstheme="minorHAnsi"/>
                <w:sz w:val="20"/>
                <w:szCs w:val="20"/>
              </w:rPr>
              <w:t>161,909,633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E5990" w14:textId="1DB78B82" w:rsidR="00F94248" w:rsidRPr="00E3248B" w:rsidRDefault="00F94248" w:rsidP="00F94248">
            <w:pPr>
              <w:pStyle w:val="TableParagraph"/>
              <w:spacing w:line="240" w:lineRule="auto"/>
              <w:ind w:left="64" w:right="5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48B">
              <w:rPr>
                <w:rFonts w:asciiTheme="minorHAnsi" w:hAnsiTheme="minorHAnsi" w:cstheme="minorHAnsi"/>
                <w:sz w:val="20"/>
                <w:szCs w:val="20"/>
              </w:rPr>
              <w:t>161,513,779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68D072" w14:textId="256FBD97" w:rsidR="00F94248" w:rsidRPr="00E3248B" w:rsidRDefault="00F94248" w:rsidP="00F94248">
            <w:pPr>
              <w:pStyle w:val="TableParagraph"/>
              <w:spacing w:line="240" w:lineRule="auto"/>
              <w:ind w:left="64" w:righ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48B">
              <w:rPr>
                <w:rFonts w:asciiTheme="minorHAnsi" w:hAnsiTheme="minorHAnsi" w:cstheme="minorHAnsi"/>
                <w:sz w:val="20"/>
                <w:szCs w:val="20"/>
              </w:rPr>
              <w:t>99.76%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248E" w14:textId="4AC908A5" w:rsidR="00F94248" w:rsidRPr="00E3248B" w:rsidRDefault="00F94248" w:rsidP="00F94248">
            <w:pPr>
              <w:pStyle w:val="TableParagraph"/>
              <w:spacing w:line="240" w:lineRule="auto"/>
              <w:ind w:left="64" w:righ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48B">
              <w:rPr>
                <w:rFonts w:asciiTheme="minorHAnsi" w:hAnsiTheme="minorHAnsi" w:cstheme="minorHAnsi"/>
                <w:sz w:val="20"/>
                <w:szCs w:val="20"/>
              </w:rPr>
              <w:t>395,854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9977A3" w14:textId="1D5D8406" w:rsidR="00F94248" w:rsidRPr="00E3248B" w:rsidRDefault="00F94248" w:rsidP="00F94248">
            <w:pPr>
              <w:pStyle w:val="TableParagraph"/>
              <w:spacing w:line="240" w:lineRule="auto"/>
              <w:ind w:left="64" w:righ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48B">
              <w:rPr>
                <w:rFonts w:asciiTheme="minorHAnsi" w:hAnsiTheme="minorHAnsi" w:cstheme="minorHAnsi"/>
                <w:sz w:val="20"/>
                <w:szCs w:val="20"/>
              </w:rPr>
              <w:t>0.24%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7DC8" w14:textId="625A770C" w:rsidR="00F94248" w:rsidRPr="00E3248B" w:rsidRDefault="00F94248" w:rsidP="00F94248">
            <w:pPr>
              <w:pStyle w:val="TableParagraph"/>
              <w:spacing w:line="240" w:lineRule="auto"/>
              <w:ind w:left="64" w:righ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48B">
              <w:rPr>
                <w:rFonts w:asciiTheme="minorHAnsi" w:hAnsiTheme="minorHAnsi" w:cstheme="minorHAnsi"/>
                <w:sz w:val="20"/>
                <w:szCs w:val="20"/>
              </w:rPr>
              <w:t>11,199</w:t>
            </w:r>
          </w:p>
        </w:tc>
      </w:tr>
      <w:tr w:rsidR="00F94248" w:rsidRPr="007428BB" w14:paraId="085EC29C" w14:textId="704C8705" w:rsidTr="001C3DA8">
        <w:trPr>
          <w:trHeight w:val="838"/>
        </w:trPr>
        <w:tc>
          <w:tcPr>
            <w:tcW w:w="2422" w:type="dxa"/>
            <w:vAlign w:val="bottom"/>
          </w:tcPr>
          <w:p w14:paraId="6C617843" w14:textId="6E09F3A6" w:rsidR="00F94248" w:rsidRPr="00353E0E" w:rsidRDefault="00F94248" w:rsidP="00F94248">
            <w:pPr>
              <w:pStyle w:val="TableParagraph"/>
              <w:spacing w:line="240" w:lineRule="auto"/>
              <w:ind w:left="285" w:right="0" w:hanging="283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3E0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 w:rsidRPr="00353E0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  <w:t xml:space="preserve">To authorise the Directors to determine the remuneration of the Auditors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3FFB" w14:textId="5C49F0A7" w:rsidR="00F94248" w:rsidRPr="00E3248B" w:rsidRDefault="00F94248" w:rsidP="00F94248">
            <w:pPr>
              <w:pStyle w:val="TableParagraph"/>
              <w:spacing w:line="240" w:lineRule="auto"/>
              <w:ind w:left="64" w:righ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48B">
              <w:rPr>
                <w:rFonts w:asciiTheme="minorHAnsi" w:hAnsiTheme="minorHAnsi" w:cstheme="minorHAnsi"/>
                <w:sz w:val="20"/>
                <w:szCs w:val="20"/>
              </w:rPr>
              <w:t>161,910,014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7EBD" w14:textId="279EAB1B" w:rsidR="00F94248" w:rsidRPr="00E3248B" w:rsidRDefault="00F94248" w:rsidP="00F94248">
            <w:pPr>
              <w:pStyle w:val="TableParagraph"/>
              <w:spacing w:line="240" w:lineRule="auto"/>
              <w:ind w:left="64" w:right="5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48B">
              <w:rPr>
                <w:rFonts w:asciiTheme="minorHAnsi" w:hAnsiTheme="minorHAnsi" w:cstheme="minorHAnsi"/>
                <w:sz w:val="20"/>
                <w:szCs w:val="20"/>
              </w:rPr>
              <w:t>161,518,478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2AEA8F" w14:textId="0D16E4E2" w:rsidR="00F94248" w:rsidRPr="00E3248B" w:rsidRDefault="00F94248" w:rsidP="00F94248">
            <w:pPr>
              <w:pStyle w:val="TableParagraph"/>
              <w:spacing w:line="240" w:lineRule="auto"/>
              <w:ind w:left="64" w:righ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48B">
              <w:rPr>
                <w:rFonts w:asciiTheme="minorHAnsi" w:hAnsiTheme="minorHAnsi" w:cstheme="minorHAnsi"/>
                <w:sz w:val="20"/>
                <w:szCs w:val="20"/>
              </w:rPr>
              <w:t>99.76%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37E2" w14:textId="42575CD0" w:rsidR="00F94248" w:rsidRPr="00E3248B" w:rsidRDefault="00F94248" w:rsidP="00F94248">
            <w:pPr>
              <w:pStyle w:val="TableParagraph"/>
              <w:spacing w:line="240" w:lineRule="auto"/>
              <w:ind w:left="64" w:righ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48B">
              <w:rPr>
                <w:rFonts w:asciiTheme="minorHAnsi" w:hAnsiTheme="minorHAnsi" w:cstheme="minorHAnsi"/>
                <w:sz w:val="20"/>
                <w:szCs w:val="20"/>
              </w:rPr>
              <w:t>391,536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ED9AF6" w14:textId="2C905F92" w:rsidR="00F94248" w:rsidRPr="00E3248B" w:rsidRDefault="00F94248" w:rsidP="00F94248">
            <w:pPr>
              <w:pStyle w:val="TableParagraph"/>
              <w:spacing w:line="240" w:lineRule="auto"/>
              <w:ind w:left="64" w:righ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48B">
              <w:rPr>
                <w:rFonts w:asciiTheme="minorHAnsi" w:hAnsiTheme="minorHAnsi" w:cstheme="minorHAnsi"/>
                <w:sz w:val="20"/>
                <w:szCs w:val="20"/>
              </w:rPr>
              <w:t>0.24%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D044" w14:textId="4395FB5A" w:rsidR="00F94248" w:rsidRPr="00E3248B" w:rsidRDefault="00F94248" w:rsidP="00F94248">
            <w:pPr>
              <w:pStyle w:val="TableParagraph"/>
              <w:spacing w:line="240" w:lineRule="auto"/>
              <w:ind w:left="64" w:righ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48B">
              <w:rPr>
                <w:rFonts w:asciiTheme="minorHAnsi" w:hAnsiTheme="minorHAnsi" w:cstheme="minorHAnsi"/>
                <w:sz w:val="20"/>
                <w:szCs w:val="20"/>
              </w:rPr>
              <w:t>10,818</w:t>
            </w:r>
          </w:p>
        </w:tc>
      </w:tr>
      <w:tr w:rsidR="00F94248" w:rsidRPr="007428BB" w14:paraId="4A0DAB08" w14:textId="5F168782" w:rsidTr="001C3DA8">
        <w:trPr>
          <w:trHeight w:val="669"/>
        </w:trPr>
        <w:tc>
          <w:tcPr>
            <w:tcW w:w="2422" w:type="dxa"/>
            <w:vAlign w:val="bottom"/>
          </w:tcPr>
          <w:p w14:paraId="02515373" w14:textId="4C39B27C" w:rsidR="00F94248" w:rsidRPr="00353E0E" w:rsidRDefault="00F94248" w:rsidP="00F94248">
            <w:pPr>
              <w:pStyle w:val="TableParagraph"/>
              <w:spacing w:line="240" w:lineRule="auto"/>
              <w:ind w:left="285" w:right="0" w:hanging="283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3E0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  <w:r w:rsidRPr="00353E0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  <w:t xml:space="preserve">To authorise the Directors to make political donations and expenditure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11E9" w14:textId="1BA22291" w:rsidR="00F94248" w:rsidRPr="00E3248B" w:rsidRDefault="00F94248" w:rsidP="00F94248">
            <w:pPr>
              <w:pStyle w:val="TableParagraph"/>
              <w:spacing w:line="240" w:lineRule="auto"/>
              <w:ind w:left="64" w:righ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48B">
              <w:rPr>
                <w:rFonts w:asciiTheme="minorHAnsi" w:hAnsiTheme="minorHAnsi" w:cstheme="minorHAnsi"/>
                <w:sz w:val="20"/>
                <w:szCs w:val="20"/>
              </w:rPr>
              <w:t>161,910,755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D4CA" w14:textId="39AF2CDF" w:rsidR="00F94248" w:rsidRPr="00E3248B" w:rsidRDefault="00F94248" w:rsidP="00F94248">
            <w:pPr>
              <w:pStyle w:val="TableParagraph"/>
              <w:spacing w:line="240" w:lineRule="auto"/>
              <w:ind w:left="64" w:right="5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48B">
              <w:rPr>
                <w:rFonts w:asciiTheme="minorHAnsi" w:hAnsiTheme="minorHAnsi" w:cstheme="minorHAnsi"/>
                <w:sz w:val="20"/>
                <w:szCs w:val="20"/>
              </w:rPr>
              <w:t>157,767,258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F21C40" w14:textId="10592FC5" w:rsidR="00F94248" w:rsidRPr="00E3248B" w:rsidRDefault="00F94248" w:rsidP="00F94248">
            <w:pPr>
              <w:pStyle w:val="TableParagraph"/>
              <w:spacing w:line="240" w:lineRule="auto"/>
              <w:ind w:left="64" w:righ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48B">
              <w:rPr>
                <w:rFonts w:asciiTheme="minorHAnsi" w:hAnsiTheme="minorHAnsi" w:cstheme="minorHAnsi"/>
                <w:sz w:val="20"/>
                <w:szCs w:val="20"/>
              </w:rPr>
              <w:t>97.44%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636F" w14:textId="488A5A5A" w:rsidR="00F94248" w:rsidRPr="00E3248B" w:rsidRDefault="00F94248" w:rsidP="00F94248">
            <w:pPr>
              <w:pStyle w:val="TableParagraph"/>
              <w:spacing w:line="240" w:lineRule="auto"/>
              <w:ind w:left="64" w:righ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48B">
              <w:rPr>
                <w:rFonts w:asciiTheme="minorHAnsi" w:hAnsiTheme="minorHAnsi" w:cstheme="minorHAnsi"/>
                <w:sz w:val="20"/>
                <w:szCs w:val="20"/>
              </w:rPr>
              <w:t>4,143,497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1D608B" w14:textId="7EB91AF7" w:rsidR="00F94248" w:rsidRPr="00E3248B" w:rsidRDefault="00F94248" w:rsidP="00F94248">
            <w:pPr>
              <w:pStyle w:val="TableParagraph"/>
              <w:spacing w:line="240" w:lineRule="auto"/>
              <w:ind w:left="64" w:righ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48B">
              <w:rPr>
                <w:rFonts w:asciiTheme="minorHAnsi" w:hAnsiTheme="minorHAnsi" w:cstheme="minorHAnsi"/>
                <w:sz w:val="20"/>
                <w:szCs w:val="20"/>
              </w:rPr>
              <w:t>2.56%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7903" w14:textId="6BD87187" w:rsidR="00F94248" w:rsidRPr="00E3248B" w:rsidRDefault="00F94248" w:rsidP="00F94248">
            <w:pPr>
              <w:pStyle w:val="TableParagraph"/>
              <w:spacing w:line="240" w:lineRule="auto"/>
              <w:ind w:left="64" w:righ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48B">
              <w:rPr>
                <w:rFonts w:asciiTheme="minorHAnsi" w:hAnsiTheme="minorHAnsi" w:cstheme="minorHAnsi"/>
                <w:sz w:val="20"/>
                <w:szCs w:val="20"/>
              </w:rPr>
              <w:t>10,077</w:t>
            </w:r>
          </w:p>
        </w:tc>
      </w:tr>
      <w:tr w:rsidR="00F94248" w:rsidRPr="007428BB" w14:paraId="27E88E11" w14:textId="498472C8" w:rsidTr="00F94248">
        <w:trPr>
          <w:trHeight w:val="669"/>
        </w:trPr>
        <w:tc>
          <w:tcPr>
            <w:tcW w:w="2422" w:type="dxa"/>
            <w:vAlign w:val="bottom"/>
          </w:tcPr>
          <w:p w14:paraId="365C9C3C" w14:textId="46E5B3BB" w:rsidR="00F94248" w:rsidRPr="00353E0E" w:rsidRDefault="00F94248" w:rsidP="00F94248">
            <w:pPr>
              <w:pStyle w:val="TableParagraph"/>
              <w:tabs>
                <w:tab w:val="left" w:pos="626"/>
              </w:tabs>
              <w:spacing w:line="240" w:lineRule="auto"/>
              <w:ind w:left="285" w:right="0" w:hanging="283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3E0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  <w:r w:rsidRPr="00353E0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  <w:t xml:space="preserve">To authorise the directors to allot shares in the Company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FA28" w14:textId="3614DDBB" w:rsidR="00F94248" w:rsidRPr="00E3248B" w:rsidRDefault="00F94248" w:rsidP="00F94248">
            <w:pPr>
              <w:pStyle w:val="TableParagraph"/>
              <w:spacing w:line="240" w:lineRule="auto"/>
              <w:ind w:left="64" w:righ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48B">
              <w:rPr>
                <w:rFonts w:asciiTheme="minorHAnsi" w:hAnsiTheme="minorHAnsi" w:cstheme="minorHAnsi"/>
                <w:sz w:val="20"/>
                <w:szCs w:val="20"/>
              </w:rPr>
              <w:t>161,910,512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69877" w14:textId="1E4C61A1" w:rsidR="00F94248" w:rsidRPr="00E3248B" w:rsidRDefault="00F94248" w:rsidP="00F94248">
            <w:pPr>
              <w:ind w:right="51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48B">
              <w:rPr>
                <w:rFonts w:asciiTheme="minorHAnsi" w:hAnsiTheme="minorHAnsi" w:cstheme="minorHAnsi"/>
                <w:sz w:val="20"/>
                <w:szCs w:val="20"/>
              </w:rPr>
              <w:t>156,355,979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F3CF19" w14:textId="734A268A" w:rsidR="00F94248" w:rsidRPr="00E3248B" w:rsidRDefault="00F94248" w:rsidP="00F94248">
            <w:pPr>
              <w:pStyle w:val="TableParagraph"/>
              <w:spacing w:line="240" w:lineRule="auto"/>
              <w:ind w:left="64" w:righ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48B">
              <w:rPr>
                <w:rFonts w:asciiTheme="minorHAnsi" w:hAnsiTheme="minorHAnsi" w:cstheme="minorHAnsi"/>
                <w:sz w:val="20"/>
                <w:szCs w:val="20"/>
              </w:rPr>
              <w:t>96.57%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C9899" w14:textId="7EB58027" w:rsidR="00F94248" w:rsidRPr="00E3248B" w:rsidRDefault="00F94248" w:rsidP="00F94248">
            <w:pPr>
              <w:pStyle w:val="TableParagraph"/>
              <w:spacing w:line="240" w:lineRule="auto"/>
              <w:ind w:left="64" w:righ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48B">
              <w:rPr>
                <w:rFonts w:asciiTheme="minorHAnsi" w:hAnsiTheme="minorHAnsi" w:cstheme="minorHAnsi"/>
                <w:sz w:val="20"/>
                <w:szCs w:val="20"/>
              </w:rPr>
              <w:t>5,554,533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56E6FF" w14:textId="14025A79" w:rsidR="00F94248" w:rsidRPr="00E3248B" w:rsidRDefault="00F94248" w:rsidP="00F94248">
            <w:pPr>
              <w:pStyle w:val="TableParagraph"/>
              <w:spacing w:line="240" w:lineRule="auto"/>
              <w:ind w:left="64" w:righ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48B">
              <w:rPr>
                <w:rFonts w:asciiTheme="minorHAnsi" w:hAnsiTheme="minorHAnsi" w:cstheme="minorHAnsi"/>
                <w:sz w:val="20"/>
                <w:szCs w:val="20"/>
              </w:rPr>
              <w:t>3.43%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44E2" w14:textId="69882CF8" w:rsidR="00F94248" w:rsidRPr="00E3248B" w:rsidRDefault="00F94248" w:rsidP="00F94248">
            <w:pPr>
              <w:pStyle w:val="TableParagraph"/>
              <w:spacing w:line="240" w:lineRule="auto"/>
              <w:ind w:left="64" w:righ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48B">
              <w:rPr>
                <w:rFonts w:asciiTheme="minorHAnsi" w:hAnsiTheme="minorHAnsi" w:cstheme="minorHAnsi"/>
                <w:sz w:val="20"/>
                <w:szCs w:val="20"/>
              </w:rPr>
              <w:t>10,320</w:t>
            </w:r>
          </w:p>
        </w:tc>
      </w:tr>
      <w:tr w:rsidR="00F94248" w:rsidRPr="007428BB" w14:paraId="53FEC96D" w14:textId="65439752" w:rsidTr="00F94248">
        <w:trPr>
          <w:trHeight w:val="1270"/>
        </w:trPr>
        <w:tc>
          <w:tcPr>
            <w:tcW w:w="2422" w:type="dxa"/>
            <w:vAlign w:val="bottom"/>
          </w:tcPr>
          <w:p w14:paraId="1F9EFC51" w14:textId="3F1DCFD5" w:rsidR="00F94248" w:rsidRPr="00353E0E" w:rsidRDefault="00F94248" w:rsidP="00F94248">
            <w:pPr>
              <w:pStyle w:val="TableParagraph"/>
              <w:tabs>
                <w:tab w:val="left" w:pos="626"/>
              </w:tabs>
              <w:spacing w:line="240" w:lineRule="auto"/>
              <w:ind w:left="285" w:right="0" w:hanging="283"/>
              <w:jc w:val="left"/>
              <w:rPr>
                <w:rFonts w:asciiTheme="minorHAnsi" w:hAnsiTheme="minorHAnsi" w:cstheme="minorHAnsi"/>
                <w:spacing w:val="-1"/>
                <w:w w:val="125"/>
                <w:sz w:val="20"/>
                <w:szCs w:val="20"/>
              </w:rPr>
            </w:pPr>
            <w:r w:rsidRPr="0058218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15</w:t>
            </w:r>
            <w:r w:rsidRPr="00353E0E">
              <w:rPr>
                <w:rFonts w:asciiTheme="minorHAnsi" w:hAnsiTheme="minorHAnsi" w:cstheme="minorHAnsi"/>
                <w:spacing w:val="-1"/>
                <w:w w:val="125"/>
                <w:sz w:val="20"/>
                <w:szCs w:val="20"/>
              </w:rPr>
              <w:tab/>
            </w:r>
            <w:r w:rsidRPr="00353E0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To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grant</w:t>
            </w:r>
            <w:r w:rsidRPr="00353E0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the Directors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the authority to disapply</w:t>
            </w:r>
            <w:r w:rsidRPr="00353E0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pre-emption rights</w:t>
            </w:r>
            <w:r w:rsidRPr="00353E0E">
              <w:rPr>
                <w:rFonts w:asciiTheme="minorHAnsi" w:hAnsiTheme="minorHAnsi" w:cstheme="minorHAnsi"/>
                <w:spacing w:val="-1"/>
                <w:w w:val="125"/>
                <w:sz w:val="20"/>
                <w:szCs w:val="20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0793" w14:textId="598B2C98" w:rsidR="00F94248" w:rsidRPr="00E3248B" w:rsidRDefault="00F94248" w:rsidP="00F94248">
            <w:pPr>
              <w:pStyle w:val="TableParagraph"/>
              <w:spacing w:line="240" w:lineRule="auto"/>
              <w:ind w:left="64" w:righ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48B">
              <w:rPr>
                <w:rFonts w:asciiTheme="minorHAnsi" w:hAnsiTheme="minorHAnsi" w:cstheme="minorHAnsi"/>
                <w:sz w:val="20"/>
                <w:szCs w:val="20"/>
              </w:rPr>
              <w:t>161,908,364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887E" w14:textId="395582A3" w:rsidR="00F94248" w:rsidRPr="00E3248B" w:rsidRDefault="00F94248" w:rsidP="00F94248">
            <w:pPr>
              <w:pStyle w:val="TableParagraph"/>
              <w:spacing w:line="240" w:lineRule="auto"/>
              <w:ind w:left="64" w:right="5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48B">
              <w:rPr>
                <w:rFonts w:asciiTheme="minorHAnsi" w:hAnsiTheme="minorHAnsi" w:cstheme="minorHAnsi"/>
                <w:sz w:val="20"/>
                <w:szCs w:val="20"/>
              </w:rPr>
              <w:t>144,748,659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890770" w14:textId="20818746" w:rsidR="00F94248" w:rsidRPr="00E3248B" w:rsidRDefault="00F94248" w:rsidP="00F94248">
            <w:pPr>
              <w:pStyle w:val="TableParagraph"/>
              <w:spacing w:line="240" w:lineRule="auto"/>
              <w:ind w:left="64" w:righ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48B">
              <w:rPr>
                <w:rFonts w:asciiTheme="minorHAnsi" w:hAnsiTheme="minorHAnsi" w:cstheme="minorHAnsi"/>
                <w:sz w:val="20"/>
                <w:szCs w:val="20"/>
              </w:rPr>
              <w:t>89.40%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F4055" w14:textId="242F5D07" w:rsidR="00F94248" w:rsidRPr="00E3248B" w:rsidRDefault="00F94248" w:rsidP="00F94248">
            <w:pPr>
              <w:pStyle w:val="TableParagraph"/>
              <w:spacing w:line="240" w:lineRule="auto"/>
              <w:ind w:left="64" w:righ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48B">
              <w:rPr>
                <w:rFonts w:asciiTheme="minorHAnsi" w:hAnsiTheme="minorHAnsi" w:cstheme="minorHAnsi"/>
                <w:sz w:val="20"/>
                <w:szCs w:val="20"/>
              </w:rPr>
              <w:t>17,159,705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83E540" w14:textId="48108BCA" w:rsidR="00F94248" w:rsidRPr="00E3248B" w:rsidRDefault="00F94248" w:rsidP="00F94248">
            <w:pPr>
              <w:pStyle w:val="TableParagraph"/>
              <w:spacing w:line="240" w:lineRule="auto"/>
              <w:ind w:left="64" w:righ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48B">
              <w:rPr>
                <w:rFonts w:asciiTheme="minorHAnsi" w:hAnsiTheme="minorHAnsi" w:cstheme="minorHAnsi"/>
                <w:sz w:val="20"/>
                <w:szCs w:val="20"/>
              </w:rPr>
              <w:t>10.60%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237E" w14:textId="283219B6" w:rsidR="00F94248" w:rsidRPr="00E3248B" w:rsidRDefault="00F94248" w:rsidP="00F94248">
            <w:pPr>
              <w:pStyle w:val="TableParagraph"/>
              <w:spacing w:line="240" w:lineRule="auto"/>
              <w:ind w:left="64" w:righ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48B">
              <w:rPr>
                <w:rFonts w:asciiTheme="minorHAnsi" w:hAnsiTheme="minorHAnsi" w:cstheme="minorHAnsi"/>
                <w:sz w:val="20"/>
                <w:szCs w:val="20"/>
              </w:rPr>
              <w:t>12,468</w:t>
            </w:r>
          </w:p>
        </w:tc>
      </w:tr>
      <w:tr w:rsidR="00F94248" w:rsidRPr="007428BB" w14:paraId="2AA6C09F" w14:textId="77777777" w:rsidTr="001C3DA8">
        <w:trPr>
          <w:trHeight w:val="669"/>
        </w:trPr>
        <w:tc>
          <w:tcPr>
            <w:tcW w:w="2422" w:type="dxa"/>
            <w:vAlign w:val="bottom"/>
          </w:tcPr>
          <w:p w14:paraId="1F100600" w14:textId="51A5338A" w:rsidR="00F94248" w:rsidRPr="00353E0E" w:rsidRDefault="00F94248" w:rsidP="00F94248">
            <w:pPr>
              <w:pStyle w:val="TableParagraph"/>
              <w:spacing w:line="240" w:lineRule="auto"/>
              <w:ind w:left="285" w:right="0" w:hanging="283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3E0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  <w:r w:rsidRPr="00353E0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  <w:t xml:space="preserve">To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grant</w:t>
            </w:r>
            <w:r w:rsidRPr="00353E0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the Directors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the authority to disapply</w:t>
            </w:r>
            <w:r w:rsidRPr="00353E0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pre-emption rights in connection with acquisitions or other capital investments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EAEB" w14:textId="4B3A9F01" w:rsidR="00F94248" w:rsidRPr="00E3248B" w:rsidRDefault="00F94248" w:rsidP="00F94248">
            <w:pPr>
              <w:pStyle w:val="TableParagraph"/>
              <w:spacing w:line="240" w:lineRule="auto"/>
              <w:ind w:left="64" w:righ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48B">
              <w:rPr>
                <w:rFonts w:asciiTheme="minorHAnsi" w:hAnsiTheme="minorHAnsi" w:cstheme="minorHAnsi"/>
                <w:sz w:val="20"/>
                <w:szCs w:val="20"/>
              </w:rPr>
              <w:t>161,908,571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B06B3" w14:textId="3DCFB1B4" w:rsidR="00F94248" w:rsidRPr="00E3248B" w:rsidRDefault="00F94248" w:rsidP="00F94248">
            <w:pPr>
              <w:pStyle w:val="TableParagraph"/>
              <w:spacing w:line="240" w:lineRule="auto"/>
              <w:ind w:left="64" w:right="5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48B">
              <w:rPr>
                <w:rFonts w:asciiTheme="minorHAnsi" w:hAnsiTheme="minorHAnsi" w:cstheme="minorHAnsi"/>
                <w:sz w:val="20"/>
                <w:szCs w:val="20"/>
              </w:rPr>
              <w:t>142,000,531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FCC5E4" w14:textId="63E120C1" w:rsidR="00F94248" w:rsidRPr="00E3248B" w:rsidRDefault="00F94248" w:rsidP="00F94248">
            <w:pPr>
              <w:pStyle w:val="TableParagraph"/>
              <w:spacing w:line="240" w:lineRule="auto"/>
              <w:ind w:left="64" w:righ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48B">
              <w:rPr>
                <w:rFonts w:asciiTheme="minorHAnsi" w:hAnsiTheme="minorHAnsi" w:cstheme="minorHAnsi"/>
                <w:sz w:val="20"/>
                <w:szCs w:val="20"/>
              </w:rPr>
              <w:t>87.70%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06C89" w14:textId="4EB26833" w:rsidR="00F94248" w:rsidRPr="00E3248B" w:rsidRDefault="00F94248" w:rsidP="00F94248">
            <w:pPr>
              <w:pStyle w:val="TableParagraph"/>
              <w:spacing w:line="240" w:lineRule="auto"/>
              <w:ind w:left="64" w:righ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48B">
              <w:rPr>
                <w:rFonts w:asciiTheme="minorHAnsi" w:hAnsiTheme="minorHAnsi" w:cstheme="minorHAnsi"/>
                <w:sz w:val="20"/>
                <w:szCs w:val="20"/>
              </w:rPr>
              <w:t>19,908,040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9079CB" w14:textId="2D544F6F" w:rsidR="00F94248" w:rsidRPr="00E3248B" w:rsidRDefault="00F94248" w:rsidP="00F94248">
            <w:pPr>
              <w:pStyle w:val="TableParagraph"/>
              <w:spacing w:line="240" w:lineRule="auto"/>
              <w:ind w:left="64" w:righ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48B">
              <w:rPr>
                <w:rFonts w:asciiTheme="minorHAnsi" w:hAnsiTheme="minorHAnsi" w:cstheme="minorHAnsi"/>
                <w:sz w:val="20"/>
                <w:szCs w:val="20"/>
              </w:rPr>
              <w:t>12.30%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392A" w14:textId="25111903" w:rsidR="00F94248" w:rsidRPr="00E3248B" w:rsidRDefault="00F94248" w:rsidP="00F94248">
            <w:pPr>
              <w:pStyle w:val="TableParagraph"/>
              <w:spacing w:line="240" w:lineRule="auto"/>
              <w:ind w:left="64" w:righ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48B">
              <w:rPr>
                <w:rFonts w:asciiTheme="minorHAnsi" w:hAnsiTheme="minorHAnsi" w:cstheme="minorHAnsi"/>
                <w:sz w:val="20"/>
                <w:szCs w:val="20"/>
              </w:rPr>
              <w:t>12,261</w:t>
            </w:r>
          </w:p>
        </w:tc>
      </w:tr>
      <w:tr w:rsidR="00F94248" w:rsidRPr="007428BB" w14:paraId="4440E690" w14:textId="458B7888" w:rsidTr="001C3DA8">
        <w:trPr>
          <w:trHeight w:val="669"/>
        </w:trPr>
        <w:tc>
          <w:tcPr>
            <w:tcW w:w="2422" w:type="dxa"/>
            <w:vAlign w:val="bottom"/>
          </w:tcPr>
          <w:p w14:paraId="70823A21" w14:textId="527E440A" w:rsidR="00F94248" w:rsidRPr="00353E0E" w:rsidRDefault="00F94248" w:rsidP="00F94248">
            <w:pPr>
              <w:pStyle w:val="TableParagraph"/>
              <w:spacing w:line="240" w:lineRule="auto"/>
              <w:ind w:left="285" w:right="0" w:hanging="283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3E0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  <w:r w:rsidRPr="00353E0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  <w:t xml:space="preserve">To authorise the Company to make market purchases of its own shares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D8A6" w14:textId="22F2D6C3" w:rsidR="00F94248" w:rsidRPr="00E3248B" w:rsidRDefault="00F94248" w:rsidP="00F94248">
            <w:pPr>
              <w:pStyle w:val="TableParagraph"/>
              <w:spacing w:line="240" w:lineRule="auto"/>
              <w:ind w:left="64" w:righ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48B">
              <w:rPr>
                <w:rFonts w:asciiTheme="minorHAnsi" w:hAnsiTheme="minorHAnsi" w:cstheme="minorHAnsi"/>
                <w:sz w:val="20"/>
                <w:szCs w:val="20"/>
              </w:rPr>
              <w:t>161,887,552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50F1" w14:textId="1678262D" w:rsidR="00F94248" w:rsidRPr="00E3248B" w:rsidRDefault="00F94248" w:rsidP="00F94248">
            <w:pPr>
              <w:pStyle w:val="TableParagraph"/>
              <w:spacing w:line="240" w:lineRule="auto"/>
              <w:ind w:left="64" w:right="5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48B">
              <w:rPr>
                <w:rFonts w:asciiTheme="minorHAnsi" w:hAnsiTheme="minorHAnsi" w:cstheme="minorHAnsi"/>
                <w:sz w:val="20"/>
                <w:szCs w:val="20"/>
              </w:rPr>
              <w:t>161,749,815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06F1F5" w14:textId="1A5D3F74" w:rsidR="00F94248" w:rsidRPr="00E3248B" w:rsidRDefault="00F94248" w:rsidP="00F94248">
            <w:pPr>
              <w:pStyle w:val="TableParagraph"/>
              <w:spacing w:line="240" w:lineRule="auto"/>
              <w:ind w:left="64" w:righ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48B">
              <w:rPr>
                <w:rFonts w:asciiTheme="minorHAnsi" w:hAnsiTheme="minorHAnsi" w:cstheme="minorHAnsi"/>
                <w:sz w:val="20"/>
                <w:szCs w:val="20"/>
              </w:rPr>
              <w:t>99.91%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3DFD" w14:textId="0657F3FA" w:rsidR="00F94248" w:rsidRPr="00E3248B" w:rsidRDefault="00F94248" w:rsidP="00F94248">
            <w:pPr>
              <w:pStyle w:val="TableParagraph"/>
              <w:spacing w:line="240" w:lineRule="auto"/>
              <w:ind w:left="64" w:righ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48B">
              <w:rPr>
                <w:rFonts w:asciiTheme="minorHAnsi" w:hAnsiTheme="minorHAnsi" w:cstheme="minorHAnsi"/>
                <w:sz w:val="20"/>
                <w:szCs w:val="20"/>
              </w:rPr>
              <w:t>137,737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BFE1AA" w14:textId="77375F16" w:rsidR="00F94248" w:rsidRPr="00E3248B" w:rsidRDefault="00F94248" w:rsidP="00F94248">
            <w:pPr>
              <w:pStyle w:val="TableParagraph"/>
              <w:spacing w:line="240" w:lineRule="auto"/>
              <w:ind w:left="64" w:righ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48B">
              <w:rPr>
                <w:rFonts w:asciiTheme="minorHAnsi" w:hAnsiTheme="minorHAnsi" w:cstheme="minorHAnsi"/>
                <w:sz w:val="20"/>
                <w:szCs w:val="20"/>
              </w:rPr>
              <w:t>0.09%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D8A5" w14:textId="1BF93CEB" w:rsidR="00F94248" w:rsidRPr="00E3248B" w:rsidRDefault="00F94248" w:rsidP="00F94248">
            <w:pPr>
              <w:pStyle w:val="TableParagraph"/>
              <w:spacing w:line="240" w:lineRule="auto"/>
              <w:ind w:left="64" w:righ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48B">
              <w:rPr>
                <w:rFonts w:asciiTheme="minorHAnsi" w:hAnsiTheme="minorHAnsi" w:cstheme="minorHAnsi"/>
                <w:sz w:val="20"/>
                <w:szCs w:val="20"/>
              </w:rPr>
              <w:t>33,280</w:t>
            </w:r>
          </w:p>
        </w:tc>
      </w:tr>
      <w:tr w:rsidR="00F94248" w:rsidRPr="007428BB" w14:paraId="6EF53EFB" w14:textId="77777777" w:rsidTr="001C3DA8">
        <w:trPr>
          <w:trHeight w:val="948"/>
        </w:trPr>
        <w:tc>
          <w:tcPr>
            <w:tcW w:w="2422" w:type="dxa"/>
            <w:vAlign w:val="bottom"/>
          </w:tcPr>
          <w:p w14:paraId="3AB70A0F" w14:textId="766578D6" w:rsidR="00F94248" w:rsidRPr="00353E0E" w:rsidRDefault="00F94248" w:rsidP="00F94248">
            <w:pPr>
              <w:pStyle w:val="TableParagraph"/>
              <w:spacing w:line="240" w:lineRule="auto"/>
              <w:ind w:left="285" w:right="0" w:hanging="283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3E0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  <w:r w:rsidRPr="00353E0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To call general meetings (other than annual general meetings) on not less than 14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clear</w:t>
            </w:r>
            <w:r w:rsidRPr="00353E0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days’ notice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9C15C" w14:textId="5925B1CF" w:rsidR="00F94248" w:rsidRPr="00E3248B" w:rsidRDefault="00F94248" w:rsidP="00F94248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48B">
              <w:rPr>
                <w:rFonts w:asciiTheme="minorHAnsi" w:hAnsiTheme="minorHAnsi" w:cstheme="minorHAnsi"/>
                <w:sz w:val="20"/>
                <w:szCs w:val="20"/>
              </w:rPr>
              <w:t>161,911,574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AD14" w14:textId="2247C1B6" w:rsidR="00F94248" w:rsidRPr="00E3248B" w:rsidRDefault="00F94248" w:rsidP="00F94248">
            <w:pPr>
              <w:pStyle w:val="TableParagraph"/>
              <w:spacing w:line="240" w:lineRule="auto"/>
              <w:ind w:left="64" w:right="5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48B">
              <w:rPr>
                <w:rFonts w:asciiTheme="minorHAnsi" w:hAnsiTheme="minorHAnsi" w:cstheme="minorHAnsi"/>
                <w:sz w:val="20"/>
                <w:szCs w:val="20"/>
              </w:rPr>
              <w:t>156,062,068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3BBD1E" w14:textId="35DF1A31" w:rsidR="00F94248" w:rsidRPr="00E3248B" w:rsidRDefault="00F94248" w:rsidP="00F94248">
            <w:pPr>
              <w:pStyle w:val="TableParagraph"/>
              <w:spacing w:line="240" w:lineRule="auto"/>
              <w:ind w:left="64" w:righ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48B">
              <w:rPr>
                <w:rFonts w:asciiTheme="minorHAnsi" w:hAnsiTheme="minorHAnsi" w:cstheme="minorHAnsi"/>
                <w:sz w:val="20"/>
                <w:szCs w:val="20"/>
              </w:rPr>
              <w:t>96.39%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1478" w14:textId="4AFC90AF" w:rsidR="00F94248" w:rsidRPr="00E3248B" w:rsidRDefault="00F94248" w:rsidP="00F9424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48B">
              <w:rPr>
                <w:rFonts w:asciiTheme="minorHAnsi" w:hAnsiTheme="minorHAnsi" w:cstheme="minorHAnsi"/>
                <w:sz w:val="20"/>
                <w:szCs w:val="20"/>
              </w:rPr>
              <w:t>5,849,506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C52100" w14:textId="56475CF8" w:rsidR="00F94248" w:rsidRPr="00E3248B" w:rsidRDefault="00F94248" w:rsidP="00F94248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48B">
              <w:rPr>
                <w:rFonts w:asciiTheme="minorHAnsi" w:hAnsiTheme="minorHAnsi" w:cstheme="minorHAnsi"/>
                <w:sz w:val="20"/>
                <w:szCs w:val="20"/>
              </w:rPr>
              <w:t>3.61%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DBF0" w14:textId="43A2B905" w:rsidR="00F94248" w:rsidRPr="00E3248B" w:rsidRDefault="00F94248" w:rsidP="00F94248">
            <w:pPr>
              <w:pStyle w:val="TableParagraph"/>
              <w:spacing w:line="240" w:lineRule="auto"/>
              <w:ind w:left="64" w:righ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48B">
              <w:rPr>
                <w:rFonts w:asciiTheme="minorHAnsi" w:hAnsiTheme="minorHAnsi" w:cstheme="minorHAnsi"/>
                <w:sz w:val="20"/>
                <w:szCs w:val="20"/>
              </w:rPr>
              <w:t>9,258</w:t>
            </w:r>
          </w:p>
        </w:tc>
      </w:tr>
    </w:tbl>
    <w:p w14:paraId="08D9F7CF" w14:textId="77777777" w:rsidR="0077170D" w:rsidRPr="00670603" w:rsidRDefault="0077170D">
      <w:pPr>
        <w:pStyle w:val="BodyText"/>
        <w:spacing w:before="6"/>
        <w:rPr>
          <w:rFonts w:asciiTheme="minorHAnsi" w:hAnsiTheme="minorHAnsi" w:cstheme="minorHAnsi"/>
          <w:sz w:val="18"/>
          <w:szCs w:val="18"/>
        </w:rPr>
      </w:pPr>
    </w:p>
    <w:p w14:paraId="204954D7" w14:textId="77777777" w:rsidR="0077170D" w:rsidRPr="00670603" w:rsidRDefault="0077170D" w:rsidP="00641228">
      <w:pPr>
        <w:pStyle w:val="BodyText"/>
        <w:spacing w:before="3"/>
        <w:ind w:right="768"/>
        <w:rPr>
          <w:rFonts w:asciiTheme="minorHAnsi" w:hAnsiTheme="minorHAnsi" w:cstheme="minorHAnsi"/>
          <w:sz w:val="18"/>
          <w:szCs w:val="18"/>
        </w:rPr>
      </w:pPr>
    </w:p>
    <w:p w14:paraId="6B06158E" w14:textId="1A684633" w:rsidR="00D508C2" w:rsidRDefault="00641228" w:rsidP="00641228">
      <w:pPr>
        <w:pStyle w:val="BodyText"/>
        <w:spacing w:before="3"/>
        <w:ind w:left="993" w:right="768"/>
        <w:jc w:val="both"/>
        <w:rPr>
          <w:rFonts w:asciiTheme="minorHAnsi" w:hAnsiTheme="minorHAnsi" w:cstheme="minorHAnsi"/>
          <w:spacing w:val="5"/>
          <w:sz w:val="22"/>
          <w:szCs w:val="22"/>
        </w:rPr>
      </w:pPr>
      <w:r w:rsidRPr="00D508C2">
        <w:rPr>
          <w:rFonts w:asciiTheme="minorHAnsi" w:hAnsiTheme="minorHAnsi" w:cstheme="minorHAnsi"/>
          <w:spacing w:val="5"/>
          <w:sz w:val="22"/>
          <w:szCs w:val="22"/>
        </w:rPr>
        <w:t xml:space="preserve">As at the date of the AGM, the number of issued shares and total voting rights of the Company was </w:t>
      </w:r>
      <w:r w:rsidR="007729F4" w:rsidRPr="004A14AF">
        <w:rPr>
          <w:rFonts w:asciiTheme="minorHAnsi" w:hAnsiTheme="minorHAnsi" w:cstheme="minorHAnsi"/>
          <w:spacing w:val="5"/>
          <w:sz w:val="22"/>
          <w:szCs w:val="22"/>
        </w:rPr>
        <w:t>233,301,622</w:t>
      </w:r>
      <w:r w:rsidRPr="004A14AF">
        <w:rPr>
          <w:rFonts w:asciiTheme="minorHAnsi" w:hAnsiTheme="minorHAnsi" w:cstheme="minorHAnsi"/>
          <w:spacing w:val="5"/>
          <w:sz w:val="22"/>
          <w:szCs w:val="22"/>
        </w:rPr>
        <w:t>. The</w:t>
      </w:r>
      <w:r w:rsidRPr="00D508C2">
        <w:rPr>
          <w:rFonts w:asciiTheme="minorHAnsi" w:hAnsiTheme="minorHAnsi" w:cstheme="minorHAnsi"/>
          <w:spacing w:val="5"/>
          <w:sz w:val="22"/>
          <w:szCs w:val="22"/>
        </w:rPr>
        <w:t xml:space="preserve"> Company's Articles of Association set out that every member who is present in person or by proxy shall have one vote for every share </w:t>
      </w:r>
      <w:r w:rsidR="0094300B" w:rsidRPr="00D508C2">
        <w:rPr>
          <w:rFonts w:asciiTheme="minorHAnsi" w:hAnsiTheme="minorHAnsi" w:cstheme="minorHAnsi"/>
          <w:spacing w:val="5"/>
          <w:sz w:val="22"/>
          <w:szCs w:val="22"/>
        </w:rPr>
        <w:t>of which he is the holder on a poll. The scrutineer of the poll was Equiniti Limited</w:t>
      </w:r>
    </w:p>
    <w:p w14:paraId="69CE4FE2" w14:textId="77777777" w:rsidR="00641228" w:rsidRPr="00D508C2" w:rsidRDefault="00641228" w:rsidP="00641228">
      <w:pPr>
        <w:pStyle w:val="BodyText"/>
        <w:spacing w:before="3"/>
        <w:ind w:left="993" w:right="768"/>
        <w:jc w:val="both"/>
        <w:rPr>
          <w:rFonts w:asciiTheme="minorHAnsi" w:hAnsiTheme="minorHAnsi" w:cstheme="minorHAnsi"/>
          <w:spacing w:val="5"/>
          <w:sz w:val="22"/>
          <w:szCs w:val="22"/>
        </w:rPr>
      </w:pPr>
    </w:p>
    <w:p w14:paraId="06ADE08A" w14:textId="268AA9E6" w:rsidR="0077170D" w:rsidRDefault="00D508C2" w:rsidP="007428BB">
      <w:pPr>
        <w:pStyle w:val="BodyText"/>
        <w:spacing w:before="1" w:line="268" w:lineRule="auto"/>
        <w:ind w:left="993" w:right="768"/>
      </w:pPr>
      <w:r w:rsidRPr="00D508C2">
        <w:rPr>
          <w:rFonts w:asciiTheme="minorHAnsi" w:hAnsiTheme="minorHAnsi" w:cstheme="minorHAnsi"/>
          <w:spacing w:val="5"/>
          <w:sz w:val="22"/>
          <w:szCs w:val="22"/>
        </w:rPr>
        <w:t xml:space="preserve">In accordance with Listing Rule </w:t>
      </w:r>
      <w:proofErr w:type="gramStart"/>
      <w:r w:rsidRPr="00D508C2">
        <w:rPr>
          <w:rFonts w:asciiTheme="minorHAnsi" w:hAnsiTheme="minorHAnsi" w:cstheme="minorHAnsi"/>
          <w:spacing w:val="5"/>
          <w:sz w:val="22"/>
          <w:szCs w:val="22"/>
        </w:rPr>
        <w:t>9.6.2,Watches</w:t>
      </w:r>
      <w:proofErr w:type="gramEnd"/>
      <w:r w:rsidRPr="00D508C2">
        <w:rPr>
          <w:rFonts w:asciiTheme="minorHAnsi" w:hAnsiTheme="minorHAnsi" w:cstheme="minorHAnsi"/>
          <w:spacing w:val="5"/>
          <w:sz w:val="22"/>
          <w:szCs w:val="22"/>
        </w:rPr>
        <w:t xml:space="preserve"> of Switzerland Group PLC will submit a copy of the resolutions dealing with the AGM special business approved today to the National</w:t>
      </w:r>
      <w:r w:rsidR="0094300B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="00641228" w:rsidRPr="00D508C2">
        <w:rPr>
          <w:rFonts w:asciiTheme="minorHAnsi" w:hAnsiTheme="minorHAnsi" w:cstheme="minorHAnsi"/>
          <w:spacing w:val="5"/>
          <w:sz w:val="22"/>
          <w:szCs w:val="22"/>
        </w:rPr>
        <w:t>Storage Mechanism and these will shortly be available for inspection at</w:t>
      </w:r>
      <w:r w:rsidR="00641228" w:rsidRPr="00670603">
        <w:rPr>
          <w:rFonts w:asciiTheme="minorHAnsi" w:hAnsiTheme="minorHAnsi" w:cstheme="minorHAnsi"/>
          <w:spacing w:val="1"/>
          <w:w w:val="130"/>
          <w:sz w:val="18"/>
          <w:szCs w:val="18"/>
        </w:rPr>
        <w:t xml:space="preserve"> </w:t>
      </w:r>
    </w:p>
    <w:p w14:paraId="0947CED6" w14:textId="4AB35083" w:rsidR="003D36C8" w:rsidRPr="00D508C2" w:rsidRDefault="003D36C8" w:rsidP="007428BB">
      <w:pPr>
        <w:pStyle w:val="BodyText"/>
        <w:spacing w:before="1" w:line="268" w:lineRule="auto"/>
        <w:ind w:left="993" w:right="768"/>
        <w:rPr>
          <w:rFonts w:asciiTheme="minorHAnsi" w:hAnsiTheme="minorHAnsi" w:cstheme="minorHAnsi"/>
          <w:sz w:val="20"/>
          <w:szCs w:val="20"/>
        </w:rPr>
      </w:pPr>
      <w:hyperlink r:id="rId7" w:history="1">
        <w:r w:rsidRPr="00C15420">
          <w:rPr>
            <w:rStyle w:val="Hyperlink"/>
            <w:rFonts w:asciiTheme="minorHAnsi" w:hAnsiTheme="minorHAnsi" w:cstheme="minorHAnsi"/>
            <w:sz w:val="20"/>
            <w:szCs w:val="20"/>
          </w:rPr>
          <w:t>https://data.f</w:t>
        </w:r>
        <w:r w:rsidRPr="00C15420">
          <w:rPr>
            <w:rStyle w:val="Hyperlink"/>
            <w:rFonts w:asciiTheme="minorHAnsi" w:hAnsiTheme="minorHAnsi" w:cstheme="minorHAnsi"/>
            <w:sz w:val="20"/>
            <w:szCs w:val="20"/>
          </w:rPr>
          <w:t>c</w:t>
        </w:r>
        <w:r w:rsidRPr="00C15420">
          <w:rPr>
            <w:rStyle w:val="Hyperlink"/>
            <w:rFonts w:asciiTheme="minorHAnsi" w:hAnsiTheme="minorHAnsi" w:cstheme="minorHAnsi"/>
            <w:sz w:val="20"/>
            <w:szCs w:val="20"/>
          </w:rPr>
          <w:t>a.org.uk/#/nsm/nationalstoragemechanism</w:t>
        </w:r>
      </w:hyperlink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78BCF18" w14:textId="77777777" w:rsidR="0077170D" w:rsidRPr="00670603" w:rsidRDefault="0077170D">
      <w:pPr>
        <w:pStyle w:val="BodyText"/>
        <w:rPr>
          <w:rFonts w:asciiTheme="minorHAnsi" w:hAnsiTheme="minorHAnsi" w:cstheme="minorHAnsi"/>
          <w:sz w:val="18"/>
          <w:szCs w:val="18"/>
        </w:rPr>
      </w:pPr>
    </w:p>
    <w:p w14:paraId="1EEA917B" w14:textId="091BB7B4" w:rsidR="0077170D" w:rsidRDefault="00641228" w:rsidP="00D508C2">
      <w:pPr>
        <w:pStyle w:val="BodyText"/>
        <w:spacing w:before="102"/>
        <w:ind w:left="1029"/>
        <w:rPr>
          <w:rFonts w:asciiTheme="minorHAnsi" w:hAnsiTheme="minorHAnsi" w:cstheme="minorHAnsi"/>
          <w:spacing w:val="5"/>
          <w:sz w:val="22"/>
          <w:szCs w:val="22"/>
        </w:rPr>
      </w:pPr>
      <w:r w:rsidRPr="00D508C2">
        <w:rPr>
          <w:rFonts w:asciiTheme="minorHAnsi" w:hAnsiTheme="minorHAnsi" w:cstheme="minorHAnsi"/>
          <w:spacing w:val="5"/>
          <w:sz w:val="22"/>
          <w:szCs w:val="22"/>
        </w:rPr>
        <w:t xml:space="preserve">For further information, please visit our website </w:t>
      </w:r>
      <w:hyperlink r:id="rId8" w:history="1">
        <w:r w:rsidR="00D508C2" w:rsidRPr="006756A5">
          <w:rPr>
            <w:rStyle w:val="Hyperlink"/>
            <w:rFonts w:asciiTheme="minorHAnsi" w:hAnsiTheme="minorHAnsi" w:cstheme="minorHAnsi"/>
            <w:spacing w:val="5"/>
            <w:sz w:val="22"/>
            <w:szCs w:val="22"/>
          </w:rPr>
          <w:t>thewosgroupplc.com/investors</w:t>
        </w:r>
      </w:hyperlink>
      <w:r w:rsidR="00D508C2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</w:p>
    <w:p w14:paraId="07631DC1" w14:textId="77777777" w:rsidR="0094300B" w:rsidRPr="00D508C2" w:rsidRDefault="0094300B" w:rsidP="00D508C2">
      <w:pPr>
        <w:pStyle w:val="BodyText"/>
        <w:spacing w:before="102"/>
        <w:ind w:left="1029"/>
        <w:rPr>
          <w:rFonts w:asciiTheme="minorHAnsi" w:hAnsiTheme="minorHAnsi" w:cstheme="minorHAnsi"/>
          <w:spacing w:val="5"/>
          <w:sz w:val="22"/>
          <w:szCs w:val="22"/>
        </w:rPr>
      </w:pPr>
    </w:p>
    <w:p w14:paraId="27DBCDAA" w14:textId="55E1F053" w:rsidR="0077170D" w:rsidRPr="00D508C2" w:rsidRDefault="00641228">
      <w:pPr>
        <w:ind w:left="1029"/>
        <w:rPr>
          <w:rFonts w:asciiTheme="minorHAnsi" w:hAnsiTheme="minorHAnsi" w:cstheme="minorHAnsi"/>
          <w:b/>
          <w:bCs/>
          <w:spacing w:val="5"/>
        </w:rPr>
      </w:pPr>
      <w:r w:rsidRPr="00D508C2">
        <w:rPr>
          <w:rFonts w:asciiTheme="minorHAnsi" w:hAnsiTheme="minorHAnsi" w:cstheme="minorHAnsi"/>
          <w:b/>
          <w:bCs/>
          <w:spacing w:val="5"/>
        </w:rPr>
        <w:t>The Watches of Switzerland Group</w:t>
      </w:r>
      <w:r w:rsidR="007428BB">
        <w:rPr>
          <w:rFonts w:asciiTheme="minorHAnsi" w:hAnsiTheme="minorHAnsi" w:cstheme="minorHAnsi"/>
          <w:b/>
          <w:bCs/>
          <w:spacing w:val="5"/>
        </w:rPr>
        <w:t xml:space="preserve"> PLC</w:t>
      </w:r>
    </w:p>
    <w:p w14:paraId="366DAC27" w14:textId="77777777" w:rsidR="0077170D" w:rsidRPr="00D508C2" w:rsidRDefault="0077170D">
      <w:pPr>
        <w:pStyle w:val="BodyText"/>
        <w:spacing w:before="11"/>
        <w:rPr>
          <w:rFonts w:asciiTheme="minorHAnsi" w:hAnsiTheme="minorHAnsi" w:cstheme="minorHAnsi"/>
          <w:spacing w:val="5"/>
          <w:sz w:val="22"/>
          <w:szCs w:val="22"/>
        </w:rPr>
      </w:pPr>
    </w:p>
    <w:p w14:paraId="663783E5" w14:textId="77777777" w:rsidR="007428BB" w:rsidRDefault="008C54E7" w:rsidP="008C54E7">
      <w:pPr>
        <w:pStyle w:val="BodyText"/>
        <w:tabs>
          <w:tab w:val="left" w:pos="1510"/>
          <w:tab w:val="left" w:pos="5817"/>
        </w:tabs>
        <w:ind w:left="993"/>
        <w:rPr>
          <w:rFonts w:asciiTheme="minorHAnsi" w:hAnsiTheme="minorHAnsi" w:cstheme="minorHAnsi"/>
          <w:spacing w:val="5"/>
          <w:sz w:val="22"/>
          <w:szCs w:val="22"/>
        </w:rPr>
      </w:pPr>
      <w:r w:rsidRPr="00D508C2">
        <w:rPr>
          <w:rFonts w:asciiTheme="minorHAnsi" w:hAnsiTheme="minorHAnsi" w:cstheme="minorHAnsi"/>
          <w:spacing w:val="5"/>
          <w:sz w:val="22"/>
          <w:szCs w:val="22"/>
        </w:rPr>
        <w:t>Laura Battley</w:t>
      </w:r>
    </w:p>
    <w:p w14:paraId="7B032E71" w14:textId="77217017" w:rsidR="0077170D" w:rsidRPr="00D508C2" w:rsidRDefault="00641228" w:rsidP="008C54E7">
      <w:pPr>
        <w:pStyle w:val="BodyText"/>
        <w:tabs>
          <w:tab w:val="left" w:pos="1510"/>
          <w:tab w:val="left" w:pos="5817"/>
        </w:tabs>
        <w:ind w:left="993"/>
        <w:rPr>
          <w:rFonts w:asciiTheme="minorHAnsi" w:hAnsiTheme="minorHAnsi" w:cstheme="minorHAnsi"/>
          <w:spacing w:val="5"/>
          <w:sz w:val="22"/>
          <w:szCs w:val="22"/>
        </w:rPr>
      </w:pPr>
      <w:r w:rsidRPr="00D508C2">
        <w:rPr>
          <w:rFonts w:asciiTheme="minorHAnsi" w:hAnsiTheme="minorHAnsi" w:cstheme="minorHAnsi"/>
          <w:spacing w:val="5"/>
          <w:sz w:val="22"/>
          <w:szCs w:val="22"/>
        </w:rPr>
        <w:t>(Company Secretary</w:t>
      </w:r>
      <w:r w:rsidR="007428BB">
        <w:rPr>
          <w:rFonts w:asciiTheme="minorHAnsi" w:hAnsiTheme="minorHAnsi" w:cstheme="minorHAnsi"/>
          <w:spacing w:val="5"/>
          <w:sz w:val="22"/>
          <w:szCs w:val="22"/>
        </w:rPr>
        <w:t xml:space="preserve"> &amp; General Counsel</w:t>
      </w:r>
      <w:r w:rsidRPr="00D508C2">
        <w:rPr>
          <w:rFonts w:asciiTheme="minorHAnsi" w:hAnsiTheme="minorHAnsi" w:cstheme="minorHAnsi"/>
          <w:spacing w:val="5"/>
          <w:sz w:val="22"/>
          <w:szCs w:val="22"/>
        </w:rPr>
        <w:t>)</w:t>
      </w:r>
      <w:r w:rsidRPr="00D508C2">
        <w:rPr>
          <w:rFonts w:asciiTheme="minorHAnsi" w:hAnsiTheme="minorHAnsi" w:cstheme="minorHAnsi"/>
          <w:spacing w:val="5"/>
          <w:sz w:val="22"/>
          <w:szCs w:val="22"/>
        </w:rPr>
        <w:tab/>
        <w:t>+44 (0) 20 7317 460</w:t>
      </w:r>
      <w:r w:rsidR="00FA552B">
        <w:rPr>
          <w:rFonts w:asciiTheme="minorHAnsi" w:hAnsiTheme="minorHAnsi" w:cstheme="minorHAnsi"/>
          <w:spacing w:val="5"/>
          <w:sz w:val="22"/>
          <w:szCs w:val="22"/>
        </w:rPr>
        <w:t>4</w:t>
      </w:r>
    </w:p>
    <w:sectPr w:rsidR="0077170D" w:rsidRPr="00D508C2">
      <w:footerReference w:type="default" r:id="rId9"/>
      <w:type w:val="continuous"/>
      <w:pgSz w:w="11900" w:h="16840"/>
      <w:pgMar w:top="840" w:right="260" w:bottom="520" w:left="240" w:header="0" w:footer="3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4494A" w14:textId="77777777" w:rsidR="001609BB" w:rsidRDefault="001609BB">
      <w:r>
        <w:separator/>
      </w:r>
    </w:p>
  </w:endnote>
  <w:endnote w:type="continuationSeparator" w:id="0">
    <w:p w14:paraId="04380496" w14:textId="77777777" w:rsidR="001609BB" w:rsidRDefault="00160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Nova Book">
    <w:panose1 w:val="020B0502020204020203"/>
    <w:charset w:val="00"/>
    <w:family w:val="swiss"/>
    <w:notTrueType/>
    <w:pitch w:val="variable"/>
    <w:sig w:usb0="A00002AF" w:usb1="000068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D3C5D" w14:textId="61583AAB" w:rsidR="0077170D" w:rsidRDefault="008C54E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CDB481E" wp14:editId="5BB59D16">
              <wp:simplePos x="0" y="0"/>
              <wp:positionH relativeFrom="page">
                <wp:posOffset>3504565</wp:posOffset>
              </wp:positionH>
              <wp:positionV relativeFrom="page">
                <wp:posOffset>10339070</wp:posOffset>
              </wp:positionV>
              <wp:extent cx="544195" cy="1276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419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6A88E7" w14:textId="77777777" w:rsidR="0077170D" w:rsidRDefault="00641228">
                          <w:pPr>
                            <w:spacing w:line="177" w:lineRule="exact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DB481E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75.95pt;margin-top:814.1pt;width:42.85pt;height:10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" filled="f" stroked="f">
              <v:textbox inset="0,0,0,0">
                <w:txbxContent>
                  <w:p w14:paraId="636A88E7" w14:textId="77777777" w:rsidR="0077170D" w:rsidRDefault="00641228">
                    <w:pPr>
                      <w:spacing w:line="177" w:lineRule="exact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Page</w:t>
                    </w:r>
                    <w:r>
                      <w:rPr>
                        <w:rFonts w:ascii="Arial"/>
                        <w:b/>
                        <w:spacing w:val="-10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of</w:t>
                    </w:r>
                    <w:r>
                      <w:rPr>
                        <w:rFonts w:ascii="Arial"/>
                        <w:b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0C303" w14:textId="77777777" w:rsidR="001609BB" w:rsidRDefault="001609BB">
      <w:r>
        <w:separator/>
      </w:r>
    </w:p>
  </w:footnote>
  <w:footnote w:type="continuationSeparator" w:id="0">
    <w:p w14:paraId="5CA5E179" w14:textId="77777777" w:rsidR="001609BB" w:rsidRDefault="001609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A68AE"/>
    <w:multiLevelType w:val="hybridMultilevel"/>
    <w:tmpl w:val="6646272A"/>
    <w:lvl w:ilvl="0" w:tplc="03A40162">
      <w:start w:val="1"/>
      <w:numFmt w:val="decimal"/>
      <w:lvlText w:val="%1"/>
      <w:lvlJc w:val="left"/>
      <w:pPr>
        <w:ind w:left="645" w:hanging="360"/>
      </w:pPr>
      <w:rPr>
        <w:rFonts w:asciiTheme="minorHAnsi" w:hAnsiTheme="minorHAnsi" w:cstheme="minorHAnsi" w:hint="default"/>
        <w:w w:val="125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365" w:hanging="360"/>
      </w:pPr>
    </w:lvl>
    <w:lvl w:ilvl="2" w:tplc="0809001B" w:tentative="1">
      <w:start w:val="1"/>
      <w:numFmt w:val="lowerRoman"/>
      <w:lvlText w:val="%3."/>
      <w:lvlJc w:val="right"/>
      <w:pPr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5AAB1FA2"/>
    <w:multiLevelType w:val="hybridMultilevel"/>
    <w:tmpl w:val="6A48EDCA"/>
    <w:lvl w:ilvl="0" w:tplc="FA88F8CC">
      <w:start w:val="1"/>
      <w:numFmt w:val="decimal"/>
      <w:lvlText w:val="%1."/>
      <w:lvlJc w:val="left"/>
      <w:pPr>
        <w:ind w:left="372" w:hanging="360"/>
      </w:pPr>
      <w:rPr>
        <w:rFonts w:hint="default"/>
        <w:w w:val="125"/>
      </w:rPr>
    </w:lvl>
    <w:lvl w:ilvl="1" w:tplc="08090019" w:tentative="1">
      <w:start w:val="1"/>
      <w:numFmt w:val="lowerLetter"/>
      <w:lvlText w:val="%2."/>
      <w:lvlJc w:val="left"/>
      <w:pPr>
        <w:ind w:left="1092" w:hanging="360"/>
      </w:pPr>
    </w:lvl>
    <w:lvl w:ilvl="2" w:tplc="0809001B" w:tentative="1">
      <w:start w:val="1"/>
      <w:numFmt w:val="lowerRoman"/>
      <w:lvlText w:val="%3."/>
      <w:lvlJc w:val="right"/>
      <w:pPr>
        <w:ind w:left="1812" w:hanging="180"/>
      </w:pPr>
    </w:lvl>
    <w:lvl w:ilvl="3" w:tplc="0809000F" w:tentative="1">
      <w:start w:val="1"/>
      <w:numFmt w:val="decimal"/>
      <w:lvlText w:val="%4."/>
      <w:lvlJc w:val="left"/>
      <w:pPr>
        <w:ind w:left="2532" w:hanging="360"/>
      </w:pPr>
    </w:lvl>
    <w:lvl w:ilvl="4" w:tplc="08090019" w:tentative="1">
      <w:start w:val="1"/>
      <w:numFmt w:val="lowerLetter"/>
      <w:lvlText w:val="%5."/>
      <w:lvlJc w:val="left"/>
      <w:pPr>
        <w:ind w:left="3252" w:hanging="360"/>
      </w:pPr>
    </w:lvl>
    <w:lvl w:ilvl="5" w:tplc="0809001B" w:tentative="1">
      <w:start w:val="1"/>
      <w:numFmt w:val="lowerRoman"/>
      <w:lvlText w:val="%6."/>
      <w:lvlJc w:val="right"/>
      <w:pPr>
        <w:ind w:left="3972" w:hanging="180"/>
      </w:pPr>
    </w:lvl>
    <w:lvl w:ilvl="6" w:tplc="0809000F" w:tentative="1">
      <w:start w:val="1"/>
      <w:numFmt w:val="decimal"/>
      <w:lvlText w:val="%7."/>
      <w:lvlJc w:val="left"/>
      <w:pPr>
        <w:ind w:left="4692" w:hanging="360"/>
      </w:pPr>
    </w:lvl>
    <w:lvl w:ilvl="7" w:tplc="08090019" w:tentative="1">
      <w:start w:val="1"/>
      <w:numFmt w:val="lowerLetter"/>
      <w:lvlText w:val="%8."/>
      <w:lvlJc w:val="left"/>
      <w:pPr>
        <w:ind w:left="5412" w:hanging="360"/>
      </w:pPr>
    </w:lvl>
    <w:lvl w:ilvl="8" w:tplc="0809001B" w:tentative="1">
      <w:start w:val="1"/>
      <w:numFmt w:val="lowerRoman"/>
      <w:lvlText w:val="%9."/>
      <w:lvlJc w:val="right"/>
      <w:pPr>
        <w:ind w:left="6132" w:hanging="180"/>
      </w:pPr>
    </w:lvl>
  </w:abstractNum>
  <w:num w:numId="1" w16cid:durableId="1053966323">
    <w:abstractNumId w:val="1"/>
  </w:num>
  <w:num w:numId="2" w16cid:durableId="1052584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70D"/>
    <w:rsid w:val="00017BF1"/>
    <w:rsid w:val="0003261E"/>
    <w:rsid w:val="0004484B"/>
    <w:rsid w:val="000659FA"/>
    <w:rsid w:val="00082C4E"/>
    <w:rsid w:val="0009492A"/>
    <w:rsid w:val="00100105"/>
    <w:rsid w:val="001030AA"/>
    <w:rsid w:val="001056C4"/>
    <w:rsid w:val="00141792"/>
    <w:rsid w:val="001609BB"/>
    <w:rsid w:val="001744EE"/>
    <w:rsid w:val="00176763"/>
    <w:rsid w:val="001832F0"/>
    <w:rsid w:val="001B3746"/>
    <w:rsid w:val="001D568F"/>
    <w:rsid w:val="001E0A52"/>
    <w:rsid w:val="001F3802"/>
    <w:rsid w:val="00206DED"/>
    <w:rsid w:val="00211B29"/>
    <w:rsid w:val="00252394"/>
    <w:rsid w:val="002853A1"/>
    <w:rsid w:val="00295955"/>
    <w:rsid w:val="002D0987"/>
    <w:rsid w:val="002E73C0"/>
    <w:rsid w:val="002F4B5B"/>
    <w:rsid w:val="002F54E6"/>
    <w:rsid w:val="003073CF"/>
    <w:rsid w:val="00353E0E"/>
    <w:rsid w:val="00366F19"/>
    <w:rsid w:val="003A32A5"/>
    <w:rsid w:val="003D36C8"/>
    <w:rsid w:val="003E14E0"/>
    <w:rsid w:val="004078E9"/>
    <w:rsid w:val="00412639"/>
    <w:rsid w:val="00467F51"/>
    <w:rsid w:val="00485FA6"/>
    <w:rsid w:val="00491EE5"/>
    <w:rsid w:val="004A14AF"/>
    <w:rsid w:val="004A1591"/>
    <w:rsid w:val="004B0ED4"/>
    <w:rsid w:val="004B5EF1"/>
    <w:rsid w:val="004C0A42"/>
    <w:rsid w:val="004C44B7"/>
    <w:rsid w:val="004D60D8"/>
    <w:rsid w:val="004E424B"/>
    <w:rsid w:val="005227B9"/>
    <w:rsid w:val="00523E0F"/>
    <w:rsid w:val="005530BF"/>
    <w:rsid w:val="00573AF1"/>
    <w:rsid w:val="0058218B"/>
    <w:rsid w:val="005926CB"/>
    <w:rsid w:val="005C20B7"/>
    <w:rsid w:val="005E7E9D"/>
    <w:rsid w:val="00610B90"/>
    <w:rsid w:val="00641228"/>
    <w:rsid w:val="006477B2"/>
    <w:rsid w:val="00651E6A"/>
    <w:rsid w:val="00652444"/>
    <w:rsid w:val="00670603"/>
    <w:rsid w:val="00676FF9"/>
    <w:rsid w:val="00677F5B"/>
    <w:rsid w:val="006A264D"/>
    <w:rsid w:val="006D4970"/>
    <w:rsid w:val="006F50CE"/>
    <w:rsid w:val="006F52E9"/>
    <w:rsid w:val="00731F57"/>
    <w:rsid w:val="007428BB"/>
    <w:rsid w:val="00744465"/>
    <w:rsid w:val="00755A12"/>
    <w:rsid w:val="00760E9E"/>
    <w:rsid w:val="0077170D"/>
    <w:rsid w:val="007729F4"/>
    <w:rsid w:val="007830AF"/>
    <w:rsid w:val="00783734"/>
    <w:rsid w:val="007C4FDD"/>
    <w:rsid w:val="007D1472"/>
    <w:rsid w:val="00815BDD"/>
    <w:rsid w:val="00824EC8"/>
    <w:rsid w:val="0083003B"/>
    <w:rsid w:val="00865D35"/>
    <w:rsid w:val="0087343B"/>
    <w:rsid w:val="008837B5"/>
    <w:rsid w:val="008C54E7"/>
    <w:rsid w:val="008E7E96"/>
    <w:rsid w:val="00900A8E"/>
    <w:rsid w:val="00916F34"/>
    <w:rsid w:val="00932D99"/>
    <w:rsid w:val="00935EB1"/>
    <w:rsid w:val="0094300B"/>
    <w:rsid w:val="00992EC6"/>
    <w:rsid w:val="009A4920"/>
    <w:rsid w:val="009C117B"/>
    <w:rsid w:val="009C5AA3"/>
    <w:rsid w:val="009F14EA"/>
    <w:rsid w:val="009F62C6"/>
    <w:rsid w:val="009F7201"/>
    <w:rsid w:val="00A02721"/>
    <w:rsid w:val="00A0496F"/>
    <w:rsid w:val="00A16691"/>
    <w:rsid w:val="00A30C0E"/>
    <w:rsid w:val="00A5075F"/>
    <w:rsid w:val="00A74F53"/>
    <w:rsid w:val="00A934EF"/>
    <w:rsid w:val="00AB7223"/>
    <w:rsid w:val="00AC3879"/>
    <w:rsid w:val="00AD437D"/>
    <w:rsid w:val="00B11FF0"/>
    <w:rsid w:val="00B65ADF"/>
    <w:rsid w:val="00BA03B1"/>
    <w:rsid w:val="00BC16C2"/>
    <w:rsid w:val="00BD1D1F"/>
    <w:rsid w:val="00BD3941"/>
    <w:rsid w:val="00C37003"/>
    <w:rsid w:val="00C51178"/>
    <w:rsid w:val="00C64E8A"/>
    <w:rsid w:val="00C85095"/>
    <w:rsid w:val="00C955A7"/>
    <w:rsid w:val="00CB2A66"/>
    <w:rsid w:val="00CC56DA"/>
    <w:rsid w:val="00CF1CF8"/>
    <w:rsid w:val="00D13AE6"/>
    <w:rsid w:val="00D40D2B"/>
    <w:rsid w:val="00D508C2"/>
    <w:rsid w:val="00D75EAE"/>
    <w:rsid w:val="00D80964"/>
    <w:rsid w:val="00DB19DA"/>
    <w:rsid w:val="00DC2B34"/>
    <w:rsid w:val="00DC5487"/>
    <w:rsid w:val="00E05E72"/>
    <w:rsid w:val="00E20A9F"/>
    <w:rsid w:val="00E3248B"/>
    <w:rsid w:val="00E6736B"/>
    <w:rsid w:val="00E828E2"/>
    <w:rsid w:val="00EC1417"/>
    <w:rsid w:val="00F40402"/>
    <w:rsid w:val="00F55F92"/>
    <w:rsid w:val="00F71399"/>
    <w:rsid w:val="00F94248"/>
    <w:rsid w:val="00FA552B"/>
    <w:rsid w:val="00FB6DD6"/>
    <w:rsid w:val="00FD1BA7"/>
    <w:rsid w:val="00FE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AF2739"/>
  <w15:docId w15:val="{2CA67C0E-747A-46D0-B2F8-99028BAF7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3"/>
      <w:szCs w:val="13"/>
    </w:rPr>
  </w:style>
  <w:style w:type="paragraph" w:styleId="Title">
    <w:name w:val="Title"/>
    <w:basedOn w:val="Normal"/>
    <w:uiPriority w:val="10"/>
    <w:qFormat/>
    <w:pPr>
      <w:spacing w:line="177" w:lineRule="exact"/>
      <w:ind w:left="20"/>
    </w:pPr>
    <w:rPr>
      <w:rFonts w:ascii="Arial" w:eastAsia="Arial" w:hAnsi="Arial" w:cs="Arial"/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49" w:lineRule="exact"/>
      <w:ind w:right="52"/>
      <w:jc w:val="right"/>
    </w:pPr>
  </w:style>
  <w:style w:type="character" w:styleId="Hyperlink">
    <w:name w:val="Hyperlink"/>
    <w:basedOn w:val="DefaultParagraphFont"/>
    <w:uiPriority w:val="99"/>
    <w:unhideWhenUsed/>
    <w:rsid w:val="00D508C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08C2"/>
    <w:rPr>
      <w:color w:val="605E5C"/>
      <w:shd w:val="clear" w:color="auto" w:fill="E1DFDD"/>
    </w:rPr>
  </w:style>
  <w:style w:type="paragraph" w:customStyle="1" w:styleId="Default">
    <w:name w:val="Default"/>
    <w:rsid w:val="00A5075F"/>
    <w:pPr>
      <w:widowControl/>
      <w:adjustRightInd w:val="0"/>
    </w:pPr>
    <w:rPr>
      <w:rFonts w:ascii="Gill Sans Nova Book" w:hAnsi="Gill Sans Nova Book" w:cs="Gill Sans Nova Book"/>
      <w:color w:val="000000"/>
      <w:sz w:val="24"/>
      <w:szCs w:val="24"/>
      <w:lang w:val="en-GB"/>
    </w:rPr>
  </w:style>
  <w:style w:type="paragraph" w:customStyle="1" w:styleId="Pa8">
    <w:name w:val="Pa8"/>
    <w:basedOn w:val="Default"/>
    <w:next w:val="Default"/>
    <w:uiPriority w:val="99"/>
    <w:rsid w:val="00A5075F"/>
    <w:pPr>
      <w:spacing w:line="141" w:lineRule="atLeast"/>
    </w:pPr>
    <w:rPr>
      <w:rFonts w:cstheme="minorBidi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3D36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wosgroupplc.com/investor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ata.fca.org.uk/#/nsm/nationalstoragemechanis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Patricia Kendall</dc:creator>
  <cp:lastModifiedBy>Patricia Kendall</cp:lastModifiedBy>
  <cp:revision>3</cp:revision>
  <cp:lastPrinted>2024-09-03T07:20:00Z</cp:lastPrinted>
  <dcterms:created xsi:type="dcterms:W3CDTF">2025-09-03T14:03:00Z</dcterms:created>
  <dcterms:modified xsi:type="dcterms:W3CDTF">2025-09-04T07:48:00Z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2021-06-07T00:00:00Z</vt:filetime>
  </property>
  <property fmtid="{D5CDD505-2E9C-101B-9397-08002B2CF9AE}" pid="3" name="Creator">
    <vt:lpwstr>wkhtmltopdf 0.12.4</vt:lpwstr>
  </property>
  <property fmtid="{D5CDD505-2E9C-101B-9397-08002B2CF9AE}" pid="4" name="LastSaved">
    <vt:filetime>2021-09-02T00:00:00Z</vt:filetime>
  </property>
</Properties>
</file>