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4F62" w14:textId="0E6E53D8" w:rsidR="00F34FB7" w:rsidRPr="00F34FB7" w:rsidRDefault="00F34FB7" w:rsidP="00F34FB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34FB7">
        <w:rPr>
          <w:rFonts w:ascii="Arial" w:hAnsi="Arial" w:cs="Arial"/>
          <w:b/>
          <w:bCs/>
          <w:sz w:val="20"/>
          <w:szCs w:val="20"/>
        </w:rPr>
        <w:t>8 January 2026</w:t>
      </w:r>
    </w:p>
    <w:p w14:paraId="58C9456E" w14:textId="77777777" w:rsidR="00F34FB7" w:rsidRPr="00F34FB7" w:rsidRDefault="00F34FB7" w:rsidP="00F34FB7">
      <w:pPr>
        <w:rPr>
          <w:rFonts w:ascii="Arial" w:hAnsi="Arial" w:cs="Arial"/>
          <w:b/>
          <w:bCs/>
          <w:sz w:val="20"/>
          <w:szCs w:val="20"/>
        </w:rPr>
      </w:pPr>
      <w:r w:rsidRPr="00F34FB7">
        <w:rPr>
          <w:rFonts w:ascii="Arial" w:hAnsi="Arial" w:cs="Arial"/>
          <w:b/>
          <w:bCs/>
          <w:sz w:val="20"/>
          <w:szCs w:val="20"/>
        </w:rPr>
        <w:t> </w:t>
      </w:r>
    </w:p>
    <w:p w14:paraId="7536AA30" w14:textId="27C7DDB5" w:rsidR="00F34FB7" w:rsidRPr="00F34FB7" w:rsidRDefault="00F34FB7" w:rsidP="00F34FB7">
      <w:pPr>
        <w:jc w:val="center"/>
        <w:rPr>
          <w:rFonts w:ascii="Arial" w:hAnsi="Arial" w:cs="Arial"/>
          <w:sz w:val="20"/>
          <w:szCs w:val="20"/>
        </w:rPr>
      </w:pPr>
      <w:r w:rsidRPr="00F34FB7">
        <w:rPr>
          <w:rFonts w:ascii="Arial" w:hAnsi="Arial" w:cs="Arial"/>
          <w:b/>
          <w:bCs/>
          <w:sz w:val="20"/>
          <w:szCs w:val="20"/>
        </w:rPr>
        <w:t>Aquila European Renewables plc</w:t>
      </w:r>
    </w:p>
    <w:p w14:paraId="2AF50354" w14:textId="759F93A1" w:rsidR="00F34FB7" w:rsidRPr="00F34FB7" w:rsidRDefault="00F34FB7" w:rsidP="00F34FB7">
      <w:pPr>
        <w:jc w:val="center"/>
        <w:rPr>
          <w:rFonts w:ascii="Arial" w:hAnsi="Arial" w:cs="Arial"/>
          <w:sz w:val="20"/>
          <w:szCs w:val="20"/>
        </w:rPr>
      </w:pPr>
      <w:r w:rsidRPr="00F34FB7">
        <w:rPr>
          <w:rFonts w:ascii="Arial" w:hAnsi="Arial" w:cs="Arial"/>
          <w:b/>
          <w:bCs/>
          <w:sz w:val="20"/>
          <w:szCs w:val="20"/>
        </w:rPr>
        <w:t>Result of General Meeting</w:t>
      </w:r>
    </w:p>
    <w:p w14:paraId="2A140181" w14:textId="350906D5" w:rsidR="00812694" w:rsidRDefault="00AC22AB" w:rsidP="00C019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Aquila European Renewables plc (the “Company”)</w:t>
      </w:r>
      <w:r w:rsidR="0077063F">
        <w:rPr>
          <w:rFonts w:ascii="Arial" w:hAnsi="Arial" w:cs="Arial"/>
          <w:sz w:val="20"/>
          <w:szCs w:val="20"/>
        </w:rPr>
        <w:t xml:space="preserve"> is pleased to</w:t>
      </w:r>
      <w:r>
        <w:rPr>
          <w:rFonts w:ascii="Arial" w:hAnsi="Arial" w:cs="Arial"/>
          <w:sz w:val="20"/>
          <w:szCs w:val="20"/>
        </w:rPr>
        <w:t xml:space="preserve"> announce that a</w:t>
      </w:r>
      <w:r w:rsidR="00F34FB7" w:rsidRPr="00F34FB7">
        <w:rPr>
          <w:rFonts w:ascii="Arial" w:hAnsi="Arial" w:cs="Arial"/>
          <w:sz w:val="20"/>
          <w:szCs w:val="20"/>
        </w:rPr>
        <w:t xml:space="preserve">t the General Meeting held </w:t>
      </w:r>
      <w:r>
        <w:rPr>
          <w:rFonts w:ascii="Arial" w:hAnsi="Arial" w:cs="Arial"/>
          <w:sz w:val="20"/>
          <w:szCs w:val="20"/>
        </w:rPr>
        <w:t xml:space="preserve">earlier today </w:t>
      </w:r>
      <w:r w:rsidR="00F34FB7" w:rsidRPr="00F34FB7">
        <w:rPr>
          <w:rFonts w:ascii="Arial" w:hAnsi="Arial" w:cs="Arial"/>
          <w:sz w:val="20"/>
          <w:szCs w:val="20"/>
        </w:rPr>
        <w:t>on 8 January 2026</w:t>
      </w:r>
      <w:r>
        <w:rPr>
          <w:rFonts w:ascii="Arial" w:hAnsi="Arial" w:cs="Arial"/>
          <w:sz w:val="20"/>
          <w:szCs w:val="20"/>
        </w:rPr>
        <w:t>,</w:t>
      </w:r>
      <w:r w:rsidR="00F34FB7" w:rsidRPr="00F34FB7">
        <w:rPr>
          <w:rFonts w:ascii="Arial" w:hAnsi="Arial" w:cs="Arial"/>
          <w:sz w:val="20"/>
          <w:szCs w:val="20"/>
        </w:rPr>
        <w:t xml:space="preserve"> all resolutions contained in the Notice of </w:t>
      </w:r>
      <w:r w:rsidR="005F0DA9">
        <w:rPr>
          <w:rFonts w:ascii="Arial" w:hAnsi="Arial" w:cs="Arial"/>
          <w:sz w:val="20"/>
          <w:szCs w:val="20"/>
        </w:rPr>
        <w:t xml:space="preserve">General </w:t>
      </w:r>
      <w:r w:rsidR="00F34FB7" w:rsidRPr="00F34FB7">
        <w:rPr>
          <w:rFonts w:ascii="Arial" w:hAnsi="Arial" w:cs="Arial"/>
          <w:sz w:val="20"/>
          <w:szCs w:val="20"/>
        </w:rPr>
        <w:t xml:space="preserve">Meeting </w:t>
      </w:r>
      <w:r>
        <w:rPr>
          <w:rFonts w:ascii="Arial" w:hAnsi="Arial" w:cs="Arial"/>
          <w:sz w:val="20"/>
          <w:szCs w:val="20"/>
        </w:rPr>
        <w:t xml:space="preserve">set out in the Circular </w:t>
      </w:r>
      <w:r w:rsidR="00F34FB7" w:rsidRPr="00F34FB7">
        <w:rPr>
          <w:rFonts w:ascii="Arial" w:hAnsi="Arial" w:cs="Arial"/>
          <w:sz w:val="20"/>
          <w:szCs w:val="20"/>
        </w:rPr>
        <w:t>dated 15 December 2025</w:t>
      </w:r>
      <w:r>
        <w:rPr>
          <w:rFonts w:ascii="Arial" w:hAnsi="Arial" w:cs="Arial"/>
          <w:sz w:val="20"/>
          <w:szCs w:val="20"/>
        </w:rPr>
        <w:t xml:space="preserve"> (“</w:t>
      </w:r>
      <w:r w:rsidRPr="00AC22AB">
        <w:rPr>
          <w:rFonts w:ascii="Arial" w:hAnsi="Arial" w:cs="Arial"/>
          <w:b/>
          <w:bCs/>
          <w:sz w:val="20"/>
          <w:szCs w:val="20"/>
        </w:rPr>
        <w:t>GM Notice</w:t>
      </w:r>
      <w:r>
        <w:rPr>
          <w:rFonts w:ascii="Arial" w:hAnsi="Arial" w:cs="Arial"/>
          <w:sz w:val="20"/>
          <w:szCs w:val="20"/>
        </w:rPr>
        <w:t>”),</w:t>
      </w:r>
      <w:r w:rsidR="00F34FB7" w:rsidRPr="00F34FB7">
        <w:rPr>
          <w:rFonts w:ascii="Arial" w:hAnsi="Arial" w:cs="Arial"/>
          <w:sz w:val="20"/>
          <w:szCs w:val="20"/>
        </w:rPr>
        <w:t xml:space="preserve"> were passed on a poll. </w:t>
      </w:r>
      <w:r w:rsidR="00812694" w:rsidRPr="00812694">
        <w:rPr>
          <w:rFonts w:ascii="Arial" w:hAnsi="Arial" w:cs="Arial"/>
          <w:sz w:val="20"/>
          <w:szCs w:val="20"/>
        </w:rPr>
        <w:t xml:space="preserve">As a result, </w:t>
      </w:r>
      <w:r w:rsidR="00C01978" w:rsidRPr="00C01978">
        <w:rPr>
          <w:rFonts w:ascii="Arial" w:hAnsi="Arial" w:cs="Arial"/>
          <w:sz w:val="20"/>
          <w:szCs w:val="20"/>
        </w:rPr>
        <w:t xml:space="preserve">the Company will establish </w:t>
      </w:r>
      <w:r w:rsidR="00C01978">
        <w:rPr>
          <w:rFonts w:ascii="Arial" w:hAnsi="Arial" w:cs="Arial"/>
          <w:sz w:val="20"/>
          <w:szCs w:val="20"/>
        </w:rPr>
        <w:t>a B Share Scheme</w:t>
      </w:r>
      <w:r w:rsidR="00C01978" w:rsidRPr="00C01978">
        <w:rPr>
          <w:rFonts w:ascii="Arial" w:hAnsi="Arial" w:cs="Arial"/>
          <w:sz w:val="20"/>
          <w:szCs w:val="20"/>
        </w:rPr>
        <w:t xml:space="preserve"> to facilitate the return of capital to Shareholders. </w:t>
      </w:r>
      <w:r w:rsidR="00812694">
        <w:rPr>
          <w:rFonts w:ascii="Arial" w:hAnsi="Arial" w:cs="Arial"/>
          <w:sz w:val="20"/>
          <w:szCs w:val="20"/>
        </w:rPr>
        <w:t xml:space="preserve">Details and timings in relation to the first return of capital by the Company under the B Share Scheme will be set out in a further announcement </w:t>
      </w:r>
      <w:r w:rsidR="00C01978">
        <w:rPr>
          <w:rFonts w:ascii="Arial" w:hAnsi="Arial" w:cs="Arial"/>
          <w:sz w:val="20"/>
          <w:szCs w:val="20"/>
        </w:rPr>
        <w:t>expected to be released next week.</w:t>
      </w:r>
    </w:p>
    <w:p w14:paraId="4F52CDC5" w14:textId="77777777" w:rsidR="00FA0960" w:rsidRPr="00F34FB7" w:rsidRDefault="00F34FB7" w:rsidP="00F34FB7">
      <w:pPr>
        <w:rPr>
          <w:rFonts w:ascii="Arial" w:hAnsi="Arial" w:cs="Arial"/>
          <w:sz w:val="20"/>
          <w:szCs w:val="20"/>
        </w:rPr>
      </w:pPr>
      <w:r w:rsidRPr="00F34FB7">
        <w:rPr>
          <w:rFonts w:ascii="Arial" w:hAnsi="Arial" w:cs="Arial"/>
          <w:sz w:val="20"/>
          <w:szCs w:val="20"/>
        </w:rPr>
        <w:t>The total number of proxy votes lodged was as follows: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32"/>
        <w:gridCol w:w="1228"/>
        <w:gridCol w:w="810"/>
        <w:gridCol w:w="1080"/>
        <w:gridCol w:w="709"/>
        <w:gridCol w:w="1271"/>
        <w:gridCol w:w="1371"/>
      </w:tblGrid>
      <w:tr w:rsidR="00FA0960" w14:paraId="3F9F57B8" w14:textId="766F8FC8" w:rsidTr="004E0344">
        <w:trPr>
          <w:trHeight w:val="621"/>
        </w:trPr>
        <w:tc>
          <w:tcPr>
            <w:tcW w:w="715" w:type="dxa"/>
            <w:vAlign w:val="center"/>
          </w:tcPr>
          <w:p w14:paraId="08A4410F" w14:textId="48BF5C98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RES NO.</w:t>
            </w:r>
          </w:p>
        </w:tc>
        <w:tc>
          <w:tcPr>
            <w:tcW w:w="1832" w:type="dxa"/>
            <w:vAlign w:val="center"/>
          </w:tcPr>
          <w:p w14:paraId="206088CF" w14:textId="7050009E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RESOLUTION</w:t>
            </w:r>
          </w:p>
        </w:tc>
        <w:tc>
          <w:tcPr>
            <w:tcW w:w="1228" w:type="dxa"/>
            <w:vAlign w:val="center"/>
          </w:tcPr>
          <w:p w14:paraId="326D350E" w14:textId="4834AB0E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VOTES FOR (1)</w:t>
            </w:r>
          </w:p>
        </w:tc>
        <w:tc>
          <w:tcPr>
            <w:tcW w:w="810" w:type="dxa"/>
            <w:vAlign w:val="center"/>
          </w:tcPr>
          <w:p w14:paraId="22993B58" w14:textId="27930317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80" w:type="dxa"/>
            <w:vAlign w:val="center"/>
          </w:tcPr>
          <w:p w14:paraId="6B866FF7" w14:textId="4DEA5C60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VOTES AGAINST</w:t>
            </w:r>
          </w:p>
        </w:tc>
        <w:tc>
          <w:tcPr>
            <w:tcW w:w="709" w:type="dxa"/>
            <w:vAlign w:val="center"/>
          </w:tcPr>
          <w:p w14:paraId="1F823E22" w14:textId="32E6B29B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71" w:type="dxa"/>
            <w:vAlign w:val="center"/>
          </w:tcPr>
          <w:p w14:paraId="62966B4D" w14:textId="575EB515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VOTES TOTAL</w:t>
            </w:r>
          </w:p>
        </w:tc>
        <w:tc>
          <w:tcPr>
            <w:tcW w:w="1371" w:type="dxa"/>
            <w:vAlign w:val="center"/>
          </w:tcPr>
          <w:p w14:paraId="30EBE305" w14:textId="271F9155" w:rsidR="00FA0960" w:rsidRDefault="00FA0960" w:rsidP="00FA0960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b/>
                <w:bCs/>
                <w:sz w:val="18"/>
                <w:szCs w:val="18"/>
              </w:rPr>
              <w:t>VOTES WITHHELD</w:t>
            </w:r>
            <w:r w:rsidR="00AC22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(2)</w:t>
            </w:r>
          </w:p>
        </w:tc>
      </w:tr>
      <w:tr w:rsidR="00025EA6" w14:paraId="7395077E" w14:textId="77777777" w:rsidTr="004E0344">
        <w:trPr>
          <w:trHeight w:val="621"/>
        </w:trPr>
        <w:tc>
          <w:tcPr>
            <w:tcW w:w="715" w:type="dxa"/>
          </w:tcPr>
          <w:p w14:paraId="3D281500" w14:textId="5EABD9F0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14:paraId="45BA7931" w14:textId="01D4B9D0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Adopt New Articles</w:t>
            </w:r>
          </w:p>
        </w:tc>
        <w:tc>
          <w:tcPr>
            <w:tcW w:w="1228" w:type="dxa"/>
          </w:tcPr>
          <w:p w14:paraId="1DC81EA0" w14:textId="6106B626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207,258,999</w:t>
            </w:r>
          </w:p>
        </w:tc>
        <w:tc>
          <w:tcPr>
            <w:tcW w:w="810" w:type="dxa"/>
          </w:tcPr>
          <w:p w14:paraId="214BA117" w14:textId="1ED92899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99.62</w:t>
            </w:r>
          </w:p>
        </w:tc>
        <w:tc>
          <w:tcPr>
            <w:tcW w:w="1080" w:type="dxa"/>
          </w:tcPr>
          <w:p w14:paraId="00AA8D28" w14:textId="77777777" w:rsidR="00B1767C" w:rsidRPr="00B1767C" w:rsidRDefault="00B1767C" w:rsidP="00B1767C">
            <w:pPr>
              <w:rPr>
                <w:rFonts w:ascii="Arial" w:hAnsi="Arial" w:cs="Arial"/>
                <w:sz w:val="18"/>
                <w:szCs w:val="18"/>
              </w:rPr>
            </w:pPr>
            <w:r w:rsidRPr="00B1767C">
              <w:rPr>
                <w:rFonts w:ascii="Arial" w:hAnsi="Arial" w:cs="Arial"/>
                <w:sz w:val="18"/>
                <w:szCs w:val="18"/>
              </w:rPr>
              <w:t>792,958</w:t>
            </w:r>
          </w:p>
          <w:p w14:paraId="6D6FB556" w14:textId="70A603DB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8C971B" w14:textId="1E0997D2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0C4C8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271" w:type="dxa"/>
          </w:tcPr>
          <w:p w14:paraId="398DD22E" w14:textId="20A12AD0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208,051,957</w:t>
            </w:r>
          </w:p>
        </w:tc>
        <w:tc>
          <w:tcPr>
            <w:tcW w:w="1371" w:type="dxa"/>
          </w:tcPr>
          <w:p w14:paraId="10C513CB" w14:textId="336AEDD3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</w:tr>
      <w:tr w:rsidR="00025EA6" w14:paraId="7206E052" w14:textId="77777777" w:rsidTr="004E0344">
        <w:trPr>
          <w:trHeight w:val="621"/>
        </w:trPr>
        <w:tc>
          <w:tcPr>
            <w:tcW w:w="715" w:type="dxa"/>
          </w:tcPr>
          <w:p w14:paraId="666F7783" w14:textId="207C9EE8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2" w:type="dxa"/>
          </w:tcPr>
          <w:p w14:paraId="5D48C21E" w14:textId="67E8F8E1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Authority to Capitalise Reserves</w:t>
            </w:r>
          </w:p>
        </w:tc>
        <w:tc>
          <w:tcPr>
            <w:tcW w:w="1228" w:type="dxa"/>
          </w:tcPr>
          <w:p w14:paraId="4B4BD775" w14:textId="25D1E065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208,036,990</w:t>
            </w:r>
          </w:p>
        </w:tc>
        <w:tc>
          <w:tcPr>
            <w:tcW w:w="810" w:type="dxa"/>
          </w:tcPr>
          <w:p w14:paraId="3795862F" w14:textId="5F8662F5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080" w:type="dxa"/>
          </w:tcPr>
          <w:p w14:paraId="7E499B60" w14:textId="1C9B3350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0C4C82">
              <w:rPr>
                <w:rFonts w:ascii="Arial" w:hAnsi="Arial" w:cs="Arial"/>
                <w:sz w:val="18"/>
                <w:szCs w:val="18"/>
              </w:rPr>
              <w:t>14,967</w:t>
            </w:r>
          </w:p>
        </w:tc>
        <w:tc>
          <w:tcPr>
            <w:tcW w:w="709" w:type="dxa"/>
          </w:tcPr>
          <w:p w14:paraId="68DABE10" w14:textId="34795DC8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0C4C8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1" w:type="dxa"/>
          </w:tcPr>
          <w:p w14:paraId="2ABA6652" w14:textId="6EA422CB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208,051,957</w:t>
            </w:r>
          </w:p>
        </w:tc>
        <w:tc>
          <w:tcPr>
            <w:tcW w:w="1371" w:type="dxa"/>
          </w:tcPr>
          <w:p w14:paraId="4BF430F4" w14:textId="382F52FF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</w:tr>
      <w:tr w:rsidR="00025EA6" w14:paraId="3631AF37" w14:textId="77777777" w:rsidTr="004E0344">
        <w:trPr>
          <w:trHeight w:val="621"/>
        </w:trPr>
        <w:tc>
          <w:tcPr>
            <w:tcW w:w="715" w:type="dxa"/>
          </w:tcPr>
          <w:p w14:paraId="0D7DDDA2" w14:textId="5A4499DA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32" w:type="dxa"/>
          </w:tcPr>
          <w:p w14:paraId="30AC4713" w14:textId="14CF2128" w:rsidR="00025EA6" w:rsidRDefault="00025EA6" w:rsidP="00025EA6">
            <w:pPr>
              <w:rPr>
                <w:rFonts w:ascii="Arial" w:hAnsi="Arial" w:cs="Arial"/>
                <w:sz w:val="20"/>
                <w:szCs w:val="20"/>
              </w:rPr>
            </w:pPr>
            <w:r w:rsidRPr="00F34FB7">
              <w:rPr>
                <w:rFonts w:ascii="Arial" w:hAnsi="Arial" w:cs="Arial"/>
                <w:sz w:val="18"/>
                <w:szCs w:val="18"/>
              </w:rPr>
              <w:t>Authority to Allot B Shares</w:t>
            </w:r>
          </w:p>
        </w:tc>
        <w:tc>
          <w:tcPr>
            <w:tcW w:w="1228" w:type="dxa"/>
          </w:tcPr>
          <w:p w14:paraId="5C2F78B8" w14:textId="2DA1E42D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207,333,373</w:t>
            </w:r>
          </w:p>
        </w:tc>
        <w:tc>
          <w:tcPr>
            <w:tcW w:w="810" w:type="dxa"/>
          </w:tcPr>
          <w:p w14:paraId="24371C5D" w14:textId="4BABA7B8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99.62</w:t>
            </w:r>
          </w:p>
        </w:tc>
        <w:tc>
          <w:tcPr>
            <w:tcW w:w="1080" w:type="dxa"/>
          </w:tcPr>
          <w:p w14:paraId="7147D660" w14:textId="0C3FFECD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0C4C82">
              <w:rPr>
                <w:rFonts w:ascii="Arial" w:hAnsi="Arial" w:cs="Arial"/>
                <w:sz w:val="18"/>
                <w:szCs w:val="18"/>
              </w:rPr>
              <w:t>793,290</w:t>
            </w:r>
          </w:p>
        </w:tc>
        <w:tc>
          <w:tcPr>
            <w:tcW w:w="709" w:type="dxa"/>
          </w:tcPr>
          <w:p w14:paraId="6BF822B9" w14:textId="4B751F40" w:rsidR="00025EA6" w:rsidRPr="000C4C82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0C4C8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271" w:type="dxa"/>
          </w:tcPr>
          <w:p w14:paraId="29590B2B" w14:textId="528792FE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208,126,663</w:t>
            </w:r>
          </w:p>
        </w:tc>
        <w:tc>
          <w:tcPr>
            <w:tcW w:w="1371" w:type="dxa"/>
          </w:tcPr>
          <w:p w14:paraId="580E431E" w14:textId="4AAF1826" w:rsidR="00025EA6" w:rsidRPr="004E0344" w:rsidRDefault="00025EA6" w:rsidP="00025EA6">
            <w:pPr>
              <w:rPr>
                <w:rFonts w:ascii="Arial" w:hAnsi="Arial" w:cs="Arial"/>
                <w:sz w:val="18"/>
                <w:szCs w:val="18"/>
              </w:rPr>
            </w:pPr>
            <w:r w:rsidRPr="004E0344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</w:tr>
    </w:tbl>
    <w:p w14:paraId="4AB9B06E" w14:textId="77777777" w:rsidR="008D300B" w:rsidRDefault="008D300B" w:rsidP="008D300B">
      <w:pPr>
        <w:spacing w:after="0"/>
        <w:rPr>
          <w:rFonts w:ascii="Arial" w:hAnsi="Arial" w:cs="Arial"/>
          <w:sz w:val="16"/>
          <w:szCs w:val="16"/>
        </w:rPr>
      </w:pPr>
    </w:p>
    <w:p w14:paraId="266F0841" w14:textId="358F04D8" w:rsidR="00F34FB7" w:rsidRPr="00F34FB7" w:rsidRDefault="00F34FB7" w:rsidP="008D300B">
      <w:pPr>
        <w:spacing w:after="0"/>
        <w:rPr>
          <w:rFonts w:ascii="Arial" w:hAnsi="Arial" w:cs="Arial"/>
          <w:sz w:val="16"/>
          <w:szCs w:val="16"/>
        </w:rPr>
      </w:pPr>
      <w:r w:rsidRPr="00F34FB7">
        <w:rPr>
          <w:rFonts w:ascii="Arial" w:hAnsi="Arial" w:cs="Arial"/>
          <w:sz w:val="16"/>
          <w:szCs w:val="16"/>
        </w:rPr>
        <w:t>(1) Any proxy arrangement which gave discretion to the Chair has been included in the 'For' totals.</w:t>
      </w:r>
    </w:p>
    <w:p w14:paraId="6FD226F2" w14:textId="5402AED7" w:rsidR="00994E3C" w:rsidRPr="00994E3C" w:rsidRDefault="00AC22AB" w:rsidP="00994E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(2) </w:t>
      </w:r>
      <w:r w:rsidR="00994E3C" w:rsidRPr="00AC22AB">
        <w:rPr>
          <w:rFonts w:ascii="Arial" w:hAnsi="Arial" w:cs="Arial"/>
          <w:sz w:val="16"/>
          <w:szCs w:val="16"/>
        </w:rPr>
        <w:t>A vote withheld is not a vote in law and is excluded from the calculation</w:t>
      </w:r>
      <w:r>
        <w:rPr>
          <w:rFonts w:ascii="Arial" w:hAnsi="Arial" w:cs="Arial"/>
          <w:sz w:val="16"/>
          <w:szCs w:val="16"/>
        </w:rPr>
        <w:t xml:space="preserve"> of the percentage of Ordinary Shares voted “For or “Against” a resolution</w:t>
      </w:r>
      <w:r w:rsidR="00994E3C" w:rsidRPr="00AC22AB">
        <w:rPr>
          <w:rFonts w:ascii="Arial" w:hAnsi="Arial" w:cs="Arial"/>
          <w:sz w:val="16"/>
          <w:szCs w:val="16"/>
        </w:rPr>
        <w:t>.</w:t>
      </w:r>
    </w:p>
    <w:p w14:paraId="6C2D0CB8" w14:textId="77777777" w:rsidR="00994E3C" w:rsidRPr="00994E3C" w:rsidRDefault="00994E3C" w:rsidP="00994E3C">
      <w:pPr>
        <w:spacing w:after="0"/>
        <w:rPr>
          <w:rFonts w:ascii="Arial" w:hAnsi="Arial" w:cs="Arial"/>
          <w:sz w:val="20"/>
          <w:szCs w:val="20"/>
        </w:rPr>
      </w:pPr>
      <w:r w:rsidRPr="00994E3C">
        <w:rPr>
          <w:rFonts w:ascii="Arial" w:hAnsi="Arial" w:cs="Arial"/>
          <w:sz w:val="20"/>
          <w:szCs w:val="20"/>
        </w:rPr>
        <w:t> </w:t>
      </w:r>
    </w:p>
    <w:p w14:paraId="63725E0D" w14:textId="1B3759BE" w:rsidR="008D300B" w:rsidRDefault="00994E3C" w:rsidP="007706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4E3C">
        <w:rPr>
          <w:rFonts w:ascii="Arial" w:hAnsi="Arial" w:cs="Arial"/>
          <w:sz w:val="20"/>
          <w:szCs w:val="20"/>
        </w:rPr>
        <w:t xml:space="preserve">On the record date for voting at the meeting, the Company's issued share capital was 408,225,705 </w:t>
      </w:r>
      <w:r w:rsidR="00AC22AB">
        <w:rPr>
          <w:rFonts w:ascii="Arial" w:hAnsi="Arial" w:cs="Arial"/>
          <w:sz w:val="20"/>
          <w:szCs w:val="20"/>
        </w:rPr>
        <w:t>O</w:t>
      </w:r>
      <w:r w:rsidRPr="00994E3C">
        <w:rPr>
          <w:rFonts w:ascii="Arial" w:hAnsi="Arial" w:cs="Arial"/>
          <w:sz w:val="20"/>
          <w:szCs w:val="20"/>
        </w:rPr>
        <w:t xml:space="preserve">rdinary </w:t>
      </w:r>
      <w:r w:rsidR="00AC22AB">
        <w:rPr>
          <w:rFonts w:ascii="Arial" w:hAnsi="Arial" w:cs="Arial"/>
          <w:sz w:val="20"/>
          <w:szCs w:val="20"/>
        </w:rPr>
        <w:t>S</w:t>
      </w:r>
      <w:r w:rsidRPr="00994E3C">
        <w:rPr>
          <w:rFonts w:ascii="Arial" w:hAnsi="Arial" w:cs="Arial"/>
          <w:sz w:val="20"/>
          <w:szCs w:val="20"/>
        </w:rPr>
        <w:t xml:space="preserve">hares. The Company </w:t>
      </w:r>
      <w:r w:rsidR="00AC22AB">
        <w:rPr>
          <w:rFonts w:ascii="Arial" w:hAnsi="Arial" w:cs="Arial"/>
          <w:sz w:val="20"/>
          <w:szCs w:val="20"/>
        </w:rPr>
        <w:t>holds</w:t>
      </w:r>
      <w:r w:rsidRPr="00994E3C">
        <w:rPr>
          <w:rFonts w:ascii="Arial" w:hAnsi="Arial" w:cs="Arial"/>
          <w:sz w:val="20"/>
          <w:szCs w:val="20"/>
        </w:rPr>
        <w:t xml:space="preserve"> 30,103,575 of these </w:t>
      </w:r>
      <w:r w:rsidR="00AC22AB">
        <w:rPr>
          <w:rFonts w:ascii="Arial" w:hAnsi="Arial" w:cs="Arial"/>
          <w:sz w:val="20"/>
          <w:szCs w:val="20"/>
        </w:rPr>
        <w:t>Ordinary S</w:t>
      </w:r>
      <w:r w:rsidRPr="00994E3C">
        <w:rPr>
          <w:rFonts w:ascii="Arial" w:hAnsi="Arial" w:cs="Arial"/>
          <w:sz w:val="20"/>
          <w:szCs w:val="20"/>
        </w:rPr>
        <w:t xml:space="preserve">hares in </w:t>
      </w:r>
      <w:r w:rsidR="00AC22AB">
        <w:rPr>
          <w:rFonts w:ascii="Arial" w:hAnsi="Arial" w:cs="Arial"/>
          <w:sz w:val="20"/>
          <w:szCs w:val="20"/>
        </w:rPr>
        <w:t>t</w:t>
      </w:r>
      <w:r w:rsidRPr="00994E3C">
        <w:rPr>
          <w:rFonts w:ascii="Arial" w:hAnsi="Arial" w:cs="Arial"/>
          <w:sz w:val="20"/>
          <w:szCs w:val="20"/>
        </w:rPr>
        <w:t xml:space="preserve">reasury. Therefore, the total number of </w:t>
      </w:r>
      <w:r w:rsidR="00AC22AB">
        <w:rPr>
          <w:rFonts w:ascii="Arial" w:hAnsi="Arial" w:cs="Arial"/>
          <w:sz w:val="20"/>
          <w:szCs w:val="20"/>
        </w:rPr>
        <w:t>O</w:t>
      </w:r>
      <w:r w:rsidRPr="00994E3C">
        <w:rPr>
          <w:rFonts w:ascii="Arial" w:hAnsi="Arial" w:cs="Arial"/>
          <w:sz w:val="20"/>
          <w:szCs w:val="20"/>
        </w:rPr>
        <w:t xml:space="preserve">rdinary </w:t>
      </w:r>
      <w:r w:rsidR="00AC22AB">
        <w:rPr>
          <w:rFonts w:ascii="Arial" w:hAnsi="Arial" w:cs="Arial"/>
          <w:sz w:val="20"/>
          <w:szCs w:val="20"/>
        </w:rPr>
        <w:t>S</w:t>
      </w:r>
      <w:r w:rsidRPr="00994E3C">
        <w:rPr>
          <w:rFonts w:ascii="Arial" w:hAnsi="Arial" w:cs="Arial"/>
          <w:sz w:val="20"/>
          <w:szCs w:val="20"/>
        </w:rPr>
        <w:t xml:space="preserve">hares with voting rights in the Company was 378,122,130. </w:t>
      </w:r>
      <w:r w:rsidR="0077063F" w:rsidRPr="0077063F">
        <w:rPr>
          <w:rFonts w:ascii="Arial" w:hAnsi="Arial" w:cs="Arial"/>
          <w:sz w:val="20"/>
          <w:szCs w:val="20"/>
        </w:rPr>
        <w:t xml:space="preserve"> In accordance with the Company's </w:t>
      </w:r>
      <w:r w:rsidR="0077063F">
        <w:rPr>
          <w:rFonts w:ascii="Arial" w:hAnsi="Arial" w:cs="Arial"/>
          <w:sz w:val="20"/>
          <w:szCs w:val="20"/>
        </w:rPr>
        <w:t>a</w:t>
      </w:r>
      <w:r w:rsidR="0077063F" w:rsidRPr="0077063F">
        <w:rPr>
          <w:rFonts w:ascii="Arial" w:hAnsi="Arial" w:cs="Arial"/>
          <w:sz w:val="20"/>
          <w:szCs w:val="20"/>
        </w:rPr>
        <w:t xml:space="preserve">rticles of </w:t>
      </w:r>
      <w:r w:rsidR="0077063F">
        <w:rPr>
          <w:rFonts w:ascii="Arial" w:hAnsi="Arial" w:cs="Arial"/>
          <w:sz w:val="20"/>
          <w:szCs w:val="20"/>
        </w:rPr>
        <w:t>a</w:t>
      </w:r>
      <w:r w:rsidR="0077063F" w:rsidRPr="0077063F">
        <w:rPr>
          <w:rFonts w:ascii="Arial" w:hAnsi="Arial" w:cs="Arial"/>
          <w:sz w:val="20"/>
          <w:szCs w:val="20"/>
        </w:rPr>
        <w:t xml:space="preserve">ssociation, on a poll every member present in person or by proxy has one vote for every </w:t>
      </w:r>
      <w:r w:rsidR="0077063F">
        <w:rPr>
          <w:rFonts w:ascii="Arial" w:hAnsi="Arial" w:cs="Arial"/>
          <w:sz w:val="20"/>
          <w:szCs w:val="20"/>
        </w:rPr>
        <w:t>Ordinary Share.</w:t>
      </w:r>
    </w:p>
    <w:p w14:paraId="60DF3687" w14:textId="77777777" w:rsidR="00994E3C" w:rsidRPr="00F34FB7" w:rsidRDefault="00994E3C" w:rsidP="00994E3C">
      <w:pPr>
        <w:spacing w:after="0"/>
        <w:rPr>
          <w:rFonts w:ascii="Arial" w:hAnsi="Arial" w:cs="Arial"/>
          <w:sz w:val="20"/>
          <w:szCs w:val="20"/>
        </w:rPr>
      </w:pPr>
    </w:p>
    <w:p w14:paraId="2694C1F9" w14:textId="24D18966" w:rsidR="00FA0960" w:rsidRDefault="00F34FB7" w:rsidP="0077063F">
      <w:pPr>
        <w:jc w:val="both"/>
        <w:rPr>
          <w:rFonts w:ascii="Arial" w:hAnsi="Arial" w:cs="Arial"/>
          <w:sz w:val="20"/>
          <w:szCs w:val="20"/>
        </w:rPr>
      </w:pPr>
      <w:r w:rsidRPr="00F34FB7">
        <w:rPr>
          <w:rFonts w:ascii="Arial" w:hAnsi="Arial" w:cs="Arial"/>
          <w:sz w:val="20"/>
          <w:szCs w:val="20"/>
        </w:rPr>
        <w:t xml:space="preserve">The full text of the resolutions can be found in the </w:t>
      </w:r>
      <w:r w:rsidR="00AC22AB">
        <w:rPr>
          <w:rFonts w:ascii="Arial" w:hAnsi="Arial" w:cs="Arial"/>
          <w:sz w:val="20"/>
          <w:szCs w:val="20"/>
        </w:rPr>
        <w:t>GM Notice</w:t>
      </w:r>
      <w:r w:rsidRPr="00F34FB7">
        <w:rPr>
          <w:rFonts w:ascii="Arial" w:hAnsi="Arial" w:cs="Arial"/>
          <w:sz w:val="20"/>
          <w:szCs w:val="20"/>
        </w:rPr>
        <w:t xml:space="preserve">, copies of which are available on the Company's website, https://www.aquila-european-renewables.com. </w:t>
      </w:r>
      <w:r w:rsidR="0077063F" w:rsidRPr="0077063F">
        <w:rPr>
          <w:rFonts w:ascii="Arial" w:hAnsi="Arial" w:cs="Arial"/>
          <w:sz w:val="20"/>
          <w:szCs w:val="20"/>
        </w:rPr>
        <w:t xml:space="preserve">In accordance with </w:t>
      </w:r>
      <w:r w:rsidR="0077063F">
        <w:rPr>
          <w:rFonts w:ascii="Arial" w:hAnsi="Arial" w:cs="Arial"/>
          <w:sz w:val="20"/>
          <w:szCs w:val="20"/>
        </w:rPr>
        <w:t xml:space="preserve">UK </w:t>
      </w:r>
      <w:r w:rsidR="0077063F" w:rsidRPr="0077063F">
        <w:rPr>
          <w:rFonts w:ascii="Arial" w:hAnsi="Arial" w:cs="Arial"/>
          <w:sz w:val="20"/>
          <w:szCs w:val="20"/>
        </w:rPr>
        <w:t xml:space="preserve">Listing Rule </w:t>
      </w:r>
      <w:r w:rsidR="0077063F">
        <w:rPr>
          <w:rFonts w:ascii="Arial" w:hAnsi="Arial" w:cs="Arial"/>
          <w:sz w:val="20"/>
          <w:szCs w:val="20"/>
        </w:rPr>
        <w:t>6</w:t>
      </w:r>
      <w:r w:rsidR="0077063F" w:rsidRPr="0077063F">
        <w:rPr>
          <w:rFonts w:ascii="Arial" w:hAnsi="Arial" w:cs="Arial"/>
          <w:sz w:val="20"/>
          <w:szCs w:val="20"/>
        </w:rPr>
        <w:t>.</w:t>
      </w:r>
      <w:r w:rsidR="0077063F">
        <w:rPr>
          <w:rFonts w:ascii="Arial" w:hAnsi="Arial" w:cs="Arial"/>
          <w:sz w:val="20"/>
          <w:szCs w:val="20"/>
        </w:rPr>
        <w:t>4</w:t>
      </w:r>
      <w:r w:rsidR="0077063F" w:rsidRPr="0077063F">
        <w:rPr>
          <w:rFonts w:ascii="Arial" w:hAnsi="Arial" w:cs="Arial"/>
          <w:sz w:val="20"/>
          <w:szCs w:val="20"/>
        </w:rPr>
        <w:t xml:space="preserve">.2, copies </w:t>
      </w:r>
      <w:r w:rsidRPr="00F34FB7">
        <w:rPr>
          <w:rFonts w:ascii="Arial" w:hAnsi="Arial" w:cs="Arial"/>
          <w:sz w:val="20"/>
          <w:szCs w:val="20"/>
        </w:rPr>
        <w:t>of the resolutions will shortly be available for inspection</w:t>
      </w:r>
      <w:r w:rsidR="00FA0960">
        <w:rPr>
          <w:rFonts w:ascii="Arial" w:hAnsi="Arial" w:cs="Arial"/>
          <w:sz w:val="20"/>
          <w:szCs w:val="20"/>
        </w:rPr>
        <w:t xml:space="preserve"> </w:t>
      </w:r>
      <w:r w:rsidRPr="00F34FB7">
        <w:rPr>
          <w:rFonts w:ascii="Arial" w:hAnsi="Arial" w:cs="Arial"/>
          <w:sz w:val="20"/>
          <w:szCs w:val="20"/>
        </w:rPr>
        <w:t>at the National Storage Mechanism ("NSM"):</w:t>
      </w:r>
      <w:r w:rsidR="00FA0960">
        <w:rPr>
          <w:rFonts w:ascii="Arial" w:hAnsi="Arial" w:cs="Arial"/>
          <w:sz w:val="20"/>
          <w:szCs w:val="20"/>
        </w:rPr>
        <w:t xml:space="preserve"> </w:t>
      </w:r>
      <w:hyperlink r:id="rId7" w:anchor="/nsm/nationalstoragemechanism" w:history="1">
        <w:r w:rsidR="00AC22AB" w:rsidRPr="004B2E4C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Pr="00F34FB7">
        <w:rPr>
          <w:rFonts w:ascii="Arial" w:hAnsi="Arial" w:cs="Arial"/>
          <w:sz w:val="20"/>
          <w:szCs w:val="20"/>
        </w:rPr>
        <w:t>.</w:t>
      </w:r>
    </w:p>
    <w:p w14:paraId="7EA71468" w14:textId="77777777" w:rsidR="00AC22AB" w:rsidRPr="00F34FB7" w:rsidRDefault="00AC22AB" w:rsidP="00F34FB7">
      <w:pPr>
        <w:jc w:val="both"/>
        <w:rPr>
          <w:rFonts w:ascii="Arial" w:hAnsi="Arial" w:cs="Arial"/>
          <w:sz w:val="20"/>
          <w:szCs w:val="20"/>
        </w:rPr>
      </w:pPr>
    </w:p>
    <w:p w14:paraId="07832927" w14:textId="13DD50DF" w:rsidR="00994E3C" w:rsidRPr="00AC22AB" w:rsidRDefault="00AC22AB" w:rsidP="00AC22AB">
      <w:pPr>
        <w:rPr>
          <w:rFonts w:ascii="Arial" w:hAnsi="Arial" w:cs="Arial"/>
          <w:sz w:val="20"/>
          <w:szCs w:val="20"/>
        </w:rPr>
      </w:pPr>
      <w:r w:rsidRPr="00F34FB7">
        <w:rPr>
          <w:rFonts w:ascii="Arial" w:hAnsi="Arial" w:cs="Arial"/>
          <w:sz w:val="20"/>
          <w:szCs w:val="20"/>
        </w:rPr>
        <w:t>LEI: 213800UKH1TZIC9ZRP41</w:t>
      </w:r>
    </w:p>
    <w:p w14:paraId="2206E4F7" w14:textId="6E3BCF0D" w:rsidR="003A5175" w:rsidRPr="003A5175" w:rsidRDefault="003A5175" w:rsidP="003A5175">
      <w:pPr>
        <w:rPr>
          <w:rFonts w:ascii="Arial" w:hAnsi="Arial" w:cs="Arial"/>
          <w:b/>
          <w:bCs/>
          <w:sz w:val="20"/>
          <w:szCs w:val="20"/>
        </w:rPr>
      </w:pPr>
      <w:r w:rsidRPr="003A5175">
        <w:rPr>
          <w:rFonts w:ascii="Arial" w:hAnsi="Arial" w:cs="Arial"/>
          <w:b/>
          <w:bCs/>
          <w:sz w:val="20"/>
          <w:szCs w:val="20"/>
        </w:rPr>
        <w:t>Enquiries: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4410"/>
      </w:tblGrid>
      <w:tr w:rsidR="003A5175" w:rsidRPr="003A5175" w14:paraId="0D588188" w14:textId="77777777" w:rsidTr="0077063F">
        <w:trPr>
          <w:trHeight w:val="920"/>
        </w:trPr>
        <w:tc>
          <w:tcPr>
            <w:tcW w:w="4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A760" w14:textId="5090BED8" w:rsidR="008D300B" w:rsidRPr="0077063F" w:rsidRDefault="003A5175" w:rsidP="003A51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3F">
              <w:rPr>
                <w:rFonts w:ascii="Arial" w:hAnsi="Arial" w:cs="Arial"/>
                <w:b/>
                <w:bCs/>
                <w:sz w:val="20"/>
                <w:szCs w:val="20"/>
              </w:rPr>
              <w:t>Apex Listed Companies Services (UK) Limited</w:t>
            </w:r>
            <w:r w:rsidR="0077063F" w:rsidRPr="00770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063F" w:rsidRPr="0077063F">
              <w:rPr>
                <w:rFonts w:ascii="Arial" w:hAnsi="Arial" w:cs="Arial"/>
                <w:sz w:val="20"/>
                <w:szCs w:val="20"/>
              </w:rPr>
              <w:t>(Company Secretary)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114D" w14:textId="6A391E5A" w:rsidR="003A5175" w:rsidRPr="003A5175" w:rsidRDefault="0077063F" w:rsidP="007706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+44 (</w:t>
            </w:r>
            <w:r w:rsidR="003A5175" w:rsidRPr="003A517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33776" w:rsidRPr="00333776">
              <w:rPr>
                <w:rFonts w:ascii="Arial" w:hAnsi="Arial" w:cs="Arial"/>
                <w:sz w:val="20"/>
                <w:szCs w:val="20"/>
              </w:rPr>
              <w:t> 20 4534 0665</w:t>
            </w:r>
          </w:p>
        </w:tc>
      </w:tr>
      <w:tr w:rsidR="0077063F" w:rsidRPr="003A5175" w14:paraId="46607D81" w14:textId="77777777" w:rsidTr="0077063F">
        <w:trPr>
          <w:trHeight w:val="920"/>
        </w:trPr>
        <w:tc>
          <w:tcPr>
            <w:tcW w:w="4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823" w14:textId="77777777" w:rsidR="0077063F" w:rsidRDefault="0077063F" w:rsidP="003A5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Deutsche Numis (</w:t>
            </w:r>
            <w:r>
              <w:rPr>
                <w:rFonts w:ascii="Arial" w:hAnsi="Arial" w:cs="Arial"/>
                <w:sz w:val="20"/>
                <w:szCs w:val="20"/>
              </w:rPr>
              <w:t>Corporate Broker)</w:t>
            </w:r>
          </w:p>
          <w:p w14:paraId="71BBEEAB" w14:textId="77777777" w:rsidR="0077063F" w:rsidRDefault="0077063F" w:rsidP="0077063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Hugh Jonathan</w:t>
            </w:r>
          </w:p>
          <w:p w14:paraId="13D365B0" w14:textId="1A5DF9D2" w:rsidR="0077063F" w:rsidRPr="0077063F" w:rsidRDefault="0077063F" w:rsidP="0077063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Shiel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DD24" w14:textId="3C55B9C0" w:rsidR="0077063F" w:rsidRDefault="0077063F" w:rsidP="007706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63F">
              <w:rPr>
                <w:rFonts w:ascii="Aptos" w:eastAsia="Times New Roman" w:hAnsi="Aptos" w:cs="Arial"/>
                <w:kern w:val="0"/>
                <w:sz w:val="20"/>
                <w:szCs w:val="20"/>
                <w:lang w:eastAsia="en-GB"/>
                <w14:ligatures w14:val="none"/>
              </w:rPr>
              <w:t>+44 (0) 20 7260 1000</w:t>
            </w:r>
          </w:p>
        </w:tc>
      </w:tr>
    </w:tbl>
    <w:p w14:paraId="5FB7A9F4" w14:textId="7A9ADC6B" w:rsidR="00016F8A" w:rsidRPr="00F34FB7" w:rsidRDefault="00016F8A" w:rsidP="003A5175">
      <w:pPr>
        <w:rPr>
          <w:rFonts w:ascii="Arial" w:hAnsi="Arial" w:cs="Arial"/>
          <w:sz w:val="20"/>
          <w:szCs w:val="20"/>
        </w:rPr>
      </w:pPr>
    </w:p>
    <w:sectPr w:rsidR="00016F8A" w:rsidRPr="00F34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572C" w14:textId="77777777" w:rsidR="00FA0960" w:rsidRDefault="00FA0960" w:rsidP="00FA0960">
      <w:pPr>
        <w:spacing w:after="0" w:line="240" w:lineRule="auto"/>
      </w:pPr>
      <w:r>
        <w:separator/>
      </w:r>
    </w:p>
  </w:endnote>
  <w:endnote w:type="continuationSeparator" w:id="0">
    <w:p w14:paraId="4B8ACA66" w14:textId="77777777" w:rsidR="00FA0960" w:rsidRDefault="00FA0960" w:rsidP="00FA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63BA" w14:textId="3301D02D" w:rsidR="00FA0960" w:rsidRDefault="00FA09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9C22A4" wp14:editId="388D48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2001575140" name="Text Box 2" descr="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0559C" w14:textId="3E810C73" w:rsidR="00FA0960" w:rsidRPr="00FA0960" w:rsidRDefault="00FA0960" w:rsidP="00FA09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9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C2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" style="position:absolute;margin-left:0;margin-top:0;width:53.2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" filled="f" stroked="f">
              <v:textbox style="mso-fit-shape-to-text:t" inset="0,0,0,15pt">
                <w:txbxContent>
                  <w:p w14:paraId="4720559C" w14:textId="3E810C73" w:rsidR="00FA0960" w:rsidRPr="00FA0960" w:rsidRDefault="00FA0960" w:rsidP="00FA09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9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26A0" w14:textId="790E2C72" w:rsidR="00FA0960" w:rsidRDefault="00FA09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CC0016" wp14:editId="612D001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1052378514" name="Text Box 3" descr="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C1E22" w14:textId="006A2BC1" w:rsidR="00FA0960" w:rsidRPr="00FA0960" w:rsidRDefault="00FA0960" w:rsidP="00FA09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C00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" style="position:absolute;margin-left:0;margin-top:0;width:53.2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" filled="f" stroked="f">
              <v:textbox style="mso-fit-shape-to-text:t" inset="0,0,0,15pt">
                <w:txbxContent>
                  <w:p w14:paraId="0AAC1E22" w14:textId="006A2BC1" w:rsidR="00FA0960" w:rsidRPr="00FA0960" w:rsidRDefault="00FA0960" w:rsidP="00FA09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109A" w14:textId="1D48EEAE" w:rsidR="00FA0960" w:rsidRDefault="00FA09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93DE3" wp14:editId="2CC18D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70205"/>
              <wp:effectExtent l="0" t="0" r="9525" b="0"/>
              <wp:wrapNone/>
              <wp:docPr id="972545490" name="Text Box 1" descr="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9EE48" w14:textId="6C472049" w:rsidR="00FA0960" w:rsidRPr="00FA0960" w:rsidRDefault="00FA0960" w:rsidP="00FA09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9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3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" style="position:absolute;margin-left:0;margin-top:0;width:53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" filled="f" stroked="f">
              <v:textbox style="mso-fit-shape-to-text:t" inset="0,0,0,15pt">
                <w:txbxContent>
                  <w:p w14:paraId="6149EE48" w14:textId="6C472049" w:rsidR="00FA0960" w:rsidRPr="00FA0960" w:rsidRDefault="00FA0960" w:rsidP="00FA09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9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D78E" w14:textId="77777777" w:rsidR="00FA0960" w:rsidRDefault="00FA0960" w:rsidP="00FA0960">
      <w:pPr>
        <w:spacing w:after="0" w:line="240" w:lineRule="auto"/>
      </w:pPr>
      <w:r>
        <w:separator/>
      </w:r>
    </w:p>
  </w:footnote>
  <w:footnote w:type="continuationSeparator" w:id="0">
    <w:p w14:paraId="2D02BB4D" w14:textId="77777777" w:rsidR="00FA0960" w:rsidRDefault="00FA0960" w:rsidP="00FA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8391" w14:textId="77777777" w:rsidR="00C225FB" w:rsidRDefault="00C2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A677" w14:textId="77777777" w:rsidR="00C225FB" w:rsidRDefault="00C22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8F5A" w14:textId="77777777" w:rsidR="00C225FB" w:rsidRDefault="00C22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34FB7"/>
    <w:rsid w:val="00016F8A"/>
    <w:rsid w:val="00025EA6"/>
    <w:rsid w:val="00070C2E"/>
    <w:rsid w:val="000C4C82"/>
    <w:rsid w:val="000D6797"/>
    <w:rsid w:val="000E1766"/>
    <w:rsid w:val="00107EA5"/>
    <w:rsid w:val="002D6355"/>
    <w:rsid w:val="002E3C39"/>
    <w:rsid w:val="00307FD9"/>
    <w:rsid w:val="00333776"/>
    <w:rsid w:val="003A5175"/>
    <w:rsid w:val="003C0C15"/>
    <w:rsid w:val="004464AB"/>
    <w:rsid w:val="00476247"/>
    <w:rsid w:val="004E0344"/>
    <w:rsid w:val="00587BBC"/>
    <w:rsid w:val="005C6576"/>
    <w:rsid w:val="005F0DA9"/>
    <w:rsid w:val="006607CA"/>
    <w:rsid w:val="006E09BA"/>
    <w:rsid w:val="0077063F"/>
    <w:rsid w:val="007F2A17"/>
    <w:rsid w:val="00812694"/>
    <w:rsid w:val="008366BD"/>
    <w:rsid w:val="008D300B"/>
    <w:rsid w:val="00994E3C"/>
    <w:rsid w:val="00A67338"/>
    <w:rsid w:val="00A94B68"/>
    <w:rsid w:val="00AC22AB"/>
    <w:rsid w:val="00B1767C"/>
    <w:rsid w:val="00B50DB4"/>
    <w:rsid w:val="00BC3D88"/>
    <w:rsid w:val="00C01978"/>
    <w:rsid w:val="00C225FB"/>
    <w:rsid w:val="00D95706"/>
    <w:rsid w:val="00DF78C9"/>
    <w:rsid w:val="00E70D03"/>
    <w:rsid w:val="00F34FB7"/>
    <w:rsid w:val="00F74FCB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B08775"/>
  <w15:chartTrackingRefBased/>
  <w15:docId w15:val="{04A878F7-5109-4364-BBD7-A0BF042B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9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0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960"/>
  </w:style>
  <w:style w:type="paragraph" w:styleId="Header">
    <w:name w:val="header"/>
    <w:basedOn w:val="Normal"/>
    <w:link w:val="HeaderChar"/>
    <w:uiPriority w:val="99"/>
    <w:unhideWhenUsed/>
    <w:rsid w:val="00BC3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D88"/>
  </w:style>
  <w:style w:type="paragraph" w:customStyle="1" w:styleId="aq">
    <w:name w:val="aq"/>
    <w:basedOn w:val="Normal"/>
    <w:rsid w:val="0077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C6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UK!718417138.2</documentid>
  <senderid>JAGM</senderid>
  <senderemail>JENNIFER.GRAY@CMS-CMNO.COM</senderemail>
  <lastmodified>2026-01-06T21:46:00.0000000+00:00</lastmodified>
  <database>UK</database>
</properties>
</file>

<file path=customXml/itemProps1.xml><?xml version="1.0" encoding="utf-8"?>
<ds:datastoreItem xmlns:ds="http://schemas.openxmlformats.org/officeDocument/2006/customXml" ds:itemID="{09D57E1E-4ED3-4AE9-9BC1-AE35679CF08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Wangoo</dc:creator>
  <cp:keywords/>
  <dc:description/>
  <cp:lastModifiedBy>Grace Goudar</cp:lastModifiedBy>
  <cp:revision>14</cp:revision>
  <cp:lastPrinted>2026-01-08T10:45:00Z</cp:lastPrinted>
  <dcterms:created xsi:type="dcterms:W3CDTF">2026-01-06T21:14:00Z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39f7ddd2,774d9ce4,3eba0592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</vt:lpwstr>
  </property>
  <property fmtid="{D5CDD505-2E9C-101B-9397-08002B2CF9AE}" pid="5" name="MSIP_Label_2216d255-4b39-426a-a3c3-52038255989a_Enabled">
    <vt:lpwstr>true</vt:lpwstr>
  </property>
  <property fmtid="{D5CDD505-2E9C-101B-9397-08002B2CF9AE}" pid="6" name="MSIP_Label_2216d255-4b39-426a-a3c3-52038255989a_SetDate">
    <vt:lpwstr>2026-01-05T17:51:07Z</vt:lpwstr>
  </property>
  <property fmtid="{D5CDD505-2E9C-101B-9397-08002B2CF9AE}" pid="7" name="MSIP_Label_2216d255-4b39-426a-a3c3-52038255989a_Method">
    <vt:lpwstr>Privileged</vt:lpwstr>
  </property>
  <property fmtid="{D5CDD505-2E9C-101B-9397-08002B2CF9AE}" pid="8" name="MSIP_Label_2216d255-4b39-426a-a3c3-52038255989a_Name">
    <vt:lpwstr>2216d255-4b39-426a-a3c3-52038255989a</vt:lpwstr>
  </property>
  <property fmtid="{D5CDD505-2E9C-101B-9397-08002B2CF9AE}" pid="9" name="MSIP_Label_2216d255-4b39-426a-a3c3-52038255989a_SiteId">
    <vt:lpwstr>1e9b61e8-e590-4abc-b1af-24125e330d2a</vt:lpwstr>
  </property>
  <property fmtid="{D5CDD505-2E9C-101B-9397-08002B2CF9AE}" pid="10" name="MSIP_Label_2216d255-4b39-426a-a3c3-52038255989a_ActionId">
    <vt:lpwstr>692e1fa6-0210-44cd-8f90-4b7413fc639c</vt:lpwstr>
  </property>
  <property fmtid="{D5CDD505-2E9C-101B-9397-08002B2CF9AE}" pid="11" name="MSIP_Label_2216d255-4b39-426a-a3c3-52038255989a_ContentBits">
    <vt:lpwstr>3</vt:lpwstr>
  </property>
  <property fmtid="{D5CDD505-2E9C-101B-9397-08002B2CF9AE}" pid="12" name="MSIP_Label_2216d255-4b39-426a-a3c3-52038255989a_Tag">
    <vt:lpwstr>10, 0, 1, 1</vt:lpwstr>
  </property>
</Properties>
</file>